
<file path=[Content_Types].xml><?xml version="1.0" encoding="utf-8"?>
<Types xmlns="http://schemas.openxmlformats.org/package/2006/content-types">
  <Default Extension="png" ContentType="image/png"/>
  <Default Extension="emf" ContentType="image/x-emf"/>
  <Default Extension="wmf" ContentType="image/x-wmf"/>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BD51FE" w14:textId="77777777" w:rsidR="002A5C74" w:rsidRPr="00770F9D" w:rsidRDefault="002A5C74" w:rsidP="002A5C74">
      <w:pPr>
        <w:widowControl w:val="0"/>
        <w:autoSpaceDE w:val="0"/>
        <w:autoSpaceDN w:val="0"/>
        <w:adjustRightInd w:val="0"/>
        <w:ind w:firstLine="284"/>
        <w:jc w:val="center"/>
        <w:rPr>
          <w:rFonts w:ascii="Garamond" w:eastAsia="Times New Roman" w:hAnsi="Garamond"/>
          <w:b/>
          <w:lang w:eastAsia="sq-AL"/>
        </w:rPr>
      </w:pPr>
      <w:bookmarkStart w:id="0" w:name="_Hlk129210639"/>
      <w:bookmarkEnd w:id="0"/>
      <w:r w:rsidRPr="00770F9D">
        <w:rPr>
          <w:rFonts w:ascii="Garamond" w:eastAsia="Times New Roman" w:hAnsi="Garamond"/>
          <w:noProof/>
          <w:lang w:eastAsia="sq-AL"/>
        </w:rPr>
        <mc:AlternateContent>
          <mc:Choice Requires="wps">
            <w:drawing>
              <wp:anchor distT="4294967286" distB="4294967286" distL="114290" distR="114290" simplePos="0" relativeHeight="251658240" behindDoc="1" locked="0" layoutInCell="0" allowOverlap="1" wp14:anchorId="6435BCA7" wp14:editId="4126C8A1">
                <wp:simplePos x="0" y="0"/>
                <wp:positionH relativeFrom="page">
                  <wp:posOffset>3363594</wp:posOffset>
                </wp:positionH>
                <wp:positionV relativeFrom="page">
                  <wp:posOffset>941704</wp:posOffset>
                </wp:positionV>
                <wp:extent cx="0" cy="0"/>
                <wp:effectExtent l="0" t="0" r="0" b="0"/>
                <wp:wrapNone/>
                <wp:docPr id="138"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gd name="T0" fmla="*/ 0 60000 65536"/>
                            <a:gd name="T1" fmla="*/ 0 60000 65536"/>
                          </a:gdLst>
                          <a:ahLst/>
                          <a:cxnLst>
                            <a:cxn ang="T0">
                              <a:pos x="0" y="0"/>
                            </a:cxn>
                            <a:cxn ang="T1">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4" o:spid="_x0000_s1026" style="position:absolute;z-index:-251658240;visibility:visible;mso-wrap-style:square;mso-width-percent:0;mso-height-percent:0;mso-wrap-distance-left:3.17472mm;mso-wrap-distance-top:-28e-5mm;mso-wrap-distance-right:3.17472mm;mso-wrap-distance-bottom:-28e-5mm;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" o:allowincell="f" filled="f" strokecolor="#363435" strokeweight=".1pt">
                <v:path arrowok="t" o:connecttype="custom" o:connectlocs="0,0;0,0" o:connectangles="0,0"/>
                <w10:wrap anchorx="page" anchory="page"/>
              </v:polyline>
            </w:pict>
          </mc:Fallback>
        </mc:AlternateContent>
      </w:r>
      <w:r w:rsidRPr="00770F9D">
        <w:rPr>
          <w:rFonts w:ascii="Garamond" w:eastAsia="Times New Roman" w:hAnsi="Garamond"/>
          <w:noProof/>
          <w:lang w:eastAsia="sq-AL"/>
        </w:rPr>
        <mc:AlternateContent>
          <mc:Choice Requires="wps">
            <w:drawing>
              <wp:anchor distT="4294967286" distB="4294967286" distL="114290" distR="114290" simplePos="0" relativeHeight="251658241" behindDoc="1" locked="0" layoutInCell="0" allowOverlap="1" wp14:anchorId="384144D1" wp14:editId="07EBADB8">
                <wp:simplePos x="0" y="0"/>
                <wp:positionH relativeFrom="page">
                  <wp:posOffset>3363594</wp:posOffset>
                </wp:positionH>
                <wp:positionV relativeFrom="page">
                  <wp:posOffset>941704</wp:posOffset>
                </wp:positionV>
                <wp:extent cx="0" cy="0"/>
                <wp:effectExtent l="0" t="0" r="0" b="0"/>
                <wp:wrapNone/>
                <wp:docPr id="139"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gd name="T0" fmla="*/ 0 60000 65536"/>
                            <a:gd name="T1" fmla="*/ 0 60000 65536"/>
                          </a:gdLst>
                          <a:ahLst/>
                          <a:cxnLst>
                            <a:cxn ang="T0">
                              <a:pos x="0" y="0"/>
                            </a:cxn>
                            <a:cxn ang="T1">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3" o:spid="_x0000_s1026" style="position:absolute;z-index:-251658239;visibility:visible;mso-wrap-style:square;mso-width-percent:0;mso-height-percent:0;mso-wrap-distance-left:3.17472mm;mso-wrap-distance-top:-28e-5mm;mso-wrap-distance-right:3.17472mm;mso-wrap-distance-bottom:-28e-5mm;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" o:allowincell="f" filled="f" strokecolor="#363435" strokeweight=".1pt">
                <v:path arrowok="t" o:connecttype="custom" o:connectlocs="0,0;0,0" o:connectangles="0,0"/>
                <w10:wrap anchorx="page" anchory="page"/>
              </v:polyline>
            </w:pict>
          </mc:Fallback>
        </mc:AlternateContent>
      </w:r>
      <w:r w:rsidRPr="00770F9D">
        <w:rPr>
          <w:rFonts w:ascii="Garamond" w:eastAsia="Times New Roman" w:hAnsi="Garamond"/>
          <w:noProof/>
          <w:lang w:eastAsia="sq-AL"/>
        </w:rPr>
        <mc:AlternateContent>
          <mc:Choice Requires="wps">
            <w:drawing>
              <wp:anchor distT="4294967286" distB="4294967286" distL="114290" distR="114290" simplePos="0" relativeHeight="251658242" behindDoc="1" locked="0" layoutInCell="0" allowOverlap="1" wp14:anchorId="1F26F296" wp14:editId="77742E87">
                <wp:simplePos x="0" y="0"/>
                <wp:positionH relativeFrom="page">
                  <wp:posOffset>3363594</wp:posOffset>
                </wp:positionH>
                <wp:positionV relativeFrom="page">
                  <wp:posOffset>941704</wp:posOffset>
                </wp:positionV>
                <wp:extent cx="0" cy="0"/>
                <wp:effectExtent l="0" t="0" r="0" b="0"/>
                <wp:wrapNone/>
                <wp:docPr id="140"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gd name="T0" fmla="*/ 0 60000 65536"/>
                            <a:gd name="T1" fmla="*/ 0 60000 65536"/>
                          </a:gdLst>
                          <a:ahLst/>
                          <a:cxnLst>
                            <a:cxn ang="T0">
                              <a:pos x="0" y="0"/>
                            </a:cxn>
                            <a:cxn ang="T1">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2" o:spid="_x0000_s1026" style="position:absolute;z-index:-251658238;visibility:visible;mso-wrap-style:square;mso-width-percent:0;mso-height-percent:0;mso-wrap-distance-left:3.17472mm;mso-wrap-distance-top:-28e-5mm;mso-wrap-distance-right:3.17472mm;mso-wrap-distance-bottom:-28e-5mm;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" o:allowincell="f" filled="f" strokecolor="#363435" strokeweight=".1pt">
                <v:path arrowok="t" o:connecttype="custom" o:connectlocs="0,0;0,0" o:connectangles="0,0"/>
                <w10:wrap anchorx="page" anchory="page"/>
              </v:polyline>
            </w:pict>
          </mc:Fallback>
        </mc:AlternateContent>
      </w:r>
      <w:r w:rsidRPr="00770F9D">
        <w:rPr>
          <w:rFonts w:ascii="Garamond" w:eastAsia="Times New Roman" w:hAnsi="Garamond"/>
          <w:b/>
          <w:lang w:eastAsia="sq-AL"/>
        </w:rPr>
        <w:t>VENDIM</w:t>
      </w:r>
    </w:p>
    <w:p w14:paraId="43FF71F0" w14:textId="77777777" w:rsidR="002A5C74" w:rsidRPr="00770F9D" w:rsidRDefault="002A5C74" w:rsidP="002A5C74">
      <w:pPr>
        <w:ind w:firstLine="284"/>
        <w:jc w:val="center"/>
        <w:rPr>
          <w:rFonts w:ascii="Garamond" w:eastAsia="Times New Roman" w:hAnsi="Garamond"/>
          <w:b/>
          <w:bCs/>
          <w:lang w:eastAsia="sq-AL"/>
        </w:rPr>
      </w:pPr>
      <w:r w:rsidRPr="00770F9D">
        <w:rPr>
          <w:rFonts w:ascii="Garamond" w:eastAsia="Times New Roman" w:hAnsi="Garamond"/>
          <w:b/>
          <w:bCs/>
          <w:lang w:eastAsia="sq-AL"/>
        </w:rPr>
        <w:t>Nr. 116, datë 1.3.2023</w:t>
      </w:r>
    </w:p>
    <w:p w14:paraId="39C2D6E9" w14:textId="77777777" w:rsidR="002A5C74" w:rsidRPr="00770F9D" w:rsidRDefault="002A5C74" w:rsidP="002A5C74">
      <w:pPr>
        <w:ind w:firstLine="284"/>
        <w:jc w:val="center"/>
        <w:rPr>
          <w:rFonts w:ascii="Garamond" w:eastAsia="Times New Roman" w:hAnsi="Garamond"/>
          <w:bCs/>
          <w:lang w:eastAsia="sq-AL"/>
        </w:rPr>
      </w:pPr>
    </w:p>
    <w:p w14:paraId="3364E7AD" w14:textId="77777777" w:rsidR="00E11FB2" w:rsidRPr="00770F9D" w:rsidRDefault="002A5C74" w:rsidP="002A5C74">
      <w:pPr>
        <w:ind w:firstLine="284"/>
        <w:jc w:val="center"/>
        <w:rPr>
          <w:rFonts w:ascii="Garamond" w:eastAsia="Times New Roman" w:hAnsi="Garamond"/>
          <w:b/>
          <w:lang w:eastAsia="sq-AL"/>
        </w:rPr>
      </w:pPr>
      <w:r w:rsidRPr="00770F9D">
        <w:rPr>
          <w:rFonts w:ascii="Garamond" w:eastAsia="Times New Roman" w:hAnsi="Garamond"/>
          <w:b/>
          <w:lang w:eastAsia="sq-AL"/>
        </w:rPr>
        <w:t xml:space="preserve">PËR MIRATIMIN E PROGRAMIT TË REFORMAVE EKONOMIKE (ERP) </w:t>
      </w:r>
    </w:p>
    <w:p w14:paraId="02BB7081" w14:textId="4118A147" w:rsidR="002A5C74" w:rsidRPr="00770F9D" w:rsidRDefault="002A5C74" w:rsidP="002A5C74">
      <w:pPr>
        <w:ind w:firstLine="284"/>
        <w:jc w:val="center"/>
        <w:rPr>
          <w:rFonts w:ascii="Garamond" w:eastAsia="Times New Roman" w:hAnsi="Garamond"/>
          <w:b/>
          <w:lang w:eastAsia="sq-AL"/>
        </w:rPr>
      </w:pPr>
      <w:r w:rsidRPr="00770F9D">
        <w:rPr>
          <w:rFonts w:ascii="Garamond" w:eastAsia="Times New Roman" w:hAnsi="Garamond"/>
          <w:b/>
          <w:lang w:eastAsia="sq-AL"/>
        </w:rPr>
        <w:t>2023</w:t>
      </w:r>
      <w:r w:rsidR="00E11FB2" w:rsidRPr="00770F9D">
        <w:rPr>
          <w:rFonts w:ascii="Garamond" w:eastAsia="Times New Roman" w:hAnsi="Garamond"/>
          <w:b/>
          <w:lang w:eastAsia="sq-AL"/>
        </w:rPr>
        <w:t>–</w:t>
      </w:r>
      <w:r w:rsidRPr="00770F9D">
        <w:rPr>
          <w:rFonts w:ascii="Garamond" w:eastAsia="Times New Roman" w:hAnsi="Garamond"/>
          <w:b/>
          <w:lang w:eastAsia="sq-AL"/>
        </w:rPr>
        <w:t>2025</w:t>
      </w:r>
    </w:p>
    <w:p w14:paraId="6BD7BFC1" w14:textId="77777777" w:rsidR="002A5C74" w:rsidRPr="00770F9D" w:rsidRDefault="002A5C74" w:rsidP="002A5C74">
      <w:pPr>
        <w:ind w:firstLine="284"/>
        <w:jc w:val="center"/>
        <w:rPr>
          <w:rFonts w:ascii="Garamond" w:eastAsia="Times New Roman" w:hAnsi="Garamond"/>
          <w:b/>
          <w:lang w:eastAsia="sq-AL"/>
        </w:rPr>
      </w:pPr>
    </w:p>
    <w:p w14:paraId="4EE4467A" w14:textId="77777777" w:rsidR="002A5C74" w:rsidRPr="00770F9D" w:rsidRDefault="002A5C74" w:rsidP="002A5C74">
      <w:pPr>
        <w:ind w:firstLine="284"/>
        <w:jc w:val="both"/>
        <w:rPr>
          <w:rFonts w:ascii="Garamond" w:eastAsia="Times New Roman" w:hAnsi="Garamond"/>
          <w:lang w:eastAsia="sq-AL"/>
        </w:rPr>
      </w:pPr>
      <w:r w:rsidRPr="00770F9D">
        <w:rPr>
          <w:rFonts w:ascii="Garamond" w:eastAsia="Times New Roman" w:hAnsi="Garamond"/>
          <w:lang w:eastAsia="sq-AL"/>
        </w:rPr>
        <w:t>Në mbështetje të nenit 100 të Kushtetutës, me propozimin e ministrit të Financave dhe Ekonomisë, Këshilli i Ministrave</w:t>
      </w:r>
    </w:p>
    <w:p w14:paraId="26708E5D" w14:textId="77777777" w:rsidR="002A5C74" w:rsidRPr="00770F9D" w:rsidRDefault="002A5C74" w:rsidP="002A5C74">
      <w:pPr>
        <w:ind w:firstLine="284"/>
        <w:jc w:val="both"/>
        <w:rPr>
          <w:rFonts w:ascii="Garamond" w:eastAsia="Times New Roman" w:hAnsi="Garamond"/>
          <w:lang w:eastAsia="sq-AL"/>
        </w:rPr>
      </w:pPr>
    </w:p>
    <w:p w14:paraId="471249AC" w14:textId="77777777" w:rsidR="002A5C74" w:rsidRPr="00770F9D" w:rsidRDefault="002A5C74" w:rsidP="002A5C74">
      <w:pPr>
        <w:ind w:firstLine="284"/>
        <w:jc w:val="center"/>
        <w:rPr>
          <w:rFonts w:ascii="Garamond" w:eastAsia="Times New Roman" w:hAnsi="Garamond"/>
          <w:lang w:eastAsia="sq-AL"/>
        </w:rPr>
      </w:pPr>
      <w:r w:rsidRPr="00770F9D">
        <w:rPr>
          <w:rFonts w:ascii="Garamond" w:eastAsia="Times New Roman" w:hAnsi="Garamond"/>
          <w:lang w:eastAsia="sq-AL"/>
        </w:rPr>
        <w:t>VENDOSI:</w:t>
      </w:r>
    </w:p>
    <w:p w14:paraId="23A114B1" w14:textId="77777777" w:rsidR="002A5C74" w:rsidRPr="00770F9D" w:rsidRDefault="002A5C74" w:rsidP="002A5C74">
      <w:pPr>
        <w:ind w:firstLine="284"/>
        <w:jc w:val="both"/>
        <w:rPr>
          <w:rFonts w:ascii="Garamond" w:eastAsia="Times New Roman" w:hAnsi="Garamond"/>
          <w:lang w:eastAsia="sq-AL"/>
        </w:rPr>
      </w:pPr>
    </w:p>
    <w:p w14:paraId="75A38F88" w14:textId="650CA98D" w:rsidR="002A5C74" w:rsidRPr="00770F9D" w:rsidRDefault="002A5C74" w:rsidP="002A5C74">
      <w:pPr>
        <w:ind w:firstLine="284"/>
        <w:jc w:val="both"/>
        <w:rPr>
          <w:rFonts w:ascii="Garamond" w:hAnsi="Garamond" w:cs="Arial"/>
          <w:bCs/>
          <w:color w:val="000000"/>
          <w:lang w:eastAsia="sq-AL"/>
        </w:rPr>
      </w:pPr>
      <w:r w:rsidRPr="00770F9D">
        <w:rPr>
          <w:rFonts w:ascii="Garamond" w:hAnsi="Garamond" w:cs="Arial"/>
          <w:bCs/>
          <w:color w:val="000000"/>
          <w:lang w:eastAsia="sq-AL"/>
        </w:rPr>
        <w:t>Miratimin e Programit të Reformave Ekonomike (ERP) 2023</w:t>
      </w:r>
      <w:r w:rsidR="00263132" w:rsidRPr="00770F9D">
        <w:rPr>
          <w:rFonts w:ascii="Garamond" w:hAnsi="Garamond" w:cs="Arial"/>
          <w:bCs/>
          <w:color w:val="000000"/>
          <w:lang w:eastAsia="sq-AL"/>
        </w:rPr>
        <w:t>–</w:t>
      </w:r>
      <w:r w:rsidRPr="00770F9D">
        <w:rPr>
          <w:rFonts w:ascii="Garamond" w:hAnsi="Garamond" w:cs="Arial"/>
          <w:bCs/>
          <w:color w:val="000000"/>
          <w:lang w:eastAsia="sq-AL"/>
        </w:rPr>
        <w:t>2025, sipas tekstit që i bashkëlidhet këtij vendimi.</w:t>
      </w:r>
    </w:p>
    <w:p w14:paraId="1EC64E51" w14:textId="77777777" w:rsidR="002A5C74" w:rsidRPr="00770F9D" w:rsidRDefault="002A5C74" w:rsidP="002A5C74">
      <w:pPr>
        <w:ind w:firstLine="284"/>
        <w:jc w:val="both"/>
        <w:rPr>
          <w:rFonts w:ascii="Garamond" w:hAnsi="Garamond" w:cs="Arial"/>
          <w:bCs/>
          <w:color w:val="000000"/>
          <w:lang w:eastAsia="sq-AL"/>
        </w:rPr>
      </w:pPr>
      <w:r w:rsidRPr="00770F9D">
        <w:rPr>
          <w:rFonts w:ascii="Garamond" w:hAnsi="Garamond" w:cs="Arial"/>
          <w:bCs/>
          <w:color w:val="000000"/>
          <w:lang w:eastAsia="sq-AL"/>
        </w:rPr>
        <w:t>Ky vendim hyn në fuqi pas botimit në Fletoren Zyrtare.</w:t>
      </w:r>
    </w:p>
    <w:p w14:paraId="38B74148" w14:textId="77777777" w:rsidR="002A5C74" w:rsidRPr="00770F9D" w:rsidRDefault="002A5C74" w:rsidP="002A5C74">
      <w:pPr>
        <w:ind w:firstLine="284"/>
        <w:jc w:val="both"/>
        <w:rPr>
          <w:rFonts w:ascii="Garamond" w:eastAsia="Times New Roman" w:hAnsi="Garamond"/>
          <w:lang w:eastAsia="sq-AL"/>
        </w:rPr>
      </w:pPr>
    </w:p>
    <w:p w14:paraId="69504869" w14:textId="77777777" w:rsidR="002A5C74" w:rsidRPr="00770F9D" w:rsidRDefault="002A5C74" w:rsidP="002A5C74">
      <w:pPr>
        <w:widowControl w:val="0"/>
        <w:ind w:firstLine="284"/>
        <w:jc w:val="right"/>
        <w:rPr>
          <w:rFonts w:ascii="Garamond" w:eastAsia="Times New Roman" w:hAnsi="Garamond"/>
          <w:lang w:eastAsia="sq-AL"/>
        </w:rPr>
      </w:pPr>
    </w:p>
    <w:p w14:paraId="47F6DB81" w14:textId="77777777" w:rsidR="002A5C74" w:rsidRPr="00770F9D" w:rsidRDefault="002A5C74" w:rsidP="002A5C74">
      <w:pPr>
        <w:ind w:firstLine="284"/>
        <w:jc w:val="right"/>
        <w:rPr>
          <w:rFonts w:ascii="Garamond" w:eastAsia="Times New Roman" w:hAnsi="Garamond"/>
          <w:bCs/>
          <w:lang w:eastAsia="sq-AL" w:bidi="en-US"/>
        </w:rPr>
      </w:pPr>
      <w:r w:rsidRPr="00770F9D">
        <w:rPr>
          <w:rFonts w:ascii="Garamond" w:eastAsia="Times New Roman" w:hAnsi="Garamond"/>
          <w:bCs/>
          <w:lang w:eastAsia="sq-AL" w:bidi="en-US"/>
        </w:rPr>
        <w:t>ZËVENDËSKRYEMINISTËR</w:t>
      </w:r>
    </w:p>
    <w:p w14:paraId="644FCB43" w14:textId="77777777" w:rsidR="002A5C74" w:rsidRPr="00770F9D" w:rsidRDefault="002A5C74" w:rsidP="002A5C74">
      <w:pPr>
        <w:ind w:firstLine="284"/>
        <w:jc w:val="right"/>
        <w:rPr>
          <w:rFonts w:ascii="Garamond" w:eastAsia="Times New Roman" w:hAnsi="Garamond"/>
          <w:b/>
          <w:bCs/>
          <w:lang w:eastAsia="sq-AL" w:bidi="en-US"/>
        </w:rPr>
      </w:pPr>
      <w:r w:rsidRPr="00770F9D">
        <w:rPr>
          <w:rFonts w:ascii="Garamond" w:eastAsia="Times New Roman" w:hAnsi="Garamond"/>
          <w:b/>
          <w:bCs/>
          <w:lang w:eastAsia="sq-AL" w:bidi="en-US"/>
        </w:rPr>
        <w:t>Belinda Balluku</w:t>
      </w:r>
    </w:p>
    <w:p w14:paraId="4CDF4842" w14:textId="2074FBFE" w:rsidR="00DF1828" w:rsidRPr="00770F9D" w:rsidRDefault="00DF1828" w:rsidP="005674F2">
      <w:pPr>
        <w:snapToGrid w:val="0"/>
        <w:ind w:firstLine="284"/>
        <w:jc w:val="center"/>
        <w:rPr>
          <w:rFonts w:ascii="Garamond" w:hAnsi="Garamond" w:cstheme="majorBidi"/>
          <w:color w:val="0D0D0D" w:themeColor="text1" w:themeTint="F2"/>
        </w:rPr>
      </w:pPr>
    </w:p>
    <w:p w14:paraId="2CE3DB1A" w14:textId="75B843E4" w:rsidR="00DF1828" w:rsidRPr="00770F9D" w:rsidRDefault="00DF1828" w:rsidP="005674F2">
      <w:pPr>
        <w:snapToGrid w:val="0"/>
        <w:ind w:firstLine="284"/>
        <w:jc w:val="center"/>
        <w:rPr>
          <w:rFonts w:ascii="Garamond" w:hAnsi="Garamond" w:cstheme="majorBidi"/>
          <w:color w:val="0D0D0D" w:themeColor="text1" w:themeTint="F2"/>
        </w:rPr>
      </w:pPr>
    </w:p>
    <w:p w14:paraId="3C594717" w14:textId="77777777" w:rsidR="00DF1828" w:rsidRPr="00770F9D" w:rsidRDefault="00DF1828" w:rsidP="005674F2">
      <w:pPr>
        <w:snapToGrid w:val="0"/>
        <w:ind w:firstLine="284"/>
        <w:jc w:val="center"/>
        <w:rPr>
          <w:rFonts w:ascii="Garamond" w:hAnsi="Garamond" w:cstheme="majorBidi"/>
          <w:color w:val="0D0D0D" w:themeColor="text1" w:themeTint="F2"/>
        </w:rPr>
      </w:pPr>
    </w:p>
    <w:p w14:paraId="4809249B" w14:textId="77777777" w:rsidR="00DF1828" w:rsidRPr="00770F9D" w:rsidRDefault="00DF1828" w:rsidP="005674F2">
      <w:pPr>
        <w:snapToGrid w:val="0"/>
        <w:ind w:firstLine="284"/>
        <w:jc w:val="center"/>
        <w:rPr>
          <w:rFonts w:ascii="Garamond" w:hAnsi="Garamond" w:cstheme="majorBidi"/>
          <w:color w:val="0D0D0D" w:themeColor="text1" w:themeTint="F2"/>
        </w:rPr>
      </w:pPr>
    </w:p>
    <w:p w14:paraId="21CE33B0" w14:textId="2F182316" w:rsidR="00DF1828" w:rsidRPr="00770F9D" w:rsidRDefault="00DF1828" w:rsidP="005674F2">
      <w:pPr>
        <w:snapToGrid w:val="0"/>
        <w:ind w:firstLine="284"/>
        <w:jc w:val="center"/>
        <w:rPr>
          <w:rFonts w:ascii="Garamond" w:hAnsi="Garamond" w:cstheme="majorBidi"/>
          <w:color w:val="0D0D0D" w:themeColor="text1" w:themeTint="F2"/>
        </w:rPr>
      </w:pPr>
    </w:p>
    <w:p w14:paraId="7EA1B78F" w14:textId="77777777" w:rsidR="00DF1828" w:rsidRPr="00770F9D" w:rsidRDefault="00DF1828" w:rsidP="005674F2">
      <w:pPr>
        <w:snapToGrid w:val="0"/>
        <w:ind w:firstLine="284"/>
        <w:jc w:val="center"/>
        <w:rPr>
          <w:rFonts w:ascii="Garamond" w:hAnsi="Garamond" w:cstheme="majorBidi"/>
          <w:color w:val="0D0D0D" w:themeColor="text1" w:themeTint="F2"/>
        </w:rPr>
      </w:pPr>
    </w:p>
    <w:p w14:paraId="1D0BD3E0" w14:textId="77777777" w:rsidR="00DF1828" w:rsidRPr="00770F9D" w:rsidRDefault="00DF1828" w:rsidP="005674F2">
      <w:pPr>
        <w:snapToGrid w:val="0"/>
        <w:ind w:firstLine="284"/>
        <w:jc w:val="center"/>
        <w:rPr>
          <w:rFonts w:ascii="Garamond" w:hAnsi="Garamond" w:cstheme="majorBidi"/>
          <w:color w:val="0D0D0D" w:themeColor="text1" w:themeTint="F2"/>
        </w:rPr>
      </w:pPr>
    </w:p>
    <w:p w14:paraId="69CBF3A4" w14:textId="77777777" w:rsidR="00DF1828" w:rsidRPr="00770F9D" w:rsidRDefault="00DF1828" w:rsidP="005674F2">
      <w:pPr>
        <w:snapToGrid w:val="0"/>
        <w:ind w:firstLine="284"/>
        <w:jc w:val="center"/>
        <w:rPr>
          <w:rFonts w:ascii="Garamond" w:hAnsi="Garamond" w:cstheme="majorBidi"/>
          <w:color w:val="0D0D0D" w:themeColor="text1" w:themeTint="F2"/>
        </w:rPr>
      </w:pPr>
    </w:p>
    <w:p w14:paraId="504ECE6B" w14:textId="77777777" w:rsidR="00451EAF" w:rsidRPr="00770F9D" w:rsidRDefault="00451EAF" w:rsidP="005674F2">
      <w:pPr>
        <w:snapToGrid w:val="0"/>
        <w:ind w:firstLine="284"/>
        <w:jc w:val="center"/>
        <w:rPr>
          <w:rFonts w:ascii="Garamond" w:hAnsi="Garamond" w:cstheme="majorBidi"/>
          <w:color w:val="0D0D0D" w:themeColor="text1" w:themeTint="F2"/>
        </w:rPr>
      </w:pPr>
    </w:p>
    <w:p w14:paraId="7A51B1AA" w14:textId="77777777" w:rsidR="00451EAF" w:rsidRPr="00770F9D" w:rsidRDefault="00451EAF" w:rsidP="005674F2">
      <w:pPr>
        <w:snapToGrid w:val="0"/>
        <w:ind w:firstLine="284"/>
        <w:jc w:val="center"/>
        <w:rPr>
          <w:rFonts w:ascii="Garamond" w:hAnsi="Garamond" w:cstheme="majorBidi"/>
          <w:color w:val="0D0D0D" w:themeColor="text1" w:themeTint="F2"/>
        </w:rPr>
      </w:pPr>
    </w:p>
    <w:p w14:paraId="2B19BBF2" w14:textId="77777777" w:rsidR="00451EAF" w:rsidRPr="00770F9D" w:rsidRDefault="00451EAF" w:rsidP="005674F2">
      <w:pPr>
        <w:snapToGrid w:val="0"/>
        <w:ind w:firstLine="284"/>
        <w:jc w:val="center"/>
        <w:rPr>
          <w:rFonts w:ascii="Garamond" w:hAnsi="Garamond" w:cstheme="majorBidi"/>
          <w:color w:val="0D0D0D" w:themeColor="text1" w:themeTint="F2"/>
        </w:rPr>
      </w:pPr>
    </w:p>
    <w:p w14:paraId="154C100E" w14:textId="77777777" w:rsidR="001D7CB9" w:rsidRPr="00770F9D" w:rsidRDefault="001D7CB9" w:rsidP="005674F2">
      <w:pPr>
        <w:snapToGrid w:val="0"/>
        <w:ind w:firstLine="284"/>
        <w:jc w:val="center"/>
        <w:rPr>
          <w:rFonts w:ascii="Garamond" w:hAnsi="Garamond" w:cstheme="majorBidi"/>
          <w:color w:val="0D0D0D" w:themeColor="text1" w:themeTint="F2"/>
        </w:rPr>
      </w:pPr>
    </w:p>
    <w:p w14:paraId="22109419" w14:textId="77777777" w:rsidR="00451EAF" w:rsidRPr="00770F9D" w:rsidRDefault="00451EAF" w:rsidP="005674F2">
      <w:pPr>
        <w:snapToGrid w:val="0"/>
        <w:ind w:firstLine="284"/>
        <w:jc w:val="center"/>
        <w:rPr>
          <w:rFonts w:ascii="Garamond" w:hAnsi="Garamond" w:cstheme="majorBidi"/>
          <w:color w:val="0D0D0D" w:themeColor="text1" w:themeTint="F2"/>
        </w:rPr>
      </w:pPr>
    </w:p>
    <w:p w14:paraId="710E4098" w14:textId="77777777" w:rsidR="00451EAF" w:rsidRPr="00770F9D" w:rsidRDefault="00451EAF" w:rsidP="005674F2">
      <w:pPr>
        <w:snapToGrid w:val="0"/>
        <w:ind w:firstLine="284"/>
        <w:jc w:val="center"/>
        <w:rPr>
          <w:rFonts w:ascii="Garamond" w:hAnsi="Garamond" w:cstheme="majorBidi"/>
          <w:color w:val="0D0D0D" w:themeColor="text1" w:themeTint="F2"/>
        </w:rPr>
      </w:pPr>
    </w:p>
    <w:p w14:paraId="4AD10C4B" w14:textId="77777777" w:rsidR="00451EAF" w:rsidRPr="00770F9D" w:rsidRDefault="00451EAF" w:rsidP="005674F2">
      <w:pPr>
        <w:snapToGrid w:val="0"/>
        <w:ind w:firstLine="284"/>
        <w:jc w:val="center"/>
        <w:rPr>
          <w:rFonts w:ascii="Garamond" w:hAnsi="Garamond" w:cstheme="majorBidi"/>
          <w:color w:val="0D0D0D" w:themeColor="text1" w:themeTint="F2"/>
        </w:rPr>
      </w:pPr>
    </w:p>
    <w:p w14:paraId="7366DC74" w14:textId="77777777" w:rsidR="002A5C74" w:rsidRPr="00770F9D" w:rsidRDefault="002A5C74" w:rsidP="005674F2">
      <w:pPr>
        <w:snapToGrid w:val="0"/>
        <w:ind w:firstLine="284"/>
        <w:jc w:val="center"/>
        <w:rPr>
          <w:rFonts w:ascii="Garamond" w:hAnsi="Garamond" w:cstheme="majorBidi"/>
          <w:color w:val="0D0D0D" w:themeColor="text1" w:themeTint="F2"/>
        </w:rPr>
      </w:pPr>
    </w:p>
    <w:p w14:paraId="4C244367" w14:textId="77777777" w:rsidR="002A5C74" w:rsidRPr="00770F9D" w:rsidRDefault="002A5C74" w:rsidP="005674F2">
      <w:pPr>
        <w:snapToGrid w:val="0"/>
        <w:ind w:firstLine="284"/>
        <w:jc w:val="center"/>
        <w:rPr>
          <w:rFonts w:ascii="Garamond" w:hAnsi="Garamond" w:cstheme="majorBidi"/>
          <w:color w:val="0D0D0D" w:themeColor="text1" w:themeTint="F2"/>
        </w:rPr>
      </w:pPr>
    </w:p>
    <w:p w14:paraId="263AAA99" w14:textId="77777777" w:rsidR="002A5C74" w:rsidRPr="00770F9D" w:rsidRDefault="002A5C74" w:rsidP="005674F2">
      <w:pPr>
        <w:snapToGrid w:val="0"/>
        <w:ind w:firstLine="284"/>
        <w:jc w:val="center"/>
        <w:rPr>
          <w:rFonts w:ascii="Garamond" w:hAnsi="Garamond" w:cstheme="majorBidi"/>
          <w:color w:val="0D0D0D" w:themeColor="text1" w:themeTint="F2"/>
        </w:rPr>
      </w:pPr>
    </w:p>
    <w:p w14:paraId="33AF83CD" w14:textId="77777777" w:rsidR="002A5C74" w:rsidRPr="00770F9D" w:rsidRDefault="002A5C74" w:rsidP="005674F2">
      <w:pPr>
        <w:snapToGrid w:val="0"/>
        <w:ind w:firstLine="284"/>
        <w:jc w:val="center"/>
        <w:rPr>
          <w:rFonts w:ascii="Garamond" w:hAnsi="Garamond" w:cstheme="majorBidi"/>
          <w:color w:val="0D0D0D" w:themeColor="text1" w:themeTint="F2"/>
        </w:rPr>
      </w:pPr>
    </w:p>
    <w:p w14:paraId="6F602F9A" w14:textId="77777777" w:rsidR="002A5C74" w:rsidRPr="00770F9D" w:rsidRDefault="002A5C74" w:rsidP="005674F2">
      <w:pPr>
        <w:snapToGrid w:val="0"/>
        <w:ind w:firstLine="284"/>
        <w:jc w:val="center"/>
        <w:rPr>
          <w:rFonts w:ascii="Garamond" w:hAnsi="Garamond" w:cstheme="majorBidi"/>
          <w:color w:val="0D0D0D" w:themeColor="text1" w:themeTint="F2"/>
        </w:rPr>
      </w:pPr>
    </w:p>
    <w:p w14:paraId="580F28DF" w14:textId="77777777" w:rsidR="002A5C74" w:rsidRPr="00770F9D" w:rsidRDefault="002A5C74" w:rsidP="005674F2">
      <w:pPr>
        <w:snapToGrid w:val="0"/>
        <w:ind w:firstLine="284"/>
        <w:jc w:val="center"/>
        <w:rPr>
          <w:rFonts w:ascii="Garamond" w:hAnsi="Garamond" w:cstheme="majorBidi"/>
          <w:color w:val="0D0D0D" w:themeColor="text1" w:themeTint="F2"/>
        </w:rPr>
      </w:pPr>
    </w:p>
    <w:p w14:paraId="589FCBA7" w14:textId="77777777" w:rsidR="002A5C74" w:rsidRPr="00770F9D" w:rsidRDefault="002A5C74" w:rsidP="005674F2">
      <w:pPr>
        <w:snapToGrid w:val="0"/>
        <w:ind w:firstLine="284"/>
        <w:jc w:val="center"/>
        <w:rPr>
          <w:rFonts w:ascii="Garamond" w:hAnsi="Garamond" w:cstheme="majorBidi"/>
          <w:color w:val="0D0D0D" w:themeColor="text1" w:themeTint="F2"/>
        </w:rPr>
      </w:pPr>
    </w:p>
    <w:p w14:paraId="05549AF1" w14:textId="77777777" w:rsidR="002A5C74" w:rsidRPr="00770F9D" w:rsidRDefault="002A5C74" w:rsidP="005674F2">
      <w:pPr>
        <w:snapToGrid w:val="0"/>
        <w:ind w:firstLine="284"/>
        <w:jc w:val="center"/>
        <w:rPr>
          <w:rFonts w:ascii="Garamond" w:hAnsi="Garamond" w:cstheme="majorBidi"/>
          <w:color w:val="0D0D0D" w:themeColor="text1" w:themeTint="F2"/>
        </w:rPr>
      </w:pPr>
    </w:p>
    <w:p w14:paraId="19C8B7CA" w14:textId="77777777" w:rsidR="002A5C74" w:rsidRPr="00770F9D" w:rsidRDefault="002A5C74" w:rsidP="005674F2">
      <w:pPr>
        <w:snapToGrid w:val="0"/>
        <w:ind w:firstLine="284"/>
        <w:jc w:val="center"/>
        <w:rPr>
          <w:rFonts w:ascii="Garamond" w:hAnsi="Garamond" w:cstheme="majorBidi"/>
          <w:color w:val="0D0D0D" w:themeColor="text1" w:themeTint="F2"/>
        </w:rPr>
      </w:pPr>
    </w:p>
    <w:p w14:paraId="443F889D" w14:textId="77777777" w:rsidR="002A5C74" w:rsidRPr="00770F9D" w:rsidRDefault="002A5C74" w:rsidP="005674F2">
      <w:pPr>
        <w:snapToGrid w:val="0"/>
        <w:ind w:firstLine="284"/>
        <w:jc w:val="center"/>
        <w:rPr>
          <w:rFonts w:ascii="Garamond" w:hAnsi="Garamond" w:cstheme="majorBidi"/>
          <w:color w:val="0D0D0D" w:themeColor="text1" w:themeTint="F2"/>
        </w:rPr>
      </w:pPr>
    </w:p>
    <w:p w14:paraId="5468CCC5" w14:textId="77777777" w:rsidR="002A5C74" w:rsidRPr="00770F9D" w:rsidRDefault="002A5C74" w:rsidP="005674F2">
      <w:pPr>
        <w:snapToGrid w:val="0"/>
        <w:ind w:firstLine="284"/>
        <w:jc w:val="center"/>
        <w:rPr>
          <w:rFonts w:ascii="Garamond" w:hAnsi="Garamond" w:cstheme="majorBidi"/>
          <w:color w:val="0D0D0D" w:themeColor="text1" w:themeTint="F2"/>
        </w:rPr>
      </w:pPr>
    </w:p>
    <w:p w14:paraId="53848452" w14:textId="77777777" w:rsidR="002A5C74" w:rsidRPr="00770F9D" w:rsidRDefault="002A5C74" w:rsidP="005674F2">
      <w:pPr>
        <w:snapToGrid w:val="0"/>
        <w:ind w:firstLine="284"/>
        <w:jc w:val="center"/>
        <w:rPr>
          <w:rFonts w:ascii="Garamond" w:hAnsi="Garamond" w:cstheme="majorBidi"/>
          <w:color w:val="0D0D0D" w:themeColor="text1" w:themeTint="F2"/>
        </w:rPr>
      </w:pPr>
    </w:p>
    <w:p w14:paraId="1DD52711" w14:textId="77777777" w:rsidR="002A5C74" w:rsidRPr="00770F9D" w:rsidRDefault="002A5C74" w:rsidP="005674F2">
      <w:pPr>
        <w:snapToGrid w:val="0"/>
        <w:ind w:firstLine="284"/>
        <w:jc w:val="center"/>
        <w:rPr>
          <w:rFonts w:ascii="Garamond" w:hAnsi="Garamond" w:cstheme="majorBidi"/>
          <w:color w:val="0D0D0D" w:themeColor="text1" w:themeTint="F2"/>
        </w:rPr>
      </w:pPr>
    </w:p>
    <w:p w14:paraId="50D16380" w14:textId="77777777" w:rsidR="00451EAF" w:rsidRPr="00770F9D" w:rsidRDefault="00451EAF" w:rsidP="005674F2">
      <w:pPr>
        <w:snapToGrid w:val="0"/>
        <w:ind w:firstLine="284"/>
        <w:jc w:val="center"/>
        <w:rPr>
          <w:rFonts w:ascii="Garamond" w:hAnsi="Garamond" w:cstheme="majorBidi"/>
          <w:color w:val="0D0D0D" w:themeColor="text1" w:themeTint="F2"/>
        </w:rPr>
      </w:pPr>
    </w:p>
    <w:p w14:paraId="0BE2FF91" w14:textId="77777777" w:rsidR="00DF1828" w:rsidRPr="00770F9D" w:rsidRDefault="00DF1828" w:rsidP="005674F2">
      <w:pPr>
        <w:snapToGrid w:val="0"/>
        <w:ind w:firstLine="284"/>
        <w:jc w:val="center"/>
        <w:rPr>
          <w:rFonts w:ascii="Garamond" w:hAnsi="Garamond" w:cstheme="majorBidi"/>
          <w:color w:val="0D0D0D" w:themeColor="text1" w:themeTint="F2"/>
        </w:rPr>
      </w:pPr>
    </w:p>
    <w:p w14:paraId="1E731DE4" w14:textId="77777777" w:rsidR="00DF1828" w:rsidRPr="00770F9D" w:rsidRDefault="00DF1828" w:rsidP="005674F2">
      <w:pPr>
        <w:snapToGrid w:val="0"/>
        <w:ind w:firstLine="284"/>
        <w:jc w:val="center"/>
        <w:rPr>
          <w:rFonts w:ascii="Garamond" w:hAnsi="Garamond" w:cstheme="majorBidi"/>
          <w:color w:val="0D0D0D" w:themeColor="text1" w:themeTint="F2"/>
        </w:rPr>
      </w:pPr>
    </w:p>
    <w:p w14:paraId="414E80DB" w14:textId="77777777" w:rsidR="00B62B53" w:rsidRPr="00770F9D" w:rsidRDefault="00B62B53" w:rsidP="005674F2">
      <w:pPr>
        <w:snapToGrid w:val="0"/>
        <w:ind w:firstLine="284"/>
        <w:jc w:val="center"/>
        <w:rPr>
          <w:rFonts w:ascii="Garamond" w:eastAsia="Arial Narrow" w:hAnsi="Garamond" w:cstheme="majorBidi"/>
          <w:bCs/>
          <w:color w:val="0D0D0D" w:themeColor="text1" w:themeTint="F2"/>
        </w:rPr>
      </w:pPr>
    </w:p>
    <w:p w14:paraId="7BB220E8" w14:textId="77777777" w:rsidR="00B62B53" w:rsidRPr="00770F9D" w:rsidRDefault="00B62B53" w:rsidP="005674F2">
      <w:pPr>
        <w:snapToGrid w:val="0"/>
        <w:ind w:firstLine="284"/>
        <w:jc w:val="center"/>
        <w:rPr>
          <w:rFonts w:ascii="Garamond" w:eastAsia="Arial Narrow" w:hAnsi="Garamond" w:cstheme="majorBidi"/>
          <w:bCs/>
          <w:color w:val="0D0D0D" w:themeColor="text1" w:themeTint="F2"/>
        </w:rPr>
      </w:pPr>
    </w:p>
    <w:p w14:paraId="7BA54BD4" w14:textId="77777777" w:rsidR="00B62B53" w:rsidRPr="00770F9D" w:rsidRDefault="00B62B53" w:rsidP="005674F2">
      <w:pPr>
        <w:snapToGrid w:val="0"/>
        <w:ind w:firstLine="284"/>
        <w:jc w:val="center"/>
        <w:rPr>
          <w:rFonts w:ascii="Garamond" w:eastAsia="Arial Narrow" w:hAnsi="Garamond" w:cstheme="majorBidi"/>
          <w:bCs/>
          <w:color w:val="0D0D0D" w:themeColor="text1" w:themeTint="F2"/>
        </w:rPr>
      </w:pPr>
    </w:p>
    <w:p w14:paraId="31EBA806" w14:textId="264A20C0" w:rsidR="00DF1828" w:rsidRPr="00770F9D" w:rsidRDefault="004D1F24" w:rsidP="00400FD0">
      <w:pPr>
        <w:snapToGrid w:val="0"/>
        <w:ind w:firstLine="284"/>
        <w:jc w:val="center"/>
        <w:rPr>
          <w:rFonts w:ascii="Garamond" w:eastAsia="Arial Narrow" w:hAnsi="Garamond" w:cstheme="majorBidi"/>
          <w:color w:val="0D0D0D" w:themeColor="text1" w:themeTint="F2"/>
        </w:rPr>
      </w:pPr>
      <w:r w:rsidRPr="00770F9D">
        <w:rPr>
          <w:rFonts w:ascii="Garamond" w:eastAsia="Arial Narrow" w:hAnsi="Garamond" w:cstheme="majorBidi"/>
          <w:b/>
          <w:bCs/>
          <w:color w:val="0D0D0D" w:themeColor="text1" w:themeTint="F2"/>
        </w:rPr>
        <w:t xml:space="preserve">PROGRAMI I REFORMAVE </w:t>
      </w:r>
      <w:r w:rsidR="00DF1828" w:rsidRPr="00770F9D">
        <w:rPr>
          <w:rFonts w:ascii="Garamond" w:eastAsia="Arial Narrow" w:hAnsi="Garamond" w:cstheme="majorBidi"/>
          <w:b/>
          <w:bCs/>
          <w:color w:val="0D0D0D" w:themeColor="text1" w:themeTint="F2"/>
        </w:rPr>
        <w:t>E</w:t>
      </w:r>
      <w:r w:rsidRPr="00770F9D">
        <w:rPr>
          <w:rFonts w:ascii="Garamond" w:eastAsia="Arial Narrow" w:hAnsi="Garamond" w:cstheme="majorBidi"/>
          <w:b/>
          <w:bCs/>
          <w:color w:val="0D0D0D" w:themeColor="text1" w:themeTint="F2"/>
        </w:rPr>
        <w:t>K</w:t>
      </w:r>
      <w:r w:rsidR="00DF1828" w:rsidRPr="00770F9D">
        <w:rPr>
          <w:rFonts w:ascii="Garamond" w:eastAsia="Arial Narrow" w:hAnsi="Garamond" w:cstheme="majorBidi"/>
          <w:b/>
          <w:bCs/>
          <w:color w:val="0D0D0D" w:themeColor="text1" w:themeTint="F2"/>
        </w:rPr>
        <w:t>ONOMI</w:t>
      </w:r>
      <w:r w:rsidRPr="00770F9D">
        <w:rPr>
          <w:rFonts w:ascii="Garamond" w:eastAsia="Arial Narrow" w:hAnsi="Garamond" w:cstheme="majorBidi"/>
          <w:b/>
          <w:bCs/>
          <w:color w:val="0D0D0D" w:themeColor="text1" w:themeTint="F2"/>
        </w:rPr>
        <w:t>KE</w:t>
      </w:r>
      <w:r w:rsidR="00400FD0" w:rsidRPr="00770F9D">
        <w:rPr>
          <w:rFonts w:ascii="Garamond" w:eastAsia="Arial Narrow" w:hAnsi="Garamond" w:cstheme="majorBidi"/>
          <w:b/>
          <w:bCs/>
          <w:color w:val="0D0D0D" w:themeColor="text1" w:themeTint="F2"/>
        </w:rPr>
        <w:t xml:space="preserve"> </w:t>
      </w:r>
      <w:r w:rsidR="00E13925" w:rsidRPr="00770F9D">
        <w:rPr>
          <w:rFonts w:ascii="Garamond" w:eastAsia="Arial Narrow" w:hAnsi="Garamond" w:cstheme="majorBidi"/>
          <w:b/>
          <w:bCs/>
          <w:color w:val="0D0D0D" w:themeColor="text1" w:themeTint="F2"/>
        </w:rPr>
        <w:t>202</w:t>
      </w:r>
      <w:r w:rsidR="0035231D" w:rsidRPr="00770F9D">
        <w:rPr>
          <w:rFonts w:ascii="Garamond" w:eastAsia="Arial Narrow" w:hAnsi="Garamond" w:cstheme="majorBidi"/>
          <w:b/>
          <w:bCs/>
          <w:color w:val="0D0D0D" w:themeColor="text1" w:themeTint="F2"/>
        </w:rPr>
        <w:t>3</w:t>
      </w:r>
      <w:r w:rsidR="001C3701" w:rsidRPr="00770F9D">
        <w:rPr>
          <w:rFonts w:ascii="Garamond" w:eastAsia="Arial Narrow" w:hAnsi="Garamond" w:cstheme="majorBidi"/>
          <w:b/>
          <w:bCs/>
          <w:color w:val="0D0D0D" w:themeColor="text1" w:themeTint="F2"/>
        </w:rPr>
        <w:t>–</w:t>
      </w:r>
      <w:r w:rsidR="00DF1828" w:rsidRPr="00770F9D">
        <w:rPr>
          <w:rFonts w:ascii="Garamond" w:eastAsia="Arial Narrow" w:hAnsi="Garamond" w:cstheme="majorBidi"/>
          <w:b/>
          <w:bCs/>
          <w:color w:val="0D0D0D" w:themeColor="text1" w:themeTint="F2"/>
        </w:rPr>
        <w:t>20</w:t>
      </w:r>
      <w:r w:rsidR="008D2963" w:rsidRPr="00770F9D">
        <w:rPr>
          <w:rFonts w:ascii="Garamond" w:eastAsia="Arial Narrow" w:hAnsi="Garamond" w:cstheme="majorBidi"/>
          <w:b/>
          <w:bCs/>
          <w:color w:val="0D0D0D" w:themeColor="text1" w:themeTint="F2"/>
        </w:rPr>
        <w:t>2</w:t>
      </w:r>
      <w:r w:rsidR="0035231D" w:rsidRPr="00770F9D">
        <w:rPr>
          <w:rFonts w:ascii="Garamond" w:eastAsia="Arial Narrow" w:hAnsi="Garamond" w:cstheme="majorBidi"/>
          <w:b/>
          <w:bCs/>
          <w:color w:val="0D0D0D" w:themeColor="text1" w:themeTint="F2"/>
        </w:rPr>
        <w:t>5</w:t>
      </w:r>
    </w:p>
    <w:p w14:paraId="0C588B3F" w14:textId="35579067" w:rsidR="00DF1828" w:rsidRPr="00770F9D" w:rsidRDefault="00400FD0" w:rsidP="005674F2">
      <w:pPr>
        <w:snapToGrid w:val="0"/>
        <w:ind w:firstLine="284"/>
        <w:jc w:val="center"/>
        <w:rPr>
          <w:rFonts w:ascii="Garamond" w:hAnsi="Garamond" w:cstheme="majorBidi"/>
          <w:iCs/>
          <w:color w:val="0D0D0D" w:themeColor="text1" w:themeTint="F2"/>
        </w:rPr>
      </w:pPr>
      <w:r w:rsidRPr="00770F9D">
        <w:rPr>
          <w:rFonts w:ascii="Garamond" w:hAnsi="Garamond" w:cstheme="majorBidi"/>
          <w:iCs/>
          <w:color w:val="0D0D0D" w:themeColor="text1" w:themeTint="F2"/>
        </w:rPr>
        <w:t>31 JANAR 2023</w:t>
      </w:r>
    </w:p>
    <w:p w14:paraId="7ABFF735" w14:textId="77777777" w:rsidR="00111599" w:rsidRPr="00770F9D" w:rsidRDefault="00111599" w:rsidP="005674F2">
      <w:pPr>
        <w:snapToGrid w:val="0"/>
        <w:ind w:firstLine="284"/>
        <w:jc w:val="center"/>
        <w:rPr>
          <w:rFonts w:ascii="Garamond" w:hAnsi="Garamond" w:cstheme="majorBidi"/>
          <w:i/>
          <w:color w:val="0D0D0D" w:themeColor="text1" w:themeTint="F2"/>
        </w:rPr>
      </w:pPr>
    </w:p>
    <w:p w14:paraId="760B1761" w14:textId="77777777" w:rsidR="00111599" w:rsidRPr="00770F9D" w:rsidRDefault="00111599" w:rsidP="0067170D">
      <w:pPr>
        <w:snapToGrid w:val="0"/>
        <w:ind w:firstLine="284"/>
        <w:rPr>
          <w:rFonts w:ascii="Garamond" w:hAnsi="Garamond" w:cstheme="majorBidi"/>
          <w:i/>
          <w:color w:val="0D0D0D" w:themeColor="text1" w:themeTint="F2"/>
        </w:rPr>
      </w:pPr>
      <w:r w:rsidRPr="00770F9D">
        <w:rPr>
          <w:rFonts w:ascii="Garamond" w:hAnsi="Garamond" w:cstheme="majorBidi"/>
          <w:i/>
          <w:color w:val="0D0D0D" w:themeColor="text1" w:themeTint="F2"/>
        </w:rPr>
        <w:t>Pasqyra e përmbajtjes</w:t>
      </w:r>
    </w:p>
    <w:p w14:paraId="228CE5DE" w14:textId="2A656448" w:rsidR="00111599" w:rsidRPr="00770F9D" w:rsidRDefault="00111599"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1. KUADRI I PËRGJITHSHËM POLITIK DHE OBJEKTIVAT </w:t>
      </w:r>
    </w:p>
    <w:p w14:paraId="125B326B" w14:textId="0EC4F2E7" w:rsidR="00111599" w:rsidRPr="00770F9D" w:rsidRDefault="00111599"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2. ZBATIMI I UDHËZIMEVE TË POLITIKAVE </w:t>
      </w:r>
    </w:p>
    <w:p w14:paraId="4FA9F243" w14:textId="2D3CB172" w:rsidR="00111599" w:rsidRPr="00770F9D" w:rsidRDefault="00111599"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3. KUADRI MAKROEKONOMIK </w:t>
      </w:r>
    </w:p>
    <w:p w14:paraId="45BFC171" w14:textId="5D709023" w:rsidR="00111599" w:rsidRPr="00770F9D" w:rsidRDefault="00111599" w:rsidP="001C370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3.1 Zhvillimet e fundit ekonomike</w:t>
      </w:r>
    </w:p>
    <w:p w14:paraId="686CE25E" w14:textId="42567298" w:rsidR="00111599" w:rsidRPr="00770F9D" w:rsidRDefault="00111599" w:rsidP="001C370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3.2 Skenari makroekonomik afatmesëm </w:t>
      </w:r>
    </w:p>
    <w:p w14:paraId="34351394" w14:textId="09770FEF" w:rsidR="00111599" w:rsidRPr="00770F9D" w:rsidRDefault="00111599" w:rsidP="001C370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3.3 Skenarët alternativë dhe risqet</w:t>
      </w:r>
      <w:r w:rsidR="00263132" w:rsidRPr="00770F9D">
        <w:rPr>
          <w:rFonts w:ascii="Garamond" w:hAnsi="Garamond" w:cstheme="majorBidi"/>
          <w:color w:val="0D0D0D" w:themeColor="text1" w:themeTint="F2"/>
        </w:rPr>
        <w:t xml:space="preserve"> </w:t>
      </w:r>
    </w:p>
    <w:p w14:paraId="733CF007" w14:textId="74184013" w:rsidR="00111599" w:rsidRPr="00770F9D" w:rsidRDefault="00EF6BA9"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4. KUADRI FISKAL </w:t>
      </w:r>
    </w:p>
    <w:p w14:paraId="03D11F87" w14:textId="7DD32539" w:rsidR="00111599" w:rsidRPr="00770F9D" w:rsidRDefault="00111599" w:rsidP="003F4C9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4.1 Politikat strategjike dhe objektivat afatmes</w:t>
      </w:r>
      <w:r w:rsidR="003F4C96" w:rsidRPr="00770F9D">
        <w:rPr>
          <w:rFonts w:ascii="Garamond" w:hAnsi="Garamond" w:cstheme="majorBidi"/>
          <w:color w:val="0D0D0D" w:themeColor="text1" w:themeTint="F2"/>
        </w:rPr>
        <w:t>ëm</w:t>
      </w:r>
      <w:r w:rsidR="00263132" w:rsidRPr="00770F9D">
        <w:rPr>
          <w:rFonts w:ascii="Garamond" w:hAnsi="Garamond" w:cstheme="majorBidi"/>
          <w:color w:val="0D0D0D" w:themeColor="text1" w:themeTint="F2"/>
        </w:rPr>
        <w:t xml:space="preserve"> </w:t>
      </w:r>
    </w:p>
    <w:p w14:paraId="08B32F93" w14:textId="3288318C" w:rsidR="00111599" w:rsidRPr="00770F9D" w:rsidRDefault="00111599" w:rsidP="001C370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4.2 Implementimi i buxhetit për vitin 2022</w:t>
      </w:r>
      <w:r w:rsidR="00EF6BA9" w:rsidRPr="00770F9D">
        <w:rPr>
          <w:rFonts w:ascii="Garamond" w:hAnsi="Garamond" w:cstheme="majorBidi"/>
          <w:color w:val="0D0D0D" w:themeColor="text1" w:themeTint="F2"/>
        </w:rPr>
        <w:t xml:space="preserve"> </w:t>
      </w:r>
    </w:p>
    <w:p w14:paraId="5D34D059" w14:textId="765E7ED1" w:rsidR="00111599" w:rsidRPr="00770F9D" w:rsidRDefault="00111599" w:rsidP="001C370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4.3 Planet buxhetore për vitin e dorëzimit të ERP</w:t>
      </w:r>
      <w:r w:rsidR="003F4C96" w:rsidRPr="00770F9D">
        <w:rPr>
          <w:rFonts w:ascii="Garamond" w:hAnsi="Garamond" w:cstheme="majorBidi"/>
          <w:color w:val="0D0D0D" w:themeColor="text1" w:themeTint="F2"/>
        </w:rPr>
        <w:t>-së</w:t>
      </w:r>
      <w:r w:rsidRPr="00770F9D">
        <w:rPr>
          <w:rFonts w:ascii="Garamond" w:hAnsi="Garamond" w:cstheme="majorBidi"/>
          <w:color w:val="0D0D0D" w:themeColor="text1" w:themeTint="F2"/>
        </w:rPr>
        <w:t xml:space="preserve"> </w:t>
      </w:r>
    </w:p>
    <w:p w14:paraId="4E29DE24" w14:textId="402E0DEE" w:rsidR="00111599" w:rsidRPr="00770F9D" w:rsidRDefault="00111599" w:rsidP="001C370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4.4 Perspektiva buxhetore afatmesme </w:t>
      </w:r>
    </w:p>
    <w:p w14:paraId="373BF5ED" w14:textId="5966599A" w:rsidR="00111599" w:rsidRPr="00770F9D" w:rsidRDefault="00111599" w:rsidP="003B1F90">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4.5 Bilanc</w:t>
      </w:r>
      <w:r w:rsidR="003B1F90" w:rsidRPr="00770F9D">
        <w:rPr>
          <w:rFonts w:ascii="Garamond" w:hAnsi="Garamond" w:cstheme="majorBidi"/>
          <w:color w:val="0D0D0D" w:themeColor="text1" w:themeTint="F2"/>
        </w:rPr>
        <w:t>i strukturor</w:t>
      </w:r>
      <w:r w:rsidRPr="00770F9D">
        <w:rPr>
          <w:rFonts w:ascii="Garamond" w:hAnsi="Garamond" w:cstheme="majorBidi"/>
          <w:color w:val="0D0D0D" w:themeColor="text1" w:themeTint="F2"/>
        </w:rPr>
        <w:t xml:space="preserve"> </w:t>
      </w:r>
    </w:p>
    <w:p w14:paraId="12565FB0" w14:textId="3F81A597" w:rsidR="00111599" w:rsidRPr="00770F9D" w:rsidRDefault="00111599" w:rsidP="001C370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4.6 Ecuria e </w:t>
      </w:r>
      <w:r w:rsidR="003F4C96" w:rsidRPr="00770F9D">
        <w:rPr>
          <w:rFonts w:ascii="Garamond" w:hAnsi="Garamond" w:cstheme="majorBidi"/>
          <w:color w:val="0D0D0D" w:themeColor="text1" w:themeTint="F2"/>
        </w:rPr>
        <w:t xml:space="preserve">borxhit të qeverisjes qendrore </w:t>
      </w:r>
    </w:p>
    <w:p w14:paraId="16A1AD92" w14:textId="5A989EA3" w:rsidR="00111599" w:rsidRPr="00770F9D" w:rsidRDefault="00111599" w:rsidP="001C370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4.7 Analiza e ndjeshmërisë dhe krahasimi me programin e mëparshëm</w:t>
      </w:r>
      <w:r w:rsidR="00EE2F34" w:rsidRPr="00770F9D">
        <w:rPr>
          <w:rFonts w:ascii="Garamond" w:hAnsi="Garamond" w:cstheme="majorBidi"/>
          <w:color w:val="0D0D0D" w:themeColor="text1" w:themeTint="F2"/>
        </w:rPr>
        <w:t xml:space="preserve"> </w:t>
      </w:r>
    </w:p>
    <w:p w14:paraId="538C6A38" w14:textId="2C0AB9B8" w:rsidR="00111599" w:rsidRPr="00770F9D" w:rsidRDefault="00111599" w:rsidP="001C370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4.8 Cilësia e financave publike </w:t>
      </w:r>
    </w:p>
    <w:p w14:paraId="4CD3B851" w14:textId="32838DE7" w:rsidR="00111599" w:rsidRPr="00770F9D" w:rsidRDefault="00111599" w:rsidP="001C370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4.9 Qeverisja fiskale dhe kuadri buxhetor</w:t>
      </w:r>
      <w:r w:rsidR="00EE2F34" w:rsidRPr="00770F9D">
        <w:rPr>
          <w:rFonts w:ascii="Garamond" w:hAnsi="Garamond" w:cstheme="majorBidi"/>
          <w:color w:val="0D0D0D" w:themeColor="text1" w:themeTint="F2"/>
        </w:rPr>
        <w:t xml:space="preserve"> </w:t>
      </w:r>
    </w:p>
    <w:p w14:paraId="7152CA53" w14:textId="7BE7AA62" w:rsidR="00111599" w:rsidRPr="00770F9D" w:rsidRDefault="00111599" w:rsidP="001C370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4.10 Qëndrueshmëria e financave publike </w:t>
      </w:r>
    </w:p>
    <w:p w14:paraId="1028B643" w14:textId="0C2C4FED" w:rsidR="00111599" w:rsidRPr="00770F9D" w:rsidRDefault="00111599"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5. REFORMAT STRUKTURORE PARËSORE NË 2023</w:t>
      </w:r>
      <w:r w:rsidR="003F4C96" w:rsidRPr="00770F9D">
        <w:rPr>
          <w:rFonts w:ascii="Garamond" w:hAnsi="Garamond" w:cstheme="majorBidi"/>
          <w:color w:val="0D0D0D" w:themeColor="text1" w:themeTint="F2"/>
        </w:rPr>
        <w:t>–</w:t>
      </w:r>
      <w:r w:rsidRPr="00770F9D">
        <w:rPr>
          <w:rFonts w:ascii="Garamond" w:hAnsi="Garamond" w:cstheme="majorBidi"/>
          <w:color w:val="0D0D0D" w:themeColor="text1" w:themeTint="F2"/>
        </w:rPr>
        <w:t>2025</w:t>
      </w:r>
      <w:r w:rsidR="00EE2F34" w:rsidRPr="00770F9D">
        <w:rPr>
          <w:rFonts w:ascii="Garamond" w:hAnsi="Garamond" w:cstheme="majorBidi"/>
          <w:color w:val="0D0D0D" w:themeColor="text1" w:themeTint="F2"/>
        </w:rPr>
        <w:t xml:space="preserve"> </w:t>
      </w:r>
    </w:p>
    <w:p w14:paraId="04E4CF3B" w14:textId="5813F104" w:rsidR="00111599" w:rsidRPr="00770F9D" w:rsidRDefault="00111599" w:rsidP="003F4C9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5.1 Përditësim mbi tr</w:t>
      </w:r>
      <w:r w:rsidR="003F4C96" w:rsidRPr="00770F9D">
        <w:rPr>
          <w:rFonts w:ascii="Garamond" w:hAnsi="Garamond" w:cstheme="majorBidi"/>
          <w:color w:val="0D0D0D" w:themeColor="text1" w:themeTint="F2"/>
        </w:rPr>
        <w:t>i</w:t>
      </w:r>
      <w:r w:rsidRPr="00770F9D">
        <w:rPr>
          <w:rFonts w:ascii="Garamond" w:hAnsi="Garamond" w:cstheme="majorBidi"/>
          <w:color w:val="0D0D0D" w:themeColor="text1" w:themeTint="F2"/>
        </w:rPr>
        <w:t xml:space="preserve"> sfidat kyçe në konkurrueshmëri dhe rritje përfshirëse dhe masat e reformave përkatëse </w:t>
      </w:r>
    </w:p>
    <w:p w14:paraId="58EEC853" w14:textId="21923FFB" w:rsidR="00111599" w:rsidRPr="00770F9D" w:rsidRDefault="00111599"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Sfida </w:t>
      </w:r>
      <w:r w:rsidR="003F4C96" w:rsidRPr="00770F9D">
        <w:rPr>
          <w:rFonts w:ascii="Garamond" w:hAnsi="Garamond" w:cstheme="majorBidi"/>
          <w:color w:val="0D0D0D" w:themeColor="text1" w:themeTint="F2"/>
        </w:rPr>
        <w:t xml:space="preserve">kyçe </w:t>
      </w:r>
      <w:r w:rsidRPr="00770F9D">
        <w:rPr>
          <w:rFonts w:ascii="Garamond" w:hAnsi="Garamond" w:cstheme="majorBidi"/>
          <w:color w:val="0D0D0D" w:themeColor="text1" w:themeTint="F2"/>
        </w:rPr>
        <w:t xml:space="preserve">#1 </w:t>
      </w:r>
    </w:p>
    <w:p w14:paraId="5B87F357" w14:textId="63A32F8E" w:rsidR="00111599" w:rsidRPr="00770F9D" w:rsidRDefault="00111599"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Sfida </w:t>
      </w:r>
      <w:r w:rsidR="003F4C96" w:rsidRPr="00770F9D">
        <w:rPr>
          <w:rFonts w:ascii="Garamond" w:hAnsi="Garamond" w:cstheme="majorBidi"/>
          <w:color w:val="0D0D0D" w:themeColor="text1" w:themeTint="F2"/>
        </w:rPr>
        <w:t xml:space="preserve">kyçe </w:t>
      </w:r>
      <w:r w:rsidRPr="00770F9D">
        <w:rPr>
          <w:rFonts w:ascii="Garamond" w:hAnsi="Garamond" w:cstheme="majorBidi"/>
          <w:color w:val="0D0D0D" w:themeColor="text1" w:themeTint="F2"/>
        </w:rPr>
        <w:t xml:space="preserve">#2 </w:t>
      </w:r>
    </w:p>
    <w:p w14:paraId="098F2C9F" w14:textId="571AFC7A" w:rsidR="00111599" w:rsidRPr="00770F9D" w:rsidRDefault="00111599"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Sfida </w:t>
      </w:r>
      <w:r w:rsidR="003F4C96" w:rsidRPr="00770F9D">
        <w:rPr>
          <w:rFonts w:ascii="Garamond" w:hAnsi="Garamond" w:cstheme="majorBidi"/>
          <w:color w:val="0D0D0D" w:themeColor="text1" w:themeTint="F2"/>
        </w:rPr>
        <w:t xml:space="preserve">kyçe </w:t>
      </w:r>
      <w:r w:rsidRPr="00770F9D">
        <w:rPr>
          <w:rFonts w:ascii="Garamond" w:hAnsi="Garamond" w:cstheme="majorBidi"/>
          <w:color w:val="0D0D0D" w:themeColor="text1" w:themeTint="F2"/>
        </w:rPr>
        <w:t xml:space="preserve">#3 </w:t>
      </w:r>
    </w:p>
    <w:p w14:paraId="54AF8556" w14:textId="399A6690" w:rsidR="00111599" w:rsidRPr="00770F9D" w:rsidRDefault="00111599" w:rsidP="001C370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5.2 Analiza e pengesave në fusha të tjera</w:t>
      </w:r>
      <w:r w:rsidR="00EE2F34" w:rsidRPr="00770F9D">
        <w:rPr>
          <w:rFonts w:ascii="Garamond" w:hAnsi="Garamond" w:cstheme="majorBidi"/>
          <w:color w:val="0D0D0D" w:themeColor="text1" w:themeTint="F2"/>
        </w:rPr>
        <w:t xml:space="preserve"> </w:t>
      </w:r>
    </w:p>
    <w:p w14:paraId="6C9B0935" w14:textId="735D7E06" w:rsidR="00111599" w:rsidRPr="00770F9D" w:rsidRDefault="00111599" w:rsidP="001C370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5.2.1 Menaxhimi i financave publike</w:t>
      </w:r>
      <w:r w:rsidR="00EE2F34" w:rsidRPr="00770F9D">
        <w:rPr>
          <w:rFonts w:ascii="Garamond" w:hAnsi="Garamond" w:cstheme="majorBidi"/>
          <w:color w:val="0D0D0D" w:themeColor="text1" w:themeTint="F2"/>
        </w:rPr>
        <w:t xml:space="preserve"> </w:t>
      </w:r>
    </w:p>
    <w:p w14:paraId="12BD35B6" w14:textId="64B89E12" w:rsidR="00111599" w:rsidRPr="00770F9D" w:rsidRDefault="00111599" w:rsidP="001C370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5.2.2 Tranzicioni i gjelbër</w:t>
      </w:r>
      <w:r w:rsidR="00EE2F34" w:rsidRPr="00770F9D">
        <w:rPr>
          <w:rFonts w:ascii="Garamond" w:hAnsi="Garamond" w:cstheme="majorBidi"/>
          <w:color w:val="0D0D0D" w:themeColor="text1" w:themeTint="F2"/>
        </w:rPr>
        <w:t xml:space="preserve"> </w:t>
      </w:r>
    </w:p>
    <w:p w14:paraId="7FC2398A" w14:textId="42A812E6" w:rsidR="00111599" w:rsidRPr="00770F9D" w:rsidRDefault="00111599" w:rsidP="001C370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5.2.3 Transformimi </w:t>
      </w:r>
      <w:r w:rsidR="003F4C96" w:rsidRPr="00770F9D">
        <w:rPr>
          <w:rFonts w:ascii="Garamond" w:hAnsi="Garamond" w:cstheme="majorBidi"/>
          <w:color w:val="0D0D0D" w:themeColor="text1" w:themeTint="F2"/>
        </w:rPr>
        <w:t>digjital</w:t>
      </w:r>
      <w:r w:rsidRPr="00770F9D">
        <w:rPr>
          <w:rFonts w:ascii="Garamond" w:hAnsi="Garamond" w:cstheme="majorBidi"/>
          <w:color w:val="0D0D0D" w:themeColor="text1" w:themeTint="F2"/>
        </w:rPr>
        <w:t>, kërkim, zhvillim dhe inovacion</w:t>
      </w:r>
      <w:r w:rsidR="003F46E1" w:rsidRPr="00770F9D">
        <w:rPr>
          <w:rFonts w:ascii="Garamond" w:hAnsi="Garamond" w:cstheme="majorBidi"/>
          <w:color w:val="0D0D0D" w:themeColor="text1" w:themeTint="F2"/>
        </w:rPr>
        <w:t xml:space="preserve"> </w:t>
      </w:r>
    </w:p>
    <w:p w14:paraId="59266CB3" w14:textId="02AD3EB5" w:rsidR="00111599" w:rsidRPr="00770F9D" w:rsidRDefault="00111599" w:rsidP="001C370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5.2.4 Mjedisi i biznesit dhe reduktimi i ekonomisë informale </w:t>
      </w:r>
    </w:p>
    <w:p w14:paraId="3224FBC0" w14:textId="4B4B52C9" w:rsidR="00111599" w:rsidRPr="00770F9D" w:rsidRDefault="00111599" w:rsidP="001C370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5.2.5 Reformat e integrimit ekonomik </w:t>
      </w:r>
    </w:p>
    <w:p w14:paraId="4FDABDBB" w14:textId="23B3C93B" w:rsidR="00111599" w:rsidRPr="00770F9D" w:rsidRDefault="00111599" w:rsidP="001C370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5.2.6 Reformat e tregut të energjisë </w:t>
      </w:r>
    </w:p>
    <w:p w14:paraId="15AD85A1" w14:textId="433BAF9B" w:rsidR="00111599" w:rsidRPr="00770F9D" w:rsidRDefault="00111599" w:rsidP="001C370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5.2.7 Reformat e tregut të transportit </w:t>
      </w:r>
    </w:p>
    <w:p w14:paraId="3CEC2B09" w14:textId="63CC989C" w:rsidR="00111599" w:rsidRPr="00770F9D" w:rsidRDefault="00111599" w:rsidP="001C370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5.2.8 Bujqësia, industria dhe shërbimet </w:t>
      </w:r>
    </w:p>
    <w:p w14:paraId="4B3BBEED" w14:textId="3B078791" w:rsidR="00111599" w:rsidRPr="00770F9D" w:rsidRDefault="00111599" w:rsidP="001C370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5.2.9 Arsimimi dhe aftësitë </w:t>
      </w:r>
    </w:p>
    <w:p w14:paraId="4E186EF3" w14:textId="2AE898EC" w:rsidR="00111599" w:rsidRPr="00770F9D" w:rsidRDefault="00111599" w:rsidP="001C370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5.2.10 Punësimi dhe tregjet e punës </w:t>
      </w:r>
    </w:p>
    <w:p w14:paraId="1A654CDA" w14:textId="383F6802" w:rsidR="00111599" w:rsidRPr="00770F9D" w:rsidRDefault="00111599" w:rsidP="001C370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5.2.11 Kujdesi shëndetësor dhe mbrojtja sociale</w:t>
      </w:r>
      <w:r w:rsidR="00EE2F34" w:rsidRPr="00770F9D">
        <w:rPr>
          <w:rFonts w:ascii="Garamond" w:hAnsi="Garamond" w:cstheme="majorBidi"/>
          <w:color w:val="0D0D0D" w:themeColor="text1" w:themeTint="F2"/>
        </w:rPr>
        <w:t xml:space="preserve"> </w:t>
      </w:r>
    </w:p>
    <w:p w14:paraId="3B42023D" w14:textId="7385D922" w:rsidR="00111599" w:rsidRPr="00770F9D" w:rsidRDefault="00111599" w:rsidP="001C370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5.3 Përmbledhje e masave të reformës </w:t>
      </w:r>
    </w:p>
    <w:p w14:paraId="6E5CBD18" w14:textId="6C1713B4" w:rsidR="00111599" w:rsidRPr="00770F9D" w:rsidRDefault="00111599"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6. KOSTIMI DHE FINANCIMI I REFORMAVE STRUKTURORE </w:t>
      </w:r>
    </w:p>
    <w:p w14:paraId="76CF20E0" w14:textId="4C5BCBC4" w:rsidR="00111599" w:rsidRPr="00770F9D" w:rsidRDefault="00111599" w:rsidP="003F46E1">
      <w:pPr>
        <w:snapToGrid w:val="0"/>
        <w:ind w:firstLine="284"/>
        <w:jc w:val="both"/>
        <w:rPr>
          <w:rFonts w:ascii="Garamond" w:hAnsi="Garamond" w:cstheme="majorBidi"/>
          <w:color w:val="0D0D0D" w:themeColor="text1" w:themeTint="F2"/>
          <w:szCs w:val="22"/>
        </w:rPr>
      </w:pPr>
      <w:r w:rsidRPr="00770F9D">
        <w:rPr>
          <w:rFonts w:ascii="Garamond" w:hAnsi="Garamond" w:cstheme="majorBidi"/>
          <w:color w:val="0D0D0D" w:themeColor="text1" w:themeTint="F2"/>
          <w:szCs w:val="22"/>
        </w:rPr>
        <w:t xml:space="preserve">7. ÇËSHTJET INSTITUCIONALE DHE PËRFSHIRJA E GRUPEVE TË INTERESIT </w:t>
      </w:r>
    </w:p>
    <w:p w14:paraId="032D2598" w14:textId="6B2B96E8" w:rsidR="00111599" w:rsidRPr="00770F9D" w:rsidRDefault="00111599"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SHTOJCA I </w:t>
      </w:r>
    </w:p>
    <w:p w14:paraId="5D942A2B" w14:textId="77777777" w:rsidR="003F4C96" w:rsidRPr="00770F9D" w:rsidRDefault="003F4C96" w:rsidP="003F46E1">
      <w:pPr>
        <w:pStyle w:val="Heading1"/>
        <w:ind w:left="0" w:firstLine="284"/>
        <w:jc w:val="both"/>
        <w:rPr>
          <w:rFonts w:ascii="Garamond" w:hAnsi="Garamond"/>
          <w:b w:val="0"/>
          <w:bCs w:val="0"/>
          <w:color w:val="0D0D0D"/>
        </w:rPr>
      </w:pPr>
      <w:bookmarkStart w:id="1" w:name="_Toc62805572"/>
      <w:bookmarkStart w:id="2" w:name="_Toc484076168"/>
      <w:bookmarkStart w:id="3" w:name="_Toc62805577"/>
    </w:p>
    <w:p w14:paraId="1FFD9E99" w14:textId="6F4330FD" w:rsidR="00EE2F34" w:rsidRPr="00770F9D" w:rsidRDefault="00EE2F34" w:rsidP="003F46E1">
      <w:pPr>
        <w:pStyle w:val="Heading1"/>
        <w:ind w:left="0" w:firstLine="284"/>
        <w:jc w:val="both"/>
        <w:rPr>
          <w:rFonts w:ascii="Garamond" w:hAnsi="Garamond"/>
          <w:b w:val="0"/>
          <w:bCs w:val="0"/>
          <w:color w:val="0D0D0D"/>
        </w:rPr>
      </w:pPr>
      <w:r w:rsidRPr="00770F9D">
        <w:rPr>
          <w:rFonts w:ascii="Garamond" w:hAnsi="Garamond"/>
          <w:b w:val="0"/>
          <w:bCs w:val="0"/>
          <w:color w:val="0D0D0D"/>
        </w:rPr>
        <w:t>1. KUADRI I PËRGJITHSHËM POLITIK DHE OBJEKTIVAT</w:t>
      </w:r>
    </w:p>
    <w:p w14:paraId="02C10D2E" w14:textId="34AA1F33" w:rsidR="00EE2F34" w:rsidRPr="00770F9D" w:rsidRDefault="00EE2F34" w:rsidP="003F46E1">
      <w:pPr>
        <w:ind w:firstLine="284"/>
        <w:jc w:val="both"/>
        <w:rPr>
          <w:rFonts w:ascii="Garamond" w:hAnsi="Garamond"/>
          <w:color w:val="0D0D0D"/>
        </w:rPr>
      </w:pPr>
      <w:r w:rsidRPr="00770F9D">
        <w:rPr>
          <w:rFonts w:ascii="Garamond" w:hAnsi="Garamond"/>
          <w:color w:val="0D0D0D"/>
        </w:rPr>
        <w:t>Hartimi dhe përgatitja e Programit të Reformave Ekonomike (ERP) 2023</w:t>
      </w:r>
      <w:r w:rsidR="001C3701" w:rsidRPr="00770F9D">
        <w:rPr>
          <w:rFonts w:ascii="Garamond" w:hAnsi="Garamond"/>
          <w:color w:val="0D0D0D"/>
        </w:rPr>
        <w:t>–</w:t>
      </w:r>
      <w:r w:rsidRPr="00770F9D">
        <w:rPr>
          <w:rFonts w:ascii="Garamond" w:hAnsi="Garamond"/>
          <w:color w:val="0D0D0D"/>
        </w:rPr>
        <w:t xml:space="preserve">2025 u realizua nën drejtimin e përgjithshëm të Koordinatorit Kombëtar të ERP-së, përmes bashkëpunimit </w:t>
      </w:r>
      <w:r w:rsidRPr="00770F9D">
        <w:rPr>
          <w:rFonts w:ascii="Garamond" w:hAnsi="Garamond"/>
          <w:color w:val="0D0D0D"/>
        </w:rPr>
        <w:lastRenderedPageBreak/>
        <w:t>ndërinstitucional midis Ministrisë së Financave dhe Ekonomisë dhe ministrive të linjës, Bankës së Shqipërisë dhe INSTAT</w:t>
      </w:r>
      <w:r w:rsidR="00437A32" w:rsidRPr="00770F9D">
        <w:rPr>
          <w:rFonts w:ascii="Garamond" w:hAnsi="Garamond"/>
          <w:color w:val="0D0D0D"/>
        </w:rPr>
        <w:t>-it</w:t>
      </w:r>
      <w:r w:rsidRPr="00770F9D">
        <w:rPr>
          <w:rFonts w:ascii="Garamond" w:hAnsi="Garamond"/>
          <w:color w:val="0D0D0D"/>
        </w:rPr>
        <w:t>.</w:t>
      </w:r>
    </w:p>
    <w:p w14:paraId="3CE5D080" w14:textId="1428A819" w:rsidR="00EE2F34" w:rsidRPr="00770F9D" w:rsidRDefault="00EE2F34" w:rsidP="003F46E1">
      <w:pPr>
        <w:ind w:firstLine="284"/>
        <w:jc w:val="both"/>
        <w:rPr>
          <w:rFonts w:ascii="Garamond" w:hAnsi="Garamond"/>
          <w:color w:val="0D0D0D"/>
        </w:rPr>
      </w:pPr>
      <w:r w:rsidRPr="00770F9D">
        <w:rPr>
          <w:rFonts w:ascii="Garamond" w:hAnsi="Garamond"/>
          <w:color w:val="0D0D0D"/>
        </w:rPr>
        <w:t xml:space="preserve">Programi i Reformave Ekonomike </w:t>
      </w:r>
      <w:r w:rsidR="003F4C96" w:rsidRPr="00770F9D">
        <w:rPr>
          <w:rFonts w:ascii="Garamond" w:hAnsi="Garamond"/>
          <w:color w:val="0D0D0D"/>
        </w:rPr>
        <w:t>2023–2025</w:t>
      </w:r>
      <w:r w:rsidRPr="00770F9D">
        <w:rPr>
          <w:rFonts w:ascii="Garamond" w:hAnsi="Garamond"/>
          <w:color w:val="0D0D0D"/>
        </w:rPr>
        <w:t xml:space="preserve"> paraqet politikat kryesore makroekonomike dhe fiskale</w:t>
      </w:r>
      <w:r w:rsidR="00310A62" w:rsidRPr="00770F9D">
        <w:rPr>
          <w:rFonts w:ascii="Garamond" w:hAnsi="Garamond"/>
          <w:color w:val="0D0D0D"/>
        </w:rPr>
        <w:t>,</w:t>
      </w:r>
      <w:r w:rsidRPr="00770F9D">
        <w:rPr>
          <w:rFonts w:ascii="Garamond" w:hAnsi="Garamond"/>
          <w:color w:val="0D0D0D"/>
        </w:rPr>
        <w:t xml:space="preserve"> që synojnë të vendosin një ekuilibër të qartë midis forcave të brendshme dhe kërcënimeve të jashtme, me qëllim që të mundësojnë zhvillim të qëndrueshëm, rritje të punësimit dhe uljen e borxhit publik. Për më tepër, ERP</w:t>
      </w:r>
      <w:r w:rsidR="00310A62" w:rsidRPr="00770F9D">
        <w:rPr>
          <w:rFonts w:ascii="Garamond" w:hAnsi="Garamond"/>
          <w:color w:val="0D0D0D"/>
        </w:rPr>
        <w:t>-ja</w:t>
      </w:r>
      <w:r w:rsidRPr="00770F9D">
        <w:rPr>
          <w:rFonts w:ascii="Garamond" w:hAnsi="Garamond"/>
          <w:color w:val="0D0D0D"/>
        </w:rPr>
        <w:t xml:space="preserve"> përmbledh masat e reformave prioritare të Qeverisë së Shqipërisë për periudhën afatshkurtër me qëllim rritjen e prodhimit </w:t>
      </w:r>
      <w:r w:rsidR="002A4878" w:rsidRPr="00770F9D">
        <w:rPr>
          <w:rFonts w:ascii="Garamond" w:hAnsi="Garamond"/>
          <w:color w:val="0D0D0D"/>
        </w:rPr>
        <w:t>vendës</w:t>
      </w:r>
      <w:r w:rsidRPr="00770F9D">
        <w:rPr>
          <w:rFonts w:ascii="Garamond" w:hAnsi="Garamond"/>
          <w:color w:val="0D0D0D"/>
        </w:rPr>
        <w:t>, nxitjen e investimeve të reja dhe sigurimin e një zhvillimi të qëndrueshme dhe rritjen e konkurrueshmërisë.</w:t>
      </w:r>
      <w:r w:rsidR="003B1F90" w:rsidRPr="00770F9D">
        <w:rPr>
          <w:rFonts w:ascii="Garamond" w:hAnsi="Garamond"/>
          <w:color w:val="0D0D0D"/>
        </w:rPr>
        <w:t xml:space="preserve"> </w:t>
      </w:r>
      <w:r w:rsidRPr="00770F9D">
        <w:rPr>
          <w:rFonts w:ascii="Garamond" w:hAnsi="Garamond"/>
          <w:color w:val="0D0D0D"/>
        </w:rPr>
        <w:t>Qëllimi kryesor i kësaj qasje</w:t>
      </w:r>
      <w:r w:rsidR="002A4878" w:rsidRPr="00770F9D">
        <w:rPr>
          <w:rFonts w:ascii="Garamond" w:hAnsi="Garamond"/>
          <w:color w:val="0D0D0D"/>
        </w:rPr>
        <w:t>je</w:t>
      </w:r>
      <w:r w:rsidRPr="00770F9D">
        <w:rPr>
          <w:rFonts w:ascii="Garamond" w:hAnsi="Garamond"/>
          <w:color w:val="0D0D0D"/>
        </w:rPr>
        <w:t xml:space="preserve"> është të sigurojë një përfaqësim të vazhdueshëm të atyre reformave që janë ende në zbatim, duke siguruar kështu qëndrueshmëri në </w:t>
      </w:r>
      <w:r w:rsidR="003B1F90" w:rsidRPr="00770F9D">
        <w:rPr>
          <w:rFonts w:ascii="Garamond" w:hAnsi="Garamond"/>
          <w:color w:val="0D0D0D"/>
        </w:rPr>
        <w:t>agjend</w:t>
      </w:r>
      <w:r w:rsidRPr="00770F9D">
        <w:rPr>
          <w:rFonts w:ascii="Garamond" w:hAnsi="Garamond"/>
          <w:color w:val="0D0D0D"/>
        </w:rPr>
        <w:t>ën e reformës prioritare.</w:t>
      </w:r>
    </w:p>
    <w:p w14:paraId="6168D939" w14:textId="77777777" w:rsidR="00EE2F34" w:rsidRPr="00770F9D" w:rsidRDefault="00EE2F34" w:rsidP="003F46E1">
      <w:pPr>
        <w:ind w:firstLine="284"/>
        <w:jc w:val="both"/>
        <w:rPr>
          <w:rFonts w:ascii="Garamond" w:hAnsi="Garamond"/>
          <w:color w:val="0D0D0D"/>
        </w:rPr>
      </w:pPr>
      <w:r w:rsidRPr="00770F9D">
        <w:rPr>
          <w:rFonts w:ascii="Garamond" w:hAnsi="Garamond"/>
          <w:color w:val="0D0D0D"/>
        </w:rPr>
        <w:t>Konsolidimi fiskal vijon të jetë objektivi themelor i politikës fiskale, në funksion të drejtpërdrejtë të sigurimit të stabilitetit makroekonomik të vendit, si një premisë thelbësore për sigurimin e një rritje ekonomike të qëndrueshme e gjithëpërfshirëse.</w:t>
      </w:r>
    </w:p>
    <w:p w14:paraId="6E9EC3F8" w14:textId="6D2DAE43" w:rsidR="00EE2F34" w:rsidRPr="00770F9D" w:rsidRDefault="00EE2F34" w:rsidP="003F46E1">
      <w:pPr>
        <w:ind w:firstLine="284"/>
        <w:jc w:val="both"/>
        <w:rPr>
          <w:rFonts w:ascii="Garamond" w:hAnsi="Garamond"/>
          <w:color w:val="0D0D0D"/>
        </w:rPr>
      </w:pPr>
      <w:r w:rsidRPr="00770F9D">
        <w:rPr>
          <w:rFonts w:ascii="Garamond" w:hAnsi="Garamond"/>
          <w:color w:val="0D0D0D"/>
        </w:rPr>
        <w:t>Politika fiskale do targetojë një trajektore rënëse të borxhit publik, pra një trajektore rënëse graduale</w:t>
      </w:r>
      <w:r w:rsidR="00AD77B7" w:rsidRPr="00770F9D">
        <w:rPr>
          <w:rFonts w:ascii="Garamond" w:hAnsi="Garamond"/>
          <w:color w:val="0D0D0D"/>
        </w:rPr>
        <w:t>,</w:t>
      </w:r>
      <w:r w:rsidRPr="00770F9D">
        <w:rPr>
          <w:rFonts w:ascii="Garamond" w:hAnsi="Garamond"/>
          <w:color w:val="0D0D0D"/>
        </w:rPr>
        <w:t xml:space="preserve"> por e përvitshme, ndërsa balanca primare do të rikthehet në nivel pozitiv që prej vitit të ardhshëm 2023 dhe do të vijojë e tillë në vijim, në përputhje edhe me rregullat fiskalë në LOB.</w:t>
      </w:r>
    </w:p>
    <w:p w14:paraId="7B56DBEC" w14:textId="23EAE221" w:rsidR="00EE2F34" w:rsidRPr="00770F9D" w:rsidRDefault="00EE2F34" w:rsidP="003F46E1">
      <w:pPr>
        <w:ind w:firstLine="284"/>
        <w:jc w:val="both"/>
        <w:rPr>
          <w:rFonts w:ascii="Garamond" w:hAnsi="Garamond"/>
          <w:color w:val="0D0D0D"/>
        </w:rPr>
      </w:pPr>
      <w:r w:rsidRPr="00770F9D">
        <w:rPr>
          <w:rFonts w:ascii="Garamond" w:hAnsi="Garamond"/>
          <w:color w:val="0D0D0D"/>
        </w:rPr>
        <w:t xml:space="preserve">Në të njëjtën kohë, krahas konsolidimit fiskal, do </w:t>
      </w:r>
      <w:r w:rsidR="00AD77B7" w:rsidRPr="00770F9D">
        <w:rPr>
          <w:rFonts w:ascii="Garamond" w:hAnsi="Garamond"/>
          <w:color w:val="0D0D0D"/>
        </w:rPr>
        <w:t xml:space="preserve">të </w:t>
      </w:r>
      <w:r w:rsidRPr="00770F9D">
        <w:rPr>
          <w:rFonts w:ascii="Garamond" w:hAnsi="Garamond"/>
          <w:color w:val="0D0D0D"/>
        </w:rPr>
        <w:t xml:space="preserve">synojmë që të ruajmë një raport të shëndetshëm të shpenzimeve buxhetore korrente dhe kapitale, ku shpenzimet kapitale (pra, investimet publike) do targetohen të jenë rreth 5 </w:t>
      </w:r>
      <w:r w:rsidR="00623F19" w:rsidRPr="00770F9D">
        <w:rPr>
          <w:rFonts w:ascii="Garamond" w:hAnsi="Garamond"/>
          <w:color w:val="0D0D0D"/>
        </w:rPr>
        <w:t>për qind</w:t>
      </w:r>
      <w:r w:rsidRPr="00770F9D">
        <w:rPr>
          <w:rFonts w:ascii="Garamond" w:hAnsi="Garamond"/>
          <w:color w:val="0D0D0D"/>
        </w:rPr>
        <w:t xml:space="preserve"> e PBB në çdo vit buxhetor.</w:t>
      </w:r>
    </w:p>
    <w:p w14:paraId="0620DCF9" w14:textId="07E56BE4" w:rsidR="00EE2F34" w:rsidRPr="00770F9D" w:rsidRDefault="00EE2F34" w:rsidP="002B4321">
      <w:pPr>
        <w:ind w:firstLine="284"/>
        <w:jc w:val="both"/>
        <w:rPr>
          <w:rFonts w:ascii="Garamond" w:hAnsi="Garamond"/>
          <w:color w:val="0D0D0D"/>
        </w:rPr>
      </w:pPr>
      <w:r w:rsidRPr="00770F9D">
        <w:rPr>
          <w:rFonts w:ascii="Garamond" w:hAnsi="Garamond"/>
          <w:color w:val="0D0D0D"/>
        </w:rPr>
        <w:t>Defi</w:t>
      </w:r>
      <w:r w:rsidR="00CA7113" w:rsidRPr="00770F9D">
        <w:rPr>
          <w:rFonts w:ascii="Garamond" w:hAnsi="Garamond"/>
          <w:color w:val="0D0D0D"/>
        </w:rPr>
        <w:t>ci</w:t>
      </w:r>
      <w:r w:rsidRPr="00770F9D">
        <w:rPr>
          <w:rFonts w:ascii="Garamond" w:hAnsi="Garamond"/>
          <w:color w:val="0D0D0D"/>
        </w:rPr>
        <w:t xml:space="preserve">ti buxhetor për vitin 2023 planifikohet të jetë në nivelin 2.6 </w:t>
      </w:r>
      <w:r w:rsidR="00623F19" w:rsidRPr="00770F9D">
        <w:rPr>
          <w:rFonts w:ascii="Garamond" w:hAnsi="Garamond"/>
          <w:color w:val="0D0D0D"/>
        </w:rPr>
        <w:t>për qind</w:t>
      </w:r>
      <w:r w:rsidRPr="00770F9D">
        <w:rPr>
          <w:rFonts w:ascii="Garamond" w:hAnsi="Garamond"/>
          <w:color w:val="0D0D0D"/>
        </w:rPr>
        <w:t xml:space="preserve"> të PBB</w:t>
      </w:r>
      <w:r w:rsidR="002B4321" w:rsidRPr="00770F9D">
        <w:rPr>
          <w:rFonts w:ascii="Garamond" w:hAnsi="Garamond"/>
          <w:color w:val="0D0D0D"/>
        </w:rPr>
        <w:t>-së</w:t>
      </w:r>
      <w:r w:rsidRPr="00770F9D">
        <w:rPr>
          <w:rFonts w:ascii="Garamond" w:hAnsi="Garamond"/>
          <w:color w:val="0D0D0D"/>
        </w:rPr>
        <w:t xml:space="preserve"> nga rreth 3.2 </w:t>
      </w:r>
      <w:r w:rsidR="00623F19" w:rsidRPr="00770F9D">
        <w:rPr>
          <w:rFonts w:ascii="Garamond" w:hAnsi="Garamond"/>
          <w:color w:val="0D0D0D"/>
        </w:rPr>
        <w:t>për qind</w:t>
      </w:r>
      <w:r w:rsidRPr="00770F9D">
        <w:rPr>
          <w:rFonts w:ascii="Garamond" w:hAnsi="Garamond"/>
          <w:color w:val="0D0D0D"/>
        </w:rPr>
        <w:t xml:space="preserve"> i pritshëm për vitin 2022. Balanca primare pritet të jetë pozitive në rreth 0.3 </w:t>
      </w:r>
      <w:r w:rsidR="00623F19" w:rsidRPr="00770F9D">
        <w:rPr>
          <w:rFonts w:ascii="Garamond" w:hAnsi="Garamond"/>
          <w:color w:val="0D0D0D"/>
        </w:rPr>
        <w:t>për qind</w:t>
      </w:r>
      <w:r w:rsidRPr="00770F9D">
        <w:rPr>
          <w:rFonts w:ascii="Garamond" w:hAnsi="Garamond"/>
          <w:color w:val="0D0D0D"/>
        </w:rPr>
        <w:t xml:space="preserve">, në një përmirësim të qenësishëm nga niveli negativ prej rreth -1.2 </w:t>
      </w:r>
      <w:r w:rsidR="00623F19" w:rsidRPr="00770F9D">
        <w:rPr>
          <w:rFonts w:ascii="Garamond" w:hAnsi="Garamond"/>
          <w:color w:val="0D0D0D"/>
        </w:rPr>
        <w:t>për qind</w:t>
      </w:r>
      <w:r w:rsidRPr="00770F9D">
        <w:rPr>
          <w:rFonts w:ascii="Garamond" w:hAnsi="Garamond"/>
          <w:color w:val="0D0D0D"/>
        </w:rPr>
        <w:t xml:space="preserve"> që pritet për vitin 2022. </w:t>
      </w:r>
    </w:p>
    <w:p w14:paraId="218778A9" w14:textId="1CF135FA" w:rsidR="00EE2F34" w:rsidRPr="00770F9D" w:rsidRDefault="00EE2F34" w:rsidP="003F46E1">
      <w:pPr>
        <w:ind w:firstLine="284"/>
        <w:jc w:val="both"/>
        <w:rPr>
          <w:rFonts w:ascii="Garamond" w:hAnsi="Garamond"/>
          <w:color w:val="0D0D0D"/>
        </w:rPr>
      </w:pPr>
      <w:r w:rsidRPr="00770F9D">
        <w:rPr>
          <w:rFonts w:ascii="Garamond" w:hAnsi="Garamond"/>
          <w:color w:val="0D0D0D"/>
        </w:rPr>
        <w:t xml:space="preserve">Balanca korrente fiskale (diferenca midis investime publike dhe deficit fiskal) do të jetë pozitive në vitin e ardhshëm 2023, në nivelin prej 3.1 </w:t>
      </w:r>
      <w:r w:rsidR="00623F19" w:rsidRPr="00770F9D">
        <w:rPr>
          <w:rFonts w:ascii="Garamond" w:hAnsi="Garamond"/>
          <w:color w:val="0D0D0D"/>
        </w:rPr>
        <w:t>për qind</w:t>
      </w:r>
      <w:r w:rsidRPr="00770F9D">
        <w:rPr>
          <w:rFonts w:ascii="Garamond" w:hAnsi="Garamond"/>
          <w:color w:val="0D0D0D"/>
        </w:rPr>
        <w:t xml:space="preserve"> të PBB nga një nivel i pritshëm përsëri pozitiv prej 2.4 </w:t>
      </w:r>
      <w:r w:rsidR="00623F19" w:rsidRPr="00770F9D">
        <w:rPr>
          <w:rFonts w:ascii="Garamond" w:hAnsi="Garamond"/>
          <w:color w:val="0D0D0D"/>
        </w:rPr>
        <w:t>për qind</w:t>
      </w:r>
      <w:r w:rsidRPr="00770F9D">
        <w:rPr>
          <w:rFonts w:ascii="Garamond" w:hAnsi="Garamond"/>
          <w:color w:val="0D0D0D"/>
        </w:rPr>
        <w:t xml:space="preserve"> këtë vit (2022), në përputhje kjo me rregullin respektiv fiskal (“rregull</w:t>
      </w:r>
      <w:r w:rsidR="008E4102" w:rsidRPr="00770F9D">
        <w:rPr>
          <w:rFonts w:ascii="Garamond" w:hAnsi="Garamond"/>
          <w:color w:val="0D0D0D"/>
        </w:rPr>
        <w:t>a</w:t>
      </w:r>
      <w:r w:rsidRPr="00770F9D">
        <w:rPr>
          <w:rFonts w:ascii="Garamond" w:hAnsi="Garamond"/>
          <w:color w:val="0D0D0D"/>
        </w:rPr>
        <w:t xml:space="preserve"> </w:t>
      </w:r>
      <w:r w:rsidRPr="000F4E5B">
        <w:rPr>
          <w:rFonts w:ascii="Garamond" w:hAnsi="Garamond"/>
          <w:color w:val="0D0D0D"/>
        </w:rPr>
        <w:t>e artë”</w:t>
      </w:r>
      <w:r w:rsidRPr="00770F9D">
        <w:rPr>
          <w:rFonts w:ascii="Garamond" w:hAnsi="Garamond"/>
          <w:color w:val="0D0D0D"/>
        </w:rPr>
        <w:t xml:space="preserve"> </w:t>
      </w:r>
      <w:r w:rsidR="008E4102" w:rsidRPr="00770F9D">
        <w:rPr>
          <w:rFonts w:ascii="Garamond" w:hAnsi="Garamond"/>
          <w:color w:val="0D0D0D"/>
        </w:rPr>
        <w:t>e</w:t>
      </w:r>
      <w:r w:rsidRPr="00770F9D">
        <w:rPr>
          <w:rFonts w:ascii="Garamond" w:hAnsi="Garamond"/>
          <w:color w:val="0D0D0D"/>
        </w:rPr>
        <w:t xml:space="preserve"> buxhetit).</w:t>
      </w:r>
    </w:p>
    <w:p w14:paraId="7C08807B" w14:textId="2CD14060" w:rsidR="00EE2F34" w:rsidRPr="00770F9D" w:rsidRDefault="00EE2F34" w:rsidP="003F46E1">
      <w:pPr>
        <w:ind w:firstLine="284"/>
        <w:jc w:val="both"/>
        <w:rPr>
          <w:rFonts w:ascii="Garamond" w:hAnsi="Garamond"/>
          <w:color w:val="0D0D0D"/>
        </w:rPr>
      </w:pPr>
      <w:r w:rsidRPr="00770F9D">
        <w:rPr>
          <w:rFonts w:ascii="Garamond" w:hAnsi="Garamond"/>
          <w:color w:val="0D0D0D"/>
        </w:rPr>
        <w:t xml:space="preserve">Për periudhën afatmesme </w:t>
      </w:r>
      <w:r w:rsidR="003F4C96" w:rsidRPr="00770F9D">
        <w:rPr>
          <w:rFonts w:ascii="Garamond" w:hAnsi="Garamond"/>
          <w:color w:val="0D0D0D"/>
        </w:rPr>
        <w:t>2023–2025</w:t>
      </w:r>
      <w:r w:rsidRPr="00770F9D">
        <w:rPr>
          <w:rFonts w:ascii="Garamond" w:hAnsi="Garamond"/>
          <w:color w:val="0D0D0D"/>
        </w:rPr>
        <w:t xml:space="preserve">, deficiti buxhetor parashikohet mesatarisht në rreth 2.3 </w:t>
      </w:r>
      <w:r w:rsidR="00623F19" w:rsidRPr="00770F9D">
        <w:rPr>
          <w:rFonts w:ascii="Garamond" w:hAnsi="Garamond"/>
          <w:color w:val="0D0D0D"/>
        </w:rPr>
        <w:t>për qind</w:t>
      </w:r>
      <w:r w:rsidRPr="00770F9D">
        <w:rPr>
          <w:rFonts w:ascii="Garamond" w:hAnsi="Garamond"/>
          <w:color w:val="0D0D0D"/>
        </w:rPr>
        <w:t xml:space="preserve"> në vit. Më konkretisht bilanci i përgjithshëm fiskal synohet në -2.6 </w:t>
      </w:r>
      <w:r w:rsidR="00623F19" w:rsidRPr="00770F9D">
        <w:rPr>
          <w:rFonts w:ascii="Garamond" w:hAnsi="Garamond"/>
          <w:color w:val="0D0D0D"/>
        </w:rPr>
        <w:t>për qind</w:t>
      </w:r>
      <w:r w:rsidRPr="00770F9D">
        <w:rPr>
          <w:rFonts w:ascii="Garamond" w:hAnsi="Garamond"/>
          <w:color w:val="0D0D0D"/>
        </w:rPr>
        <w:t xml:space="preserve"> për 2023, dhe</w:t>
      </w:r>
      <w:r w:rsidR="000601EA" w:rsidRPr="00770F9D">
        <w:rPr>
          <w:rFonts w:ascii="Garamond" w:hAnsi="Garamond"/>
          <w:color w:val="0D0D0D"/>
        </w:rPr>
        <w:t xml:space="preserve"> </w:t>
      </w:r>
      <w:r w:rsidRPr="00770F9D">
        <w:rPr>
          <w:rFonts w:ascii="Garamond" w:hAnsi="Garamond"/>
          <w:color w:val="0D0D0D"/>
        </w:rPr>
        <w:t xml:space="preserve">-2.2 </w:t>
      </w:r>
      <w:r w:rsidR="00623F19" w:rsidRPr="00770F9D">
        <w:rPr>
          <w:rFonts w:ascii="Garamond" w:hAnsi="Garamond"/>
          <w:color w:val="0D0D0D"/>
        </w:rPr>
        <w:t>për qind</w:t>
      </w:r>
      <w:r w:rsidRPr="00770F9D">
        <w:rPr>
          <w:rFonts w:ascii="Garamond" w:hAnsi="Garamond"/>
          <w:color w:val="0D0D0D"/>
        </w:rPr>
        <w:t xml:space="preserve"> për 2024 dhe 2025. </w:t>
      </w:r>
    </w:p>
    <w:p w14:paraId="4A08E18D" w14:textId="14117615" w:rsidR="00EE2F34" w:rsidRPr="00770F9D" w:rsidRDefault="00EE2F34" w:rsidP="000601EA">
      <w:pPr>
        <w:ind w:firstLine="284"/>
        <w:jc w:val="both"/>
        <w:rPr>
          <w:rFonts w:ascii="Garamond" w:hAnsi="Garamond"/>
          <w:color w:val="0D0D0D"/>
        </w:rPr>
      </w:pPr>
      <w:r w:rsidRPr="00770F9D">
        <w:rPr>
          <w:rFonts w:ascii="Garamond" w:hAnsi="Garamond"/>
          <w:color w:val="0D0D0D"/>
        </w:rPr>
        <w:t xml:space="preserve">Balanca primare parashikohet mesatarisht në rreth 0.8 </w:t>
      </w:r>
      <w:r w:rsidR="00623F19" w:rsidRPr="00770F9D">
        <w:rPr>
          <w:rFonts w:ascii="Garamond" w:hAnsi="Garamond"/>
          <w:color w:val="0D0D0D"/>
        </w:rPr>
        <w:t>për qind</w:t>
      </w:r>
      <w:r w:rsidRPr="00770F9D">
        <w:rPr>
          <w:rFonts w:ascii="Garamond" w:hAnsi="Garamond"/>
          <w:color w:val="0D0D0D"/>
        </w:rPr>
        <w:t xml:space="preserve"> në vit gjatë periudhës afatmesme vijuese </w:t>
      </w:r>
      <w:r w:rsidR="003F4C96" w:rsidRPr="00770F9D">
        <w:rPr>
          <w:rFonts w:ascii="Garamond" w:hAnsi="Garamond"/>
          <w:color w:val="0D0D0D"/>
        </w:rPr>
        <w:t>2023–2025</w:t>
      </w:r>
      <w:r w:rsidRPr="00770F9D">
        <w:rPr>
          <w:rFonts w:ascii="Garamond" w:hAnsi="Garamond"/>
          <w:color w:val="0D0D0D"/>
        </w:rPr>
        <w:t xml:space="preserve">. Balanca primare do të rikthehet në nivel pozitiv (suficit primar) që prej vitit 2023 e në vijim. Ndërkohë që, duke filluar prej vitit buxhetor 2024 e në vijim ky target do të jetë edhe ligjërisht i detyrueshëm, ku në LOB përcaktohet që duke filluar nga viti buxhetor 2024 e për çdo vit në vijim balanca primare të rezultojë jo më e vogël se sa zero (pra së paku e balancuar ose pozitive). Në vitin 2023, bilanci primar është projektuar në rreth 0.3 </w:t>
      </w:r>
      <w:r w:rsidR="00623F19" w:rsidRPr="00770F9D">
        <w:rPr>
          <w:rFonts w:ascii="Garamond" w:hAnsi="Garamond"/>
          <w:color w:val="0D0D0D"/>
        </w:rPr>
        <w:t>për qind</w:t>
      </w:r>
      <w:r w:rsidRPr="00770F9D">
        <w:rPr>
          <w:rFonts w:ascii="Garamond" w:hAnsi="Garamond"/>
          <w:color w:val="0D0D0D"/>
        </w:rPr>
        <w:t xml:space="preserve"> të PBB-së dhe të vazhdojë të zgjerohet më tej në normën prej 0.9 </w:t>
      </w:r>
      <w:r w:rsidR="000601EA" w:rsidRPr="00770F9D">
        <w:rPr>
          <w:rFonts w:ascii="Garamond" w:hAnsi="Garamond"/>
          <w:color w:val="0D0D0D"/>
        </w:rPr>
        <w:t>për</w:t>
      </w:r>
      <w:r w:rsidR="00623F19" w:rsidRPr="00770F9D">
        <w:rPr>
          <w:rFonts w:ascii="Garamond" w:hAnsi="Garamond"/>
          <w:color w:val="0D0D0D"/>
        </w:rPr>
        <w:t>qind</w:t>
      </w:r>
      <w:r w:rsidR="000601EA" w:rsidRPr="00770F9D">
        <w:rPr>
          <w:rFonts w:ascii="Garamond" w:hAnsi="Garamond"/>
          <w:color w:val="0D0D0D"/>
        </w:rPr>
        <w:t>ësh</w:t>
      </w:r>
      <w:r w:rsidRPr="00770F9D">
        <w:rPr>
          <w:rFonts w:ascii="Garamond" w:hAnsi="Garamond"/>
          <w:color w:val="0D0D0D"/>
        </w:rPr>
        <w:t xml:space="preserve"> në vitin 2024 dhe në 1.2 </w:t>
      </w:r>
      <w:r w:rsidR="00623F19" w:rsidRPr="00770F9D">
        <w:rPr>
          <w:rFonts w:ascii="Garamond" w:hAnsi="Garamond"/>
          <w:color w:val="0D0D0D"/>
        </w:rPr>
        <w:t>për qind</w:t>
      </w:r>
      <w:r w:rsidRPr="00770F9D">
        <w:rPr>
          <w:rFonts w:ascii="Garamond" w:hAnsi="Garamond"/>
          <w:color w:val="0D0D0D"/>
        </w:rPr>
        <w:t xml:space="preserve"> në vitin 2025. Shpenzimet kapitale parashikohen përkatësisht në 5.7, 5.1 dhe 5.2 </w:t>
      </w:r>
      <w:r w:rsidR="00623F19" w:rsidRPr="00770F9D">
        <w:rPr>
          <w:rFonts w:ascii="Garamond" w:hAnsi="Garamond"/>
          <w:color w:val="0D0D0D"/>
        </w:rPr>
        <w:t>për qind</w:t>
      </w:r>
      <w:r w:rsidRPr="00770F9D">
        <w:rPr>
          <w:rFonts w:ascii="Garamond" w:hAnsi="Garamond"/>
          <w:color w:val="0D0D0D"/>
        </w:rPr>
        <w:t xml:space="preserve"> për vitet 2023, 2024 dhe 2025. Bilanci korrent fiskal synohet mesatarisht në rreth +3.0 </w:t>
      </w:r>
      <w:r w:rsidR="00623F19" w:rsidRPr="00770F9D">
        <w:rPr>
          <w:rFonts w:ascii="Garamond" w:hAnsi="Garamond"/>
          <w:color w:val="0D0D0D"/>
        </w:rPr>
        <w:t>për qind</w:t>
      </w:r>
      <w:r w:rsidRPr="00770F9D">
        <w:rPr>
          <w:rFonts w:ascii="Garamond" w:hAnsi="Garamond"/>
          <w:color w:val="0D0D0D"/>
        </w:rPr>
        <w:t xml:space="preserve"> në vit gjatë periudhës afatmesme </w:t>
      </w:r>
      <w:r w:rsidR="003F4C96" w:rsidRPr="00770F9D">
        <w:rPr>
          <w:rFonts w:ascii="Garamond" w:hAnsi="Garamond"/>
          <w:color w:val="0D0D0D"/>
        </w:rPr>
        <w:t>2023–2025</w:t>
      </w:r>
      <w:r w:rsidRPr="00770F9D">
        <w:rPr>
          <w:rFonts w:ascii="Garamond" w:hAnsi="Garamond"/>
          <w:color w:val="0D0D0D"/>
        </w:rPr>
        <w:t xml:space="preserve">. Më konkretisht, bilanci korrent fiskal është parashikuar përkatësisht në 3.1, 2.9 dhe 3.0 </w:t>
      </w:r>
      <w:r w:rsidR="00623F19" w:rsidRPr="00770F9D">
        <w:rPr>
          <w:rFonts w:ascii="Garamond" w:hAnsi="Garamond"/>
          <w:color w:val="0D0D0D"/>
        </w:rPr>
        <w:t>për qind</w:t>
      </w:r>
      <w:r w:rsidRPr="00770F9D">
        <w:rPr>
          <w:rFonts w:ascii="Garamond" w:hAnsi="Garamond"/>
          <w:color w:val="0D0D0D"/>
        </w:rPr>
        <w:t xml:space="preserve"> për vitet 2023, 2024 dhe 2025. </w:t>
      </w:r>
    </w:p>
    <w:p w14:paraId="1242F285" w14:textId="37AC64F0" w:rsidR="00EE2F34" w:rsidRPr="00770F9D" w:rsidRDefault="00EE2F34" w:rsidP="003F46E1">
      <w:pPr>
        <w:ind w:firstLine="284"/>
        <w:jc w:val="both"/>
        <w:rPr>
          <w:rFonts w:ascii="Garamond" w:hAnsi="Garamond"/>
          <w:color w:val="0D0D0D"/>
        </w:rPr>
      </w:pPr>
      <w:r w:rsidRPr="00770F9D">
        <w:rPr>
          <w:rFonts w:ascii="Garamond" w:hAnsi="Garamond"/>
          <w:color w:val="0D0D0D"/>
        </w:rPr>
        <w:t xml:space="preserve">Si rrjedhojë, borxhi publik ndaj PBB-së do të vazhdojë trajektoren rënëse të filluar që në vitin 2021, pas pandemisë, dhe në përputhje me rregullin fiskal përkatës. Në vitin 2022, borxhi publik pritet të bjerë në rreth 68.8 për qind të PBB-së nga rreth 73.2 për qind në vitin 2021 dhe pritet të vazhdojë të bjerë më tej në rreth 67.5 për qind në vitin 2023. Sipas skenarit bazë, borxhi publik pritet të bjerë në rreth 64.2 </w:t>
      </w:r>
      <w:r w:rsidR="00623F19" w:rsidRPr="00770F9D">
        <w:rPr>
          <w:rFonts w:ascii="Garamond" w:hAnsi="Garamond"/>
          <w:color w:val="0D0D0D"/>
        </w:rPr>
        <w:t>për qind</w:t>
      </w:r>
      <w:r w:rsidRPr="00770F9D">
        <w:rPr>
          <w:rFonts w:ascii="Garamond" w:hAnsi="Garamond"/>
          <w:color w:val="0D0D0D"/>
        </w:rPr>
        <w:t xml:space="preserve"> në vitin 2026 dhe më tej në rreth 54.9 </w:t>
      </w:r>
      <w:r w:rsidR="00623F19" w:rsidRPr="00770F9D">
        <w:rPr>
          <w:rFonts w:ascii="Garamond" w:hAnsi="Garamond"/>
          <w:color w:val="0D0D0D"/>
        </w:rPr>
        <w:t>për qind</w:t>
      </w:r>
      <w:r w:rsidRPr="00770F9D">
        <w:rPr>
          <w:rFonts w:ascii="Garamond" w:hAnsi="Garamond"/>
          <w:color w:val="0D0D0D"/>
        </w:rPr>
        <w:t xml:space="preserve"> deri në vitin 2031.</w:t>
      </w:r>
    </w:p>
    <w:p w14:paraId="1EB88156" w14:textId="09CC3265" w:rsidR="00EE2F34" w:rsidRPr="00770F9D" w:rsidRDefault="00EE2F34" w:rsidP="003F46E1">
      <w:pPr>
        <w:pStyle w:val="Heading1"/>
        <w:ind w:left="0" w:firstLine="284"/>
        <w:jc w:val="both"/>
        <w:rPr>
          <w:rFonts w:ascii="Garamond" w:hAnsi="Garamond"/>
          <w:b w:val="0"/>
          <w:bCs w:val="0"/>
          <w:color w:val="0D0D0D"/>
        </w:rPr>
      </w:pPr>
      <w:r w:rsidRPr="00770F9D">
        <w:rPr>
          <w:rFonts w:ascii="Garamond" w:hAnsi="Garamond"/>
          <w:b w:val="0"/>
          <w:bCs w:val="0"/>
          <w:color w:val="0D0D0D"/>
        </w:rPr>
        <w:t>2. ZBATIMI I UDHËZIMEVE TË POLITIKAVE</w:t>
      </w:r>
    </w:p>
    <w:p w14:paraId="5539A6DC" w14:textId="75D3BAE3" w:rsidR="00EE2F34" w:rsidRPr="00770F9D" w:rsidRDefault="00EE2F34" w:rsidP="003F46E1">
      <w:pPr>
        <w:ind w:firstLine="284"/>
        <w:jc w:val="both"/>
        <w:rPr>
          <w:rFonts w:ascii="Garamond" w:hAnsi="Garamond"/>
          <w:color w:val="0D0D0D"/>
        </w:rPr>
      </w:pPr>
      <w:r w:rsidRPr="00770F9D">
        <w:rPr>
          <w:rFonts w:ascii="Garamond" w:hAnsi="Garamond"/>
          <w:color w:val="0D0D0D"/>
        </w:rPr>
        <w:t xml:space="preserve">Udhëzimi i </w:t>
      </w:r>
      <w:r w:rsidR="00920719" w:rsidRPr="00770F9D">
        <w:rPr>
          <w:rFonts w:ascii="Garamond" w:hAnsi="Garamond"/>
          <w:color w:val="0D0D0D"/>
        </w:rPr>
        <w:t xml:space="preserve">politikave </w:t>
      </w:r>
      <w:r w:rsidRPr="00770F9D">
        <w:rPr>
          <w:rFonts w:ascii="Garamond" w:hAnsi="Garamond"/>
          <w:color w:val="0D0D0D"/>
        </w:rPr>
        <w:t>1</w:t>
      </w:r>
    </w:p>
    <w:p w14:paraId="1FC32469" w14:textId="77777777" w:rsidR="00EE2F34" w:rsidRPr="00770F9D" w:rsidRDefault="00EE2F34" w:rsidP="003F46E1">
      <w:pPr>
        <w:ind w:firstLine="284"/>
        <w:jc w:val="both"/>
        <w:rPr>
          <w:rFonts w:ascii="Garamond" w:hAnsi="Garamond"/>
          <w:color w:val="0D0D0D"/>
        </w:rPr>
      </w:pPr>
      <w:r w:rsidRPr="00770F9D">
        <w:rPr>
          <w:rFonts w:ascii="Garamond" w:hAnsi="Garamond"/>
          <w:color w:val="0D0D0D"/>
        </w:rPr>
        <w:t>UP 1.1</w:t>
      </w:r>
    </w:p>
    <w:p w14:paraId="1C58857F" w14:textId="2353D0D2" w:rsidR="00EE2F34" w:rsidRPr="00770F9D" w:rsidRDefault="00EE2F34" w:rsidP="003F46E1">
      <w:pPr>
        <w:ind w:firstLine="284"/>
        <w:jc w:val="both"/>
        <w:rPr>
          <w:rFonts w:ascii="Garamond" w:hAnsi="Garamond"/>
          <w:b/>
          <w:bCs/>
          <w:color w:val="0D0D0D"/>
        </w:rPr>
      </w:pPr>
      <w:r w:rsidRPr="00770F9D">
        <w:rPr>
          <w:rFonts w:ascii="Garamond" w:hAnsi="Garamond"/>
          <w:b/>
          <w:bCs/>
          <w:color w:val="0D0D0D"/>
        </w:rPr>
        <w:t>Nëse është e nevojshme, përdorni hapësirën fiskale të disponueshme në buxhetin e vitit 2022</w:t>
      </w:r>
      <w:r w:rsidR="0017311B" w:rsidRPr="00770F9D">
        <w:rPr>
          <w:rFonts w:ascii="Garamond" w:hAnsi="Garamond"/>
          <w:b/>
          <w:bCs/>
          <w:color w:val="0D0D0D"/>
        </w:rPr>
        <w:t>,</w:t>
      </w:r>
      <w:r w:rsidRPr="00770F9D">
        <w:rPr>
          <w:rFonts w:ascii="Garamond" w:hAnsi="Garamond"/>
          <w:b/>
          <w:bCs/>
          <w:color w:val="0D0D0D"/>
        </w:rPr>
        <w:t xml:space="preserve"> për të zbutur ndikimin e mundshëm të goditjeve negative përmes mbështetjes së synuar për familjet dhe firmat e cenueshme; me kusht që rimëkëmbja ekonomike të jetë e rrënjosur mirë, planifikoni në kuadrin buxhetor afatmesëm një reduktim gradual të raportit të borxhit publik dhe një kthim në një bilanc primar pozitiv deri në vitin 2024, duke ulur detyrimet e prapambetura të qeverisë së përgjithshme nën 2.5% të totalit të shpenzimeve në vitin 2022.</w:t>
      </w:r>
    </w:p>
    <w:p w14:paraId="0B061934" w14:textId="274F9B2B" w:rsidR="00EE2F34" w:rsidRPr="00770F9D" w:rsidRDefault="00EE2F34" w:rsidP="008D53BB">
      <w:pPr>
        <w:ind w:firstLine="284"/>
        <w:jc w:val="both"/>
        <w:rPr>
          <w:rFonts w:ascii="Garamond" w:hAnsi="Garamond"/>
          <w:color w:val="0D0D0D"/>
        </w:rPr>
      </w:pPr>
      <w:r w:rsidRPr="00770F9D">
        <w:rPr>
          <w:rFonts w:ascii="Garamond" w:hAnsi="Garamond"/>
          <w:color w:val="0D0D0D"/>
        </w:rPr>
        <w:t xml:space="preserve">Buxheti i vitit 2022 është ndryshuar nëpërmjet </w:t>
      </w:r>
      <w:r w:rsidR="0017311B" w:rsidRPr="00770F9D">
        <w:rPr>
          <w:rFonts w:ascii="Garamond" w:hAnsi="Garamond"/>
          <w:color w:val="0D0D0D"/>
        </w:rPr>
        <w:t xml:space="preserve">aktit normativ </w:t>
      </w:r>
      <w:r w:rsidRPr="00770F9D">
        <w:rPr>
          <w:rFonts w:ascii="Garamond" w:hAnsi="Garamond"/>
          <w:color w:val="0D0D0D"/>
        </w:rPr>
        <w:t>nr.</w:t>
      </w:r>
      <w:r w:rsidR="0017311B" w:rsidRPr="00770F9D">
        <w:rPr>
          <w:rFonts w:ascii="Garamond" w:hAnsi="Garamond"/>
          <w:color w:val="0D0D0D"/>
        </w:rPr>
        <w:t xml:space="preserve"> </w:t>
      </w:r>
      <w:r w:rsidR="00285F68" w:rsidRPr="00770F9D">
        <w:rPr>
          <w:rFonts w:ascii="Garamond" w:hAnsi="Garamond"/>
          <w:color w:val="0D0D0D"/>
        </w:rPr>
        <w:t>3, datë 12.</w:t>
      </w:r>
      <w:r w:rsidRPr="00770F9D">
        <w:rPr>
          <w:rFonts w:ascii="Garamond" w:hAnsi="Garamond"/>
          <w:color w:val="0D0D0D"/>
        </w:rPr>
        <w:t>3.2022</w:t>
      </w:r>
      <w:r w:rsidR="00285F68" w:rsidRPr="00770F9D">
        <w:rPr>
          <w:rFonts w:ascii="Garamond" w:hAnsi="Garamond"/>
          <w:color w:val="0D0D0D"/>
        </w:rPr>
        <w:t>,</w:t>
      </w:r>
      <w:r w:rsidRPr="00770F9D">
        <w:rPr>
          <w:rFonts w:ascii="Garamond" w:hAnsi="Garamond"/>
          <w:color w:val="0D0D0D"/>
        </w:rPr>
        <w:t xml:space="preserve"> “Për disa ndryshime në ligjin nr. 115/2021, “Për buxhetin e vitit 2022”, me qëllim akordimin e fondit prej 6 miliardë lekë</w:t>
      </w:r>
      <w:r w:rsidR="00285F68" w:rsidRPr="00770F9D">
        <w:rPr>
          <w:rFonts w:ascii="Garamond" w:hAnsi="Garamond"/>
          <w:color w:val="0D0D0D"/>
        </w:rPr>
        <w:t>sh</w:t>
      </w:r>
      <w:r w:rsidRPr="00770F9D">
        <w:rPr>
          <w:rFonts w:ascii="Garamond" w:hAnsi="Garamond"/>
          <w:color w:val="0D0D0D"/>
        </w:rPr>
        <w:t xml:space="preserve"> për financimin e Paketës së Rezistencës Sociale ndaj Pasojave të Krizës</w:t>
      </w:r>
      <w:r w:rsidR="008D53BB" w:rsidRPr="00770F9D">
        <w:rPr>
          <w:rFonts w:ascii="Garamond" w:hAnsi="Garamond"/>
          <w:color w:val="0D0D0D"/>
        </w:rPr>
        <w:t>,</w:t>
      </w:r>
      <w:r w:rsidRPr="00770F9D">
        <w:rPr>
          <w:rFonts w:ascii="Garamond" w:hAnsi="Garamond"/>
          <w:color w:val="0D0D0D"/>
        </w:rPr>
        <w:t xml:space="preserve"> si dhe për zbutjen e efekteve të krizës aktuale të shkaktuar nga lufta në Ukrainë, konkretisht:</w:t>
      </w:r>
    </w:p>
    <w:p w14:paraId="4D3CDAC6" w14:textId="4E7C0E16" w:rsidR="00EE2F34" w:rsidRPr="00770F9D" w:rsidRDefault="00EE2F34" w:rsidP="003F46E1">
      <w:pPr>
        <w:ind w:firstLine="284"/>
        <w:jc w:val="both"/>
        <w:rPr>
          <w:rFonts w:ascii="Garamond" w:hAnsi="Garamond"/>
          <w:color w:val="0D0D0D"/>
        </w:rPr>
      </w:pPr>
      <w:r w:rsidRPr="00770F9D">
        <w:rPr>
          <w:rFonts w:ascii="Garamond" w:hAnsi="Garamond"/>
          <w:color w:val="0D0D0D"/>
        </w:rPr>
        <w:t>- U akordua fondi në masën prej 5 miliardë lekë</w:t>
      </w:r>
      <w:r w:rsidR="00F84A59" w:rsidRPr="00770F9D">
        <w:rPr>
          <w:rFonts w:ascii="Garamond" w:hAnsi="Garamond"/>
          <w:color w:val="0D0D0D"/>
        </w:rPr>
        <w:t>sh</w:t>
      </w:r>
      <w:r w:rsidRPr="00770F9D">
        <w:rPr>
          <w:rFonts w:ascii="Garamond" w:hAnsi="Garamond"/>
          <w:color w:val="0D0D0D"/>
        </w:rPr>
        <w:t xml:space="preserve"> për t</w:t>
      </w:r>
      <w:r w:rsidR="00F84A59" w:rsidRPr="00770F9D">
        <w:rPr>
          <w:rFonts w:ascii="Garamond" w:hAnsi="Garamond"/>
          <w:color w:val="0D0D0D"/>
        </w:rPr>
        <w:t>’</w:t>
      </w:r>
      <w:r w:rsidRPr="00770F9D">
        <w:rPr>
          <w:rFonts w:ascii="Garamond" w:hAnsi="Garamond"/>
          <w:color w:val="0D0D0D"/>
        </w:rPr>
        <w:t>u përdorur në zbatim të VKM</w:t>
      </w:r>
      <w:r w:rsidR="00F84A59" w:rsidRPr="00770F9D">
        <w:rPr>
          <w:rFonts w:ascii="Garamond" w:hAnsi="Garamond"/>
          <w:color w:val="0D0D0D"/>
        </w:rPr>
        <w:t>-së</w:t>
      </w:r>
      <w:r w:rsidRPr="00770F9D">
        <w:rPr>
          <w:rFonts w:ascii="Garamond" w:hAnsi="Garamond"/>
          <w:color w:val="0D0D0D"/>
        </w:rPr>
        <w:t xml:space="preserve"> nr. 159</w:t>
      </w:r>
      <w:r w:rsidR="00F84A59" w:rsidRPr="00770F9D">
        <w:rPr>
          <w:rFonts w:ascii="Garamond" w:hAnsi="Garamond"/>
          <w:color w:val="0D0D0D"/>
        </w:rPr>
        <w:t>, datë 12.</w:t>
      </w:r>
      <w:r w:rsidRPr="00770F9D">
        <w:rPr>
          <w:rFonts w:ascii="Garamond" w:hAnsi="Garamond"/>
          <w:color w:val="0D0D0D"/>
        </w:rPr>
        <w:t>3.2022</w:t>
      </w:r>
      <w:r w:rsidR="00F84A59" w:rsidRPr="00770F9D">
        <w:rPr>
          <w:rFonts w:ascii="Garamond" w:hAnsi="Garamond"/>
          <w:color w:val="0D0D0D"/>
        </w:rPr>
        <w:t>,</w:t>
      </w:r>
      <w:r w:rsidRPr="00770F9D">
        <w:rPr>
          <w:rFonts w:ascii="Garamond" w:hAnsi="Garamond"/>
          <w:color w:val="0D0D0D"/>
        </w:rPr>
        <w:t xml:space="preserve"> “Për mbështetjen financiare të disa kategorive të veçanta për zbutjen e efekteve të ndikuara nga lufta në Ukrainë”, përkatësisht, përfituan kategoritë</w:t>
      </w:r>
      <w:r w:rsidR="00F84A59" w:rsidRPr="00770F9D">
        <w:rPr>
          <w:rFonts w:ascii="Garamond" w:hAnsi="Garamond"/>
          <w:color w:val="0D0D0D"/>
        </w:rPr>
        <w:t>,</w:t>
      </w:r>
      <w:r w:rsidRPr="00770F9D">
        <w:rPr>
          <w:rFonts w:ascii="Garamond" w:hAnsi="Garamond"/>
          <w:color w:val="0D0D0D"/>
        </w:rPr>
        <w:t xml:space="preserve"> sa më poshtë:</w:t>
      </w:r>
    </w:p>
    <w:p w14:paraId="32A1C4BC" w14:textId="689B3E42" w:rsidR="00EE2F34" w:rsidRPr="00770F9D" w:rsidRDefault="00EE2F34" w:rsidP="003F46E1">
      <w:pPr>
        <w:ind w:firstLine="284"/>
        <w:jc w:val="both"/>
        <w:rPr>
          <w:rFonts w:ascii="Garamond" w:hAnsi="Garamond"/>
          <w:color w:val="0D0D0D"/>
        </w:rPr>
      </w:pPr>
      <w:r w:rsidRPr="00770F9D">
        <w:rPr>
          <w:rFonts w:ascii="Garamond" w:hAnsi="Garamond"/>
          <w:color w:val="0D0D0D"/>
        </w:rPr>
        <w:t>i.</w:t>
      </w:r>
      <w:r w:rsidR="00BA4F1A" w:rsidRPr="00770F9D">
        <w:rPr>
          <w:rFonts w:ascii="Garamond" w:hAnsi="Garamond"/>
          <w:color w:val="0D0D0D"/>
        </w:rPr>
        <w:t xml:space="preserve"> </w:t>
      </w:r>
      <w:r w:rsidRPr="00770F9D">
        <w:rPr>
          <w:rFonts w:ascii="Garamond" w:hAnsi="Garamond"/>
          <w:color w:val="0D0D0D"/>
        </w:rPr>
        <w:t>Familjet dhe individët përfitues të ndihmës ekonomike, të përcaktuara në nenin 7, të ligjit nr. 57/2019, “Për ndihmën sociale në Republikën e Shqipërisë”;</w:t>
      </w:r>
    </w:p>
    <w:p w14:paraId="03051BDE" w14:textId="54ECA62A" w:rsidR="00EE2F34" w:rsidRPr="00770F9D" w:rsidRDefault="00EE2F34" w:rsidP="003F46E1">
      <w:pPr>
        <w:ind w:firstLine="284"/>
        <w:jc w:val="both"/>
        <w:rPr>
          <w:rFonts w:ascii="Garamond" w:hAnsi="Garamond"/>
          <w:color w:val="0D0D0D"/>
        </w:rPr>
      </w:pPr>
      <w:r w:rsidRPr="00770F9D">
        <w:rPr>
          <w:rFonts w:ascii="Garamond" w:hAnsi="Garamond"/>
          <w:color w:val="0D0D0D"/>
        </w:rPr>
        <w:t>ii.</w:t>
      </w:r>
      <w:r w:rsidR="00BA4F1A" w:rsidRPr="00770F9D">
        <w:rPr>
          <w:rFonts w:ascii="Garamond" w:hAnsi="Garamond"/>
          <w:color w:val="0D0D0D"/>
        </w:rPr>
        <w:t xml:space="preserve"> </w:t>
      </w:r>
      <w:r w:rsidRPr="00770F9D">
        <w:rPr>
          <w:rFonts w:ascii="Garamond" w:hAnsi="Garamond"/>
          <w:color w:val="0D0D0D"/>
        </w:rPr>
        <w:t>Individët përfitues të pagesës së aftësisë së kufizuar, të përcaktuar në shkronjat “b” dhe “c”, të nenit 8, të ligjit nr. 57/2019, “Për ndihmën sociale në Republikën e Shqipërisë”;</w:t>
      </w:r>
    </w:p>
    <w:p w14:paraId="760AD6A2" w14:textId="40A05D5D" w:rsidR="00EE2F34" w:rsidRPr="00770F9D" w:rsidRDefault="00EE2F34" w:rsidP="00FC453C">
      <w:pPr>
        <w:ind w:firstLine="284"/>
        <w:jc w:val="both"/>
        <w:rPr>
          <w:rFonts w:ascii="Garamond" w:hAnsi="Garamond"/>
          <w:color w:val="0D0D0D"/>
        </w:rPr>
      </w:pPr>
      <w:r w:rsidRPr="00770F9D">
        <w:rPr>
          <w:rFonts w:ascii="Garamond" w:hAnsi="Garamond"/>
          <w:color w:val="0D0D0D"/>
        </w:rPr>
        <w:t>iii.</w:t>
      </w:r>
      <w:r w:rsidR="00BA4F1A" w:rsidRPr="00770F9D">
        <w:rPr>
          <w:rFonts w:ascii="Garamond" w:hAnsi="Garamond"/>
          <w:color w:val="0D0D0D"/>
        </w:rPr>
        <w:t xml:space="preserve"> </w:t>
      </w:r>
      <w:r w:rsidRPr="00770F9D">
        <w:rPr>
          <w:rFonts w:ascii="Garamond" w:hAnsi="Garamond"/>
          <w:color w:val="0D0D0D"/>
        </w:rPr>
        <w:t xml:space="preserve">Individët që marrin statusin, sipas ligjit nr. 8626, datë 22.6.2000, “Statusi i invalidit paraplegjik dhe tetraplegjik”, </w:t>
      </w:r>
      <w:r w:rsidR="00FC453C" w:rsidRPr="00770F9D">
        <w:rPr>
          <w:rFonts w:ascii="Garamond" w:hAnsi="Garamond"/>
          <w:color w:val="0D0D0D"/>
        </w:rPr>
        <w:t>të</w:t>
      </w:r>
      <w:r w:rsidRPr="00770F9D">
        <w:rPr>
          <w:rFonts w:ascii="Garamond" w:hAnsi="Garamond"/>
          <w:color w:val="0D0D0D"/>
        </w:rPr>
        <w:t xml:space="preserve"> ndryshuar;</w:t>
      </w:r>
    </w:p>
    <w:p w14:paraId="18D8ED88" w14:textId="632A7FBE" w:rsidR="00EE2F34" w:rsidRPr="00770F9D" w:rsidRDefault="00EE2F34" w:rsidP="00FC453C">
      <w:pPr>
        <w:ind w:firstLine="284"/>
        <w:jc w:val="both"/>
        <w:rPr>
          <w:rFonts w:ascii="Garamond" w:hAnsi="Garamond"/>
          <w:color w:val="0D0D0D"/>
        </w:rPr>
      </w:pPr>
      <w:r w:rsidRPr="00770F9D">
        <w:rPr>
          <w:rFonts w:ascii="Garamond" w:hAnsi="Garamond"/>
          <w:color w:val="0D0D0D"/>
        </w:rPr>
        <w:t>iv.</w:t>
      </w:r>
      <w:r w:rsidR="00BA4F1A" w:rsidRPr="00770F9D">
        <w:rPr>
          <w:rFonts w:ascii="Garamond" w:hAnsi="Garamond"/>
          <w:color w:val="0D0D0D"/>
        </w:rPr>
        <w:t xml:space="preserve"> </w:t>
      </w:r>
      <w:r w:rsidRPr="00770F9D">
        <w:rPr>
          <w:rFonts w:ascii="Garamond" w:hAnsi="Garamond"/>
          <w:color w:val="0D0D0D"/>
        </w:rPr>
        <w:t>Individët përfitues të statusit, sipas ligjit nr. 8098, datë 28.3.1996, “Për statusin e të verbrit”, i ndryshuar;</w:t>
      </w:r>
    </w:p>
    <w:p w14:paraId="551D3B5E" w14:textId="7EBEE2FC" w:rsidR="00EE2F34" w:rsidRPr="00770F9D" w:rsidRDefault="00EE2F34" w:rsidP="00E31BA5">
      <w:pPr>
        <w:ind w:firstLine="284"/>
        <w:jc w:val="both"/>
        <w:rPr>
          <w:rFonts w:ascii="Garamond" w:hAnsi="Garamond"/>
          <w:color w:val="0D0D0D"/>
        </w:rPr>
      </w:pPr>
      <w:r w:rsidRPr="00770F9D">
        <w:rPr>
          <w:rFonts w:ascii="Garamond" w:hAnsi="Garamond"/>
          <w:color w:val="0D0D0D"/>
        </w:rPr>
        <w:t>v.</w:t>
      </w:r>
      <w:r w:rsidR="00BA4F1A" w:rsidRPr="00770F9D">
        <w:rPr>
          <w:rFonts w:ascii="Garamond" w:hAnsi="Garamond"/>
          <w:color w:val="0D0D0D"/>
        </w:rPr>
        <w:t xml:space="preserve"> </w:t>
      </w:r>
      <w:r w:rsidRPr="00770F9D">
        <w:rPr>
          <w:rFonts w:ascii="Garamond" w:hAnsi="Garamond"/>
          <w:color w:val="0D0D0D"/>
        </w:rPr>
        <w:t xml:space="preserve">Personat që përfitojnë pension invaliditeti, sipas ligjit nr. 7703, datë 11.5.1993, “Për sigurimet shoqërore në Republikën e Shqipërisë”, </w:t>
      </w:r>
      <w:r w:rsidR="00E31BA5" w:rsidRPr="00770F9D">
        <w:rPr>
          <w:rFonts w:ascii="Garamond" w:hAnsi="Garamond"/>
          <w:color w:val="0D0D0D"/>
        </w:rPr>
        <w:t>të</w:t>
      </w:r>
      <w:r w:rsidRPr="00770F9D">
        <w:rPr>
          <w:rFonts w:ascii="Garamond" w:hAnsi="Garamond"/>
          <w:color w:val="0D0D0D"/>
        </w:rPr>
        <w:t xml:space="preserve"> ndryshuar;</w:t>
      </w:r>
    </w:p>
    <w:p w14:paraId="5D7B717E" w14:textId="305D3778" w:rsidR="00EE2F34" w:rsidRPr="00770F9D" w:rsidRDefault="00EE2F34" w:rsidP="00E31BA5">
      <w:pPr>
        <w:ind w:firstLine="284"/>
        <w:jc w:val="both"/>
        <w:rPr>
          <w:rFonts w:ascii="Garamond" w:hAnsi="Garamond"/>
          <w:color w:val="0D0D0D"/>
        </w:rPr>
      </w:pPr>
      <w:r w:rsidRPr="00770F9D">
        <w:rPr>
          <w:rFonts w:ascii="Garamond" w:hAnsi="Garamond"/>
          <w:color w:val="0D0D0D"/>
        </w:rPr>
        <w:t>vi.</w:t>
      </w:r>
      <w:r w:rsidR="00BA4F1A" w:rsidRPr="00770F9D">
        <w:rPr>
          <w:rFonts w:ascii="Garamond" w:hAnsi="Garamond"/>
          <w:color w:val="0D0D0D"/>
        </w:rPr>
        <w:t xml:space="preserve"> </w:t>
      </w:r>
      <w:r w:rsidRPr="00770F9D">
        <w:rPr>
          <w:rFonts w:ascii="Garamond" w:hAnsi="Garamond"/>
          <w:color w:val="0D0D0D"/>
        </w:rPr>
        <w:t xml:space="preserve">Personat që përfitojnë pension familjar, sipas ligjit nr. 7703, datë 11.5.1993, “Për sigurimet shoqërore në Republikën e Shqipërisë”, </w:t>
      </w:r>
      <w:r w:rsidR="00E31BA5" w:rsidRPr="00770F9D">
        <w:rPr>
          <w:rFonts w:ascii="Garamond" w:hAnsi="Garamond"/>
          <w:color w:val="0D0D0D"/>
        </w:rPr>
        <w:t>të</w:t>
      </w:r>
      <w:r w:rsidRPr="00770F9D">
        <w:rPr>
          <w:rFonts w:ascii="Garamond" w:hAnsi="Garamond"/>
          <w:color w:val="0D0D0D"/>
        </w:rPr>
        <w:t xml:space="preserve"> ndryshuar;</w:t>
      </w:r>
    </w:p>
    <w:p w14:paraId="63BDE1A3" w14:textId="42C423DE" w:rsidR="00EE2F34" w:rsidRPr="00770F9D" w:rsidRDefault="00EE2F34" w:rsidP="00E31BA5">
      <w:pPr>
        <w:ind w:firstLine="284"/>
        <w:jc w:val="both"/>
        <w:rPr>
          <w:rFonts w:ascii="Garamond" w:hAnsi="Garamond"/>
          <w:color w:val="0D0D0D"/>
        </w:rPr>
      </w:pPr>
      <w:r w:rsidRPr="00770F9D">
        <w:rPr>
          <w:rFonts w:ascii="Garamond" w:hAnsi="Garamond"/>
          <w:color w:val="0D0D0D"/>
        </w:rPr>
        <w:t>vii.</w:t>
      </w:r>
      <w:r w:rsidR="00BA4F1A" w:rsidRPr="00770F9D">
        <w:rPr>
          <w:rFonts w:ascii="Garamond" w:hAnsi="Garamond"/>
          <w:color w:val="0D0D0D"/>
        </w:rPr>
        <w:t xml:space="preserve"> </w:t>
      </w:r>
      <w:r w:rsidRPr="00770F9D">
        <w:rPr>
          <w:rFonts w:ascii="Garamond" w:hAnsi="Garamond"/>
          <w:color w:val="0D0D0D"/>
        </w:rPr>
        <w:t xml:space="preserve">Personat që përfitojnë pension pleqërie, sipas ligjit nr. 7703, datë 11.5.1993, “Për sigurimet shoqërore në Republikën e Shqipërisë”, </w:t>
      </w:r>
      <w:r w:rsidR="00E31BA5" w:rsidRPr="00770F9D">
        <w:rPr>
          <w:rFonts w:ascii="Garamond" w:hAnsi="Garamond"/>
          <w:color w:val="0D0D0D"/>
        </w:rPr>
        <w:t>të</w:t>
      </w:r>
      <w:r w:rsidRPr="00770F9D">
        <w:rPr>
          <w:rFonts w:ascii="Garamond" w:hAnsi="Garamond"/>
          <w:color w:val="0D0D0D"/>
        </w:rPr>
        <w:t xml:space="preserve"> ndryshuar, dhe masa e pensionit mujor të tyre është më e ulët ose e barabartë me 50% të pagës minimale neto në shkallë vendi;</w:t>
      </w:r>
    </w:p>
    <w:p w14:paraId="06861584" w14:textId="6B916FC4" w:rsidR="00EE2F34" w:rsidRPr="00770F9D" w:rsidRDefault="00EE2F34" w:rsidP="008B11AD">
      <w:pPr>
        <w:ind w:firstLine="284"/>
        <w:jc w:val="both"/>
        <w:rPr>
          <w:rFonts w:ascii="Garamond" w:hAnsi="Garamond"/>
          <w:color w:val="0D0D0D"/>
        </w:rPr>
      </w:pPr>
      <w:r w:rsidRPr="00770F9D">
        <w:rPr>
          <w:rFonts w:ascii="Garamond" w:hAnsi="Garamond"/>
          <w:color w:val="0D0D0D"/>
        </w:rPr>
        <w:t>viii.</w:t>
      </w:r>
      <w:r w:rsidR="00BA4F1A" w:rsidRPr="00770F9D">
        <w:rPr>
          <w:rFonts w:ascii="Garamond" w:hAnsi="Garamond"/>
          <w:color w:val="0D0D0D"/>
        </w:rPr>
        <w:t xml:space="preserve"> </w:t>
      </w:r>
      <w:r w:rsidRPr="00770F9D">
        <w:rPr>
          <w:rFonts w:ascii="Garamond" w:hAnsi="Garamond"/>
          <w:color w:val="0D0D0D"/>
        </w:rPr>
        <w:t>Kryefamiljarët, të cilët përfitojnë pension pleqërie, sipas ligjit nr. 7703, datë 11.5.1993, “Për sigurimet shoqërore në Republikën e Shqipërisë”, të ndryshuar, dhe të përfitojnë dëmshpërblim për efekt të rritjes së çmimit të energjisë elektrike, sipas vendimeve të Këshillit të Ministrave nr.</w:t>
      </w:r>
      <w:r w:rsidR="00E31BA5" w:rsidRPr="00770F9D">
        <w:rPr>
          <w:rFonts w:ascii="Garamond" w:hAnsi="Garamond"/>
          <w:color w:val="0D0D0D"/>
        </w:rPr>
        <w:t xml:space="preserve"> 565, datë 9.8.2006, “</w:t>
      </w:r>
      <w:r w:rsidRPr="00770F9D">
        <w:rPr>
          <w:rFonts w:ascii="Garamond" w:hAnsi="Garamond"/>
          <w:color w:val="0D0D0D"/>
        </w:rPr>
        <w:t>Për mbrojtjen e shtresave në nevojë nga rritja e çmimit të energjisë elektrike”, nr.</w:t>
      </w:r>
      <w:r w:rsidR="00E31BA5" w:rsidRPr="00770F9D">
        <w:rPr>
          <w:rFonts w:ascii="Garamond" w:hAnsi="Garamond"/>
          <w:color w:val="0D0D0D"/>
        </w:rPr>
        <w:t xml:space="preserve"> </w:t>
      </w:r>
      <w:r w:rsidRPr="00770F9D">
        <w:rPr>
          <w:rFonts w:ascii="Garamond" w:hAnsi="Garamond"/>
          <w:color w:val="0D0D0D"/>
        </w:rPr>
        <w:t>238, datë 7.4.2010, “Për një ndryshim në vendimin nr.</w:t>
      </w:r>
      <w:r w:rsidR="00E31BA5" w:rsidRPr="00770F9D">
        <w:rPr>
          <w:rFonts w:ascii="Garamond" w:hAnsi="Garamond"/>
          <w:color w:val="0D0D0D"/>
        </w:rPr>
        <w:t xml:space="preserve"> </w:t>
      </w:r>
      <w:r w:rsidRPr="00770F9D">
        <w:rPr>
          <w:rFonts w:ascii="Garamond" w:hAnsi="Garamond"/>
          <w:color w:val="0D0D0D"/>
        </w:rPr>
        <w:t>565, të Këshillit të Ministrave</w:t>
      </w:r>
      <w:r w:rsidR="008B11AD" w:rsidRPr="00770F9D">
        <w:rPr>
          <w:rFonts w:ascii="Garamond" w:hAnsi="Garamond"/>
          <w:color w:val="0D0D0D"/>
        </w:rPr>
        <w:t>,</w:t>
      </w:r>
      <w:r w:rsidRPr="00770F9D">
        <w:rPr>
          <w:rFonts w:ascii="Garamond" w:hAnsi="Garamond"/>
          <w:color w:val="0D0D0D"/>
        </w:rPr>
        <w:t xml:space="preserve"> “Për mbrojtjen e shtresave në nevojë nga rritja e çmimit të energjisë elektrike”, nr.</w:t>
      </w:r>
      <w:r w:rsidR="008B11AD" w:rsidRPr="00770F9D">
        <w:rPr>
          <w:rFonts w:ascii="Garamond" w:hAnsi="Garamond"/>
          <w:color w:val="0D0D0D"/>
        </w:rPr>
        <w:t xml:space="preserve"> </w:t>
      </w:r>
      <w:r w:rsidRPr="00770F9D">
        <w:rPr>
          <w:rFonts w:ascii="Garamond" w:hAnsi="Garamond"/>
          <w:color w:val="0D0D0D"/>
        </w:rPr>
        <w:t xml:space="preserve">8, datë 14.1.2015, “Për mbrojtjen e shtresave në nevojë, për efekt të heqjes së brezit të konsumit të energjisë elektrike deri në 300 </w:t>
      </w:r>
      <w:r w:rsidR="008B11AD" w:rsidRPr="00770F9D">
        <w:rPr>
          <w:rFonts w:ascii="Garamond" w:hAnsi="Garamond"/>
          <w:color w:val="0D0D0D"/>
        </w:rPr>
        <w:t xml:space="preserve">kwh </w:t>
      </w:r>
      <w:r w:rsidRPr="00770F9D">
        <w:rPr>
          <w:rFonts w:ascii="Garamond" w:hAnsi="Garamond"/>
          <w:color w:val="0D0D0D"/>
        </w:rPr>
        <w:t>në muaj”.</w:t>
      </w:r>
    </w:p>
    <w:p w14:paraId="10947265" w14:textId="4C54CC16" w:rsidR="00EE2F34" w:rsidRPr="00770F9D" w:rsidRDefault="00EE2F34" w:rsidP="003F46E1">
      <w:pPr>
        <w:ind w:firstLine="284"/>
        <w:jc w:val="both"/>
        <w:rPr>
          <w:rFonts w:ascii="Garamond" w:hAnsi="Garamond"/>
          <w:color w:val="0D0D0D"/>
        </w:rPr>
      </w:pPr>
      <w:r w:rsidRPr="00770F9D">
        <w:rPr>
          <w:rFonts w:ascii="Garamond" w:hAnsi="Garamond"/>
          <w:color w:val="0D0D0D"/>
        </w:rPr>
        <w:t>-</w:t>
      </w:r>
      <w:r w:rsidR="00BA4F1A" w:rsidRPr="00770F9D">
        <w:rPr>
          <w:rFonts w:ascii="Garamond" w:hAnsi="Garamond"/>
          <w:color w:val="0D0D0D"/>
        </w:rPr>
        <w:t xml:space="preserve"> </w:t>
      </w:r>
      <w:r w:rsidRPr="00770F9D">
        <w:rPr>
          <w:rFonts w:ascii="Garamond" w:hAnsi="Garamond"/>
          <w:color w:val="0D0D0D"/>
        </w:rPr>
        <w:t>MBZHR-së iu akordua fondi prej 500 milionë lekë</w:t>
      </w:r>
      <w:r w:rsidR="00C1195D" w:rsidRPr="00770F9D">
        <w:rPr>
          <w:rFonts w:ascii="Garamond" w:hAnsi="Garamond"/>
          <w:color w:val="0D0D0D"/>
        </w:rPr>
        <w:t>sh</w:t>
      </w:r>
      <w:r w:rsidRPr="00770F9D">
        <w:rPr>
          <w:rFonts w:ascii="Garamond" w:hAnsi="Garamond"/>
          <w:color w:val="0D0D0D"/>
        </w:rPr>
        <w:t xml:space="preserve"> për mbështetjen e sektorit të bujqësisë, për skemën e subvencionimit të naftës.</w:t>
      </w:r>
    </w:p>
    <w:p w14:paraId="29F53F1F" w14:textId="0820E9A0" w:rsidR="00EE2F34" w:rsidRPr="00770F9D" w:rsidRDefault="00EE2F34" w:rsidP="003F46E1">
      <w:pPr>
        <w:ind w:firstLine="284"/>
        <w:jc w:val="both"/>
        <w:rPr>
          <w:rFonts w:ascii="Garamond" w:hAnsi="Garamond"/>
          <w:color w:val="0D0D0D"/>
        </w:rPr>
      </w:pPr>
      <w:r w:rsidRPr="00770F9D">
        <w:rPr>
          <w:rFonts w:ascii="Garamond" w:hAnsi="Garamond"/>
          <w:color w:val="0D0D0D"/>
        </w:rPr>
        <w:t>-</w:t>
      </w:r>
      <w:r w:rsidR="00BA4F1A" w:rsidRPr="00770F9D">
        <w:rPr>
          <w:rFonts w:ascii="Garamond" w:hAnsi="Garamond"/>
          <w:color w:val="0D0D0D"/>
        </w:rPr>
        <w:t xml:space="preserve"> </w:t>
      </w:r>
      <w:r w:rsidRPr="00770F9D">
        <w:rPr>
          <w:rFonts w:ascii="Garamond" w:hAnsi="Garamond"/>
          <w:color w:val="0D0D0D"/>
        </w:rPr>
        <w:t>MFE-së iu akordua fondi prej 430 milionë lekë</w:t>
      </w:r>
      <w:r w:rsidR="00C1195D" w:rsidRPr="00770F9D">
        <w:rPr>
          <w:rFonts w:ascii="Garamond" w:hAnsi="Garamond"/>
          <w:color w:val="0D0D0D"/>
        </w:rPr>
        <w:t>sh</w:t>
      </w:r>
      <w:r w:rsidRPr="00770F9D">
        <w:rPr>
          <w:rFonts w:ascii="Garamond" w:hAnsi="Garamond"/>
          <w:color w:val="0D0D0D"/>
        </w:rPr>
        <w:t xml:space="preserve"> për mbështetjen e shoqërive të linjave të transportit qytetëse dhe ndërqytetëse.</w:t>
      </w:r>
    </w:p>
    <w:p w14:paraId="4083451B" w14:textId="201485D0" w:rsidR="00EE2F34" w:rsidRPr="00770F9D" w:rsidRDefault="00EE2F34" w:rsidP="003F46E1">
      <w:pPr>
        <w:ind w:firstLine="284"/>
        <w:jc w:val="both"/>
        <w:rPr>
          <w:rFonts w:ascii="Garamond" w:hAnsi="Garamond"/>
          <w:color w:val="0D0D0D"/>
        </w:rPr>
      </w:pPr>
      <w:r w:rsidRPr="00770F9D">
        <w:rPr>
          <w:rFonts w:ascii="Garamond" w:hAnsi="Garamond"/>
          <w:color w:val="0D0D0D"/>
        </w:rPr>
        <w:t>-</w:t>
      </w:r>
      <w:r w:rsidR="00BA4F1A" w:rsidRPr="00770F9D">
        <w:rPr>
          <w:rFonts w:ascii="Garamond" w:hAnsi="Garamond"/>
          <w:color w:val="0D0D0D"/>
        </w:rPr>
        <w:t xml:space="preserve"> </w:t>
      </w:r>
      <w:r w:rsidRPr="00770F9D">
        <w:rPr>
          <w:rFonts w:ascii="Garamond" w:hAnsi="Garamond"/>
          <w:color w:val="0D0D0D"/>
        </w:rPr>
        <w:t>U akordua mbështetje buxhetore për sektorin e energjisë, në masën prej 20 miliardë lekë</w:t>
      </w:r>
      <w:r w:rsidR="00C34855" w:rsidRPr="00770F9D">
        <w:rPr>
          <w:rFonts w:ascii="Garamond" w:hAnsi="Garamond"/>
          <w:color w:val="0D0D0D"/>
        </w:rPr>
        <w:t>sh</w:t>
      </w:r>
      <w:r w:rsidRPr="00770F9D">
        <w:rPr>
          <w:rFonts w:ascii="Garamond" w:hAnsi="Garamond"/>
          <w:color w:val="0D0D0D"/>
        </w:rPr>
        <w:t>.</w:t>
      </w:r>
    </w:p>
    <w:p w14:paraId="7B5DB199" w14:textId="6C6D33DB" w:rsidR="00EE2F34" w:rsidRPr="00770F9D" w:rsidRDefault="00EE2F34" w:rsidP="00B7476D">
      <w:pPr>
        <w:ind w:firstLine="284"/>
        <w:jc w:val="both"/>
        <w:rPr>
          <w:rFonts w:ascii="Garamond" w:hAnsi="Garamond"/>
          <w:color w:val="0D0D0D"/>
        </w:rPr>
      </w:pPr>
      <w:r w:rsidRPr="00770F9D">
        <w:rPr>
          <w:rFonts w:ascii="Garamond" w:hAnsi="Garamond"/>
          <w:color w:val="0D0D0D"/>
        </w:rPr>
        <w:t xml:space="preserve">Nëpërmjet </w:t>
      </w:r>
      <w:r w:rsidR="00B7476D" w:rsidRPr="00770F9D">
        <w:rPr>
          <w:rFonts w:ascii="Garamond" w:hAnsi="Garamond"/>
          <w:color w:val="0D0D0D"/>
        </w:rPr>
        <w:t xml:space="preserve">aktin normativ </w:t>
      </w:r>
      <w:r w:rsidRPr="00770F9D">
        <w:rPr>
          <w:rFonts w:ascii="Garamond" w:hAnsi="Garamond"/>
          <w:color w:val="0D0D0D"/>
        </w:rPr>
        <w:t>nr.</w:t>
      </w:r>
      <w:r w:rsidR="00B7476D" w:rsidRPr="00770F9D">
        <w:rPr>
          <w:rFonts w:ascii="Garamond" w:hAnsi="Garamond"/>
          <w:color w:val="0D0D0D"/>
        </w:rPr>
        <w:t xml:space="preserve"> 12, datë 29.</w:t>
      </w:r>
      <w:r w:rsidRPr="00770F9D">
        <w:rPr>
          <w:rFonts w:ascii="Garamond" w:hAnsi="Garamond"/>
          <w:color w:val="0D0D0D"/>
        </w:rPr>
        <w:t>7.2022</w:t>
      </w:r>
      <w:r w:rsidR="00B7476D" w:rsidRPr="00770F9D">
        <w:rPr>
          <w:rFonts w:ascii="Garamond" w:hAnsi="Garamond"/>
          <w:color w:val="0D0D0D"/>
        </w:rPr>
        <w:t>,</w:t>
      </w:r>
      <w:r w:rsidRPr="00770F9D">
        <w:rPr>
          <w:rFonts w:ascii="Garamond" w:hAnsi="Garamond"/>
          <w:color w:val="0D0D0D"/>
        </w:rPr>
        <w:t xml:space="preserve"> “Për disa ndryshime në ligjin nr. 115/2021, </w:t>
      </w:r>
      <w:r w:rsidR="00B7476D" w:rsidRPr="00770F9D">
        <w:rPr>
          <w:rFonts w:ascii="Garamond" w:hAnsi="Garamond"/>
          <w:color w:val="0D0D0D"/>
        </w:rPr>
        <w:t>‘</w:t>
      </w:r>
      <w:r w:rsidRPr="00770F9D">
        <w:rPr>
          <w:rFonts w:ascii="Garamond" w:hAnsi="Garamond"/>
          <w:color w:val="0D0D0D"/>
        </w:rPr>
        <w:t>Për buxhetin e vitit 2022</w:t>
      </w:r>
      <w:r w:rsidR="00B7476D" w:rsidRPr="00770F9D">
        <w:rPr>
          <w:rFonts w:ascii="Garamond" w:hAnsi="Garamond"/>
          <w:color w:val="0D0D0D"/>
        </w:rPr>
        <w:t>’</w:t>
      </w:r>
      <w:r w:rsidRPr="00770F9D">
        <w:rPr>
          <w:rFonts w:ascii="Garamond" w:hAnsi="Garamond"/>
          <w:color w:val="0D0D0D"/>
        </w:rPr>
        <w:t>, të ndryshuar”, u miratua akordimi i fondit prej 6.1 miliardë lekë</w:t>
      </w:r>
      <w:r w:rsidR="00B7476D" w:rsidRPr="00770F9D">
        <w:rPr>
          <w:rFonts w:ascii="Garamond" w:hAnsi="Garamond"/>
          <w:color w:val="0D0D0D"/>
        </w:rPr>
        <w:t>sh</w:t>
      </w:r>
      <w:r w:rsidRPr="00770F9D">
        <w:rPr>
          <w:rFonts w:ascii="Garamond" w:hAnsi="Garamond"/>
          <w:color w:val="0D0D0D"/>
        </w:rPr>
        <w:t xml:space="preserve"> për zgjatjen në kohë të mbështetjes përmes Paketës së Rezistencës Sociale ndaj Pasojave të Krizës.</w:t>
      </w:r>
    </w:p>
    <w:p w14:paraId="547337A3" w14:textId="346B40C9" w:rsidR="00EE2F34" w:rsidRPr="00770F9D" w:rsidRDefault="00EE2F34" w:rsidP="003F46E1">
      <w:pPr>
        <w:tabs>
          <w:tab w:val="left" w:pos="1080"/>
          <w:tab w:val="left" w:pos="1160"/>
        </w:tabs>
        <w:ind w:firstLine="284"/>
        <w:jc w:val="both"/>
        <w:rPr>
          <w:rFonts w:ascii="Garamond" w:hAnsi="Garamond"/>
          <w:color w:val="0D0D0D"/>
        </w:rPr>
      </w:pPr>
      <w:r w:rsidRPr="00770F9D">
        <w:rPr>
          <w:rFonts w:ascii="Garamond" w:hAnsi="Garamond"/>
          <w:color w:val="0D0D0D"/>
        </w:rPr>
        <w:t>Masat e përhershme të ndërmarra në kuadër të mbështetjes sociale, përcaktohen</w:t>
      </w:r>
      <w:r w:rsidR="00B7476D" w:rsidRPr="00770F9D">
        <w:rPr>
          <w:rFonts w:ascii="Garamond" w:hAnsi="Garamond"/>
          <w:color w:val="0D0D0D"/>
        </w:rPr>
        <w:t>,</w:t>
      </w:r>
      <w:r w:rsidRPr="00770F9D">
        <w:rPr>
          <w:rFonts w:ascii="Garamond" w:hAnsi="Garamond"/>
          <w:color w:val="0D0D0D"/>
        </w:rPr>
        <w:t xml:space="preserve"> si më poshtë:</w:t>
      </w:r>
    </w:p>
    <w:p w14:paraId="632A4832" w14:textId="682DBDB0" w:rsidR="00EE2F34" w:rsidRPr="00770F9D" w:rsidRDefault="00EE2F34" w:rsidP="003F46E1">
      <w:pPr>
        <w:tabs>
          <w:tab w:val="left" w:pos="1080"/>
          <w:tab w:val="left" w:pos="1160"/>
        </w:tabs>
        <w:ind w:firstLine="284"/>
        <w:jc w:val="both"/>
        <w:rPr>
          <w:rFonts w:ascii="Garamond" w:hAnsi="Garamond"/>
          <w:color w:val="0D0D0D"/>
        </w:rPr>
      </w:pPr>
      <w:r w:rsidRPr="00770F9D">
        <w:rPr>
          <w:rFonts w:ascii="Garamond" w:hAnsi="Garamond"/>
          <w:color w:val="0D0D0D"/>
        </w:rPr>
        <w:t>i.</w:t>
      </w:r>
      <w:r w:rsidR="00BA4F1A" w:rsidRPr="00770F9D">
        <w:rPr>
          <w:rFonts w:ascii="Garamond" w:hAnsi="Garamond"/>
          <w:color w:val="0D0D0D"/>
        </w:rPr>
        <w:t xml:space="preserve"> </w:t>
      </w:r>
      <w:r w:rsidRPr="00770F9D">
        <w:rPr>
          <w:rFonts w:ascii="Garamond" w:hAnsi="Garamond"/>
          <w:color w:val="0D0D0D"/>
        </w:rPr>
        <w:t>Rritje me 10% e masës së përfitimit për të gjitha familjet me ndihmë ekonomike, si dhe dyfishim i masës së përfitimit për gratë kryefamiljare me dy fëmijë dhe të moshuarit pa pension. Efekti financiar për vitin 2022 pritet të jetë në vlerën 236 milionë lekë.</w:t>
      </w:r>
    </w:p>
    <w:p w14:paraId="68209A27" w14:textId="4B391AC2" w:rsidR="00EE2F34" w:rsidRPr="00770F9D" w:rsidRDefault="00EE2F34" w:rsidP="003F46E1">
      <w:pPr>
        <w:ind w:firstLine="284"/>
        <w:jc w:val="both"/>
        <w:rPr>
          <w:rFonts w:ascii="Garamond" w:hAnsi="Garamond"/>
          <w:color w:val="0D0D0D"/>
        </w:rPr>
      </w:pPr>
      <w:r w:rsidRPr="00770F9D">
        <w:rPr>
          <w:rFonts w:ascii="Garamond" w:hAnsi="Garamond"/>
          <w:color w:val="0D0D0D"/>
        </w:rPr>
        <w:t>ii.</w:t>
      </w:r>
      <w:r w:rsidR="00BA4F1A" w:rsidRPr="00770F9D">
        <w:rPr>
          <w:rFonts w:ascii="Garamond" w:hAnsi="Garamond"/>
          <w:color w:val="0D0D0D"/>
        </w:rPr>
        <w:t xml:space="preserve"> </w:t>
      </w:r>
      <w:r w:rsidRPr="00770F9D">
        <w:rPr>
          <w:rFonts w:ascii="Garamond" w:hAnsi="Garamond"/>
          <w:color w:val="0D0D0D"/>
        </w:rPr>
        <w:t>Indeksimi në masën 7.5%</w:t>
      </w:r>
      <w:r w:rsidR="00C64077" w:rsidRPr="00770F9D">
        <w:rPr>
          <w:rFonts w:ascii="Garamond" w:hAnsi="Garamond"/>
          <w:color w:val="0D0D0D"/>
        </w:rPr>
        <w:t xml:space="preserve"> </w:t>
      </w:r>
      <w:r w:rsidRPr="00770F9D">
        <w:rPr>
          <w:rFonts w:ascii="Garamond" w:hAnsi="Garamond"/>
          <w:color w:val="0D0D0D"/>
        </w:rPr>
        <w:t>e pagesës për personat me aftësi të kufizuara. Efekti financiar për vitin 2022 pritet të jetë në vlerën 188 milionë lekë.</w:t>
      </w:r>
    </w:p>
    <w:p w14:paraId="45C6AAE6" w14:textId="505D5B5B" w:rsidR="00EE2F34" w:rsidRPr="00770F9D" w:rsidRDefault="00EE2F34" w:rsidP="003F46E1">
      <w:pPr>
        <w:ind w:firstLine="284"/>
        <w:jc w:val="both"/>
        <w:rPr>
          <w:rFonts w:ascii="Garamond" w:hAnsi="Garamond"/>
          <w:color w:val="0D0D0D"/>
        </w:rPr>
      </w:pPr>
      <w:r w:rsidRPr="00770F9D">
        <w:rPr>
          <w:rFonts w:ascii="Garamond" w:hAnsi="Garamond"/>
          <w:color w:val="0D0D0D"/>
        </w:rPr>
        <w:t>iii.</w:t>
      </w:r>
      <w:r w:rsidR="00BA4F1A" w:rsidRPr="00770F9D">
        <w:rPr>
          <w:rFonts w:ascii="Garamond" w:hAnsi="Garamond"/>
          <w:color w:val="0D0D0D"/>
        </w:rPr>
        <w:t xml:space="preserve"> </w:t>
      </w:r>
      <w:r w:rsidRPr="00770F9D">
        <w:rPr>
          <w:rFonts w:ascii="Garamond" w:hAnsi="Garamond"/>
          <w:color w:val="0D0D0D"/>
        </w:rPr>
        <w:t>Mbështetje shtesë për kompensimin e energjisë elektrike për kategori</w:t>
      </w:r>
      <w:r w:rsidR="00C64077" w:rsidRPr="00770F9D">
        <w:rPr>
          <w:rFonts w:ascii="Garamond" w:hAnsi="Garamond"/>
          <w:color w:val="0D0D0D"/>
        </w:rPr>
        <w:t>të e paraplegjikëve dhe të verb</w:t>
      </w:r>
      <w:r w:rsidRPr="00770F9D">
        <w:rPr>
          <w:rFonts w:ascii="Garamond" w:hAnsi="Garamond"/>
          <w:color w:val="0D0D0D"/>
        </w:rPr>
        <w:t>rit. Efekti financiar për vitin 2022 pritet të jetë në vlerën 33 milionë lekë.</w:t>
      </w:r>
    </w:p>
    <w:p w14:paraId="7197267F" w14:textId="10E7F59F" w:rsidR="00EE2F34" w:rsidRPr="00770F9D" w:rsidRDefault="00EE2F34" w:rsidP="0023253E">
      <w:pPr>
        <w:ind w:firstLine="284"/>
        <w:jc w:val="both"/>
        <w:rPr>
          <w:rFonts w:ascii="Garamond" w:hAnsi="Garamond"/>
          <w:color w:val="0D0D0D"/>
        </w:rPr>
      </w:pPr>
      <w:r w:rsidRPr="00770F9D">
        <w:rPr>
          <w:rFonts w:ascii="Garamond" w:hAnsi="Garamond"/>
          <w:color w:val="0D0D0D"/>
        </w:rPr>
        <w:t>iv.</w:t>
      </w:r>
      <w:r w:rsidR="00BA4F1A" w:rsidRPr="00770F9D">
        <w:rPr>
          <w:rFonts w:ascii="Garamond" w:hAnsi="Garamond"/>
          <w:color w:val="0D0D0D"/>
        </w:rPr>
        <w:t xml:space="preserve"> </w:t>
      </w:r>
      <w:r w:rsidR="0023253E" w:rsidRPr="00770F9D">
        <w:rPr>
          <w:rFonts w:ascii="Garamond" w:hAnsi="Garamond"/>
          <w:color w:val="0D0D0D"/>
        </w:rPr>
        <w:t>Indeksimi në masën 7</w:t>
      </w:r>
      <w:r w:rsidRPr="00770F9D">
        <w:rPr>
          <w:rFonts w:ascii="Garamond" w:hAnsi="Garamond"/>
          <w:color w:val="0D0D0D"/>
        </w:rPr>
        <w:t>% e pagës për administratën publike, ku përfitojnë rreth 41</w:t>
      </w:r>
      <w:r w:rsidR="0023253E" w:rsidRPr="00770F9D">
        <w:rPr>
          <w:rFonts w:ascii="Garamond" w:hAnsi="Garamond"/>
          <w:color w:val="0D0D0D"/>
        </w:rPr>
        <w:t xml:space="preserve"> </w:t>
      </w:r>
      <w:r w:rsidRPr="00770F9D">
        <w:rPr>
          <w:rFonts w:ascii="Garamond" w:hAnsi="Garamond"/>
          <w:color w:val="0D0D0D"/>
        </w:rPr>
        <w:t>000 punonjës. Efekti financiar për vitin 2022 pritet të jetë në vlerën 713 milionë lekë.</w:t>
      </w:r>
    </w:p>
    <w:p w14:paraId="4EACDA62" w14:textId="16505820" w:rsidR="00EE2F34" w:rsidRPr="00770F9D" w:rsidRDefault="00EE2F34" w:rsidP="003F46E1">
      <w:pPr>
        <w:ind w:firstLine="284"/>
        <w:jc w:val="both"/>
        <w:rPr>
          <w:rFonts w:ascii="Garamond" w:hAnsi="Garamond"/>
          <w:color w:val="0D0D0D"/>
        </w:rPr>
      </w:pPr>
      <w:r w:rsidRPr="00770F9D">
        <w:rPr>
          <w:rFonts w:ascii="Garamond" w:hAnsi="Garamond"/>
          <w:color w:val="0D0D0D"/>
        </w:rPr>
        <w:t>v.</w:t>
      </w:r>
      <w:r w:rsidR="00BA4F1A" w:rsidRPr="00770F9D">
        <w:rPr>
          <w:rFonts w:ascii="Garamond" w:hAnsi="Garamond"/>
          <w:color w:val="0D0D0D"/>
        </w:rPr>
        <w:t xml:space="preserve"> </w:t>
      </w:r>
      <w:r w:rsidRPr="00770F9D">
        <w:rPr>
          <w:rFonts w:ascii="Garamond" w:hAnsi="Garamond"/>
          <w:color w:val="0D0D0D"/>
        </w:rPr>
        <w:t>Indeksimi i pensioneve në masën prej 6%. Efekti financiar për vitin 2022 pritet të jetë në vlerën 2 miliardë lekë.</w:t>
      </w:r>
    </w:p>
    <w:p w14:paraId="5842D25E" w14:textId="0A49CFFB" w:rsidR="00EE2F34" w:rsidRPr="00770F9D" w:rsidRDefault="00EE2F34" w:rsidP="003F46E1">
      <w:pPr>
        <w:ind w:firstLine="284"/>
        <w:jc w:val="both"/>
        <w:rPr>
          <w:rFonts w:ascii="Garamond" w:hAnsi="Garamond"/>
          <w:color w:val="0D0D0D"/>
        </w:rPr>
      </w:pPr>
      <w:r w:rsidRPr="00770F9D">
        <w:rPr>
          <w:rFonts w:ascii="Garamond" w:hAnsi="Garamond"/>
          <w:color w:val="0D0D0D"/>
        </w:rPr>
        <w:t>vi.</w:t>
      </w:r>
      <w:r w:rsidR="00BA4F1A" w:rsidRPr="00770F9D">
        <w:rPr>
          <w:rFonts w:ascii="Garamond" w:hAnsi="Garamond"/>
          <w:color w:val="0D0D0D"/>
        </w:rPr>
        <w:t xml:space="preserve"> </w:t>
      </w:r>
      <w:r w:rsidRPr="00770F9D">
        <w:rPr>
          <w:rFonts w:ascii="Garamond" w:hAnsi="Garamond"/>
          <w:color w:val="0D0D0D"/>
        </w:rPr>
        <w:t>Rritja e pagës minimale nga 32 mijë lekë në 34 mijë lekë.</w:t>
      </w:r>
    </w:p>
    <w:p w14:paraId="4515B824" w14:textId="638B4A77" w:rsidR="00EE2F34" w:rsidRPr="00770F9D" w:rsidRDefault="00EE2F34" w:rsidP="003F46E1">
      <w:pPr>
        <w:tabs>
          <w:tab w:val="left" w:pos="1080"/>
          <w:tab w:val="left" w:pos="1160"/>
        </w:tabs>
        <w:ind w:firstLine="284"/>
        <w:jc w:val="both"/>
        <w:rPr>
          <w:rFonts w:ascii="Garamond" w:hAnsi="Garamond"/>
          <w:color w:val="0D0D0D"/>
        </w:rPr>
      </w:pPr>
      <w:r w:rsidRPr="00770F9D">
        <w:rPr>
          <w:rFonts w:ascii="Garamond" w:hAnsi="Garamond"/>
          <w:color w:val="0D0D0D"/>
        </w:rPr>
        <w:t>Masat e përkohshme të ndërmarra në kuadër të</w:t>
      </w:r>
      <w:r w:rsidR="00FB4E07" w:rsidRPr="00770F9D">
        <w:rPr>
          <w:rFonts w:ascii="Garamond" w:hAnsi="Garamond"/>
          <w:color w:val="0D0D0D"/>
        </w:rPr>
        <w:t xml:space="preserve"> mbështetjes sociale</w:t>
      </w:r>
      <w:r w:rsidRPr="00770F9D">
        <w:rPr>
          <w:rFonts w:ascii="Garamond" w:hAnsi="Garamond"/>
          <w:color w:val="0D0D0D"/>
        </w:rPr>
        <w:t xml:space="preserve"> përcaktohen</w:t>
      </w:r>
      <w:r w:rsidR="00FB4E07" w:rsidRPr="00770F9D">
        <w:rPr>
          <w:rFonts w:ascii="Garamond" w:hAnsi="Garamond"/>
          <w:color w:val="0D0D0D"/>
        </w:rPr>
        <w:t>,</w:t>
      </w:r>
      <w:r w:rsidRPr="00770F9D">
        <w:rPr>
          <w:rFonts w:ascii="Garamond" w:hAnsi="Garamond"/>
          <w:color w:val="0D0D0D"/>
        </w:rPr>
        <w:t xml:space="preserve"> si më poshtë:</w:t>
      </w:r>
    </w:p>
    <w:p w14:paraId="6D460ADA" w14:textId="74F194A3" w:rsidR="00EE2F34" w:rsidRPr="00770F9D" w:rsidRDefault="00EE2F34" w:rsidP="003F46E1">
      <w:pPr>
        <w:tabs>
          <w:tab w:val="left" w:pos="1080"/>
          <w:tab w:val="left" w:pos="1160"/>
        </w:tabs>
        <w:ind w:firstLine="284"/>
        <w:jc w:val="both"/>
        <w:rPr>
          <w:rFonts w:ascii="Garamond" w:hAnsi="Garamond"/>
          <w:color w:val="0D0D0D"/>
        </w:rPr>
      </w:pPr>
      <w:r w:rsidRPr="00770F9D">
        <w:rPr>
          <w:rFonts w:ascii="Garamond" w:hAnsi="Garamond"/>
          <w:color w:val="0D0D0D"/>
        </w:rPr>
        <w:t>i.</w:t>
      </w:r>
      <w:r w:rsidR="00BA4F1A" w:rsidRPr="00770F9D">
        <w:rPr>
          <w:rFonts w:ascii="Garamond" w:hAnsi="Garamond"/>
          <w:color w:val="0D0D0D"/>
        </w:rPr>
        <w:t xml:space="preserve"> </w:t>
      </w:r>
      <w:r w:rsidRPr="00770F9D">
        <w:rPr>
          <w:rFonts w:ascii="Garamond" w:hAnsi="Garamond"/>
          <w:color w:val="0D0D0D"/>
        </w:rPr>
        <w:t>Në sektorin e bujqësisë:</w:t>
      </w:r>
    </w:p>
    <w:p w14:paraId="331B3BDE" w14:textId="71B49809" w:rsidR="00EE2F34" w:rsidRPr="00770F9D" w:rsidRDefault="004E67AE" w:rsidP="003F46E1">
      <w:pPr>
        <w:tabs>
          <w:tab w:val="left" w:pos="1080"/>
          <w:tab w:val="left" w:pos="1160"/>
        </w:tabs>
        <w:ind w:firstLine="284"/>
        <w:jc w:val="both"/>
        <w:rPr>
          <w:rFonts w:ascii="Garamond" w:hAnsi="Garamond"/>
          <w:color w:val="0D0D0D"/>
        </w:rPr>
      </w:pPr>
      <w:r w:rsidRPr="00770F9D">
        <w:rPr>
          <w:rFonts w:ascii="Garamond" w:hAnsi="Garamond" w:cs="Courier New"/>
          <w:color w:val="0D0D0D"/>
        </w:rPr>
        <w:t>-</w:t>
      </w:r>
      <w:r w:rsidR="00BA4F1A" w:rsidRPr="00770F9D">
        <w:rPr>
          <w:rFonts w:ascii="Garamond" w:hAnsi="Garamond" w:cs="Courier New"/>
          <w:color w:val="0D0D0D"/>
        </w:rPr>
        <w:t xml:space="preserve"> </w:t>
      </w:r>
      <w:r w:rsidR="00EE2F34" w:rsidRPr="00770F9D">
        <w:rPr>
          <w:rFonts w:ascii="Garamond" w:hAnsi="Garamond"/>
          <w:color w:val="0D0D0D"/>
        </w:rPr>
        <w:t>Mbështetja e kostos së naftës për fermerët dhe sektorin e peshkimit në vlerën prej 700 milionë lekë</w:t>
      </w:r>
      <w:r w:rsidR="00FB4E07" w:rsidRPr="00770F9D">
        <w:rPr>
          <w:rFonts w:ascii="Garamond" w:hAnsi="Garamond"/>
          <w:color w:val="0D0D0D"/>
        </w:rPr>
        <w:t>sh</w:t>
      </w:r>
      <w:r w:rsidR="00EE2F34" w:rsidRPr="00770F9D">
        <w:rPr>
          <w:rFonts w:ascii="Garamond" w:hAnsi="Garamond"/>
          <w:color w:val="0D0D0D"/>
        </w:rPr>
        <w:t>.</w:t>
      </w:r>
    </w:p>
    <w:p w14:paraId="36D47211" w14:textId="5E0B7330" w:rsidR="00EE2F34" w:rsidRPr="00770F9D" w:rsidRDefault="004E67AE" w:rsidP="003F46E1">
      <w:pPr>
        <w:tabs>
          <w:tab w:val="left" w:pos="1080"/>
          <w:tab w:val="left" w:pos="1160"/>
        </w:tabs>
        <w:ind w:firstLine="284"/>
        <w:jc w:val="both"/>
        <w:rPr>
          <w:rFonts w:ascii="Garamond" w:hAnsi="Garamond"/>
          <w:color w:val="0D0D0D"/>
        </w:rPr>
      </w:pPr>
      <w:r w:rsidRPr="00770F9D">
        <w:rPr>
          <w:rFonts w:ascii="Garamond" w:hAnsi="Garamond" w:cs="Courier New"/>
          <w:color w:val="0D0D0D"/>
        </w:rPr>
        <w:t>-</w:t>
      </w:r>
      <w:r w:rsidR="00BA4F1A" w:rsidRPr="00770F9D">
        <w:rPr>
          <w:rFonts w:ascii="Garamond" w:hAnsi="Garamond" w:cs="Courier New"/>
          <w:color w:val="0D0D0D"/>
        </w:rPr>
        <w:t xml:space="preserve"> </w:t>
      </w:r>
      <w:r w:rsidR="00EE2F34" w:rsidRPr="00770F9D">
        <w:rPr>
          <w:rFonts w:ascii="Garamond" w:hAnsi="Garamond"/>
          <w:color w:val="0D0D0D"/>
        </w:rPr>
        <w:t>Mbështetja për</w:t>
      </w:r>
      <w:r w:rsidR="00517721" w:rsidRPr="00770F9D">
        <w:rPr>
          <w:rFonts w:ascii="Garamond" w:hAnsi="Garamond"/>
          <w:color w:val="0D0D0D"/>
        </w:rPr>
        <w:t xml:space="preserve"> </w:t>
      </w:r>
      <w:r w:rsidR="00EE2F34" w:rsidRPr="00770F9D">
        <w:rPr>
          <w:rFonts w:ascii="Garamond" w:hAnsi="Garamond"/>
          <w:color w:val="0D0D0D"/>
        </w:rPr>
        <w:t>fermerët për mbjelljen e</w:t>
      </w:r>
      <w:r w:rsidR="00517721" w:rsidRPr="00770F9D">
        <w:rPr>
          <w:rFonts w:ascii="Garamond" w:hAnsi="Garamond"/>
          <w:color w:val="0D0D0D"/>
        </w:rPr>
        <w:t xml:space="preserve"> </w:t>
      </w:r>
      <w:r w:rsidR="00EE2F34" w:rsidRPr="00770F9D">
        <w:rPr>
          <w:rFonts w:ascii="Garamond" w:hAnsi="Garamond"/>
          <w:color w:val="0D0D0D"/>
        </w:rPr>
        <w:t>grurit në vlerën prej 500 milionë lekë</w:t>
      </w:r>
      <w:r w:rsidR="00517721" w:rsidRPr="00770F9D">
        <w:rPr>
          <w:rFonts w:ascii="Garamond" w:hAnsi="Garamond"/>
          <w:color w:val="0D0D0D"/>
        </w:rPr>
        <w:t>sh</w:t>
      </w:r>
      <w:r w:rsidR="00EE2F34" w:rsidRPr="00770F9D">
        <w:rPr>
          <w:rFonts w:ascii="Garamond" w:hAnsi="Garamond"/>
          <w:color w:val="0D0D0D"/>
        </w:rPr>
        <w:t>.</w:t>
      </w:r>
    </w:p>
    <w:p w14:paraId="0F28B56B" w14:textId="0EEE4CBE" w:rsidR="00EE2F34" w:rsidRPr="00770F9D" w:rsidRDefault="00EE2F34" w:rsidP="003F46E1">
      <w:pPr>
        <w:tabs>
          <w:tab w:val="left" w:pos="1080"/>
          <w:tab w:val="left" w:pos="1160"/>
        </w:tabs>
        <w:ind w:firstLine="284"/>
        <w:jc w:val="both"/>
        <w:rPr>
          <w:rFonts w:ascii="Garamond" w:hAnsi="Garamond"/>
          <w:color w:val="0D0D0D"/>
        </w:rPr>
      </w:pPr>
      <w:r w:rsidRPr="00770F9D">
        <w:rPr>
          <w:rFonts w:ascii="Garamond" w:hAnsi="Garamond"/>
          <w:color w:val="0D0D0D"/>
        </w:rPr>
        <w:t>ii.</w:t>
      </w:r>
      <w:r w:rsidR="00BA4F1A" w:rsidRPr="00770F9D">
        <w:rPr>
          <w:rFonts w:ascii="Garamond" w:hAnsi="Garamond"/>
          <w:color w:val="0D0D0D"/>
        </w:rPr>
        <w:t xml:space="preserve"> </w:t>
      </w:r>
      <w:r w:rsidRPr="00770F9D">
        <w:rPr>
          <w:rFonts w:ascii="Garamond" w:hAnsi="Garamond"/>
          <w:color w:val="0D0D0D"/>
        </w:rPr>
        <w:t>Mbështetje pë</w:t>
      </w:r>
      <w:r w:rsidR="001B6F21" w:rsidRPr="00770F9D">
        <w:rPr>
          <w:rFonts w:ascii="Garamond" w:hAnsi="Garamond"/>
          <w:color w:val="0D0D0D"/>
        </w:rPr>
        <w:t xml:space="preserve">r sektorin e transportit urban </w:t>
      </w:r>
      <w:r w:rsidRPr="00770F9D">
        <w:rPr>
          <w:rFonts w:ascii="Garamond" w:hAnsi="Garamond"/>
          <w:color w:val="0D0D0D"/>
        </w:rPr>
        <w:t>në vlerën 120 milionë lekë.</w:t>
      </w:r>
    </w:p>
    <w:p w14:paraId="39C9FCD4" w14:textId="77777777" w:rsidR="00EE2F34" w:rsidRPr="00770F9D" w:rsidRDefault="00EE2F34" w:rsidP="003F46E1">
      <w:pPr>
        <w:ind w:firstLine="284"/>
        <w:jc w:val="both"/>
        <w:rPr>
          <w:rFonts w:ascii="Garamond" w:hAnsi="Garamond"/>
          <w:color w:val="0D0D0D"/>
        </w:rPr>
      </w:pPr>
      <w:r w:rsidRPr="00770F9D">
        <w:rPr>
          <w:rFonts w:ascii="Garamond" w:hAnsi="Garamond"/>
          <w:color w:val="0D0D0D"/>
        </w:rPr>
        <w:t>Politika fiskale do të mbetet plotësisht e orientuar për t’iu rikthyer objektivit të saj prioritar të konsolidimit fiskal në periudhën afatmesme dhe afatgjatë, në përputhje me rregullat fiskale të sanksionuara në ligjin organik të buxhetit për uljen e vazhdueshme të borxhit publik deri në uljen e tij nën nivelin 45 për qind të PBB-së, si dhe në përputhje me përcaktimet e rekomandimet specifike të Komisionit Evropian.</w:t>
      </w:r>
    </w:p>
    <w:p w14:paraId="14F533B3" w14:textId="7D570CC4" w:rsidR="00EE2F34" w:rsidRPr="00770F9D" w:rsidRDefault="00EE2F34" w:rsidP="003F46E1">
      <w:pPr>
        <w:ind w:firstLine="284"/>
        <w:jc w:val="both"/>
        <w:rPr>
          <w:rFonts w:ascii="Garamond" w:hAnsi="Garamond"/>
          <w:color w:val="0D0D0D"/>
        </w:rPr>
      </w:pPr>
      <w:r w:rsidRPr="00770F9D">
        <w:rPr>
          <w:rFonts w:ascii="Garamond" w:hAnsi="Garamond"/>
          <w:color w:val="0D0D0D"/>
        </w:rPr>
        <w:t>Në kuadrin makroekonomik-fiskal, borxhi publik bruto do të ndjekë trajektoren rënëse të nisur në vitin 2021 pas pandemisë</w:t>
      </w:r>
      <w:r w:rsidR="008F7F68" w:rsidRPr="00770F9D">
        <w:rPr>
          <w:rFonts w:ascii="Garamond" w:hAnsi="Garamond"/>
          <w:color w:val="0D0D0D"/>
        </w:rPr>
        <w:t>,</w:t>
      </w:r>
      <w:r w:rsidRPr="00770F9D">
        <w:rPr>
          <w:rFonts w:ascii="Garamond" w:hAnsi="Garamond"/>
          <w:color w:val="0D0D0D"/>
        </w:rPr>
        <w:t xml:space="preserve"> në përputhje me rregullin fiskal përkatës. Në vitin 2022, borxhi publik pritet të bjerë në rreth 68.8 për qind të PBB-së nga rreth 73.2 për qind në vitin 2021 dhe pritet të vazhdojë të bjerë më tej në rreth 67.5 për qind në vitin 2023. Sipas skenarit bazë, borxhi publik pritet të bjerë në rreth 64.2 për qind në vitin 2026 dhe më tej në rreth 54.9 për qind në vitin 2031.</w:t>
      </w:r>
    </w:p>
    <w:p w14:paraId="5FD0B0EB" w14:textId="0F91B9E9" w:rsidR="00EE2F34" w:rsidRPr="00770F9D" w:rsidRDefault="00EE2F34" w:rsidP="003F46E1">
      <w:pPr>
        <w:ind w:firstLine="284"/>
        <w:jc w:val="both"/>
        <w:rPr>
          <w:rFonts w:ascii="Garamond" w:hAnsi="Garamond"/>
          <w:color w:val="0D0D0D"/>
        </w:rPr>
      </w:pPr>
      <w:r w:rsidRPr="00770F9D">
        <w:rPr>
          <w:rFonts w:ascii="Garamond" w:hAnsi="Garamond"/>
          <w:color w:val="0D0D0D"/>
        </w:rPr>
        <w:t>Balanca primare do të rikthehet në nivel pozitiv (suficit primar)</w:t>
      </w:r>
      <w:r w:rsidR="008F7F68" w:rsidRPr="00770F9D">
        <w:rPr>
          <w:rFonts w:ascii="Garamond" w:hAnsi="Garamond"/>
          <w:color w:val="0D0D0D"/>
        </w:rPr>
        <w:t>,</w:t>
      </w:r>
      <w:r w:rsidRPr="00770F9D">
        <w:rPr>
          <w:rFonts w:ascii="Garamond" w:hAnsi="Garamond"/>
          <w:color w:val="0D0D0D"/>
        </w:rPr>
        <w:t xml:space="preserve"> që prej vitit 2023 e në vijim. Ndërkohë që, duke filluar prej vitit buxhetor 2024 e në vijim ky target do të jetë edhe ligjërisht i detyrueshëm, ku në LOB përcaktohet që duke filluar nga viti buxhetor 2024 e për çdo vit në vijim balanca primare të rezultojë jo më e vogël se sa zero (pra së paku e balancuar ose pozitive). Në vitin 2023, balanca primare është projektuar në rreth 0.3 </w:t>
      </w:r>
      <w:r w:rsidR="00623F19" w:rsidRPr="00770F9D">
        <w:rPr>
          <w:rFonts w:ascii="Garamond" w:hAnsi="Garamond"/>
          <w:color w:val="0D0D0D"/>
        </w:rPr>
        <w:t>për qind</w:t>
      </w:r>
      <w:r w:rsidRPr="00770F9D">
        <w:rPr>
          <w:rFonts w:ascii="Garamond" w:hAnsi="Garamond"/>
          <w:color w:val="0D0D0D"/>
        </w:rPr>
        <w:t xml:space="preserve"> të PBB-së dhe të vazhdojë të zgjerohet më tej në normën prej 0.9 </w:t>
      </w:r>
      <w:r w:rsidR="00623F19" w:rsidRPr="00770F9D">
        <w:rPr>
          <w:rFonts w:ascii="Garamond" w:hAnsi="Garamond"/>
          <w:color w:val="0D0D0D"/>
        </w:rPr>
        <w:t>për qind</w:t>
      </w:r>
      <w:r w:rsidRPr="00770F9D">
        <w:rPr>
          <w:rFonts w:ascii="Garamond" w:hAnsi="Garamond"/>
          <w:color w:val="0D0D0D"/>
        </w:rPr>
        <w:t xml:space="preserve"> në vitin 2024 dhe në 1.2 </w:t>
      </w:r>
      <w:r w:rsidR="00623F19" w:rsidRPr="00770F9D">
        <w:rPr>
          <w:rFonts w:ascii="Garamond" w:hAnsi="Garamond"/>
          <w:color w:val="0D0D0D"/>
        </w:rPr>
        <w:t>për qind</w:t>
      </w:r>
      <w:r w:rsidRPr="00770F9D">
        <w:rPr>
          <w:rFonts w:ascii="Garamond" w:hAnsi="Garamond"/>
          <w:color w:val="0D0D0D"/>
        </w:rPr>
        <w:t xml:space="preserve"> në vitin 2025.</w:t>
      </w:r>
    </w:p>
    <w:p w14:paraId="3FBDAE08" w14:textId="0007F658" w:rsidR="00EE2F34" w:rsidRPr="00770F9D" w:rsidRDefault="00EE2F34" w:rsidP="00996F2C">
      <w:pPr>
        <w:tabs>
          <w:tab w:val="left" w:pos="0"/>
          <w:tab w:val="left" w:pos="500"/>
        </w:tabs>
        <w:ind w:firstLine="284"/>
        <w:jc w:val="both"/>
        <w:rPr>
          <w:rFonts w:ascii="Garamond" w:hAnsi="Garamond"/>
          <w:color w:val="0D0D0D"/>
        </w:rPr>
      </w:pPr>
      <w:r w:rsidRPr="00770F9D">
        <w:rPr>
          <w:rFonts w:ascii="Garamond" w:hAnsi="Garamond"/>
          <w:color w:val="0D0D0D"/>
        </w:rPr>
        <w:t xml:space="preserve">Prioriteti kryesor për periudhën afatmesme mbetet pastrimi i stokut të detyrimeve të prapambetura dhe parandalimi i akumulimit të tyre. Në vitet e fundit ky objektiv është arritur pasi stoku i detyrimeve të prapambetura ka ndjekur një tendencë progresive rënëse. Vendosja e </w:t>
      </w:r>
      <w:r w:rsidR="008F7F68" w:rsidRPr="00770F9D">
        <w:rPr>
          <w:rFonts w:ascii="Garamond" w:hAnsi="Garamond"/>
          <w:color w:val="0D0D0D"/>
        </w:rPr>
        <w:t>objektivave specifik</w:t>
      </w:r>
      <w:r w:rsidR="00996F2C">
        <w:rPr>
          <w:rFonts w:ascii="Garamond" w:hAnsi="Garamond"/>
          <w:color w:val="0D0D0D"/>
        </w:rPr>
        <w:t>ë</w:t>
      </w:r>
      <w:r w:rsidR="008F7F68" w:rsidRPr="00770F9D">
        <w:rPr>
          <w:rFonts w:ascii="Garamond" w:hAnsi="Garamond"/>
          <w:color w:val="0D0D0D"/>
        </w:rPr>
        <w:t xml:space="preserve"> ndër vite</w:t>
      </w:r>
      <w:r w:rsidRPr="00770F9D">
        <w:rPr>
          <w:rFonts w:ascii="Garamond" w:hAnsi="Garamond"/>
          <w:color w:val="0D0D0D"/>
        </w:rPr>
        <w:t xml:space="preserve"> (p.sh. </w:t>
      </w:r>
      <w:r w:rsidR="008F7F68" w:rsidRPr="00770F9D">
        <w:rPr>
          <w:rFonts w:ascii="Garamond" w:hAnsi="Garamond"/>
          <w:color w:val="0D0D0D"/>
        </w:rPr>
        <w:t>qeverisja e mirë</w:t>
      </w:r>
      <w:r w:rsidRPr="00770F9D">
        <w:rPr>
          <w:rFonts w:ascii="Garamond" w:hAnsi="Garamond"/>
          <w:color w:val="0D0D0D"/>
        </w:rPr>
        <w:t>) përgjithësisht ka çuar në një reduktim të stokut të detyrimeve të prapambetura në vitet e fundit, një trend i cili është vendosur të vazhdojë edhe gjatë vitit 2022. Për vitin 2022, objektivi specifik për detyrimet e prapambet</w:t>
      </w:r>
      <w:r w:rsidR="00857B9C" w:rsidRPr="00770F9D">
        <w:rPr>
          <w:rFonts w:ascii="Garamond" w:hAnsi="Garamond"/>
          <w:color w:val="0D0D0D"/>
        </w:rPr>
        <w:t>ura të qeverisë së përgjithshme</w:t>
      </w:r>
      <w:r w:rsidRPr="00770F9D">
        <w:rPr>
          <w:rFonts w:ascii="Garamond" w:hAnsi="Garamond"/>
          <w:color w:val="0D0D0D"/>
        </w:rPr>
        <w:t xml:space="preserve"> (</w:t>
      </w:r>
      <w:r w:rsidR="00857B9C" w:rsidRPr="00770F9D">
        <w:rPr>
          <w:rFonts w:ascii="Garamond" w:hAnsi="Garamond"/>
          <w:color w:val="0D0D0D"/>
        </w:rPr>
        <w:t xml:space="preserve">treguesi i performancës </w:t>
      </w:r>
      <w:r w:rsidRPr="00770F9D">
        <w:rPr>
          <w:rFonts w:ascii="Garamond" w:hAnsi="Garamond"/>
          <w:color w:val="0D0D0D"/>
        </w:rPr>
        <w:t>për</w:t>
      </w:r>
      <w:r w:rsidR="00857B9C" w:rsidRPr="00770F9D">
        <w:rPr>
          <w:rFonts w:ascii="Garamond" w:hAnsi="Garamond"/>
          <w:color w:val="0D0D0D"/>
        </w:rPr>
        <w:t xml:space="preserve"> qeverisjen </w:t>
      </w:r>
      <w:r w:rsidRPr="00770F9D">
        <w:rPr>
          <w:rFonts w:ascii="Garamond" w:hAnsi="Garamond"/>
          <w:color w:val="0D0D0D"/>
        </w:rPr>
        <w:t xml:space="preserve">e </w:t>
      </w:r>
      <w:r w:rsidR="00857B9C" w:rsidRPr="00770F9D">
        <w:rPr>
          <w:rFonts w:ascii="Garamond" w:hAnsi="Garamond"/>
          <w:color w:val="0D0D0D"/>
        </w:rPr>
        <w:t>mirë</w:t>
      </w:r>
      <w:r w:rsidRPr="00770F9D">
        <w:rPr>
          <w:rFonts w:ascii="Garamond" w:hAnsi="Garamond"/>
          <w:color w:val="0D0D0D"/>
        </w:rPr>
        <w:t xml:space="preserve">) targeti u sugjerua nga MFE-ja të ndryshojë nga 2% në 3%, ndërsa për një arritje të pjesshme, targeti të vendoset në 3.5%, gjë që është miratuar dhe reflektuar edhe në objektivat e vendosur për </w:t>
      </w:r>
      <w:r w:rsidR="00F33CD7" w:rsidRPr="00770F9D">
        <w:rPr>
          <w:rFonts w:ascii="Garamond" w:hAnsi="Garamond"/>
          <w:color w:val="0D0D0D"/>
        </w:rPr>
        <w:t xml:space="preserve">qeverisjen e mirë dhe strategjinë </w:t>
      </w:r>
      <w:r w:rsidRPr="00770F9D">
        <w:rPr>
          <w:rFonts w:ascii="Garamond" w:hAnsi="Garamond"/>
          <w:color w:val="0D0D0D"/>
        </w:rPr>
        <w:t>e PFM për vitin 2022.</w:t>
      </w:r>
    </w:p>
    <w:p w14:paraId="6ACA4CB5" w14:textId="739FE57A" w:rsidR="00EE2F34" w:rsidRPr="00770F9D" w:rsidRDefault="00EE2F34" w:rsidP="00F33CD7">
      <w:pPr>
        <w:ind w:firstLine="284"/>
        <w:jc w:val="both"/>
        <w:rPr>
          <w:rFonts w:ascii="Garamond" w:hAnsi="Garamond"/>
          <w:color w:val="0D0D0D"/>
        </w:rPr>
      </w:pPr>
      <w:r w:rsidRPr="00770F9D">
        <w:rPr>
          <w:rFonts w:ascii="Garamond" w:hAnsi="Garamond"/>
          <w:color w:val="0D0D0D"/>
        </w:rPr>
        <w:t xml:space="preserve">Targeti i detyrimeve të prapambetura të qeverisë së përgjithshme si </w:t>
      </w:r>
      <w:r w:rsidR="00F33CD7" w:rsidRPr="00770F9D">
        <w:rPr>
          <w:rFonts w:ascii="Garamond" w:hAnsi="Garamond"/>
          <w:color w:val="0D0D0D"/>
        </w:rPr>
        <w:t>për</w:t>
      </w:r>
      <w:r w:rsidR="00623F19" w:rsidRPr="00770F9D">
        <w:rPr>
          <w:rFonts w:ascii="Garamond" w:hAnsi="Garamond"/>
          <w:color w:val="0D0D0D"/>
        </w:rPr>
        <w:t>qind</w:t>
      </w:r>
      <w:r w:rsidRPr="00770F9D">
        <w:rPr>
          <w:rFonts w:ascii="Garamond" w:hAnsi="Garamond"/>
          <w:color w:val="0D0D0D"/>
        </w:rPr>
        <w:t>je e totalit të shpenzimeve për vitin 2022 është vendosur nën 3.0%. Pritshmëritë për përmbushjen e këtij objektivi janë pozitive, duke pa</w:t>
      </w:r>
      <w:r w:rsidR="00F33CD7" w:rsidRPr="00770F9D">
        <w:rPr>
          <w:rFonts w:ascii="Garamond" w:hAnsi="Garamond"/>
          <w:color w:val="0D0D0D"/>
        </w:rPr>
        <w:t>s</w:t>
      </w:r>
      <w:r w:rsidRPr="00770F9D">
        <w:rPr>
          <w:rFonts w:ascii="Garamond" w:hAnsi="Garamond"/>
          <w:color w:val="0D0D0D"/>
        </w:rPr>
        <w:t>ur parasysh se për periudhën 9</w:t>
      </w:r>
      <w:r w:rsidR="00F33CD7" w:rsidRPr="00770F9D">
        <w:rPr>
          <w:rFonts w:ascii="Garamond" w:hAnsi="Garamond"/>
          <w:color w:val="0D0D0D"/>
        </w:rPr>
        <w:t>-</w:t>
      </w:r>
      <w:r w:rsidRPr="00770F9D">
        <w:rPr>
          <w:rFonts w:ascii="Garamond" w:hAnsi="Garamond"/>
          <w:color w:val="0D0D0D"/>
        </w:rPr>
        <w:t xml:space="preserve">mujore 2022, detyrimet e prapambetura si </w:t>
      </w:r>
      <w:r w:rsidR="00F33CD7" w:rsidRPr="00770F9D">
        <w:rPr>
          <w:rFonts w:ascii="Garamond" w:hAnsi="Garamond"/>
          <w:color w:val="0D0D0D"/>
        </w:rPr>
        <w:t>për</w:t>
      </w:r>
      <w:r w:rsidR="00623F19" w:rsidRPr="00770F9D">
        <w:rPr>
          <w:rFonts w:ascii="Garamond" w:hAnsi="Garamond"/>
          <w:color w:val="0D0D0D"/>
        </w:rPr>
        <w:t>qind</w:t>
      </w:r>
      <w:r w:rsidRPr="00770F9D">
        <w:rPr>
          <w:rFonts w:ascii="Garamond" w:hAnsi="Garamond"/>
          <w:color w:val="0D0D0D"/>
        </w:rPr>
        <w:t>je ndaj totalit të shpenzimeve (</w:t>
      </w:r>
      <w:r w:rsidR="00F33CD7" w:rsidRPr="00770F9D">
        <w:rPr>
          <w:rFonts w:ascii="Garamond" w:hAnsi="Garamond"/>
          <w:color w:val="0D0D0D"/>
        </w:rPr>
        <w:t xml:space="preserve">akti normativ </w:t>
      </w:r>
      <w:r w:rsidRPr="00770F9D">
        <w:rPr>
          <w:rFonts w:ascii="Garamond" w:hAnsi="Garamond"/>
          <w:color w:val="0D0D0D"/>
        </w:rPr>
        <w:t>nr.</w:t>
      </w:r>
      <w:r w:rsidR="00F33CD7" w:rsidRPr="00770F9D">
        <w:rPr>
          <w:rFonts w:ascii="Garamond" w:hAnsi="Garamond"/>
          <w:color w:val="0D0D0D"/>
        </w:rPr>
        <w:t xml:space="preserve"> </w:t>
      </w:r>
      <w:r w:rsidRPr="00770F9D">
        <w:rPr>
          <w:rFonts w:ascii="Garamond" w:hAnsi="Garamond"/>
          <w:color w:val="0D0D0D"/>
        </w:rPr>
        <w:t xml:space="preserve">17, datë 1.12.2022) rezultojnë pothuajse 2.55%. </w:t>
      </w:r>
    </w:p>
    <w:p w14:paraId="6DEDB9DB" w14:textId="77777777" w:rsidR="00EE2F34" w:rsidRPr="00770F9D" w:rsidRDefault="00EE2F34" w:rsidP="003F46E1">
      <w:pPr>
        <w:ind w:firstLine="284"/>
        <w:jc w:val="both"/>
        <w:rPr>
          <w:rFonts w:ascii="Garamond" w:hAnsi="Garamond"/>
          <w:color w:val="0D0D0D"/>
        </w:rPr>
      </w:pPr>
      <w:r w:rsidRPr="00770F9D">
        <w:rPr>
          <w:rFonts w:ascii="Garamond" w:hAnsi="Garamond"/>
          <w:color w:val="0D0D0D"/>
        </w:rPr>
        <w:t>Detyrimet e prapambetura të qeverisë së përgjithshme kanë pasur një trend rënës, duke krahasuar stokun e tyre me periudhat e mëparshme vjetore. Faktorë të tillë si efektet e krizës globale energjetike, lufta në Ukrainë, luhatjet e çmimeve të energjisë, karburanteve dhe inputeve, kanë ndikuar në “sjelljen” e detyrimeve të prapambetura për vitin 2022 dhe kanë çuar në një rritje të lehtë të stokut të tyre, krahasuar me vitin 2021.</w:t>
      </w:r>
    </w:p>
    <w:p w14:paraId="53FFFB5F" w14:textId="3C4A9600" w:rsidR="00EE2F34" w:rsidRPr="00770F9D" w:rsidRDefault="00EE2F34" w:rsidP="003F46E1">
      <w:pPr>
        <w:ind w:firstLine="284"/>
        <w:jc w:val="both"/>
        <w:rPr>
          <w:rFonts w:ascii="Garamond" w:hAnsi="Garamond"/>
          <w:color w:val="0D0D0D"/>
        </w:rPr>
      </w:pPr>
      <w:r w:rsidRPr="00770F9D">
        <w:rPr>
          <w:rFonts w:ascii="Garamond" w:hAnsi="Garamond"/>
          <w:color w:val="0D0D0D"/>
        </w:rPr>
        <w:t xml:space="preserve">Megjithatë, duhet theksuar se </w:t>
      </w:r>
      <w:r w:rsidR="00F72C3E" w:rsidRPr="00770F9D">
        <w:rPr>
          <w:rFonts w:ascii="Garamond" w:hAnsi="Garamond"/>
          <w:color w:val="0D0D0D"/>
        </w:rPr>
        <w:t xml:space="preserve">akti normativ </w:t>
      </w:r>
      <w:r w:rsidRPr="00770F9D">
        <w:rPr>
          <w:rFonts w:ascii="Garamond" w:hAnsi="Garamond"/>
          <w:color w:val="0D0D0D"/>
        </w:rPr>
        <w:t>nr.</w:t>
      </w:r>
      <w:r w:rsidR="00F72C3E" w:rsidRPr="00770F9D">
        <w:rPr>
          <w:rFonts w:ascii="Garamond" w:hAnsi="Garamond"/>
          <w:color w:val="0D0D0D"/>
        </w:rPr>
        <w:t xml:space="preserve"> 17, datë </w:t>
      </w:r>
      <w:r w:rsidRPr="00770F9D">
        <w:rPr>
          <w:rFonts w:ascii="Garamond" w:hAnsi="Garamond"/>
          <w:color w:val="0D0D0D"/>
        </w:rPr>
        <w:t>1.12.2022, përbëhet nga rialokime buxhetore ndërmjet programeve, kryesisht në projekte të shpenzimeve kapitale, gjë që ndikon pozitivisht në pastrimin e një pjese të madhe të stokut të detyrimeve të prapambetura, me qëllim të përmbushjes së objektivit përfundimtar për vitin 2022. Grafiku më poshtë ilustron ecurinë e detyrimeve të prapambetura të qeverisë së përgjithshme nga viti 2018 deri në tremujorin e tretë të vitit 2022:</w:t>
      </w:r>
    </w:p>
    <w:p w14:paraId="1E5B4C3F" w14:textId="02965E1E" w:rsidR="00EE2F34" w:rsidRPr="00770F9D" w:rsidRDefault="00CF18A6" w:rsidP="001C3701">
      <w:pPr>
        <w:ind w:firstLine="284"/>
        <w:jc w:val="center"/>
        <w:rPr>
          <w:rFonts w:ascii="Garamond" w:hAnsi="Garamond"/>
          <w:i/>
          <w:iCs/>
          <w:color w:val="0D0D0D"/>
        </w:rPr>
      </w:pPr>
      <w:r w:rsidRPr="00770F9D">
        <w:rPr>
          <w:rFonts w:ascii="Garamond" w:hAnsi="Garamond" w:cstheme="majorBidi"/>
          <w:noProof/>
          <w:color w:val="0D0D0D" w:themeColor="text1" w:themeTint="F2"/>
          <w:sz w:val="20"/>
          <w:szCs w:val="20"/>
          <w:lang w:eastAsia="sq-AL"/>
        </w:rPr>
        <w:drawing>
          <wp:anchor distT="0" distB="0" distL="114300" distR="114300" simplePos="0" relativeHeight="251658243" behindDoc="0" locked="0" layoutInCell="1" allowOverlap="1" wp14:anchorId="7C6A3643" wp14:editId="3F29E435">
            <wp:simplePos x="0" y="0"/>
            <wp:positionH relativeFrom="column">
              <wp:posOffset>-52705</wp:posOffset>
            </wp:positionH>
            <wp:positionV relativeFrom="paragraph">
              <wp:posOffset>204470</wp:posOffset>
            </wp:positionV>
            <wp:extent cx="5943600" cy="1819275"/>
            <wp:effectExtent l="0" t="0" r="0" b="9525"/>
            <wp:wrapSquare wrapText="bothSides"/>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00EE2F34" w:rsidRPr="00770F9D">
        <w:rPr>
          <w:rFonts w:ascii="Garamond" w:hAnsi="Garamond"/>
          <w:b/>
          <w:bCs/>
          <w:i/>
          <w:iCs/>
          <w:color w:val="0D0D0D"/>
          <w:sz w:val="20"/>
          <w:szCs w:val="20"/>
        </w:rPr>
        <w:t>Grafiku 1:</w:t>
      </w:r>
      <w:r w:rsidR="001C3701" w:rsidRPr="00770F9D">
        <w:rPr>
          <w:rFonts w:ascii="Garamond" w:hAnsi="Garamond"/>
          <w:i/>
          <w:iCs/>
          <w:color w:val="0D0D0D"/>
          <w:sz w:val="20"/>
          <w:szCs w:val="20"/>
        </w:rPr>
        <w:t xml:space="preserve"> </w:t>
      </w:r>
      <w:r w:rsidR="00EE2F34" w:rsidRPr="00770F9D">
        <w:rPr>
          <w:rFonts w:ascii="Garamond" w:hAnsi="Garamond"/>
          <w:i/>
          <w:iCs/>
          <w:color w:val="0D0D0D"/>
          <w:sz w:val="20"/>
          <w:szCs w:val="20"/>
        </w:rPr>
        <w:t>Stoku i detyrimeve të prapambetura të qeve</w:t>
      </w:r>
      <w:r w:rsidR="000F4E5B">
        <w:rPr>
          <w:rFonts w:ascii="Garamond" w:hAnsi="Garamond"/>
          <w:i/>
          <w:iCs/>
          <w:color w:val="0D0D0D"/>
          <w:sz w:val="20"/>
          <w:szCs w:val="20"/>
        </w:rPr>
        <w:t>risë së përgjithshme, në milion lek</w:t>
      </w:r>
    </w:p>
    <w:p w14:paraId="44760104" w14:textId="4472EB76" w:rsidR="00720244" w:rsidRPr="00770F9D" w:rsidRDefault="00720244" w:rsidP="004E67AE">
      <w:pPr>
        <w:ind w:firstLine="284"/>
        <w:jc w:val="center"/>
        <w:rPr>
          <w:rFonts w:ascii="Garamond" w:eastAsia="MS Mincho" w:hAnsi="Garamond" w:cstheme="majorBidi"/>
          <w:color w:val="0D0D0D" w:themeColor="text1" w:themeTint="F2"/>
        </w:rPr>
      </w:pPr>
    </w:p>
    <w:p w14:paraId="7E11BF81" w14:textId="58962A38" w:rsidR="00720244" w:rsidRPr="00770F9D" w:rsidRDefault="00720244" w:rsidP="003F46E1">
      <w:pPr>
        <w:ind w:firstLine="284"/>
        <w:jc w:val="both"/>
        <w:rPr>
          <w:rFonts w:ascii="Garamond" w:hAnsi="Garamond" w:cstheme="majorBidi"/>
          <w:color w:val="0D0D0D" w:themeColor="text1" w:themeTint="F2"/>
        </w:rPr>
      </w:pPr>
      <w:r w:rsidRPr="00770F9D">
        <w:rPr>
          <w:rFonts w:ascii="Garamond" w:eastAsia="MS Mincho" w:hAnsi="Garamond" w:cstheme="majorBidi"/>
          <w:color w:val="0D0D0D" w:themeColor="text1" w:themeTint="F2"/>
        </w:rPr>
        <w:t xml:space="preserve">Deri në fund të muajit </w:t>
      </w:r>
      <w:r w:rsidR="00D353BB" w:rsidRPr="00770F9D">
        <w:rPr>
          <w:rFonts w:ascii="Garamond" w:eastAsia="MS Mincho" w:hAnsi="Garamond" w:cstheme="majorBidi"/>
          <w:color w:val="0D0D0D" w:themeColor="text1" w:themeTint="F2"/>
        </w:rPr>
        <w:t xml:space="preserve">shtator </w:t>
      </w:r>
      <w:r w:rsidRPr="00770F9D">
        <w:rPr>
          <w:rFonts w:ascii="Garamond" w:eastAsia="MS Mincho" w:hAnsi="Garamond" w:cstheme="majorBidi"/>
          <w:color w:val="0D0D0D" w:themeColor="text1" w:themeTint="F2"/>
        </w:rPr>
        <w:t>2022, u regjistrua një stok kumulativ prej 16.96</w:t>
      </w:r>
      <w:r w:rsidRPr="00770F9D">
        <w:rPr>
          <w:rFonts w:ascii="Garamond" w:eastAsia="MS Mincho" w:hAnsi="Garamond" w:cstheme="majorBidi"/>
          <w:color w:val="0D0D0D" w:themeColor="text1" w:themeTint="F2"/>
          <w:vertAlign w:val="superscript"/>
        </w:rPr>
        <w:footnoteReference w:id="2"/>
      </w:r>
      <w:r w:rsidRPr="00770F9D">
        <w:rPr>
          <w:rFonts w:ascii="Garamond" w:eastAsia="Times New Roman" w:hAnsi="Garamond" w:cstheme="majorBidi"/>
          <w:color w:val="0D0D0D" w:themeColor="text1" w:themeTint="F2"/>
          <w:lang w:eastAsia="it-IT"/>
        </w:rPr>
        <w:t>miliardë lekë i detyrimeve të prapambetura nga njësitë e qeverisjes së përgjithshme, nga të cilat:</w:t>
      </w:r>
    </w:p>
    <w:p w14:paraId="09ECBBE4" w14:textId="00B54CB9" w:rsidR="00720244" w:rsidRPr="00770F9D" w:rsidRDefault="00EE2F34" w:rsidP="003F46E1">
      <w:pPr>
        <w:widowControl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 </w:t>
      </w:r>
      <w:r w:rsidR="00720244" w:rsidRPr="00770F9D">
        <w:rPr>
          <w:rFonts w:ascii="Garamond" w:hAnsi="Garamond" w:cstheme="majorBidi"/>
          <w:color w:val="0D0D0D" w:themeColor="text1" w:themeTint="F2"/>
        </w:rPr>
        <w:t>Totali detyrimeve të prapambetura të qeverisë qendrore rreth 10.29 miliardë lekë.</w:t>
      </w:r>
    </w:p>
    <w:p w14:paraId="59F0CF67" w14:textId="464CFC3F" w:rsidR="00720244" w:rsidRPr="00770F9D" w:rsidRDefault="00EE2F34" w:rsidP="003F46E1">
      <w:pPr>
        <w:widowControl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 </w:t>
      </w:r>
      <w:r w:rsidR="00720244" w:rsidRPr="00770F9D">
        <w:rPr>
          <w:rFonts w:ascii="Garamond" w:hAnsi="Garamond" w:cstheme="majorBidi"/>
          <w:color w:val="0D0D0D" w:themeColor="text1" w:themeTint="F2"/>
        </w:rPr>
        <w:t>Totali detyrimeve të prapambetura të qeverisë vendore rreth 6.67 miliardë lekë.</w:t>
      </w:r>
    </w:p>
    <w:p w14:paraId="7E5DEA0D" w14:textId="32620176" w:rsidR="00720244" w:rsidRPr="00770F9D" w:rsidRDefault="00720244"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Krahasuar me stokun e detyrimeve të prapambetura të raportuara për 9</w:t>
      </w:r>
      <w:r w:rsidR="00D353BB" w:rsidRPr="00770F9D">
        <w:rPr>
          <w:rFonts w:ascii="Garamond" w:hAnsi="Garamond" w:cstheme="majorBidi"/>
          <w:color w:val="0D0D0D" w:themeColor="text1" w:themeTint="F2"/>
        </w:rPr>
        <w:t xml:space="preserve"> M 2021</w:t>
      </w:r>
      <w:r w:rsidRPr="00770F9D">
        <w:rPr>
          <w:rFonts w:ascii="Garamond" w:hAnsi="Garamond" w:cstheme="majorBidi"/>
          <w:color w:val="0D0D0D" w:themeColor="text1" w:themeTint="F2"/>
        </w:rPr>
        <w:t xml:space="preserve"> rezulton</w:t>
      </w:r>
      <w:r w:rsidR="00D353BB"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se:</w:t>
      </w:r>
    </w:p>
    <w:p w14:paraId="73E8F3CC" w14:textId="1275C8B8" w:rsidR="00720244" w:rsidRPr="00770F9D" w:rsidRDefault="00EE2F34" w:rsidP="003F46E1">
      <w:pPr>
        <w:widowControl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 </w:t>
      </w:r>
      <w:r w:rsidR="00720244" w:rsidRPr="00770F9D">
        <w:rPr>
          <w:rFonts w:ascii="Garamond" w:hAnsi="Garamond" w:cstheme="majorBidi"/>
          <w:color w:val="0D0D0D" w:themeColor="text1" w:themeTint="F2"/>
        </w:rPr>
        <w:t>Niveli i përgjithshëm i detyrimeve të prapambetura është rreth 2.77 miliardë lekë më i ulët, ose një rënie me 14.0%.</w:t>
      </w:r>
    </w:p>
    <w:p w14:paraId="4ADDDBB6" w14:textId="4BA1F2E4" w:rsidR="00720244" w:rsidRPr="00770F9D" w:rsidRDefault="00EE2F34" w:rsidP="003F46E1">
      <w:pPr>
        <w:widowControl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 </w:t>
      </w:r>
      <w:r w:rsidR="00720244" w:rsidRPr="00770F9D">
        <w:rPr>
          <w:rFonts w:ascii="Garamond" w:hAnsi="Garamond" w:cstheme="majorBidi"/>
          <w:color w:val="0D0D0D" w:themeColor="text1" w:themeTint="F2"/>
        </w:rPr>
        <w:t>Konkretisht, detyrimet e prapambetura nga qeverisja qendrore janë ulur me rreth 1.65 miliardë lekë dhe detyrimet e prapambetura nga qeverisja vendore janë ulur me rreth 0.64 miliardë lekë, krahasuar me të njëjtën periudhë të një viti më parë.</w:t>
      </w:r>
    </w:p>
    <w:p w14:paraId="3C429FAC" w14:textId="77777777" w:rsidR="00720244" w:rsidRPr="00770F9D" w:rsidRDefault="00720244" w:rsidP="003F46E1">
      <w:pPr>
        <w:ind w:firstLine="284"/>
        <w:jc w:val="both"/>
        <w:rPr>
          <w:rFonts w:ascii="Garamond" w:hAnsi="Garamond" w:cstheme="majorBidi"/>
          <w:bCs/>
          <w:color w:val="0D0D0D" w:themeColor="text1" w:themeTint="F2"/>
        </w:rPr>
      </w:pPr>
      <w:r w:rsidRPr="00770F9D">
        <w:rPr>
          <w:rFonts w:ascii="Garamond" w:hAnsi="Garamond" w:cstheme="majorBidi"/>
          <w:color w:val="0D0D0D" w:themeColor="text1" w:themeTint="F2"/>
        </w:rPr>
        <w:t>Për periudhën 9M 2022, detyrimet e prapambetura të rimbursimit të TVSH-së janë zeruar, krahasuar me 0.48 miliardë lekë, të regjistruara në 9M 2021.</w:t>
      </w:r>
    </w:p>
    <w:p w14:paraId="53096A8A" w14:textId="77777777" w:rsidR="000A083E" w:rsidRPr="00770F9D" w:rsidRDefault="000A083E"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UP 1.2</w:t>
      </w:r>
    </w:p>
    <w:p w14:paraId="2B492506" w14:textId="53E27125" w:rsidR="00DB3786" w:rsidRPr="00770F9D" w:rsidRDefault="00DB3786" w:rsidP="003F46E1">
      <w:pPr>
        <w:snapToGrid w:val="0"/>
        <w:ind w:firstLine="284"/>
        <w:jc w:val="both"/>
        <w:rPr>
          <w:rFonts w:ascii="Garamond" w:eastAsia="Times New Roman" w:hAnsi="Garamond" w:cstheme="majorBidi"/>
          <w:b/>
          <w:bCs/>
          <w:color w:val="0D0D0D" w:themeColor="text1" w:themeTint="F2"/>
          <w:lang w:eastAsia="en-GB"/>
        </w:rPr>
      </w:pPr>
      <w:r w:rsidRPr="00770F9D">
        <w:rPr>
          <w:rFonts w:ascii="Garamond" w:eastAsia="Times New Roman" w:hAnsi="Garamond" w:cstheme="majorBidi"/>
          <w:b/>
          <w:bCs/>
          <w:color w:val="0D0D0D" w:themeColor="text1" w:themeTint="F2"/>
          <w:lang w:eastAsia="en-GB"/>
        </w:rPr>
        <w:t xml:space="preserve">Kufizoni rishikimet e buxhetit në procesin e rregullt të rishikimit të përcaktuar në </w:t>
      </w:r>
      <w:r w:rsidR="00E844EE" w:rsidRPr="00770F9D">
        <w:rPr>
          <w:rFonts w:ascii="Garamond" w:eastAsia="Times New Roman" w:hAnsi="Garamond" w:cstheme="majorBidi"/>
          <w:b/>
          <w:bCs/>
          <w:color w:val="0D0D0D" w:themeColor="text1" w:themeTint="F2"/>
          <w:lang w:eastAsia="en-GB"/>
        </w:rPr>
        <w:t xml:space="preserve">ligjin për buxhetin </w:t>
      </w:r>
      <w:r w:rsidRPr="00770F9D">
        <w:rPr>
          <w:rFonts w:ascii="Garamond" w:eastAsia="Times New Roman" w:hAnsi="Garamond" w:cstheme="majorBidi"/>
          <w:b/>
          <w:bCs/>
          <w:color w:val="0D0D0D" w:themeColor="text1" w:themeTint="F2"/>
          <w:lang w:eastAsia="en-GB"/>
        </w:rPr>
        <w:t>dhe përdorni procesin e rregullt legjislativ</w:t>
      </w:r>
      <w:r w:rsidR="00E844EE" w:rsidRPr="00770F9D">
        <w:rPr>
          <w:rFonts w:ascii="Garamond" w:eastAsia="Times New Roman" w:hAnsi="Garamond" w:cstheme="majorBidi"/>
          <w:b/>
          <w:bCs/>
          <w:color w:val="0D0D0D" w:themeColor="text1" w:themeTint="F2"/>
          <w:lang w:eastAsia="en-GB"/>
        </w:rPr>
        <w:t>,</w:t>
      </w:r>
      <w:r w:rsidRPr="00770F9D">
        <w:rPr>
          <w:rFonts w:ascii="Garamond" w:eastAsia="Times New Roman" w:hAnsi="Garamond" w:cstheme="majorBidi"/>
          <w:b/>
          <w:bCs/>
          <w:color w:val="0D0D0D" w:themeColor="text1" w:themeTint="F2"/>
          <w:lang w:eastAsia="en-GB"/>
        </w:rPr>
        <w:t xml:space="preserve"> nëse bëhet i nevojshëm një ndryshim i </w:t>
      </w:r>
      <w:r w:rsidR="00E844EE" w:rsidRPr="00770F9D">
        <w:rPr>
          <w:rFonts w:ascii="Garamond" w:eastAsia="Times New Roman" w:hAnsi="Garamond" w:cstheme="majorBidi"/>
          <w:b/>
          <w:bCs/>
          <w:color w:val="0D0D0D" w:themeColor="text1" w:themeTint="F2"/>
          <w:lang w:eastAsia="en-GB"/>
        </w:rPr>
        <w:t>ligjit për buxhetin</w:t>
      </w:r>
      <w:r w:rsidRPr="00770F9D">
        <w:rPr>
          <w:rFonts w:ascii="Garamond" w:eastAsia="Times New Roman" w:hAnsi="Garamond" w:cstheme="majorBidi"/>
          <w:b/>
          <w:bCs/>
          <w:color w:val="0D0D0D" w:themeColor="text1" w:themeTint="F2"/>
          <w:lang w:eastAsia="en-GB"/>
        </w:rPr>
        <w:t>.</w:t>
      </w:r>
    </w:p>
    <w:p w14:paraId="301E1872" w14:textId="34D8ABB8" w:rsidR="00720244" w:rsidRPr="00770F9D" w:rsidRDefault="00720244" w:rsidP="00E844EE">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Përgjatë 3 v</w:t>
      </w:r>
      <w:r w:rsidR="00E844EE" w:rsidRPr="00770F9D">
        <w:rPr>
          <w:rFonts w:ascii="Garamond" w:hAnsi="Garamond" w:cstheme="majorBidi"/>
          <w:color w:val="0D0D0D" w:themeColor="text1" w:themeTint="F2"/>
        </w:rPr>
        <w:t>jetëve</w:t>
      </w:r>
      <w:r w:rsidRPr="00770F9D">
        <w:rPr>
          <w:rFonts w:ascii="Garamond" w:hAnsi="Garamond" w:cstheme="majorBidi"/>
          <w:color w:val="0D0D0D" w:themeColor="text1" w:themeTint="F2"/>
        </w:rPr>
        <w:t xml:space="preserve"> të fundit, situata ekonomike dhe sociale e vendit është ndikuar nga një sërë ngjarjesh të m</w:t>
      </w:r>
      <w:r w:rsidR="00A84445" w:rsidRPr="00770F9D">
        <w:rPr>
          <w:rFonts w:ascii="Garamond" w:hAnsi="Garamond" w:cstheme="majorBidi"/>
          <w:color w:val="0D0D0D" w:themeColor="text1" w:themeTint="F2"/>
        </w:rPr>
        <w:t xml:space="preserve">ëdha dhe të pa parashikueshme, </w:t>
      </w:r>
      <w:r w:rsidRPr="00770F9D">
        <w:rPr>
          <w:rFonts w:ascii="Garamond" w:hAnsi="Garamond" w:cstheme="majorBidi"/>
          <w:color w:val="0D0D0D" w:themeColor="text1" w:themeTint="F2"/>
        </w:rPr>
        <w:t>ndër të cilat mund të përmendim:</w:t>
      </w:r>
    </w:p>
    <w:p w14:paraId="0D9C88E9" w14:textId="542CBAA8" w:rsidR="00720244" w:rsidRPr="00770F9D" w:rsidRDefault="00EE2F34"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 </w:t>
      </w:r>
      <w:r w:rsidR="00720244" w:rsidRPr="00770F9D">
        <w:rPr>
          <w:rFonts w:ascii="Garamond" w:hAnsi="Garamond" w:cstheme="majorBidi"/>
          <w:color w:val="0D0D0D" w:themeColor="text1" w:themeTint="F2"/>
        </w:rPr>
        <w:t xml:space="preserve">Tërmeti i ndodhur në </w:t>
      </w:r>
      <w:r w:rsidR="003E0B6E" w:rsidRPr="00770F9D">
        <w:rPr>
          <w:rFonts w:ascii="Garamond" w:hAnsi="Garamond" w:cstheme="majorBidi"/>
          <w:color w:val="0D0D0D" w:themeColor="text1" w:themeTint="F2"/>
        </w:rPr>
        <w:t xml:space="preserve">nëntor </w:t>
      </w:r>
      <w:r w:rsidR="00720244" w:rsidRPr="00770F9D">
        <w:rPr>
          <w:rFonts w:ascii="Garamond" w:hAnsi="Garamond" w:cstheme="majorBidi"/>
          <w:color w:val="0D0D0D" w:themeColor="text1" w:themeTint="F2"/>
        </w:rPr>
        <w:t>t</w:t>
      </w:r>
      <w:r w:rsidR="00720244" w:rsidRPr="00770F9D">
        <w:rPr>
          <w:rFonts w:ascii="Garamond" w:eastAsia="MingLiU-ExtB" w:hAnsi="Garamond" w:cstheme="majorBidi"/>
          <w:color w:val="0D0D0D" w:themeColor="text1" w:themeTint="F2"/>
        </w:rPr>
        <w:t>ë</w:t>
      </w:r>
      <w:r w:rsidR="00720244" w:rsidRPr="00770F9D">
        <w:rPr>
          <w:rFonts w:ascii="Garamond" w:hAnsi="Garamond" w:cstheme="majorBidi"/>
          <w:color w:val="0D0D0D" w:themeColor="text1" w:themeTint="F2"/>
        </w:rPr>
        <w:t xml:space="preserve"> vitit 2019, i cili u shoqërua me një kosto financiare të konsiderueshme për</w:t>
      </w:r>
      <w:r w:rsidR="003E0B6E" w:rsidRPr="00770F9D">
        <w:rPr>
          <w:rFonts w:ascii="Garamond" w:hAnsi="Garamond" w:cstheme="majorBidi"/>
          <w:color w:val="0D0D0D" w:themeColor="text1" w:themeTint="F2"/>
        </w:rPr>
        <w:t xml:space="preserve"> </w:t>
      </w:r>
      <w:r w:rsidR="00720244" w:rsidRPr="00770F9D">
        <w:rPr>
          <w:rFonts w:ascii="Garamond" w:hAnsi="Garamond" w:cstheme="majorBidi"/>
          <w:color w:val="0D0D0D" w:themeColor="text1" w:themeTint="F2"/>
        </w:rPr>
        <w:t xml:space="preserve">sa i përket procesit të </w:t>
      </w:r>
      <w:r w:rsidR="003E0B6E" w:rsidRPr="00770F9D">
        <w:rPr>
          <w:rFonts w:ascii="Garamond" w:hAnsi="Garamond" w:cstheme="majorBidi"/>
          <w:color w:val="0D0D0D" w:themeColor="text1" w:themeTint="F2"/>
        </w:rPr>
        <w:t>rindërtimit</w:t>
      </w:r>
      <w:r w:rsidR="00720244" w:rsidRPr="00770F9D">
        <w:rPr>
          <w:rFonts w:ascii="Garamond" w:hAnsi="Garamond" w:cstheme="majorBidi"/>
          <w:color w:val="0D0D0D" w:themeColor="text1" w:themeTint="F2"/>
        </w:rPr>
        <w:t>;</w:t>
      </w:r>
    </w:p>
    <w:p w14:paraId="493D0EA9" w14:textId="5BF45329" w:rsidR="00720244" w:rsidRPr="00770F9D" w:rsidRDefault="00EE2F34"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 </w:t>
      </w:r>
      <w:r w:rsidR="00720244" w:rsidRPr="00770F9D">
        <w:rPr>
          <w:rFonts w:ascii="Garamond" w:hAnsi="Garamond" w:cstheme="majorBidi"/>
          <w:color w:val="0D0D0D" w:themeColor="text1" w:themeTint="F2"/>
        </w:rPr>
        <w:t>Pandemia globale COVID</w:t>
      </w:r>
      <w:r w:rsidR="003E0B6E" w:rsidRPr="00770F9D">
        <w:rPr>
          <w:rFonts w:ascii="Garamond" w:hAnsi="Garamond" w:cstheme="majorBidi"/>
          <w:color w:val="0D0D0D" w:themeColor="text1" w:themeTint="F2"/>
        </w:rPr>
        <w:t>-</w:t>
      </w:r>
      <w:r w:rsidR="00720244" w:rsidRPr="00770F9D">
        <w:rPr>
          <w:rFonts w:ascii="Garamond" w:hAnsi="Garamond" w:cstheme="majorBidi"/>
          <w:color w:val="0D0D0D" w:themeColor="text1" w:themeTint="F2"/>
        </w:rPr>
        <w:t>19 gjatë viteve 2020</w:t>
      </w:r>
      <w:r w:rsidR="003E0B6E" w:rsidRPr="00770F9D">
        <w:rPr>
          <w:rFonts w:ascii="Garamond" w:hAnsi="Garamond" w:cstheme="majorBidi"/>
          <w:color w:val="0D0D0D" w:themeColor="text1" w:themeTint="F2"/>
        </w:rPr>
        <w:t>–</w:t>
      </w:r>
      <w:r w:rsidR="00720244" w:rsidRPr="00770F9D">
        <w:rPr>
          <w:rFonts w:ascii="Garamond" w:hAnsi="Garamond" w:cstheme="majorBidi"/>
          <w:color w:val="0D0D0D" w:themeColor="text1" w:themeTint="F2"/>
        </w:rPr>
        <w:t>2021, e cila pati një impakt të rëndësishëm social dhe ekonomik në vend;</w:t>
      </w:r>
    </w:p>
    <w:p w14:paraId="46685631" w14:textId="67B7F71E" w:rsidR="00720244" w:rsidRPr="00770F9D" w:rsidRDefault="00EE2F34" w:rsidP="00D40C69">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 </w:t>
      </w:r>
      <w:r w:rsidR="00720244" w:rsidRPr="00770F9D">
        <w:rPr>
          <w:rFonts w:ascii="Garamond" w:hAnsi="Garamond" w:cstheme="majorBidi"/>
          <w:color w:val="0D0D0D" w:themeColor="text1" w:themeTint="F2"/>
        </w:rPr>
        <w:t>Pushtimi i Ukrainës nga Rusia në fillim të vitit 2022, një ngjarje e cila u pasua nga rritja e konsiderueshme e çmimit të energjisë dhe inputeve të tjera në vitin 2022, problematik</w:t>
      </w:r>
      <w:r w:rsidR="00A84445" w:rsidRPr="00770F9D">
        <w:rPr>
          <w:rFonts w:ascii="Garamond" w:eastAsia="Arial Narrow" w:hAnsi="Garamond" w:cstheme="majorBidi"/>
          <w:color w:val="0D0D0D" w:themeColor="text1" w:themeTint="F2"/>
        </w:rPr>
        <w:t>ë</w:t>
      </w:r>
      <w:r w:rsidR="00720244" w:rsidRPr="00770F9D">
        <w:rPr>
          <w:rFonts w:ascii="Garamond" w:hAnsi="Garamond" w:cstheme="majorBidi"/>
          <w:color w:val="0D0D0D" w:themeColor="text1" w:themeTint="F2"/>
        </w:rPr>
        <w:t xml:space="preserve"> kjo </w:t>
      </w:r>
      <w:r w:rsidR="00D40C69" w:rsidRPr="00770F9D">
        <w:rPr>
          <w:rFonts w:ascii="Garamond" w:hAnsi="Garamond" w:cstheme="majorBidi"/>
          <w:color w:val="0D0D0D" w:themeColor="text1" w:themeTint="F2"/>
        </w:rPr>
        <w:t xml:space="preserve">me të cilën </w:t>
      </w:r>
      <w:r w:rsidR="00720244" w:rsidRPr="00770F9D">
        <w:rPr>
          <w:rFonts w:ascii="Garamond" w:hAnsi="Garamond" w:cstheme="majorBidi"/>
          <w:color w:val="0D0D0D" w:themeColor="text1" w:themeTint="F2"/>
        </w:rPr>
        <w:t>jemi duke u pë</w:t>
      </w:r>
      <w:r w:rsidR="00D40C69" w:rsidRPr="00770F9D">
        <w:rPr>
          <w:rFonts w:ascii="Garamond" w:hAnsi="Garamond" w:cstheme="majorBidi"/>
          <w:color w:val="0D0D0D" w:themeColor="text1" w:themeTint="F2"/>
        </w:rPr>
        <w:t>r</w:t>
      </w:r>
      <w:r w:rsidR="00720244" w:rsidRPr="00770F9D">
        <w:rPr>
          <w:rFonts w:ascii="Garamond" w:hAnsi="Garamond" w:cstheme="majorBidi"/>
          <w:color w:val="0D0D0D" w:themeColor="text1" w:themeTint="F2"/>
        </w:rPr>
        <w:t>ballur edhe aktualisht.</w:t>
      </w:r>
    </w:p>
    <w:p w14:paraId="2BBF65C0" w14:textId="094954CC" w:rsidR="00720244" w:rsidRPr="00770F9D" w:rsidRDefault="00720244"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w:t>
      </w:r>
      <w:r w:rsidR="004B57E4" w:rsidRPr="00770F9D">
        <w:rPr>
          <w:rFonts w:ascii="Garamond" w:hAnsi="Garamond" w:cstheme="majorBidi"/>
          <w:color w:val="0D0D0D" w:themeColor="text1" w:themeTint="F2"/>
        </w:rPr>
        <w:t>gjarjet e përmendura sa më lart</w:t>
      </w:r>
      <w:r w:rsidRPr="00770F9D">
        <w:rPr>
          <w:rFonts w:ascii="Garamond" w:hAnsi="Garamond" w:cstheme="majorBidi"/>
          <w:color w:val="0D0D0D" w:themeColor="text1" w:themeTint="F2"/>
        </w:rPr>
        <w:t xml:space="preserve">, ndodhur në kushtet e nevojës dhe </w:t>
      </w:r>
      <w:r w:rsidR="004B57E4" w:rsidRPr="00770F9D">
        <w:rPr>
          <w:rFonts w:ascii="Garamond" w:hAnsi="Garamond" w:cstheme="majorBidi"/>
          <w:color w:val="0D0D0D" w:themeColor="text1" w:themeTint="F2"/>
        </w:rPr>
        <w:t xml:space="preserve">të </w:t>
      </w:r>
      <w:r w:rsidRPr="00770F9D">
        <w:rPr>
          <w:rFonts w:ascii="Garamond" w:hAnsi="Garamond" w:cstheme="majorBidi"/>
          <w:color w:val="0D0D0D" w:themeColor="text1" w:themeTint="F2"/>
        </w:rPr>
        <w:t xml:space="preserve">urgjencës kanë kushtëzuar përdorimin e instrumentit të rishikimit të buxhetit përmes akteve normative, në zbatim të legjislacionit në fuqi. </w:t>
      </w:r>
    </w:p>
    <w:p w14:paraId="68AF4952" w14:textId="5A5B1408" w:rsidR="00720244" w:rsidRPr="00770F9D" w:rsidRDefault="00720244"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Megjithatë, duhet përmendur se numri i </w:t>
      </w:r>
      <w:r w:rsidR="00B256C9" w:rsidRPr="00770F9D">
        <w:rPr>
          <w:rFonts w:ascii="Garamond" w:hAnsi="Garamond" w:cstheme="majorBidi"/>
          <w:color w:val="0D0D0D" w:themeColor="text1" w:themeTint="F2"/>
        </w:rPr>
        <w:t xml:space="preserve">akteve normative </w:t>
      </w:r>
      <w:r w:rsidRPr="00770F9D">
        <w:rPr>
          <w:rFonts w:ascii="Garamond" w:hAnsi="Garamond" w:cstheme="majorBidi"/>
          <w:color w:val="0D0D0D" w:themeColor="text1" w:themeTint="F2"/>
        </w:rPr>
        <w:t>ka qenë në rënie progresive, kështu, përgjatë vitit 2021 janë miratuar 6 AN ndërkohë për vitin 2022 numri i tyre u përgjysmua (vetëm 3 AN).</w:t>
      </w:r>
    </w:p>
    <w:p w14:paraId="40F52F0A" w14:textId="77777777" w:rsidR="000A083E" w:rsidRPr="00770F9D" w:rsidRDefault="000A083E"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UP 1.3</w:t>
      </w:r>
    </w:p>
    <w:p w14:paraId="191A62E2" w14:textId="77777777" w:rsidR="00DB3786" w:rsidRPr="00770F9D" w:rsidRDefault="00720244" w:rsidP="003F46E1">
      <w:pPr>
        <w:ind w:firstLine="284"/>
        <w:jc w:val="both"/>
        <w:rPr>
          <w:rFonts w:ascii="Garamond" w:hAnsi="Garamond" w:cstheme="majorBidi"/>
          <w:b/>
          <w:bCs/>
          <w:color w:val="0D0D0D" w:themeColor="text1" w:themeTint="F2"/>
        </w:rPr>
      </w:pPr>
      <w:r w:rsidRPr="00770F9D">
        <w:rPr>
          <w:rFonts w:ascii="Garamond" w:hAnsi="Garamond" w:cstheme="majorBidi"/>
          <w:b/>
          <w:bCs/>
          <w:color w:val="0D0D0D" w:themeColor="text1" w:themeTint="F2"/>
        </w:rPr>
        <w:t>Vlerësoni</w:t>
      </w:r>
      <w:r w:rsidR="00DB3786" w:rsidRPr="00770F9D">
        <w:rPr>
          <w:rFonts w:ascii="Garamond" w:hAnsi="Garamond" w:cstheme="majorBidi"/>
          <w:b/>
          <w:bCs/>
          <w:color w:val="0D0D0D" w:themeColor="text1" w:themeTint="F2"/>
        </w:rPr>
        <w:t xml:space="preserve"> rreziqe</w:t>
      </w:r>
      <w:r w:rsidRPr="00770F9D">
        <w:rPr>
          <w:rFonts w:ascii="Garamond" w:hAnsi="Garamond" w:cstheme="majorBidi"/>
          <w:b/>
          <w:bCs/>
          <w:color w:val="0D0D0D" w:themeColor="text1" w:themeTint="F2"/>
        </w:rPr>
        <w:t>t</w:t>
      </w:r>
      <w:r w:rsidR="00DB3786" w:rsidRPr="00770F9D">
        <w:rPr>
          <w:rFonts w:ascii="Garamond" w:hAnsi="Garamond" w:cstheme="majorBidi"/>
          <w:b/>
          <w:bCs/>
          <w:color w:val="0D0D0D" w:themeColor="text1" w:themeTint="F2"/>
        </w:rPr>
        <w:t xml:space="preserve"> fiskale nga ndërmarrjet shtetërore dhe hart</w:t>
      </w:r>
      <w:r w:rsidRPr="00770F9D">
        <w:rPr>
          <w:rFonts w:ascii="Garamond" w:hAnsi="Garamond" w:cstheme="majorBidi"/>
          <w:b/>
          <w:bCs/>
          <w:color w:val="0D0D0D" w:themeColor="text1" w:themeTint="F2"/>
        </w:rPr>
        <w:t>oni propozimet</w:t>
      </w:r>
      <w:r w:rsidR="00DB3786" w:rsidRPr="00770F9D">
        <w:rPr>
          <w:rFonts w:ascii="Garamond" w:hAnsi="Garamond" w:cstheme="majorBidi"/>
          <w:b/>
          <w:bCs/>
          <w:color w:val="0D0D0D" w:themeColor="text1" w:themeTint="F2"/>
        </w:rPr>
        <w:t xml:space="preserve"> për zbutjen e tyre.</w:t>
      </w:r>
    </w:p>
    <w:p w14:paraId="2450402F" w14:textId="6EA76D24" w:rsidR="00720244" w:rsidRPr="00770F9D" w:rsidRDefault="00720244" w:rsidP="00A80B36">
      <w:pPr>
        <w:tabs>
          <w:tab w:val="left" w:pos="1080"/>
          <w:tab w:val="left" w:pos="1170"/>
        </w:tabs>
        <w:ind w:firstLine="284"/>
        <w:jc w:val="both"/>
        <w:rPr>
          <w:rFonts w:ascii="Garamond" w:eastAsia="SimSun" w:hAnsi="Garamond" w:cstheme="majorBidi"/>
          <w:color w:val="0D0D0D" w:themeColor="text1" w:themeTint="F2"/>
          <w:lang w:eastAsia="zh-CN"/>
        </w:rPr>
      </w:pPr>
      <w:r w:rsidRPr="00770F9D">
        <w:rPr>
          <w:rFonts w:ascii="Garamond" w:eastAsia="SimSun" w:hAnsi="Garamond" w:cstheme="majorBidi"/>
          <w:bCs/>
          <w:color w:val="0D0D0D" w:themeColor="text1" w:themeTint="F2"/>
          <w:lang w:eastAsia="zh-CN"/>
        </w:rPr>
        <w:t xml:space="preserve">Në zbatim të </w:t>
      </w:r>
      <w:r w:rsidR="000574DD" w:rsidRPr="00770F9D">
        <w:rPr>
          <w:rFonts w:ascii="Garamond" w:eastAsia="SimSun" w:hAnsi="Garamond" w:cstheme="majorBidi"/>
          <w:bCs/>
          <w:color w:val="0D0D0D" w:themeColor="text1" w:themeTint="F2"/>
          <w:lang w:eastAsia="zh-CN"/>
        </w:rPr>
        <w:t xml:space="preserve">ligjit </w:t>
      </w:r>
      <w:r w:rsidRPr="00770F9D">
        <w:rPr>
          <w:rFonts w:ascii="Garamond" w:eastAsia="SimSun" w:hAnsi="Garamond" w:cstheme="majorBidi"/>
          <w:bCs/>
          <w:color w:val="0D0D0D" w:themeColor="text1" w:themeTint="F2"/>
          <w:lang w:eastAsia="zh-CN"/>
        </w:rPr>
        <w:t>“</w:t>
      </w:r>
      <w:r w:rsidRPr="00770F9D">
        <w:rPr>
          <w:rFonts w:ascii="Garamond" w:eastAsia="SimSun" w:hAnsi="Garamond" w:cstheme="majorBidi"/>
          <w:bCs/>
          <w:iCs/>
          <w:color w:val="0D0D0D" w:themeColor="text1" w:themeTint="F2"/>
          <w:lang w:eastAsia="zh-CN"/>
        </w:rPr>
        <w:t>Për menaxhimin e sistemit buxhetor në Republikën e Shqipërisë”, të ndryshuar”, specifikisht nenit 4/2 sipas së cilit: “...Planet financiare vjetore dhe pasqyrat financiare mbi bazë tremujori, të çdo njësie jo të qeverisjes së përgjithshme përfituese të fondeve buxhetore dhe/ose garancive shtetërore, dorëzohen në Ministrinë e Financave...” dhe</w:t>
      </w:r>
      <w:r w:rsidRPr="00770F9D">
        <w:rPr>
          <w:rFonts w:ascii="Garamond" w:eastAsia="SimSun" w:hAnsi="Garamond" w:cstheme="majorBidi"/>
          <w:bCs/>
          <w:color w:val="0D0D0D" w:themeColor="text1" w:themeTint="F2"/>
          <w:lang w:eastAsia="zh-CN"/>
        </w:rPr>
        <w:t xml:space="preserve"> në zbatim të </w:t>
      </w:r>
      <w:r w:rsidR="000574DD" w:rsidRPr="00770F9D">
        <w:rPr>
          <w:rFonts w:ascii="Garamond" w:eastAsia="SimSun" w:hAnsi="Garamond" w:cstheme="majorBidi"/>
          <w:bCs/>
          <w:color w:val="0D0D0D" w:themeColor="text1" w:themeTint="F2"/>
          <w:lang w:eastAsia="zh-CN"/>
        </w:rPr>
        <w:t xml:space="preserve">udhëzimit plotësues </w:t>
      </w:r>
      <w:r w:rsidRPr="00770F9D">
        <w:rPr>
          <w:rFonts w:ascii="Garamond" w:eastAsia="SimSun" w:hAnsi="Garamond" w:cstheme="majorBidi"/>
          <w:bCs/>
          <w:color w:val="0D0D0D" w:themeColor="text1" w:themeTint="F2"/>
          <w:lang w:eastAsia="zh-CN"/>
        </w:rPr>
        <w:t>nr.</w:t>
      </w:r>
      <w:r w:rsidR="000574DD" w:rsidRPr="00770F9D">
        <w:rPr>
          <w:rFonts w:ascii="Garamond" w:eastAsia="SimSun" w:hAnsi="Garamond" w:cstheme="majorBidi"/>
          <w:bCs/>
          <w:color w:val="0D0D0D" w:themeColor="text1" w:themeTint="F2"/>
          <w:lang w:eastAsia="zh-CN"/>
        </w:rPr>
        <w:t xml:space="preserve"> </w:t>
      </w:r>
      <w:r w:rsidRPr="00770F9D">
        <w:rPr>
          <w:rFonts w:ascii="Garamond" w:eastAsia="SimSun" w:hAnsi="Garamond" w:cstheme="majorBidi"/>
          <w:bCs/>
          <w:color w:val="0D0D0D" w:themeColor="text1" w:themeTint="F2"/>
          <w:lang w:eastAsia="zh-CN"/>
        </w:rPr>
        <w:t>1/2022</w:t>
      </w:r>
      <w:r w:rsidR="000574DD" w:rsidRPr="00770F9D">
        <w:rPr>
          <w:rFonts w:ascii="Garamond" w:eastAsia="SimSun" w:hAnsi="Garamond" w:cstheme="majorBidi"/>
          <w:bCs/>
          <w:color w:val="0D0D0D" w:themeColor="text1" w:themeTint="F2"/>
          <w:lang w:eastAsia="zh-CN"/>
        </w:rPr>
        <w:t>,</w:t>
      </w:r>
      <w:r w:rsidRPr="00770F9D">
        <w:rPr>
          <w:rFonts w:ascii="Garamond" w:eastAsia="SimSun" w:hAnsi="Garamond" w:cstheme="majorBidi"/>
          <w:bCs/>
          <w:color w:val="0D0D0D" w:themeColor="text1" w:themeTint="F2"/>
          <w:lang w:eastAsia="zh-CN"/>
        </w:rPr>
        <w:t xml:space="preserve"> “</w:t>
      </w:r>
      <w:r w:rsidRPr="00770F9D">
        <w:rPr>
          <w:rFonts w:ascii="Garamond" w:eastAsia="SimSun" w:hAnsi="Garamond" w:cstheme="majorBidi"/>
          <w:bCs/>
          <w:iCs/>
          <w:color w:val="0D0D0D" w:themeColor="text1" w:themeTint="F2"/>
          <w:lang w:eastAsia="zh-CN"/>
        </w:rPr>
        <w:t xml:space="preserve">Për zbatimin e </w:t>
      </w:r>
      <w:r w:rsidR="000574DD" w:rsidRPr="00770F9D">
        <w:rPr>
          <w:rFonts w:ascii="Garamond" w:eastAsia="SimSun" w:hAnsi="Garamond" w:cstheme="majorBidi"/>
          <w:bCs/>
          <w:iCs/>
          <w:color w:val="0D0D0D" w:themeColor="text1" w:themeTint="F2"/>
          <w:lang w:eastAsia="zh-CN"/>
        </w:rPr>
        <w:t xml:space="preserve">buxhetit </w:t>
      </w:r>
      <w:r w:rsidRPr="00770F9D">
        <w:rPr>
          <w:rFonts w:ascii="Garamond" w:eastAsia="SimSun" w:hAnsi="Garamond" w:cstheme="majorBidi"/>
          <w:bCs/>
          <w:iCs/>
          <w:color w:val="0D0D0D" w:themeColor="text1" w:themeTint="F2"/>
          <w:lang w:eastAsia="zh-CN"/>
        </w:rPr>
        <w:t>të vitit 2022”, MFE</w:t>
      </w:r>
      <w:r w:rsidR="000574DD" w:rsidRPr="00770F9D">
        <w:rPr>
          <w:rFonts w:ascii="Garamond" w:eastAsia="SimSun" w:hAnsi="Garamond" w:cstheme="majorBidi"/>
          <w:bCs/>
          <w:iCs/>
          <w:color w:val="0D0D0D" w:themeColor="text1" w:themeTint="F2"/>
          <w:lang w:eastAsia="zh-CN"/>
        </w:rPr>
        <w:t>-ja</w:t>
      </w:r>
      <w:r w:rsidRPr="00770F9D">
        <w:rPr>
          <w:rFonts w:ascii="Garamond" w:eastAsia="SimSun" w:hAnsi="Garamond" w:cstheme="majorBidi"/>
          <w:bCs/>
          <w:color w:val="0D0D0D" w:themeColor="text1" w:themeTint="F2"/>
          <w:lang w:eastAsia="zh-CN"/>
        </w:rPr>
        <w:t xml:space="preserve"> monitoron dhe përgatit periodikisht mbi baza tremujore, analizat financiare të performancës së Ndërmarrjeve Shtetërore (NSH) kryesore bazuar në potencialin e tyre për të ndikuar në financat dhe buxhetin e shtetit.</w:t>
      </w:r>
      <w:r w:rsidRPr="00770F9D">
        <w:rPr>
          <w:rFonts w:ascii="Garamond" w:eastAsia="SimSun" w:hAnsi="Garamond" w:cstheme="majorBidi"/>
          <w:color w:val="0D0D0D" w:themeColor="text1" w:themeTint="F2"/>
          <w:lang w:eastAsia="zh-CN"/>
        </w:rPr>
        <w:t xml:space="preserve"> FRU</w:t>
      </w:r>
      <w:r w:rsidR="007B7BBB" w:rsidRPr="00770F9D">
        <w:rPr>
          <w:rFonts w:ascii="Garamond" w:eastAsia="SimSun" w:hAnsi="Garamond" w:cstheme="majorBidi"/>
          <w:color w:val="0D0D0D" w:themeColor="text1" w:themeTint="F2"/>
          <w:lang w:eastAsia="zh-CN"/>
        </w:rPr>
        <w:t>-ja</w:t>
      </w:r>
      <w:r w:rsidRPr="00770F9D">
        <w:rPr>
          <w:rFonts w:ascii="Garamond" w:eastAsia="SimSun" w:hAnsi="Garamond" w:cstheme="majorBidi"/>
          <w:color w:val="0D0D0D" w:themeColor="text1" w:themeTint="F2"/>
          <w:lang w:eastAsia="zh-CN"/>
        </w:rPr>
        <w:t>, pjesë e Drejtorisë së Menaxhimit të Buxhetit monitoron dhe përgatit periodikisht çdo tremujor (3M), analizat financiare të performancës së NSH-së kryesore</w:t>
      </w:r>
      <w:r w:rsidR="00971B43" w:rsidRPr="00770F9D">
        <w:rPr>
          <w:rFonts w:ascii="Garamond" w:eastAsia="SimSun" w:hAnsi="Garamond" w:cstheme="majorBidi"/>
          <w:color w:val="0D0D0D" w:themeColor="text1" w:themeTint="F2"/>
          <w:lang w:eastAsia="zh-CN"/>
        </w:rPr>
        <w:t>,</w:t>
      </w:r>
      <w:r w:rsidRPr="00770F9D">
        <w:rPr>
          <w:rFonts w:ascii="Garamond" w:eastAsia="SimSun" w:hAnsi="Garamond" w:cstheme="majorBidi"/>
          <w:color w:val="0D0D0D" w:themeColor="text1" w:themeTint="F2"/>
          <w:lang w:eastAsia="zh-CN"/>
        </w:rPr>
        <w:t xml:space="preserve"> </w:t>
      </w:r>
      <w:r w:rsidRPr="00770F9D">
        <w:rPr>
          <w:rFonts w:ascii="Garamond" w:eastAsia="SimSun" w:hAnsi="Garamond" w:cstheme="majorBidi"/>
          <w:bCs/>
          <w:color w:val="0D0D0D" w:themeColor="text1" w:themeTint="F2"/>
          <w:lang w:eastAsia="zh-CN"/>
        </w:rPr>
        <w:t>me qëllim identifikimin, vlerësimin, monitorimin dhe raportimin e risqeve fiskale</w:t>
      </w:r>
      <w:r w:rsidR="00971B43" w:rsidRPr="00770F9D">
        <w:rPr>
          <w:rFonts w:ascii="Garamond" w:eastAsia="SimSun" w:hAnsi="Garamond" w:cstheme="majorBidi"/>
          <w:bCs/>
          <w:color w:val="0D0D0D" w:themeColor="text1" w:themeTint="F2"/>
          <w:lang w:eastAsia="zh-CN"/>
        </w:rPr>
        <w:t>,</w:t>
      </w:r>
      <w:r w:rsidRPr="00770F9D">
        <w:rPr>
          <w:rFonts w:ascii="Garamond" w:eastAsia="SimSun" w:hAnsi="Garamond" w:cstheme="majorBidi"/>
          <w:bCs/>
          <w:color w:val="0D0D0D" w:themeColor="text1" w:themeTint="F2"/>
          <w:lang w:eastAsia="zh-CN"/>
        </w:rPr>
        <w:t xml:space="preserve"> që rezultojnë nga ndërmarrjet publike me kapital shtetëror në tërësi dhe nga sektori </w:t>
      </w:r>
      <w:r w:rsidR="00971B43" w:rsidRPr="00770F9D">
        <w:rPr>
          <w:rFonts w:ascii="Garamond" w:eastAsia="SimSun" w:hAnsi="Garamond" w:cstheme="majorBidi"/>
          <w:bCs/>
          <w:color w:val="0D0D0D" w:themeColor="text1" w:themeTint="F2"/>
          <w:lang w:eastAsia="zh-CN"/>
        </w:rPr>
        <w:t>energjetik</w:t>
      </w:r>
      <w:r w:rsidRPr="00770F9D">
        <w:rPr>
          <w:rFonts w:ascii="Garamond" w:eastAsia="SimSun" w:hAnsi="Garamond" w:cstheme="majorBidi"/>
          <w:bCs/>
          <w:color w:val="0D0D0D" w:themeColor="text1" w:themeTint="F2"/>
          <w:lang w:eastAsia="zh-CN"/>
        </w:rPr>
        <w:t xml:space="preserve"> në veçanti, duke konsideruar rëndësinë strategjike të tij dhe problematikat sensitive që e karakterizojnë</w:t>
      </w:r>
      <w:r w:rsidRPr="00770F9D">
        <w:rPr>
          <w:rFonts w:ascii="Garamond" w:eastAsia="SimSun" w:hAnsi="Garamond" w:cstheme="majorBidi"/>
          <w:color w:val="0D0D0D" w:themeColor="text1" w:themeTint="F2"/>
          <w:lang w:eastAsia="zh-CN"/>
        </w:rPr>
        <w:t>. Për shkak të kësaj, monitorimi fokusohet kryesisht në performancën financiare dhe jofinanciare të tr</w:t>
      </w:r>
      <w:r w:rsidR="00A80B36" w:rsidRPr="00770F9D">
        <w:rPr>
          <w:rFonts w:ascii="Garamond" w:eastAsia="SimSun" w:hAnsi="Garamond" w:cstheme="majorBidi"/>
          <w:color w:val="0D0D0D" w:themeColor="text1" w:themeTint="F2"/>
          <w:lang w:eastAsia="zh-CN"/>
        </w:rPr>
        <w:t>i</w:t>
      </w:r>
      <w:r w:rsidRPr="00770F9D">
        <w:rPr>
          <w:rFonts w:ascii="Garamond" w:eastAsia="SimSun" w:hAnsi="Garamond" w:cstheme="majorBidi"/>
          <w:color w:val="0D0D0D" w:themeColor="text1" w:themeTint="F2"/>
          <w:lang w:eastAsia="zh-CN"/>
        </w:rPr>
        <w:t xml:space="preserve"> kompanive të sektorit energjetik, NSH-ve të sektorit të ujësjellësit dhe disa NSH-ve të tjera jashtë të dy këtyre sektorëve. </w:t>
      </w:r>
      <w:r w:rsidRPr="00770F9D">
        <w:rPr>
          <w:rFonts w:ascii="Garamond" w:eastAsia="SimSun" w:hAnsi="Garamond" w:cstheme="majorBidi"/>
          <w:bCs/>
          <w:color w:val="0D0D0D" w:themeColor="text1" w:themeTint="F2"/>
          <w:lang w:eastAsia="zh-CN"/>
        </w:rPr>
        <w:t xml:space="preserve">Këto raporte analitike, të cilat përgatiten rregullisht në baza tremujore, bëhen pjesë/publikohen në të gjitha raportet periodike të MFE/DMB, si </w:t>
      </w:r>
      <w:r w:rsidR="00A80B36" w:rsidRPr="00770F9D">
        <w:rPr>
          <w:rFonts w:ascii="Garamond" w:eastAsia="SimSun" w:hAnsi="Garamond" w:cstheme="majorBidi"/>
          <w:bCs/>
          <w:color w:val="0D0D0D" w:themeColor="text1" w:themeTint="F2"/>
          <w:lang w:eastAsia="zh-CN"/>
        </w:rPr>
        <w:t>buxheti faktik</w:t>
      </w:r>
      <w:r w:rsidRPr="00770F9D">
        <w:rPr>
          <w:rFonts w:ascii="Garamond" w:eastAsia="SimSun" w:hAnsi="Garamond" w:cstheme="majorBidi"/>
          <w:bCs/>
          <w:color w:val="0D0D0D" w:themeColor="text1" w:themeTint="F2"/>
          <w:lang w:eastAsia="zh-CN"/>
        </w:rPr>
        <w:t xml:space="preserve">, </w:t>
      </w:r>
      <w:r w:rsidR="00A80B36" w:rsidRPr="00770F9D">
        <w:rPr>
          <w:rFonts w:ascii="Garamond" w:eastAsia="SimSun" w:hAnsi="Garamond" w:cstheme="majorBidi"/>
          <w:bCs/>
          <w:color w:val="0D0D0D" w:themeColor="text1" w:themeTint="F2"/>
          <w:lang w:eastAsia="zh-CN"/>
        </w:rPr>
        <w:t>raporti i mesvit</w:t>
      </w:r>
      <w:r w:rsidRPr="00770F9D">
        <w:rPr>
          <w:rFonts w:ascii="Garamond" w:eastAsia="SimSun" w:hAnsi="Garamond" w:cstheme="majorBidi"/>
          <w:bCs/>
          <w:color w:val="0D0D0D" w:themeColor="text1" w:themeTint="F2"/>
          <w:lang w:eastAsia="zh-CN"/>
        </w:rPr>
        <w:t xml:space="preserve">it, dhe </w:t>
      </w:r>
      <w:r w:rsidR="00005493" w:rsidRPr="00770F9D">
        <w:rPr>
          <w:rFonts w:ascii="Garamond" w:eastAsia="SimSun" w:hAnsi="Garamond" w:cstheme="majorBidi"/>
          <w:bCs/>
          <w:color w:val="0D0D0D" w:themeColor="text1" w:themeTint="F2"/>
          <w:lang w:eastAsia="zh-CN"/>
        </w:rPr>
        <w:t>projektbuxheti</w:t>
      </w:r>
      <w:r w:rsidRPr="00770F9D">
        <w:rPr>
          <w:rFonts w:ascii="Garamond" w:eastAsia="SimSun" w:hAnsi="Garamond" w:cstheme="majorBidi"/>
          <w:bCs/>
          <w:color w:val="0D0D0D" w:themeColor="text1" w:themeTint="F2"/>
          <w:lang w:eastAsia="zh-CN"/>
        </w:rPr>
        <w:t>.</w:t>
      </w:r>
      <w:r w:rsidRPr="00770F9D">
        <w:rPr>
          <w:rFonts w:ascii="Garamond" w:eastAsia="SimSun" w:hAnsi="Garamond" w:cstheme="majorBidi"/>
          <w:color w:val="0D0D0D" w:themeColor="text1" w:themeTint="F2"/>
          <w:lang w:eastAsia="zh-CN"/>
        </w:rPr>
        <w:t xml:space="preserve"> Për vitin fiskal 2022</w:t>
      </w:r>
      <w:r w:rsidR="00005493" w:rsidRPr="00770F9D">
        <w:rPr>
          <w:rFonts w:ascii="Garamond" w:eastAsia="SimSun" w:hAnsi="Garamond" w:cstheme="majorBidi"/>
          <w:color w:val="0D0D0D" w:themeColor="text1" w:themeTint="F2"/>
          <w:lang w:eastAsia="zh-CN"/>
        </w:rPr>
        <w:t>,</w:t>
      </w:r>
      <w:r w:rsidRPr="00770F9D">
        <w:rPr>
          <w:rFonts w:ascii="Garamond" w:eastAsia="SimSun" w:hAnsi="Garamond" w:cstheme="majorBidi"/>
          <w:color w:val="0D0D0D" w:themeColor="text1" w:themeTint="F2"/>
          <w:lang w:eastAsia="zh-CN"/>
        </w:rPr>
        <w:t xml:space="preserve"> me qëllim rritjen e vlerësimit të risqeve fiskale nga ndërmarrjet shtetërore, monitorimi i NSH-ve është zgjeruar më tej me 6 NSH të tjera, të gjitha pjesë e sektorit të ujësjellësit.</w:t>
      </w:r>
    </w:p>
    <w:p w14:paraId="35BB1AE0" w14:textId="77777777" w:rsidR="00720244" w:rsidRPr="00770F9D" w:rsidRDefault="00720244" w:rsidP="003F46E1">
      <w:pPr>
        <w:ind w:firstLine="284"/>
        <w:jc w:val="both"/>
        <w:rPr>
          <w:rFonts w:ascii="Garamond" w:hAnsi="Garamond" w:cstheme="majorBidi"/>
          <w:b/>
          <w:color w:val="0D0D0D" w:themeColor="text1" w:themeTint="F2"/>
        </w:rPr>
      </w:pPr>
      <w:r w:rsidRPr="00770F9D">
        <w:rPr>
          <w:rFonts w:ascii="Garamond" w:eastAsia="SimSun" w:hAnsi="Garamond" w:cstheme="majorBidi"/>
          <w:b/>
          <w:color w:val="0D0D0D" w:themeColor="text1" w:themeTint="F2"/>
        </w:rPr>
        <w:t xml:space="preserve">NSH-të e Sektorit të Energjisë </w:t>
      </w:r>
    </w:p>
    <w:p w14:paraId="6602C802" w14:textId="0F137690" w:rsidR="00720244" w:rsidRPr="00770F9D" w:rsidRDefault="00720244" w:rsidP="00EB64CA">
      <w:pPr>
        <w:tabs>
          <w:tab w:val="left" w:pos="1080"/>
          <w:tab w:val="left" w:pos="1170"/>
        </w:tabs>
        <w:ind w:firstLine="284"/>
        <w:jc w:val="both"/>
        <w:rPr>
          <w:rFonts w:ascii="Garamond" w:eastAsia="Times New Roman" w:hAnsi="Garamond" w:cstheme="majorBidi"/>
          <w:color w:val="0D0D0D" w:themeColor="text1" w:themeTint="F2"/>
          <w:lang w:eastAsia="it-IT"/>
        </w:rPr>
      </w:pPr>
      <w:r w:rsidRPr="00770F9D">
        <w:rPr>
          <w:rFonts w:ascii="Garamond" w:eastAsia="Times New Roman" w:hAnsi="Garamond" w:cstheme="majorBidi"/>
          <w:bCs/>
          <w:color w:val="0D0D0D" w:themeColor="text1" w:themeTint="F2"/>
          <w:lang w:eastAsia="it-IT"/>
        </w:rPr>
        <w:t xml:space="preserve">Ky sektor strategjik ka qenë dhe mbetet nën monitorimin e Ministrisë së Financave dhe Ekonomisë, duke </w:t>
      </w:r>
      <w:r w:rsidR="00173A2C" w:rsidRPr="00770F9D">
        <w:rPr>
          <w:rFonts w:ascii="Garamond" w:eastAsia="Times New Roman" w:hAnsi="Garamond" w:cstheme="majorBidi"/>
          <w:bCs/>
          <w:color w:val="0D0D0D" w:themeColor="text1" w:themeTint="F2"/>
          <w:lang w:eastAsia="it-IT"/>
        </w:rPr>
        <w:t>pasur</w:t>
      </w:r>
      <w:r w:rsidRPr="00770F9D">
        <w:rPr>
          <w:rFonts w:ascii="Garamond" w:eastAsia="Times New Roman" w:hAnsi="Garamond" w:cstheme="majorBidi"/>
          <w:bCs/>
          <w:color w:val="0D0D0D" w:themeColor="text1" w:themeTint="F2"/>
          <w:lang w:eastAsia="it-IT"/>
        </w:rPr>
        <w:t xml:space="preserve"> parasysh ndikimin e konsiderueshëm fiskal dhe impaktin e ndjeshëm të tij në ekonomi. Ky monitorim, në zbatim të </w:t>
      </w:r>
      <w:r w:rsidR="00EF65FD" w:rsidRPr="00770F9D">
        <w:rPr>
          <w:rFonts w:ascii="Garamond" w:eastAsia="Times New Roman" w:hAnsi="Garamond" w:cstheme="majorBidi"/>
          <w:bCs/>
          <w:color w:val="0D0D0D" w:themeColor="text1" w:themeTint="F2"/>
          <w:lang w:eastAsia="it-IT"/>
        </w:rPr>
        <w:t xml:space="preserve">ligjit organik të buxhetit, </w:t>
      </w:r>
      <w:r w:rsidRPr="00770F9D">
        <w:rPr>
          <w:rFonts w:ascii="Garamond" w:eastAsia="Times New Roman" w:hAnsi="Garamond" w:cstheme="majorBidi"/>
          <w:bCs/>
          <w:color w:val="0D0D0D" w:themeColor="text1" w:themeTint="F2"/>
          <w:lang w:eastAsia="it-IT"/>
        </w:rPr>
        <w:t>“</w:t>
      </w:r>
      <w:r w:rsidRPr="00770F9D">
        <w:rPr>
          <w:rFonts w:ascii="Garamond" w:eastAsia="Times New Roman" w:hAnsi="Garamond" w:cstheme="majorBidi"/>
          <w:bCs/>
          <w:iCs/>
          <w:color w:val="0D0D0D" w:themeColor="text1" w:themeTint="F2"/>
          <w:lang w:eastAsia="it-IT"/>
        </w:rPr>
        <w:t>Për menaxhimin e sistemit buxhetor në Republikën e Shqipërisë”, të ndryshuar,</w:t>
      </w:r>
      <w:r w:rsidRPr="00770F9D">
        <w:rPr>
          <w:rFonts w:ascii="Garamond" w:eastAsia="Times New Roman" w:hAnsi="Garamond" w:cstheme="majorBidi"/>
          <w:bCs/>
          <w:color w:val="0D0D0D" w:themeColor="text1" w:themeTint="F2"/>
          <w:lang w:eastAsia="it-IT"/>
        </w:rPr>
        <w:t xml:space="preserve"> i cili është kryer periodikisht mbi bazë tremujore, ka konsistuar në analizimin e treguesve të performancës financiare të secilës prej tr</w:t>
      </w:r>
      <w:r w:rsidR="00EB64CA">
        <w:rPr>
          <w:rFonts w:ascii="Garamond" w:eastAsia="Times New Roman" w:hAnsi="Garamond" w:cstheme="majorBidi"/>
          <w:bCs/>
          <w:color w:val="0D0D0D" w:themeColor="text1" w:themeTint="F2"/>
          <w:lang w:eastAsia="it-IT"/>
        </w:rPr>
        <w:t>i</w:t>
      </w:r>
      <w:r w:rsidRPr="00770F9D">
        <w:rPr>
          <w:rFonts w:ascii="Garamond" w:eastAsia="Times New Roman" w:hAnsi="Garamond" w:cstheme="majorBidi"/>
          <w:bCs/>
          <w:color w:val="0D0D0D" w:themeColor="text1" w:themeTint="F2"/>
          <w:lang w:eastAsia="it-IT"/>
        </w:rPr>
        <w:t xml:space="preserve"> kompanive: KESH sh.a</w:t>
      </w:r>
      <w:r w:rsidR="00EF65FD" w:rsidRPr="00770F9D">
        <w:rPr>
          <w:rFonts w:ascii="Garamond" w:eastAsia="Times New Roman" w:hAnsi="Garamond" w:cstheme="majorBidi"/>
          <w:bCs/>
          <w:color w:val="0D0D0D" w:themeColor="text1" w:themeTint="F2"/>
          <w:lang w:eastAsia="it-IT"/>
        </w:rPr>
        <w:t>.</w:t>
      </w:r>
      <w:r w:rsidRPr="00770F9D">
        <w:rPr>
          <w:rFonts w:ascii="Garamond" w:eastAsia="Times New Roman" w:hAnsi="Garamond" w:cstheme="majorBidi"/>
          <w:bCs/>
          <w:color w:val="0D0D0D" w:themeColor="text1" w:themeTint="F2"/>
          <w:lang w:eastAsia="it-IT"/>
        </w:rPr>
        <w:t>, OSHEE Group sh.a</w:t>
      </w:r>
      <w:r w:rsidR="00EF65FD" w:rsidRPr="00770F9D">
        <w:rPr>
          <w:rFonts w:ascii="Garamond" w:eastAsia="Times New Roman" w:hAnsi="Garamond" w:cstheme="majorBidi"/>
          <w:bCs/>
          <w:color w:val="0D0D0D" w:themeColor="text1" w:themeTint="F2"/>
          <w:lang w:eastAsia="it-IT"/>
        </w:rPr>
        <w:t>.</w:t>
      </w:r>
      <w:r w:rsidRPr="00770F9D">
        <w:rPr>
          <w:rFonts w:ascii="Garamond" w:eastAsia="Times New Roman" w:hAnsi="Garamond" w:cstheme="majorBidi"/>
          <w:bCs/>
          <w:color w:val="0D0D0D" w:themeColor="text1" w:themeTint="F2"/>
          <w:lang w:eastAsia="it-IT"/>
        </w:rPr>
        <w:t xml:space="preserve"> dhe OST sh.a.</w:t>
      </w:r>
      <w:r w:rsidRPr="00770F9D">
        <w:rPr>
          <w:rFonts w:ascii="Garamond" w:eastAsia="Times New Roman" w:hAnsi="Garamond" w:cstheme="majorBidi"/>
          <w:color w:val="0D0D0D" w:themeColor="text1" w:themeTint="F2"/>
          <w:lang w:eastAsia="it-IT"/>
        </w:rPr>
        <w:t xml:space="preserve"> Konkretisht, sektori i </w:t>
      </w:r>
      <w:r w:rsidR="00EF65FD" w:rsidRPr="00770F9D">
        <w:rPr>
          <w:rFonts w:ascii="Garamond" w:eastAsia="Times New Roman" w:hAnsi="Garamond" w:cstheme="majorBidi"/>
          <w:color w:val="0D0D0D" w:themeColor="text1" w:themeTint="F2"/>
          <w:lang w:eastAsia="it-IT"/>
        </w:rPr>
        <w:t xml:space="preserve">energjisë </w:t>
      </w:r>
      <w:r w:rsidRPr="00770F9D">
        <w:rPr>
          <w:rFonts w:ascii="Garamond" w:eastAsia="Times New Roman" w:hAnsi="Garamond" w:cstheme="majorBidi"/>
          <w:color w:val="0D0D0D" w:themeColor="text1" w:themeTint="F2"/>
          <w:lang w:eastAsia="it-IT"/>
        </w:rPr>
        <w:t xml:space="preserve">përgjatë vitit 2021 dhe deri në vitin 2022 është përballur me një situatë jo të favorshme, që për rrjedhojë ka ndikuar negativisht në përformancën financiarë të këtij sektori. Një faktor i tillë si kriza e vazhdueshme globale e energjisë, me rritjen e paparashikuar eksponenciale të çmimit të energjisë në </w:t>
      </w:r>
      <w:r w:rsidR="00EF65FD" w:rsidRPr="00770F9D">
        <w:rPr>
          <w:rFonts w:ascii="Garamond" w:eastAsia="Times New Roman" w:hAnsi="Garamond" w:cstheme="majorBidi"/>
          <w:color w:val="0D0D0D" w:themeColor="text1" w:themeTint="F2"/>
          <w:lang w:eastAsia="it-IT"/>
        </w:rPr>
        <w:t>tregun e lirë</w:t>
      </w:r>
      <w:r w:rsidRPr="00770F9D">
        <w:rPr>
          <w:rFonts w:ascii="Garamond" w:eastAsia="Times New Roman" w:hAnsi="Garamond" w:cstheme="majorBidi"/>
          <w:color w:val="0D0D0D" w:themeColor="text1" w:themeTint="F2"/>
          <w:lang w:eastAsia="it-IT"/>
        </w:rPr>
        <w:t>, ka shërbyer si faktor kryesor për të ndikuar negativisht në likuiditetin dhe performancën financiare të të gjithë operatorëve publikë të energjisë. Kjo situatë e vështirë çoi në shpalljen e gjendjes së jashtëzakonshme në sektor me anë të VKM-së nr. 584/2021</w:t>
      </w:r>
      <w:r w:rsidR="00EF65FD" w:rsidRPr="00770F9D">
        <w:rPr>
          <w:rFonts w:ascii="Garamond" w:eastAsia="Times New Roman" w:hAnsi="Garamond" w:cstheme="majorBidi"/>
          <w:color w:val="0D0D0D" w:themeColor="text1" w:themeTint="F2"/>
          <w:lang w:eastAsia="it-IT"/>
        </w:rPr>
        <w:t>,</w:t>
      </w:r>
      <w:r w:rsidRPr="00770F9D">
        <w:rPr>
          <w:rFonts w:ascii="Garamond" w:eastAsia="Times New Roman" w:hAnsi="Garamond" w:cstheme="majorBidi"/>
          <w:color w:val="0D0D0D" w:themeColor="text1" w:themeTint="F2"/>
          <w:lang w:eastAsia="it-IT"/>
        </w:rPr>
        <w:t xml:space="preserve"> “Për shpalljen e gjendjes së jashtëzakonshme në furnizimin me energji elektrike”, </w:t>
      </w:r>
      <w:r w:rsidR="00EF65FD" w:rsidRPr="00770F9D">
        <w:rPr>
          <w:rFonts w:ascii="Garamond" w:eastAsia="Times New Roman" w:hAnsi="Garamond" w:cstheme="majorBidi"/>
          <w:color w:val="0D0D0D" w:themeColor="text1" w:themeTint="F2"/>
          <w:lang w:eastAsia="it-IT"/>
        </w:rPr>
        <w:t>të</w:t>
      </w:r>
      <w:r w:rsidRPr="00770F9D">
        <w:rPr>
          <w:rFonts w:ascii="Garamond" w:eastAsia="Times New Roman" w:hAnsi="Garamond" w:cstheme="majorBidi"/>
          <w:color w:val="0D0D0D" w:themeColor="text1" w:themeTint="F2"/>
          <w:lang w:eastAsia="it-IT"/>
        </w:rPr>
        <w:t xml:space="preserve"> ndryshuar, i cili përcaktoi kohëzgjatjen e situatës së gjendjes së jashtëzakonshme deri më 30 qershor 2023. Ndër masat e tjera, për vitin 2022 qeveria planifikoi mbështetje për sigurimin e furnizimit me energji elektrike në formën e një huaje për sektorin e </w:t>
      </w:r>
      <w:r w:rsidR="00EF65FD" w:rsidRPr="00770F9D">
        <w:rPr>
          <w:rFonts w:ascii="Garamond" w:eastAsia="Times New Roman" w:hAnsi="Garamond" w:cstheme="majorBidi"/>
          <w:color w:val="0D0D0D" w:themeColor="text1" w:themeTint="F2"/>
          <w:lang w:eastAsia="it-IT"/>
        </w:rPr>
        <w:t xml:space="preserve">energjisë </w:t>
      </w:r>
      <w:r w:rsidRPr="00770F9D">
        <w:rPr>
          <w:rFonts w:ascii="Garamond" w:eastAsia="Times New Roman" w:hAnsi="Garamond" w:cstheme="majorBidi"/>
          <w:color w:val="0D0D0D" w:themeColor="text1" w:themeTint="F2"/>
          <w:lang w:eastAsia="it-IT"/>
        </w:rPr>
        <w:t>në shumën (8 miliardë lekë), dhe një mbështetje buxhetore po për këtë sektor në shumën (20 miliardë lekë). Ndërsa për vitin 2023 qeveria ka planifikuar (12 miliardë lekë) mbështetje buxhetore për sektorin e energjisë.</w:t>
      </w:r>
    </w:p>
    <w:p w14:paraId="5DA54604" w14:textId="77777777" w:rsidR="000F4E5B" w:rsidRDefault="000F4E5B" w:rsidP="000F4E5B">
      <w:pPr>
        <w:jc w:val="center"/>
        <w:rPr>
          <w:rFonts w:ascii="Garamond" w:hAnsi="Garamond" w:cstheme="majorBidi"/>
          <w:b/>
          <w:i/>
          <w:color w:val="0D0D0D" w:themeColor="text1" w:themeTint="F2"/>
        </w:rPr>
      </w:pPr>
    </w:p>
    <w:p w14:paraId="287BEC3C" w14:textId="77777777" w:rsidR="000F4E5B" w:rsidRDefault="000F4E5B" w:rsidP="000F4E5B">
      <w:pPr>
        <w:jc w:val="center"/>
        <w:rPr>
          <w:rFonts w:ascii="Garamond" w:hAnsi="Garamond" w:cstheme="majorBidi"/>
          <w:b/>
          <w:i/>
          <w:color w:val="0D0D0D" w:themeColor="text1" w:themeTint="F2"/>
        </w:rPr>
      </w:pPr>
    </w:p>
    <w:p w14:paraId="3522900A" w14:textId="77777777" w:rsidR="000F4E5B" w:rsidRDefault="000F4E5B" w:rsidP="000F4E5B">
      <w:pPr>
        <w:jc w:val="center"/>
        <w:rPr>
          <w:rFonts w:ascii="Garamond" w:hAnsi="Garamond" w:cstheme="majorBidi"/>
          <w:b/>
          <w:i/>
          <w:color w:val="0D0D0D" w:themeColor="text1" w:themeTint="F2"/>
        </w:rPr>
      </w:pPr>
    </w:p>
    <w:p w14:paraId="09FCAC19" w14:textId="77777777" w:rsidR="000F4E5B" w:rsidRDefault="000F4E5B" w:rsidP="000F4E5B">
      <w:pPr>
        <w:jc w:val="center"/>
        <w:rPr>
          <w:rFonts w:ascii="Garamond" w:hAnsi="Garamond" w:cstheme="majorBidi"/>
          <w:b/>
          <w:i/>
          <w:color w:val="0D0D0D" w:themeColor="text1" w:themeTint="F2"/>
        </w:rPr>
      </w:pPr>
    </w:p>
    <w:p w14:paraId="3D62F41A" w14:textId="77777777" w:rsidR="000F4E5B" w:rsidRDefault="000F4E5B" w:rsidP="000F4E5B">
      <w:pPr>
        <w:jc w:val="center"/>
        <w:rPr>
          <w:rFonts w:ascii="Garamond" w:hAnsi="Garamond" w:cstheme="majorBidi"/>
          <w:b/>
          <w:i/>
          <w:color w:val="0D0D0D" w:themeColor="text1" w:themeTint="F2"/>
        </w:rPr>
      </w:pPr>
    </w:p>
    <w:p w14:paraId="183B6C0E" w14:textId="77777777" w:rsidR="000F4E5B" w:rsidRDefault="000F4E5B" w:rsidP="000F4E5B">
      <w:pPr>
        <w:jc w:val="center"/>
        <w:rPr>
          <w:rFonts w:ascii="Garamond" w:hAnsi="Garamond" w:cstheme="majorBidi"/>
          <w:b/>
          <w:i/>
          <w:color w:val="0D0D0D" w:themeColor="text1" w:themeTint="F2"/>
        </w:rPr>
      </w:pPr>
    </w:p>
    <w:p w14:paraId="3AAD0A10" w14:textId="77777777" w:rsidR="000F4E5B" w:rsidRDefault="000F4E5B" w:rsidP="000F4E5B">
      <w:pPr>
        <w:jc w:val="center"/>
        <w:rPr>
          <w:rFonts w:ascii="Garamond" w:hAnsi="Garamond" w:cstheme="majorBidi"/>
          <w:b/>
          <w:i/>
          <w:color w:val="0D0D0D" w:themeColor="text1" w:themeTint="F2"/>
        </w:rPr>
      </w:pPr>
    </w:p>
    <w:p w14:paraId="13BFDD41" w14:textId="3DCBCA77" w:rsidR="00720244" w:rsidRPr="00770F9D" w:rsidRDefault="00720244" w:rsidP="000F4E5B">
      <w:pPr>
        <w:jc w:val="center"/>
        <w:rPr>
          <w:rFonts w:ascii="Garamond" w:hAnsi="Garamond" w:cstheme="majorBidi"/>
          <w:i/>
          <w:color w:val="0D0D0D" w:themeColor="text1" w:themeTint="F2"/>
        </w:rPr>
      </w:pPr>
      <w:r w:rsidRPr="00770F9D">
        <w:rPr>
          <w:rFonts w:ascii="Garamond" w:hAnsi="Garamond" w:cstheme="majorBidi"/>
          <w:b/>
          <w:i/>
          <w:color w:val="0D0D0D" w:themeColor="text1" w:themeTint="F2"/>
        </w:rPr>
        <w:t>Tabela 1.</w:t>
      </w:r>
      <w:r w:rsidR="00EF65FD" w:rsidRPr="00770F9D">
        <w:rPr>
          <w:rFonts w:ascii="Garamond" w:hAnsi="Garamond" w:cstheme="majorBidi"/>
          <w:b/>
          <w:i/>
          <w:color w:val="0D0D0D" w:themeColor="text1" w:themeTint="F2"/>
        </w:rPr>
        <w:t xml:space="preserve"> </w:t>
      </w:r>
      <w:r w:rsidRPr="00770F9D">
        <w:rPr>
          <w:rFonts w:ascii="Garamond" w:hAnsi="Garamond" w:cstheme="majorBidi"/>
          <w:i/>
          <w:color w:val="0D0D0D" w:themeColor="text1" w:themeTint="F2"/>
        </w:rPr>
        <w:t>Të dhënat mbi impaktin e sektorit të energjisë në financat publike 2018- 9M 2022 (në milionë lekë)</w:t>
      </w:r>
    </w:p>
    <w:p w14:paraId="5406DC4A" w14:textId="5382524F" w:rsidR="00720244" w:rsidRPr="00770F9D" w:rsidRDefault="00720244" w:rsidP="00EF65FD">
      <w:pPr>
        <w:ind w:firstLine="284"/>
        <w:jc w:val="center"/>
        <w:rPr>
          <w:rFonts w:ascii="Garamond" w:hAnsi="Garamond" w:cstheme="majorBidi"/>
          <w:i/>
          <w:color w:val="0D0D0D" w:themeColor="text1" w:themeTint="F2"/>
          <w:sz w:val="20"/>
          <w:szCs w:val="20"/>
        </w:rPr>
      </w:pPr>
      <w:r w:rsidRPr="00770F9D">
        <w:rPr>
          <w:rFonts w:ascii="Garamond" w:hAnsi="Garamond" w:cstheme="majorBidi"/>
          <w:noProof/>
          <w:color w:val="0D0D0D" w:themeColor="text1" w:themeTint="F2"/>
          <w:sz w:val="20"/>
          <w:szCs w:val="20"/>
          <w:lang w:eastAsia="sq-AL"/>
        </w:rPr>
        <w:drawing>
          <wp:anchor distT="0" distB="0" distL="114300" distR="114300" simplePos="0" relativeHeight="251658244" behindDoc="0" locked="0" layoutInCell="1" allowOverlap="1" wp14:anchorId="55E40E07" wp14:editId="4524A623">
            <wp:simplePos x="0" y="0"/>
            <wp:positionH relativeFrom="column">
              <wp:posOffset>4445</wp:posOffset>
            </wp:positionH>
            <wp:positionV relativeFrom="paragraph">
              <wp:posOffset>52070</wp:posOffset>
            </wp:positionV>
            <wp:extent cx="5923722" cy="1276350"/>
            <wp:effectExtent l="0" t="0" r="127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23722"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0F9D">
        <w:rPr>
          <w:rFonts w:ascii="Garamond" w:hAnsi="Garamond" w:cstheme="majorBidi"/>
          <w:i/>
          <w:color w:val="0D0D0D" w:themeColor="text1" w:themeTint="F2"/>
          <w:sz w:val="20"/>
          <w:szCs w:val="20"/>
        </w:rPr>
        <w:t>Burimi: Drejtoria e Borxhit Publik, Drejtoria e Përgjithshme e Tatimeve, FRU 2022</w:t>
      </w:r>
    </w:p>
    <w:p w14:paraId="31F0F59C" w14:textId="77777777" w:rsidR="00EF65FD" w:rsidRPr="00770F9D" w:rsidRDefault="00EF65FD" w:rsidP="003F46E1">
      <w:pPr>
        <w:ind w:firstLine="284"/>
        <w:jc w:val="both"/>
        <w:rPr>
          <w:rFonts w:ascii="Garamond" w:hAnsi="Garamond" w:cstheme="majorBidi"/>
          <w:i/>
          <w:color w:val="0D0D0D" w:themeColor="text1" w:themeTint="F2"/>
        </w:rPr>
      </w:pPr>
    </w:p>
    <w:p w14:paraId="263DF42D" w14:textId="5CF0FF67" w:rsidR="00720244" w:rsidRPr="00770F9D" w:rsidRDefault="00720244" w:rsidP="009133F6">
      <w:pPr>
        <w:ind w:firstLine="284"/>
        <w:jc w:val="both"/>
        <w:rPr>
          <w:rFonts w:ascii="Garamond" w:hAnsi="Garamond" w:cstheme="majorBidi"/>
          <w:i/>
          <w:color w:val="0D0D0D" w:themeColor="text1" w:themeTint="F2"/>
        </w:rPr>
      </w:pPr>
      <w:r w:rsidRPr="00770F9D">
        <w:rPr>
          <w:rFonts w:ascii="Garamond" w:hAnsi="Garamond" w:cstheme="majorBidi"/>
          <w:i/>
          <w:color w:val="0D0D0D" w:themeColor="text1" w:themeTint="F2"/>
        </w:rPr>
        <w:t>*</w:t>
      </w:r>
      <w:r w:rsidR="009133F6" w:rsidRPr="00770F9D">
        <w:rPr>
          <w:rFonts w:ascii="Garamond" w:hAnsi="Garamond" w:cstheme="majorBidi"/>
          <w:i/>
          <w:color w:val="0D0D0D" w:themeColor="text1" w:themeTint="F2"/>
        </w:rPr>
        <w:t xml:space="preserve"> </w:t>
      </w:r>
      <w:r w:rsidRPr="00770F9D">
        <w:rPr>
          <w:rFonts w:ascii="Garamond" w:hAnsi="Garamond" w:cstheme="majorBidi"/>
          <w:i/>
          <w:color w:val="0D0D0D" w:themeColor="text1" w:themeTint="F2"/>
        </w:rPr>
        <w:t xml:space="preserve">“Hua e dhënë për energjinë” planifikuar në shumën 8,000 milionë lekë për vitin 2022 </w:t>
      </w:r>
      <w:bookmarkStart w:id="4" w:name="_Hlk118710288"/>
      <w:r w:rsidRPr="00770F9D">
        <w:rPr>
          <w:rFonts w:ascii="Garamond" w:hAnsi="Garamond" w:cstheme="majorBidi"/>
          <w:i/>
          <w:color w:val="0D0D0D" w:themeColor="text1" w:themeTint="F2"/>
        </w:rPr>
        <w:t xml:space="preserve">(realizimi aktual është 7,907 milionë lekë) </w:t>
      </w:r>
      <w:bookmarkEnd w:id="4"/>
      <w:r w:rsidRPr="00770F9D">
        <w:rPr>
          <w:rFonts w:ascii="Garamond" w:hAnsi="Garamond" w:cstheme="majorBidi"/>
          <w:i/>
          <w:color w:val="0D0D0D" w:themeColor="text1" w:themeTint="F2"/>
        </w:rPr>
        <w:t xml:space="preserve">dhe “Mbështetje buxhetore për sektorin e energjisë” planifikuar në shumën 20,000 milionë lekë për vitin 2022 </w:t>
      </w:r>
      <w:bookmarkStart w:id="5" w:name="_Hlk118796934"/>
      <w:r w:rsidRPr="00770F9D">
        <w:rPr>
          <w:rFonts w:ascii="Garamond" w:hAnsi="Garamond" w:cstheme="majorBidi"/>
          <w:i/>
          <w:color w:val="0D0D0D" w:themeColor="text1" w:themeTint="F2"/>
        </w:rPr>
        <w:t>(realizimi aktual është 16,000 milionë lekë).</w:t>
      </w:r>
      <w:bookmarkEnd w:id="5"/>
    </w:p>
    <w:p w14:paraId="2B6640FF" w14:textId="77777777" w:rsidR="009133F6" w:rsidRPr="00770F9D" w:rsidRDefault="009133F6" w:rsidP="003F46E1">
      <w:pPr>
        <w:tabs>
          <w:tab w:val="left" w:pos="1080"/>
          <w:tab w:val="left" w:pos="1170"/>
        </w:tabs>
        <w:ind w:firstLine="284"/>
        <w:jc w:val="both"/>
        <w:rPr>
          <w:rFonts w:ascii="Garamond" w:eastAsia="Times New Roman" w:hAnsi="Garamond" w:cstheme="majorBidi"/>
          <w:b/>
          <w:color w:val="0D0D0D" w:themeColor="text1" w:themeTint="F2"/>
          <w:lang w:eastAsia="zh-CN"/>
        </w:rPr>
      </w:pPr>
    </w:p>
    <w:p w14:paraId="2779E6E8" w14:textId="5D55DBD9" w:rsidR="00720244" w:rsidRPr="00770F9D" w:rsidRDefault="00720244" w:rsidP="003F46E1">
      <w:pPr>
        <w:tabs>
          <w:tab w:val="left" w:pos="1080"/>
          <w:tab w:val="left" w:pos="1170"/>
        </w:tabs>
        <w:ind w:firstLine="284"/>
        <w:jc w:val="both"/>
        <w:rPr>
          <w:rFonts w:ascii="Garamond" w:eastAsia="Times New Roman" w:hAnsi="Garamond" w:cstheme="majorBidi"/>
          <w:b/>
          <w:color w:val="0D0D0D" w:themeColor="text1" w:themeTint="F2"/>
          <w:lang w:eastAsia="zh-CN"/>
        </w:rPr>
      </w:pPr>
      <w:r w:rsidRPr="00770F9D">
        <w:rPr>
          <w:rFonts w:ascii="Garamond" w:eastAsia="Times New Roman" w:hAnsi="Garamond" w:cstheme="majorBidi"/>
          <w:b/>
          <w:color w:val="0D0D0D" w:themeColor="text1" w:themeTint="F2"/>
          <w:lang w:eastAsia="zh-CN"/>
        </w:rPr>
        <w:t>Ndërmarrje të tjera shtetërore (NSH) të monitoruara jashtë sektorit të ene</w:t>
      </w:r>
      <w:r w:rsidR="009133F6" w:rsidRPr="00770F9D">
        <w:rPr>
          <w:rFonts w:ascii="Garamond" w:eastAsia="Times New Roman" w:hAnsi="Garamond" w:cstheme="majorBidi"/>
          <w:b/>
          <w:color w:val="0D0D0D" w:themeColor="text1" w:themeTint="F2"/>
          <w:lang w:eastAsia="zh-CN"/>
        </w:rPr>
        <w:t>rgjisë</w:t>
      </w:r>
    </w:p>
    <w:p w14:paraId="0A9C22AF" w14:textId="1B894D45" w:rsidR="00720244" w:rsidRPr="00770F9D" w:rsidRDefault="00720244" w:rsidP="003F46E1">
      <w:pPr>
        <w:tabs>
          <w:tab w:val="left" w:pos="1080"/>
          <w:tab w:val="left" w:pos="1170"/>
        </w:tabs>
        <w:ind w:firstLine="284"/>
        <w:jc w:val="both"/>
        <w:rPr>
          <w:rFonts w:ascii="Garamond" w:eastAsia="Times New Roman" w:hAnsi="Garamond" w:cstheme="majorBidi"/>
          <w:color w:val="0D0D0D" w:themeColor="text1" w:themeTint="F2"/>
          <w:lang w:eastAsia="zh-CN"/>
        </w:rPr>
      </w:pPr>
      <w:r w:rsidRPr="00770F9D">
        <w:rPr>
          <w:rFonts w:ascii="Garamond" w:eastAsia="Times New Roman" w:hAnsi="Garamond" w:cstheme="majorBidi"/>
          <w:color w:val="0D0D0D" w:themeColor="text1" w:themeTint="F2"/>
          <w:lang w:eastAsia="zh-CN"/>
        </w:rPr>
        <w:t>Krahas sektorit të energjisë, Ministria e Financave dhe Ekonomisë monitoron në mënyrë periodike ndërmarrjet e tjera shtetërore</w:t>
      </w:r>
      <w:r w:rsidR="00B73C18" w:rsidRPr="00770F9D">
        <w:rPr>
          <w:rFonts w:ascii="Garamond" w:eastAsia="Times New Roman" w:hAnsi="Garamond" w:cstheme="majorBidi"/>
          <w:color w:val="0D0D0D" w:themeColor="text1" w:themeTint="F2"/>
          <w:lang w:eastAsia="zh-CN"/>
        </w:rPr>
        <w:t>,</w:t>
      </w:r>
      <w:r w:rsidRPr="00770F9D">
        <w:rPr>
          <w:rFonts w:ascii="Garamond" w:eastAsia="Times New Roman" w:hAnsi="Garamond" w:cstheme="majorBidi"/>
          <w:color w:val="0D0D0D" w:themeColor="text1" w:themeTint="F2"/>
          <w:lang w:eastAsia="zh-CN"/>
        </w:rPr>
        <w:t xml:space="preserve"> që mund të paraqesin rreziqe të konsiderueshme fiskale në zbatimin e buxhetit vjetor, duke analizuar performancën e tyre financiare në bazë tremujore. Sektori i ujësjellësit është njëri prej këtyre sektorëve kyç që monitorohet nga MFE-ja. Treguesit e rëndësishëm të performancës të analizuar për tremujorin e dytë 2022 për këtë sektor, konfirmojnë vështirësitë e NSH-ve në drejtim të shlyerjes së detyrimeve e prapambetura dhe mbledhjes së të ardhurave, duke sinjalizuar kështu probleme të mundshme likuiditeti për periudhën afatshkurtër, krahasuar me vitin 2021. Akumulimi i detyrimeve të prapambetura në këtë sektor ka vazhduar me trend rritës, kryesisht për shkak të performancës së dobët të shumicës së NSH-ve të ujësjellësit. Nisur nga kjo situatë, aktualisht ka nisur procesi i reformimit dhe </w:t>
      </w:r>
      <w:r w:rsidR="00B73C18" w:rsidRPr="00770F9D">
        <w:rPr>
          <w:rFonts w:ascii="Garamond" w:eastAsia="Times New Roman" w:hAnsi="Garamond" w:cstheme="majorBidi"/>
          <w:color w:val="0D0D0D" w:themeColor="text1" w:themeTint="F2"/>
          <w:lang w:eastAsia="zh-CN"/>
        </w:rPr>
        <w:t xml:space="preserve">i </w:t>
      </w:r>
      <w:r w:rsidRPr="00770F9D">
        <w:rPr>
          <w:rFonts w:ascii="Garamond" w:eastAsia="Times New Roman" w:hAnsi="Garamond" w:cstheme="majorBidi"/>
          <w:color w:val="0D0D0D" w:themeColor="text1" w:themeTint="F2"/>
          <w:lang w:eastAsia="zh-CN"/>
        </w:rPr>
        <w:t>riorganizimit të sektorit të ujit, në përputhje me Strategjinë Kombëtare të Sektorit të Ujësjellës Kanalizimeve 2020</w:t>
      </w:r>
      <w:r w:rsidR="0008051D" w:rsidRPr="00770F9D">
        <w:rPr>
          <w:rFonts w:ascii="Garamond" w:eastAsia="Times New Roman" w:hAnsi="Garamond" w:cstheme="majorBidi"/>
          <w:color w:val="0D0D0D" w:themeColor="text1" w:themeTint="F2"/>
          <w:lang w:eastAsia="zh-CN"/>
        </w:rPr>
        <w:t xml:space="preserve"> </w:t>
      </w:r>
      <w:r w:rsidRPr="00770F9D">
        <w:rPr>
          <w:rFonts w:ascii="Garamond" w:eastAsia="Times New Roman" w:hAnsi="Garamond" w:cstheme="majorBidi"/>
          <w:color w:val="0D0D0D" w:themeColor="text1" w:themeTint="F2"/>
          <w:lang w:eastAsia="zh-CN"/>
        </w:rPr>
        <w:t>2030. Synimi është ridimensionimi i 61 ndërmarrjeve aktuale të ujit, nëpërmjet rigrupimit të tyre në 15 ndërmarrje rajonale, me qëllim menaxhimin optimal dhe përmirësimin e performancës financiare. Për më tepër, të dhënat financiare dhe performanca në baza tremujore po mblidhen edhe nga NSH</w:t>
      </w:r>
      <w:r w:rsidR="0008051D" w:rsidRPr="00770F9D">
        <w:rPr>
          <w:rFonts w:ascii="Garamond" w:eastAsia="Times New Roman" w:hAnsi="Garamond" w:cstheme="majorBidi"/>
          <w:color w:val="0D0D0D" w:themeColor="text1" w:themeTint="F2"/>
          <w:lang w:eastAsia="zh-CN"/>
        </w:rPr>
        <w:t>-ja</w:t>
      </w:r>
      <w:r w:rsidRPr="00770F9D">
        <w:rPr>
          <w:rFonts w:ascii="Garamond" w:eastAsia="Times New Roman" w:hAnsi="Garamond" w:cstheme="majorBidi"/>
          <w:color w:val="0D0D0D" w:themeColor="text1" w:themeTint="F2"/>
          <w:lang w:eastAsia="zh-CN"/>
        </w:rPr>
        <w:t xml:space="preserve"> të tjera jashtë sektorit të energjisë dhe ujësjellësit, NSH të cilat paraqesin rreziqe të konsiderueshme fiskale në zbatimin e buxhetit vjetor dhe/ose marrin mbështetje buxhetore vjetore nga qeveria, duke përmendur këtu Hekurudhën Shqiptare sh.a</w:t>
      </w:r>
      <w:r w:rsidR="00E70CFA" w:rsidRPr="00770F9D">
        <w:rPr>
          <w:rFonts w:ascii="Garamond" w:eastAsia="Times New Roman" w:hAnsi="Garamond" w:cstheme="majorBidi"/>
          <w:color w:val="0D0D0D" w:themeColor="text1" w:themeTint="F2"/>
          <w:lang w:eastAsia="zh-CN"/>
        </w:rPr>
        <w:t>.</w:t>
      </w:r>
      <w:r w:rsidRPr="00770F9D">
        <w:rPr>
          <w:rFonts w:ascii="Garamond" w:eastAsia="Times New Roman" w:hAnsi="Garamond" w:cstheme="majorBidi"/>
          <w:color w:val="0D0D0D" w:themeColor="text1" w:themeTint="F2"/>
          <w:lang w:eastAsia="zh-CN"/>
        </w:rPr>
        <w:t>, Albcontrol sh.a</w:t>
      </w:r>
      <w:r w:rsidR="00E70CFA" w:rsidRPr="00770F9D">
        <w:rPr>
          <w:rFonts w:ascii="Garamond" w:eastAsia="Times New Roman" w:hAnsi="Garamond" w:cstheme="majorBidi"/>
          <w:color w:val="0D0D0D" w:themeColor="text1" w:themeTint="F2"/>
          <w:lang w:eastAsia="zh-CN"/>
        </w:rPr>
        <w:t>.</w:t>
      </w:r>
      <w:r w:rsidRPr="00770F9D">
        <w:rPr>
          <w:rFonts w:ascii="Garamond" w:eastAsia="Times New Roman" w:hAnsi="Garamond" w:cstheme="majorBidi"/>
          <w:color w:val="0D0D0D" w:themeColor="text1" w:themeTint="F2"/>
          <w:lang w:eastAsia="zh-CN"/>
        </w:rPr>
        <w:t>, Posta Shqiptare sh.a</w:t>
      </w:r>
      <w:r w:rsidR="00E70CFA" w:rsidRPr="00770F9D">
        <w:rPr>
          <w:rFonts w:ascii="Garamond" w:eastAsia="Times New Roman" w:hAnsi="Garamond" w:cstheme="majorBidi"/>
          <w:color w:val="0D0D0D" w:themeColor="text1" w:themeTint="F2"/>
          <w:lang w:eastAsia="zh-CN"/>
        </w:rPr>
        <w:t>.</w:t>
      </w:r>
      <w:r w:rsidRPr="00770F9D">
        <w:rPr>
          <w:rFonts w:ascii="Garamond" w:eastAsia="Times New Roman" w:hAnsi="Garamond" w:cstheme="majorBidi"/>
          <w:color w:val="0D0D0D" w:themeColor="text1" w:themeTint="F2"/>
          <w:lang w:eastAsia="zh-CN"/>
        </w:rPr>
        <w:t>, Albgaz sh.a</w:t>
      </w:r>
      <w:r w:rsidR="00E70CFA" w:rsidRPr="00770F9D">
        <w:rPr>
          <w:rFonts w:ascii="Garamond" w:eastAsia="Times New Roman" w:hAnsi="Garamond" w:cstheme="majorBidi"/>
          <w:color w:val="0D0D0D" w:themeColor="text1" w:themeTint="F2"/>
          <w:lang w:eastAsia="zh-CN"/>
        </w:rPr>
        <w:t>.</w:t>
      </w:r>
      <w:r w:rsidRPr="00770F9D">
        <w:rPr>
          <w:rFonts w:ascii="Garamond" w:eastAsia="Times New Roman" w:hAnsi="Garamond" w:cstheme="majorBidi"/>
          <w:color w:val="0D0D0D" w:themeColor="text1" w:themeTint="F2"/>
          <w:lang w:eastAsia="zh-CN"/>
        </w:rPr>
        <w:t>, Albpetrol sh.a</w:t>
      </w:r>
      <w:r w:rsidR="00E70CFA" w:rsidRPr="00770F9D">
        <w:rPr>
          <w:rFonts w:ascii="Garamond" w:eastAsia="Times New Roman" w:hAnsi="Garamond" w:cstheme="majorBidi"/>
          <w:color w:val="0D0D0D" w:themeColor="text1" w:themeTint="F2"/>
          <w:lang w:eastAsia="zh-CN"/>
        </w:rPr>
        <w:t>.</w:t>
      </w:r>
      <w:r w:rsidRPr="00770F9D">
        <w:rPr>
          <w:rFonts w:ascii="Garamond" w:eastAsia="Times New Roman" w:hAnsi="Garamond" w:cstheme="majorBidi"/>
          <w:color w:val="0D0D0D" w:themeColor="text1" w:themeTint="F2"/>
          <w:lang w:eastAsia="zh-CN"/>
        </w:rPr>
        <w:t>, APD sh.a</w:t>
      </w:r>
      <w:r w:rsidR="00E70CFA" w:rsidRPr="00770F9D">
        <w:rPr>
          <w:rFonts w:ascii="Garamond" w:eastAsia="Times New Roman" w:hAnsi="Garamond" w:cstheme="majorBidi"/>
          <w:color w:val="0D0D0D" w:themeColor="text1" w:themeTint="F2"/>
          <w:lang w:eastAsia="zh-CN"/>
        </w:rPr>
        <w:t>.</w:t>
      </w:r>
      <w:r w:rsidRPr="00770F9D">
        <w:rPr>
          <w:rFonts w:ascii="Garamond" w:eastAsia="Times New Roman" w:hAnsi="Garamond" w:cstheme="majorBidi"/>
          <w:color w:val="0D0D0D" w:themeColor="text1" w:themeTint="F2"/>
          <w:lang w:eastAsia="zh-CN"/>
        </w:rPr>
        <w:t xml:space="preserve"> (Autoriteti Portual</w:t>
      </w:r>
      <w:r w:rsidR="00E70CFA" w:rsidRPr="00770F9D">
        <w:rPr>
          <w:rFonts w:ascii="Garamond" w:eastAsia="Times New Roman" w:hAnsi="Garamond" w:cstheme="majorBidi"/>
          <w:color w:val="0D0D0D" w:themeColor="text1" w:themeTint="F2"/>
          <w:lang w:eastAsia="zh-CN"/>
        </w:rPr>
        <w:t xml:space="preserve"> Durrës) dhe RTSH sh.a. (Radiot</w:t>
      </w:r>
      <w:r w:rsidRPr="00770F9D">
        <w:rPr>
          <w:rFonts w:ascii="Garamond" w:eastAsia="Times New Roman" w:hAnsi="Garamond" w:cstheme="majorBidi"/>
          <w:color w:val="0D0D0D" w:themeColor="text1" w:themeTint="F2"/>
          <w:lang w:eastAsia="zh-CN"/>
        </w:rPr>
        <w:t>elevizioni Shqiptar).</w:t>
      </w:r>
    </w:p>
    <w:p w14:paraId="22EB433B" w14:textId="77777777" w:rsidR="00720244" w:rsidRPr="00770F9D" w:rsidRDefault="00720244" w:rsidP="003F46E1">
      <w:pPr>
        <w:ind w:firstLine="284"/>
        <w:jc w:val="both"/>
        <w:rPr>
          <w:rFonts w:ascii="Garamond" w:eastAsia="MS Mincho" w:hAnsi="Garamond" w:cstheme="majorBidi"/>
          <w:b/>
          <w:bCs/>
          <w:color w:val="0D0D0D" w:themeColor="text1" w:themeTint="F2"/>
          <w:lang w:eastAsia="sq-AL"/>
        </w:rPr>
      </w:pPr>
      <w:r w:rsidRPr="00770F9D">
        <w:rPr>
          <w:rFonts w:ascii="Garamond" w:hAnsi="Garamond" w:cstheme="majorBidi"/>
          <w:b/>
          <w:bCs/>
          <w:color w:val="0D0D0D" w:themeColor="text1" w:themeTint="F2"/>
          <w:lang w:eastAsia="sq-AL"/>
        </w:rPr>
        <w:t>Plani i masave të zbatuara për reduktimin e detyrimeve të ndërsjella në Sektorin e Energjisë Elektrike dhe entiteve të tjera publike.</w:t>
      </w:r>
    </w:p>
    <w:p w14:paraId="367EF5FE" w14:textId="2640DB8D" w:rsidR="00720244" w:rsidRPr="00770F9D" w:rsidRDefault="00720244" w:rsidP="00646E01">
      <w:pPr>
        <w:ind w:firstLine="284"/>
        <w:jc w:val="both"/>
        <w:rPr>
          <w:rFonts w:ascii="Garamond" w:hAnsi="Garamond" w:cstheme="majorBidi"/>
          <w:bCs/>
          <w:color w:val="0D0D0D" w:themeColor="text1" w:themeTint="F2"/>
          <w:lang w:eastAsia="sq-AL"/>
        </w:rPr>
      </w:pPr>
      <w:r w:rsidRPr="00770F9D">
        <w:rPr>
          <w:rFonts w:ascii="Garamond" w:hAnsi="Garamond" w:cstheme="majorBidi"/>
          <w:bCs/>
          <w:color w:val="0D0D0D" w:themeColor="text1" w:themeTint="F2"/>
          <w:lang w:eastAsia="sq-AL"/>
        </w:rPr>
        <w:t xml:space="preserve">Në kuadër të reformës në sektorin e energjisë, në dhjetor 2020 u finalizua me sukses plani i masave i miratuar me </w:t>
      </w:r>
      <w:r w:rsidR="00915631" w:rsidRPr="00770F9D">
        <w:rPr>
          <w:rFonts w:ascii="Garamond" w:hAnsi="Garamond" w:cstheme="majorBidi"/>
          <w:bCs/>
          <w:color w:val="0D0D0D" w:themeColor="text1" w:themeTint="F2"/>
          <w:lang w:eastAsia="sq-AL"/>
        </w:rPr>
        <w:t xml:space="preserve">urdhrin e përbashkët të </w:t>
      </w:r>
      <w:r w:rsidRPr="00770F9D">
        <w:rPr>
          <w:rFonts w:ascii="Garamond" w:hAnsi="Garamond" w:cstheme="majorBidi"/>
          <w:bCs/>
          <w:color w:val="0D0D0D" w:themeColor="text1" w:themeTint="F2"/>
          <w:lang w:eastAsia="sq-AL"/>
        </w:rPr>
        <w:t>Ministrisë së Financave dhe Ekonomisë dhe Ministrisë së Infrastrukturës dhe Energjisë nr.</w:t>
      </w:r>
      <w:r w:rsidR="00646E01" w:rsidRPr="00770F9D">
        <w:rPr>
          <w:rFonts w:ascii="Garamond" w:hAnsi="Garamond" w:cstheme="majorBidi"/>
          <w:bCs/>
          <w:color w:val="0D0D0D" w:themeColor="text1" w:themeTint="F2"/>
          <w:lang w:eastAsia="sq-AL"/>
        </w:rPr>
        <w:t xml:space="preserve"> </w:t>
      </w:r>
      <w:r w:rsidRPr="00770F9D">
        <w:rPr>
          <w:rFonts w:ascii="Garamond" w:hAnsi="Garamond" w:cstheme="majorBidi"/>
          <w:bCs/>
          <w:color w:val="0D0D0D" w:themeColor="text1" w:themeTint="F2"/>
          <w:lang w:eastAsia="sq-AL"/>
        </w:rPr>
        <w:t xml:space="preserve">304 datë 17.12.2020, për reduktimin e detyrimeve të ndërsjella në sektorin e energjisë elektrike. Ky plan ofron një seri masash për parandalimin e krijimit të detyrimeve të prapambetura të reja dhe disiplinimin e pagesave ndërmjet kompanive të sektorit </w:t>
      </w:r>
      <w:r w:rsidR="00971B43" w:rsidRPr="00770F9D">
        <w:rPr>
          <w:rFonts w:ascii="Garamond" w:hAnsi="Garamond" w:cstheme="majorBidi"/>
          <w:bCs/>
          <w:color w:val="0D0D0D" w:themeColor="text1" w:themeTint="F2"/>
          <w:lang w:eastAsia="sq-AL"/>
        </w:rPr>
        <w:t>energjetik</w:t>
      </w:r>
      <w:r w:rsidRPr="00770F9D">
        <w:rPr>
          <w:rFonts w:ascii="Garamond" w:hAnsi="Garamond" w:cstheme="majorBidi"/>
          <w:bCs/>
          <w:color w:val="0D0D0D" w:themeColor="text1" w:themeTint="F2"/>
          <w:lang w:eastAsia="sq-AL"/>
        </w:rPr>
        <w:t xml:space="preserve"> dhe palëve kryesore të lidhura me to, siç janë NSH-të e Ujësjellësit dhe të tjera. Duke filluar nga zbatimi i tij në janar 2021 e në vazhdim, ky plan shërben si instrument kryesor në arritjen e konsolidimit financiar të sektorit të energjisë elektrike. Me qëllim zbatimin me sukses të këtij plani, Ministria e Financave dhe Ekonomisë dhe Ministria e Infrastrukturës dhe</w:t>
      </w:r>
      <w:r w:rsidR="00646E01" w:rsidRPr="00770F9D">
        <w:rPr>
          <w:rFonts w:ascii="Garamond" w:hAnsi="Garamond" w:cstheme="majorBidi"/>
          <w:bCs/>
          <w:color w:val="0D0D0D" w:themeColor="text1" w:themeTint="F2"/>
          <w:lang w:eastAsia="sq-AL"/>
        </w:rPr>
        <w:t xml:space="preserve"> Energjisë, bashkëfirmosën urdhrin </w:t>
      </w:r>
      <w:r w:rsidRPr="00770F9D">
        <w:rPr>
          <w:rFonts w:ascii="Garamond" w:hAnsi="Garamond" w:cstheme="majorBidi"/>
          <w:bCs/>
          <w:color w:val="0D0D0D" w:themeColor="text1" w:themeTint="F2"/>
          <w:lang w:eastAsia="sq-AL"/>
        </w:rPr>
        <w:t xml:space="preserve">e </w:t>
      </w:r>
      <w:r w:rsidR="00646E01" w:rsidRPr="00770F9D">
        <w:rPr>
          <w:rFonts w:ascii="Garamond" w:hAnsi="Garamond" w:cstheme="majorBidi"/>
          <w:bCs/>
          <w:color w:val="0D0D0D" w:themeColor="text1" w:themeTint="F2"/>
          <w:lang w:eastAsia="sq-AL"/>
        </w:rPr>
        <w:t xml:space="preserve">përbashkët </w:t>
      </w:r>
      <w:r w:rsidRPr="00770F9D">
        <w:rPr>
          <w:rFonts w:ascii="Garamond" w:hAnsi="Garamond" w:cstheme="majorBidi"/>
          <w:bCs/>
          <w:color w:val="0D0D0D" w:themeColor="text1" w:themeTint="F2"/>
          <w:lang w:eastAsia="sq-AL"/>
        </w:rPr>
        <w:t>nr.</w:t>
      </w:r>
      <w:r w:rsidR="00646E01" w:rsidRPr="00770F9D">
        <w:rPr>
          <w:rFonts w:ascii="Garamond" w:hAnsi="Garamond" w:cstheme="majorBidi"/>
          <w:bCs/>
          <w:color w:val="0D0D0D" w:themeColor="text1" w:themeTint="F2"/>
          <w:lang w:eastAsia="sq-AL"/>
        </w:rPr>
        <w:t xml:space="preserve"> </w:t>
      </w:r>
      <w:r w:rsidRPr="00770F9D">
        <w:rPr>
          <w:rFonts w:ascii="Garamond" w:hAnsi="Garamond" w:cstheme="majorBidi"/>
          <w:bCs/>
          <w:color w:val="0D0D0D" w:themeColor="text1" w:themeTint="F2"/>
          <w:lang w:eastAsia="sq-AL"/>
        </w:rPr>
        <w:t>379/2021</w:t>
      </w:r>
      <w:r w:rsidR="00646E01" w:rsidRPr="00770F9D">
        <w:rPr>
          <w:rFonts w:ascii="Garamond" w:hAnsi="Garamond" w:cstheme="majorBidi"/>
          <w:bCs/>
          <w:color w:val="0D0D0D" w:themeColor="text1" w:themeTint="F2"/>
          <w:lang w:eastAsia="sq-AL"/>
        </w:rPr>
        <w:t>,</w:t>
      </w:r>
      <w:r w:rsidRPr="00770F9D">
        <w:rPr>
          <w:rFonts w:ascii="Garamond" w:hAnsi="Garamond" w:cstheme="majorBidi"/>
          <w:bCs/>
          <w:color w:val="0D0D0D" w:themeColor="text1" w:themeTint="F2"/>
          <w:lang w:eastAsia="sq-AL"/>
        </w:rPr>
        <w:t xml:space="preserve"> m</w:t>
      </w:r>
      <w:r w:rsidR="00646E01" w:rsidRPr="00770F9D">
        <w:rPr>
          <w:rFonts w:ascii="Garamond" w:hAnsi="Garamond" w:cstheme="majorBidi"/>
          <w:bCs/>
          <w:color w:val="0D0D0D" w:themeColor="text1" w:themeTint="F2"/>
          <w:lang w:eastAsia="sq-AL"/>
        </w:rPr>
        <w:t>ë datë 30.</w:t>
      </w:r>
      <w:r w:rsidRPr="00770F9D">
        <w:rPr>
          <w:rFonts w:ascii="Garamond" w:hAnsi="Garamond" w:cstheme="majorBidi"/>
          <w:bCs/>
          <w:color w:val="0D0D0D" w:themeColor="text1" w:themeTint="F2"/>
          <w:lang w:eastAsia="sq-AL"/>
        </w:rPr>
        <w:t>9.2021</w:t>
      </w:r>
      <w:r w:rsidR="00646E01" w:rsidRPr="00770F9D">
        <w:rPr>
          <w:rFonts w:ascii="Garamond" w:hAnsi="Garamond" w:cstheme="majorBidi"/>
          <w:bCs/>
          <w:color w:val="0D0D0D" w:themeColor="text1" w:themeTint="F2"/>
          <w:lang w:eastAsia="sq-AL"/>
        </w:rPr>
        <w:t>,</w:t>
      </w:r>
      <w:r w:rsidRPr="00770F9D">
        <w:rPr>
          <w:rFonts w:ascii="Garamond" w:hAnsi="Garamond" w:cstheme="majorBidi"/>
          <w:bCs/>
          <w:color w:val="0D0D0D" w:themeColor="text1" w:themeTint="F2"/>
          <w:lang w:eastAsia="sq-AL"/>
        </w:rPr>
        <w:t xml:space="preserve"> “Mbi zbatimin e planit të masave për reduktimin e detyrimeve të prapambetura në sektorin e energjisë elektrike”, që ngarkon ndërmarrjet e sektorit </w:t>
      </w:r>
      <w:r w:rsidR="00971B43" w:rsidRPr="00770F9D">
        <w:rPr>
          <w:rFonts w:ascii="Garamond" w:hAnsi="Garamond" w:cstheme="majorBidi"/>
          <w:bCs/>
          <w:color w:val="0D0D0D" w:themeColor="text1" w:themeTint="F2"/>
          <w:lang w:eastAsia="sq-AL"/>
        </w:rPr>
        <w:t>energjetik</w:t>
      </w:r>
      <w:r w:rsidRPr="00770F9D">
        <w:rPr>
          <w:rFonts w:ascii="Garamond" w:hAnsi="Garamond" w:cstheme="majorBidi"/>
          <w:bCs/>
          <w:color w:val="0D0D0D" w:themeColor="text1" w:themeTint="F2"/>
          <w:lang w:eastAsia="sq-AL"/>
        </w:rPr>
        <w:t xml:space="preserve"> për raportimin mujor nga ana e tyre, mbi shlyerjen e detyrimeve të prapambetura dhe statusin e detyrimeve ndërmjet sektorit të energjisë </w:t>
      </w:r>
      <w:bookmarkStart w:id="6" w:name="_Hlk122089564"/>
      <w:r w:rsidRPr="00770F9D">
        <w:rPr>
          <w:rFonts w:ascii="Garamond" w:hAnsi="Garamond" w:cstheme="majorBidi"/>
          <w:bCs/>
          <w:color w:val="0D0D0D" w:themeColor="text1" w:themeTint="F2"/>
          <w:lang w:eastAsia="sq-AL"/>
        </w:rPr>
        <w:t>dhe entiteve të tjera publike</w:t>
      </w:r>
      <w:bookmarkEnd w:id="6"/>
      <w:r w:rsidRPr="00770F9D">
        <w:rPr>
          <w:rFonts w:ascii="Garamond" w:hAnsi="Garamond" w:cstheme="majorBidi"/>
          <w:bCs/>
          <w:color w:val="0D0D0D" w:themeColor="text1" w:themeTint="F2"/>
          <w:lang w:eastAsia="sq-AL"/>
        </w:rPr>
        <w:t xml:space="preserve">. MFE-ja dorëzon dhe paraqet në baza tremujore një raport monitorimi dhe ecurinë e planit të veprimit për detyrimet e ndërsjella pranë </w:t>
      </w:r>
      <w:r w:rsidRPr="00770F9D">
        <w:rPr>
          <w:rFonts w:ascii="Garamond" w:hAnsi="Garamond" w:cstheme="majorBidi"/>
          <w:bCs/>
          <w:i/>
          <w:iCs/>
          <w:color w:val="0D0D0D" w:themeColor="text1" w:themeTint="F2"/>
          <w:lang w:eastAsia="sq-AL"/>
        </w:rPr>
        <w:t xml:space="preserve">“Program Steering Committee (PSC)” </w:t>
      </w:r>
      <w:r w:rsidRPr="00770F9D">
        <w:rPr>
          <w:rFonts w:ascii="Garamond" w:hAnsi="Garamond" w:cstheme="majorBidi"/>
          <w:bCs/>
          <w:color w:val="0D0D0D" w:themeColor="text1" w:themeTint="F2"/>
          <w:lang w:eastAsia="sq-AL"/>
        </w:rPr>
        <w:t xml:space="preserve">krijuar në kuadër të reformës në sektorin </w:t>
      </w:r>
      <w:r w:rsidR="00971B43" w:rsidRPr="00770F9D">
        <w:rPr>
          <w:rFonts w:ascii="Garamond" w:hAnsi="Garamond" w:cstheme="majorBidi"/>
          <w:bCs/>
          <w:color w:val="0D0D0D" w:themeColor="text1" w:themeTint="F2"/>
          <w:lang w:eastAsia="sq-AL"/>
        </w:rPr>
        <w:t>energjetik</w:t>
      </w:r>
      <w:r w:rsidRPr="00770F9D">
        <w:rPr>
          <w:rFonts w:ascii="Garamond" w:hAnsi="Garamond" w:cstheme="majorBidi"/>
          <w:bCs/>
          <w:color w:val="0D0D0D" w:themeColor="text1" w:themeTint="F2"/>
          <w:lang w:eastAsia="sq-AL"/>
        </w:rPr>
        <w:t>.</w:t>
      </w:r>
    </w:p>
    <w:p w14:paraId="1A14A37F" w14:textId="33E0640D" w:rsidR="000A083E" w:rsidRPr="00770F9D" w:rsidRDefault="000A083E"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Udhëzimi i </w:t>
      </w:r>
      <w:r w:rsidR="007E6FCF" w:rsidRPr="00770F9D">
        <w:rPr>
          <w:rFonts w:ascii="Garamond" w:hAnsi="Garamond" w:cstheme="majorBidi"/>
          <w:color w:val="0D0D0D" w:themeColor="text1" w:themeTint="F2"/>
        </w:rPr>
        <w:t xml:space="preserve">politikave </w:t>
      </w:r>
      <w:r w:rsidRPr="00770F9D">
        <w:rPr>
          <w:rFonts w:ascii="Garamond" w:hAnsi="Garamond" w:cstheme="majorBidi"/>
          <w:color w:val="0D0D0D" w:themeColor="text1" w:themeTint="F2"/>
        </w:rPr>
        <w:t>2</w:t>
      </w:r>
      <w:bookmarkEnd w:id="1"/>
    </w:p>
    <w:p w14:paraId="24D0F3D0" w14:textId="77777777" w:rsidR="000A083E" w:rsidRPr="00770F9D" w:rsidRDefault="000A083E" w:rsidP="003F46E1">
      <w:pPr>
        <w:ind w:firstLine="284"/>
        <w:jc w:val="both"/>
        <w:rPr>
          <w:rFonts w:ascii="Garamond" w:hAnsi="Garamond" w:cstheme="majorBidi"/>
          <w:color w:val="0D0D0D" w:themeColor="text1" w:themeTint="F2"/>
        </w:rPr>
      </w:pPr>
      <w:bookmarkStart w:id="7" w:name="_Toc62805573"/>
      <w:r w:rsidRPr="00770F9D">
        <w:rPr>
          <w:rFonts w:ascii="Garamond" w:hAnsi="Garamond" w:cstheme="majorBidi"/>
          <w:color w:val="0D0D0D" w:themeColor="text1" w:themeTint="F2"/>
        </w:rPr>
        <w:t>UP 2.1</w:t>
      </w:r>
    </w:p>
    <w:p w14:paraId="7F2640A2" w14:textId="53EC5F33" w:rsidR="00DB3786" w:rsidRPr="00770F9D" w:rsidRDefault="006B6BA8" w:rsidP="00CC70AD">
      <w:pPr>
        <w:snapToGrid w:val="0"/>
        <w:ind w:firstLine="284"/>
        <w:jc w:val="both"/>
        <w:rPr>
          <w:rFonts w:ascii="Garamond" w:hAnsi="Garamond" w:cstheme="majorBidi"/>
          <w:b/>
          <w:color w:val="0D0D0D" w:themeColor="text1" w:themeTint="F2"/>
        </w:rPr>
      </w:pPr>
      <w:r w:rsidRPr="00770F9D">
        <w:rPr>
          <w:rFonts w:ascii="Garamond" w:hAnsi="Garamond" w:cstheme="majorBidi"/>
          <w:b/>
          <w:color w:val="0D0D0D" w:themeColor="text1" w:themeTint="F2"/>
        </w:rPr>
        <w:t>Zbatoni aktivitete</w:t>
      </w:r>
      <w:r w:rsidR="00CC70AD" w:rsidRPr="00770F9D">
        <w:rPr>
          <w:rFonts w:ascii="Garamond" w:hAnsi="Garamond" w:cstheme="majorBidi"/>
          <w:b/>
          <w:color w:val="0D0D0D" w:themeColor="text1" w:themeTint="F2"/>
        </w:rPr>
        <w:t xml:space="preserve"> të</w:t>
      </w:r>
      <w:r w:rsidR="00DB3786" w:rsidRPr="00770F9D">
        <w:rPr>
          <w:rFonts w:ascii="Garamond" w:hAnsi="Garamond" w:cstheme="majorBidi"/>
          <w:b/>
          <w:color w:val="0D0D0D" w:themeColor="text1" w:themeTint="F2"/>
        </w:rPr>
        <w:t xml:space="preserve"> përshkruara në masën e reformës 10 të PRE</w:t>
      </w:r>
      <w:r w:rsidR="00C56519" w:rsidRPr="00770F9D">
        <w:rPr>
          <w:rFonts w:ascii="Garamond" w:hAnsi="Garamond" w:cstheme="majorBidi"/>
          <w:b/>
          <w:color w:val="0D0D0D" w:themeColor="text1" w:themeTint="F2"/>
        </w:rPr>
        <w:t>-së</w:t>
      </w:r>
      <w:r w:rsidR="00DB3786" w:rsidRPr="00770F9D">
        <w:rPr>
          <w:rFonts w:ascii="Garamond" w:hAnsi="Garamond" w:cstheme="majorBidi"/>
          <w:b/>
          <w:color w:val="0D0D0D" w:themeColor="text1" w:themeTint="F2"/>
        </w:rPr>
        <w:t xml:space="preserve"> për Investimet Strategjike Publike dhe në strategjinë e MFP-së për të përmirësuar menaxhimin e investimeve publike duke përfshirë PPP.</w:t>
      </w:r>
    </w:p>
    <w:p w14:paraId="798A9164" w14:textId="3CAD8E1D" w:rsidR="00720244" w:rsidRPr="00770F9D" w:rsidRDefault="00720244" w:rsidP="003F46E1">
      <w:pPr>
        <w:ind w:firstLine="284"/>
        <w:jc w:val="both"/>
        <w:rPr>
          <w:rFonts w:ascii="Garamond" w:eastAsia="Times New Roman" w:hAnsi="Garamond" w:cstheme="majorBidi"/>
          <w:bCs/>
          <w:color w:val="0D0D0D" w:themeColor="text1" w:themeTint="F2"/>
          <w:lang w:eastAsia="zh-TW"/>
        </w:rPr>
      </w:pPr>
      <w:r w:rsidRPr="00770F9D">
        <w:rPr>
          <w:rFonts w:ascii="Garamond" w:eastAsia="Times New Roman" w:hAnsi="Garamond" w:cstheme="majorBidi"/>
          <w:bCs/>
          <w:color w:val="0D0D0D" w:themeColor="text1" w:themeTint="F2"/>
          <w:lang w:eastAsia="zh-TW"/>
        </w:rPr>
        <w:t>Në lidhje me forcimin e kapaciteteve të qeverisë për vlerësimin e projekteve të investimeve publike, Ministria e Financave dhe Ekonomisë</w:t>
      </w:r>
      <w:r w:rsidR="00C56519" w:rsidRPr="00770F9D">
        <w:rPr>
          <w:rFonts w:ascii="Garamond" w:eastAsia="Times New Roman" w:hAnsi="Garamond" w:cstheme="majorBidi"/>
          <w:bCs/>
          <w:color w:val="0D0D0D" w:themeColor="text1" w:themeTint="F2"/>
          <w:lang w:eastAsia="zh-TW"/>
        </w:rPr>
        <w:t>,</w:t>
      </w:r>
      <w:r w:rsidRPr="00770F9D">
        <w:rPr>
          <w:rFonts w:ascii="Garamond" w:eastAsia="Times New Roman" w:hAnsi="Garamond" w:cstheme="majorBidi"/>
          <w:bCs/>
          <w:color w:val="0D0D0D" w:themeColor="text1" w:themeTint="F2"/>
          <w:lang w:eastAsia="zh-TW"/>
        </w:rPr>
        <w:t xml:space="preserve"> me mbështetjen e asistencës teknike të Bankës Botërore ka miratuar VKM-në e re nr. 887, datë 27.12.202</w:t>
      </w:r>
      <w:r w:rsidR="009340A4" w:rsidRPr="00770F9D">
        <w:rPr>
          <w:rFonts w:ascii="Garamond" w:eastAsia="Times New Roman" w:hAnsi="Garamond" w:cstheme="majorBidi"/>
          <w:bCs/>
          <w:color w:val="0D0D0D" w:themeColor="text1" w:themeTint="F2"/>
          <w:lang w:eastAsia="zh-TW"/>
        </w:rPr>
        <w:t>2</w:t>
      </w:r>
      <w:r w:rsidR="00C56519" w:rsidRPr="00770F9D">
        <w:rPr>
          <w:rFonts w:ascii="Garamond" w:eastAsia="Times New Roman" w:hAnsi="Garamond" w:cstheme="majorBidi"/>
          <w:bCs/>
          <w:color w:val="0D0D0D" w:themeColor="text1" w:themeTint="F2"/>
          <w:lang w:eastAsia="zh-TW"/>
        </w:rPr>
        <w:t>,</w:t>
      </w:r>
      <w:r w:rsidRPr="00770F9D">
        <w:rPr>
          <w:rFonts w:ascii="Garamond" w:eastAsia="Times New Roman" w:hAnsi="Garamond" w:cstheme="majorBidi"/>
          <w:bCs/>
          <w:color w:val="0D0D0D" w:themeColor="text1" w:themeTint="F2"/>
          <w:lang w:eastAsia="zh-TW"/>
        </w:rPr>
        <w:t xml:space="preserve"> “Për procedurat e menaxhimit të investimeve publike”. Një nga objektivat e VKM-së së re është: Të përfshijë opsionin e financimit të PPP-së si seksion të veçantë në fazën e dorëzimit të Formularit të Propozi</w:t>
      </w:r>
      <w:r w:rsidR="00C56519" w:rsidRPr="00770F9D">
        <w:rPr>
          <w:rFonts w:ascii="Garamond" w:eastAsia="Times New Roman" w:hAnsi="Garamond" w:cstheme="majorBidi"/>
          <w:bCs/>
          <w:color w:val="0D0D0D" w:themeColor="text1" w:themeTint="F2"/>
          <w:lang w:eastAsia="zh-TW"/>
        </w:rPr>
        <w:t>m</w:t>
      </w:r>
      <w:r w:rsidRPr="00770F9D">
        <w:rPr>
          <w:rFonts w:ascii="Garamond" w:eastAsia="Times New Roman" w:hAnsi="Garamond" w:cstheme="majorBidi"/>
          <w:bCs/>
          <w:color w:val="0D0D0D" w:themeColor="text1" w:themeTint="F2"/>
          <w:lang w:eastAsia="zh-TW"/>
        </w:rPr>
        <w:t>it të Projektit, si dhe në studimin e fizibilitetit. Ndryshimet përcaktojnë kuadrin rregullator dhe metodologjik për përgatitjen, miratimin, përditësimin, monitorimin dhe zbatimin e procedurave të PIM</w:t>
      </w:r>
      <w:r w:rsidR="00187590" w:rsidRPr="00770F9D">
        <w:rPr>
          <w:rFonts w:ascii="Garamond" w:eastAsia="Times New Roman" w:hAnsi="Garamond" w:cstheme="majorBidi"/>
          <w:bCs/>
          <w:color w:val="0D0D0D" w:themeColor="text1" w:themeTint="F2"/>
          <w:lang w:eastAsia="zh-TW"/>
        </w:rPr>
        <w:t>-së</w:t>
      </w:r>
      <w:r w:rsidRPr="00770F9D">
        <w:rPr>
          <w:rFonts w:ascii="Garamond" w:eastAsia="Times New Roman" w:hAnsi="Garamond" w:cstheme="majorBidi"/>
          <w:bCs/>
          <w:color w:val="0D0D0D" w:themeColor="text1" w:themeTint="F2"/>
          <w:lang w:eastAsia="zh-TW"/>
        </w:rPr>
        <w:t xml:space="preserve"> dhe procedurave </w:t>
      </w:r>
      <w:r w:rsidR="00187590" w:rsidRPr="00770F9D">
        <w:rPr>
          <w:rFonts w:ascii="Garamond" w:eastAsia="Times New Roman" w:hAnsi="Garamond" w:cstheme="majorBidi"/>
          <w:bCs/>
          <w:color w:val="0D0D0D" w:themeColor="text1" w:themeTint="F2"/>
          <w:lang w:eastAsia="zh-TW"/>
        </w:rPr>
        <w:t xml:space="preserve">kombëtare </w:t>
      </w:r>
      <w:r w:rsidRPr="00770F9D">
        <w:rPr>
          <w:rFonts w:ascii="Garamond" w:eastAsia="Times New Roman" w:hAnsi="Garamond" w:cstheme="majorBidi"/>
          <w:bCs/>
          <w:color w:val="0D0D0D" w:themeColor="text1" w:themeTint="F2"/>
          <w:lang w:eastAsia="zh-TW"/>
        </w:rPr>
        <w:t xml:space="preserve">të </w:t>
      </w:r>
      <w:r w:rsidRPr="00770F9D">
        <w:rPr>
          <w:rFonts w:ascii="Garamond" w:eastAsia="Times New Roman" w:hAnsi="Garamond" w:cstheme="majorBidi"/>
          <w:bCs/>
          <w:i/>
          <w:iCs/>
          <w:color w:val="0D0D0D" w:themeColor="text1" w:themeTint="F2"/>
          <w:lang w:eastAsia="zh-TW"/>
        </w:rPr>
        <w:t>Single Project Pipeline</w:t>
      </w:r>
      <w:r w:rsidRPr="00770F9D">
        <w:rPr>
          <w:rFonts w:ascii="Garamond" w:eastAsia="Times New Roman" w:hAnsi="Garamond" w:cstheme="majorBidi"/>
          <w:bCs/>
          <w:color w:val="0D0D0D" w:themeColor="text1" w:themeTint="F2"/>
          <w:lang w:eastAsia="zh-TW"/>
        </w:rPr>
        <w:t>. Finalizimi i VKM-së pasohet nga të gjitha ndryshimet e nevojshme në udhëzime</w:t>
      </w:r>
      <w:r w:rsidR="00DF11B8" w:rsidRPr="00770F9D">
        <w:rPr>
          <w:rFonts w:ascii="Garamond" w:eastAsia="Times New Roman" w:hAnsi="Garamond" w:cstheme="majorBidi"/>
          <w:bCs/>
          <w:color w:val="0D0D0D" w:themeColor="text1" w:themeTint="F2"/>
          <w:lang w:eastAsia="zh-TW"/>
        </w:rPr>
        <w:t>t për institucionet qeveritare.</w:t>
      </w:r>
    </w:p>
    <w:p w14:paraId="53F8A3FC" w14:textId="72BDF49D" w:rsidR="00720244" w:rsidRPr="00770F9D" w:rsidRDefault="00720244" w:rsidP="007B50B1">
      <w:pPr>
        <w:pStyle w:val="Paragrafi"/>
        <w:rPr>
          <w:rFonts w:cstheme="majorBidi"/>
          <w:color w:val="0D0D0D" w:themeColor="text1" w:themeTint="F2"/>
          <w:spacing w:val="-4"/>
          <w:szCs w:val="24"/>
        </w:rPr>
      </w:pPr>
      <w:r w:rsidRPr="00770F9D">
        <w:rPr>
          <w:rFonts w:cstheme="majorBidi"/>
          <w:color w:val="0D0D0D" w:themeColor="text1" w:themeTint="F2"/>
          <w:spacing w:val="-4"/>
          <w:szCs w:val="24"/>
        </w:rPr>
        <w:t xml:space="preserve">Është parashikuar që për projektet që janë mbi një vlerë të caktuar të miratuar me udhëzim të </w:t>
      </w:r>
      <w:r w:rsidR="00135B3C" w:rsidRPr="00770F9D">
        <w:rPr>
          <w:rFonts w:cstheme="majorBidi"/>
          <w:color w:val="0D0D0D" w:themeColor="text1" w:themeTint="F2"/>
          <w:spacing w:val="-4"/>
          <w:szCs w:val="24"/>
        </w:rPr>
        <w:t xml:space="preserve">ministrit </w:t>
      </w:r>
      <w:r w:rsidRPr="00770F9D">
        <w:rPr>
          <w:rFonts w:cstheme="majorBidi"/>
          <w:color w:val="0D0D0D" w:themeColor="text1" w:themeTint="F2"/>
          <w:spacing w:val="-4"/>
          <w:szCs w:val="24"/>
        </w:rPr>
        <w:t>të Financave</w:t>
      </w:r>
      <w:r w:rsidR="009340A4" w:rsidRPr="00770F9D">
        <w:rPr>
          <w:rFonts w:cstheme="majorBidi"/>
          <w:color w:val="0D0D0D" w:themeColor="text1" w:themeTint="F2"/>
          <w:spacing w:val="-4"/>
          <w:szCs w:val="24"/>
        </w:rPr>
        <w:t xml:space="preserve"> </w:t>
      </w:r>
      <w:r w:rsidRPr="00770F9D">
        <w:rPr>
          <w:rFonts w:cstheme="majorBidi"/>
          <w:color w:val="0D0D0D" w:themeColor="text1" w:themeTint="F2"/>
          <w:spacing w:val="-4"/>
          <w:szCs w:val="24"/>
        </w:rPr>
        <w:t xml:space="preserve">të miratohet një listë unike projektesh me rëndësi </w:t>
      </w:r>
      <w:r w:rsidR="002354C4" w:rsidRPr="00770F9D">
        <w:rPr>
          <w:rFonts w:cstheme="majorBidi"/>
          <w:color w:val="0D0D0D" w:themeColor="text1" w:themeTint="F2"/>
          <w:spacing w:val="-4"/>
          <w:szCs w:val="24"/>
        </w:rPr>
        <w:t xml:space="preserve">kombëtare, </w:t>
      </w:r>
      <w:r w:rsidRPr="00770F9D">
        <w:rPr>
          <w:rFonts w:cstheme="majorBidi"/>
          <w:color w:val="0D0D0D" w:themeColor="text1" w:themeTint="F2"/>
          <w:spacing w:val="-4"/>
          <w:szCs w:val="24"/>
        </w:rPr>
        <w:t xml:space="preserve">e cila përmban projektet e investimeve publike që kanë rëndësi strategjike </w:t>
      </w:r>
      <w:r w:rsidR="002354C4" w:rsidRPr="00770F9D">
        <w:rPr>
          <w:rFonts w:cstheme="majorBidi"/>
          <w:color w:val="0D0D0D" w:themeColor="text1" w:themeTint="F2"/>
          <w:spacing w:val="-4"/>
          <w:szCs w:val="24"/>
        </w:rPr>
        <w:t>për sa</w:t>
      </w:r>
      <w:r w:rsidRPr="00770F9D">
        <w:rPr>
          <w:rFonts w:cstheme="majorBidi"/>
          <w:color w:val="0D0D0D" w:themeColor="text1" w:themeTint="F2"/>
          <w:spacing w:val="-4"/>
          <w:szCs w:val="24"/>
        </w:rPr>
        <w:t xml:space="preserve"> i përket zhvillimit ekonomik dhe social të vendit, pavarësisht nga burimi i financimit të tyre dhe që shërben si instrument për mbështetjen e politikave dhe prioriteteve të </w:t>
      </w:r>
      <w:r w:rsidR="007B50B1" w:rsidRPr="00770F9D">
        <w:rPr>
          <w:rFonts w:cstheme="majorBidi"/>
          <w:color w:val="0D0D0D" w:themeColor="text1" w:themeTint="F2"/>
          <w:spacing w:val="-4"/>
          <w:szCs w:val="24"/>
        </w:rPr>
        <w:t>qeverisë shqiptare</w:t>
      </w:r>
      <w:r w:rsidRPr="00770F9D">
        <w:rPr>
          <w:rFonts w:cstheme="majorBidi"/>
          <w:color w:val="0D0D0D" w:themeColor="text1" w:themeTint="F2"/>
          <w:spacing w:val="-4"/>
          <w:szCs w:val="24"/>
        </w:rPr>
        <w:t>, në linjë me Strategjinë Kombëtare për Zhvillim dhe Integrim</w:t>
      </w:r>
      <w:r w:rsidR="000A4635" w:rsidRPr="00770F9D">
        <w:rPr>
          <w:rFonts w:cstheme="majorBidi"/>
          <w:color w:val="0D0D0D" w:themeColor="text1" w:themeTint="F2"/>
          <w:spacing w:val="-4"/>
          <w:szCs w:val="24"/>
        </w:rPr>
        <w:t xml:space="preserve"> Evropian</w:t>
      </w:r>
      <w:r w:rsidRPr="00770F9D">
        <w:rPr>
          <w:rFonts w:cstheme="majorBidi"/>
          <w:color w:val="0D0D0D" w:themeColor="text1" w:themeTint="F2"/>
          <w:spacing w:val="-4"/>
          <w:szCs w:val="24"/>
        </w:rPr>
        <w:t xml:space="preserve"> (SKZHI</w:t>
      </w:r>
      <w:r w:rsidR="000A4635" w:rsidRPr="00770F9D">
        <w:rPr>
          <w:rFonts w:cstheme="majorBidi"/>
          <w:color w:val="0D0D0D" w:themeColor="text1" w:themeTint="F2"/>
          <w:spacing w:val="-4"/>
          <w:szCs w:val="24"/>
        </w:rPr>
        <w:t>E</w:t>
      </w:r>
      <w:r w:rsidRPr="00770F9D">
        <w:rPr>
          <w:rFonts w:cstheme="majorBidi"/>
          <w:color w:val="0D0D0D" w:themeColor="text1" w:themeTint="F2"/>
          <w:spacing w:val="-4"/>
          <w:szCs w:val="24"/>
        </w:rPr>
        <w:t>)</w:t>
      </w:r>
      <w:r w:rsidR="000A4635" w:rsidRPr="00770F9D">
        <w:rPr>
          <w:rFonts w:cstheme="majorBidi"/>
          <w:color w:val="0D0D0D" w:themeColor="text1" w:themeTint="F2"/>
          <w:spacing w:val="-4"/>
          <w:szCs w:val="24"/>
        </w:rPr>
        <w:t xml:space="preserve"> 2022</w:t>
      </w:r>
      <w:r w:rsidR="007B50B1" w:rsidRPr="00770F9D">
        <w:rPr>
          <w:rFonts w:cstheme="majorBidi"/>
          <w:color w:val="0D0D0D" w:themeColor="text1" w:themeTint="F2"/>
          <w:spacing w:val="-4"/>
          <w:szCs w:val="24"/>
        </w:rPr>
        <w:t>–</w:t>
      </w:r>
      <w:r w:rsidR="000A4635" w:rsidRPr="00770F9D">
        <w:rPr>
          <w:rFonts w:cstheme="majorBidi"/>
          <w:color w:val="0D0D0D" w:themeColor="text1" w:themeTint="F2"/>
          <w:spacing w:val="-4"/>
          <w:szCs w:val="24"/>
        </w:rPr>
        <w:t>2030</w:t>
      </w:r>
      <w:r w:rsidRPr="00770F9D">
        <w:rPr>
          <w:rFonts w:cstheme="majorBidi"/>
          <w:color w:val="0D0D0D" w:themeColor="text1" w:themeTint="F2"/>
          <w:spacing w:val="-4"/>
          <w:szCs w:val="24"/>
        </w:rPr>
        <w:t xml:space="preserve">, si edhe strategjitë sektoriale e ndërsektoriale. Kjo listë e rankuar është parashikuar të miratohet me </w:t>
      </w:r>
      <w:r w:rsidR="007B50B1" w:rsidRPr="00770F9D">
        <w:rPr>
          <w:rFonts w:cstheme="majorBidi"/>
          <w:color w:val="0D0D0D" w:themeColor="text1" w:themeTint="F2"/>
          <w:spacing w:val="-4"/>
          <w:szCs w:val="24"/>
        </w:rPr>
        <w:t>vendimin e</w:t>
      </w:r>
      <w:r w:rsidRPr="00770F9D">
        <w:rPr>
          <w:rFonts w:cstheme="majorBidi"/>
          <w:color w:val="0D0D0D" w:themeColor="text1" w:themeTint="F2"/>
          <w:spacing w:val="-4"/>
          <w:szCs w:val="24"/>
        </w:rPr>
        <w:t xml:space="preserve"> Këshillit të Ministrave në përputhje me hapësirën fiskale.</w:t>
      </w:r>
    </w:p>
    <w:p w14:paraId="1D5B549E" w14:textId="517147FC" w:rsidR="00720244" w:rsidRPr="00770F9D" w:rsidRDefault="004C66E7" w:rsidP="00BA653D">
      <w:pPr>
        <w:pStyle w:val="ListBullet"/>
        <w:tabs>
          <w:tab w:val="clear" w:pos="720"/>
        </w:tabs>
        <w:spacing w:after="0" w:line="240" w:lineRule="auto"/>
        <w:ind w:left="0" w:firstLine="284"/>
        <w:jc w:val="both"/>
        <w:rPr>
          <w:rFonts w:ascii="Garamond" w:eastAsia="MS Mincho" w:hAnsi="Garamond" w:cstheme="majorBidi"/>
          <w:color w:val="0D0D0D" w:themeColor="text1" w:themeTint="F2"/>
          <w:spacing w:val="-4"/>
        </w:rPr>
      </w:pPr>
      <w:r w:rsidRPr="00770F9D">
        <w:rPr>
          <w:rFonts w:ascii="Garamond" w:eastAsia="MS Mincho" w:hAnsi="Garamond" w:cstheme="majorBidi"/>
          <w:color w:val="0D0D0D" w:themeColor="text1" w:themeTint="F2"/>
          <w:spacing w:val="-4"/>
        </w:rPr>
        <w:t>N</w:t>
      </w:r>
      <w:r w:rsidR="00720244" w:rsidRPr="00770F9D">
        <w:rPr>
          <w:rFonts w:ascii="Garamond" w:eastAsia="MS Mincho" w:hAnsi="Garamond" w:cstheme="majorBidi"/>
          <w:color w:val="0D0D0D" w:themeColor="text1" w:themeTint="F2"/>
          <w:spacing w:val="-4"/>
        </w:rPr>
        <w:t xml:space="preserve">ë këtë vendim është parashikuar që projektet e investimeve mbi vlerën kufi do të përcjellin </w:t>
      </w:r>
      <w:r w:rsidR="00F75B8A" w:rsidRPr="00770F9D">
        <w:rPr>
          <w:rFonts w:ascii="Garamond" w:eastAsia="MS Mincho" w:hAnsi="Garamond" w:cstheme="majorBidi"/>
          <w:color w:val="0D0D0D" w:themeColor="text1" w:themeTint="F2"/>
          <w:spacing w:val="-4"/>
        </w:rPr>
        <w:t>përveç</w:t>
      </w:r>
      <w:r w:rsidR="00720244" w:rsidRPr="00770F9D">
        <w:rPr>
          <w:rFonts w:ascii="Garamond" w:eastAsia="MS Mincho" w:hAnsi="Garamond" w:cstheme="majorBidi"/>
          <w:color w:val="0D0D0D" w:themeColor="text1" w:themeTint="F2"/>
          <w:spacing w:val="-4"/>
        </w:rPr>
        <w:t xml:space="preserve"> fishave të propozimit të projekteve edhe studimet e fi</w:t>
      </w:r>
      <w:r w:rsidR="00F75B8A" w:rsidRPr="00770F9D">
        <w:rPr>
          <w:rFonts w:ascii="Garamond" w:eastAsia="MS Mincho" w:hAnsi="Garamond" w:cstheme="majorBidi"/>
          <w:color w:val="0D0D0D" w:themeColor="text1" w:themeTint="F2"/>
          <w:spacing w:val="-4"/>
        </w:rPr>
        <w:t>z</w:t>
      </w:r>
      <w:r w:rsidR="00720244" w:rsidRPr="00770F9D">
        <w:rPr>
          <w:rFonts w:ascii="Garamond" w:eastAsia="MS Mincho" w:hAnsi="Garamond" w:cstheme="majorBidi"/>
          <w:color w:val="0D0D0D" w:themeColor="text1" w:themeTint="F2"/>
          <w:spacing w:val="-4"/>
        </w:rPr>
        <w:t>ibilitetit në MFE dhe SASPAC. Studimi i fi</w:t>
      </w:r>
      <w:r w:rsidR="00F75B8A" w:rsidRPr="00770F9D">
        <w:rPr>
          <w:rFonts w:ascii="Garamond" w:eastAsia="MS Mincho" w:hAnsi="Garamond" w:cstheme="majorBidi"/>
          <w:color w:val="0D0D0D" w:themeColor="text1" w:themeTint="F2"/>
          <w:spacing w:val="-4"/>
        </w:rPr>
        <w:t>z</w:t>
      </w:r>
      <w:r w:rsidR="00720244" w:rsidRPr="00770F9D">
        <w:rPr>
          <w:rFonts w:ascii="Garamond" w:eastAsia="MS Mincho" w:hAnsi="Garamond" w:cstheme="majorBidi"/>
          <w:color w:val="0D0D0D" w:themeColor="text1" w:themeTint="F2"/>
          <w:spacing w:val="-4"/>
        </w:rPr>
        <w:t xml:space="preserve">ibilitetit është një dokument i cili do të përmbajë 15 kapituj dhe </w:t>
      </w:r>
      <w:r w:rsidR="008741A5" w:rsidRPr="00770F9D">
        <w:rPr>
          <w:rFonts w:ascii="Garamond" w:eastAsia="MS Mincho" w:hAnsi="Garamond" w:cstheme="majorBidi"/>
          <w:color w:val="0D0D0D" w:themeColor="text1" w:themeTint="F2"/>
          <w:spacing w:val="-4"/>
        </w:rPr>
        <w:t>ë</w:t>
      </w:r>
      <w:r w:rsidR="009340A4" w:rsidRPr="00770F9D">
        <w:rPr>
          <w:rFonts w:ascii="Garamond" w:eastAsia="MS Mincho" w:hAnsi="Garamond" w:cstheme="majorBidi"/>
          <w:color w:val="0D0D0D" w:themeColor="text1" w:themeTint="F2"/>
          <w:spacing w:val="-4"/>
        </w:rPr>
        <w:t>sht</w:t>
      </w:r>
      <w:r w:rsidR="008741A5" w:rsidRPr="00770F9D">
        <w:rPr>
          <w:rFonts w:ascii="Garamond" w:eastAsia="MS Mincho" w:hAnsi="Garamond" w:cstheme="majorBidi"/>
          <w:color w:val="0D0D0D" w:themeColor="text1" w:themeTint="F2"/>
          <w:spacing w:val="-4"/>
        </w:rPr>
        <w:t>ë</w:t>
      </w:r>
      <w:r w:rsidR="009340A4" w:rsidRPr="00770F9D">
        <w:rPr>
          <w:rFonts w:ascii="Garamond" w:eastAsia="MS Mincho" w:hAnsi="Garamond" w:cstheme="majorBidi"/>
          <w:color w:val="0D0D0D" w:themeColor="text1" w:themeTint="F2"/>
          <w:spacing w:val="-4"/>
        </w:rPr>
        <w:t xml:space="preserve"> </w:t>
      </w:r>
      <w:r w:rsidR="00720244" w:rsidRPr="00770F9D">
        <w:rPr>
          <w:rFonts w:ascii="Garamond" w:eastAsia="MS Mincho" w:hAnsi="Garamond" w:cstheme="majorBidi"/>
          <w:color w:val="0D0D0D" w:themeColor="text1" w:themeTint="F2"/>
          <w:spacing w:val="-4"/>
        </w:rPr>
        <w:t>pjesë e këtij vendimi si aneks. Studimi përmban informacion të plotë mbi projektin dhe do të jetë i përafruar me studimet e fi</w:t>
      </w:r>
      <w:r w:rsidR="00F75B8A" w:rsidRPr="00770F9D">
        <w:rPr>
          <w:rFonts w:ascii="Garamond" w:eastAsia="MS Mincho" w:hAnsi="Garamond" w:cstheme="majorBidi"/>
          <w:color w:val="0D0D0D" w:themeColor="text1" w:themeTint="F2"/>
          <w:spacing w:val="-4"/>
        </w:rPr>
        <w:t>z</w:t>
      </w:r>
      <w:r w:rsidR="00720244" w:rsidRPr="00770F9D">
        <w:rPr>
          <w:rFonts w:ascii="Garamond" w:eastAsia="MS Mincho" w:hAnsi="Garamond" w:cstheme="majorBidi"/>
          <w:color w:val="0D0D0D" w:themeColor="text1" w:themeTint="F2"/>
          <w:spacing w:val="-4"/>
        </w:rPr>
        <w:t>ib</w:t>
      </w:r>
      <w:r w:rsidR="00F75B8A" w:rsidRPr="00770F9D">
        <w:rPr>
          <w:rFonts w:ascii="Garamond" w:eastAsia="MS Mincho" w:hAnsi="Garamond" w:cstheme="majorBidi"/>
          <w:color w:val="0D0D0D" w:themeColor="text1" w:themeTint="F2"/>
          <w:spacing w:val="-4"/>
        </w:rPr>
        <w:t>i</w:t>
      </w:r>
      <w:r w:rsidR="00720244" w:rsidRPr="00770F9D">
        <w:rPr>
          <w:rFonts w:ascii="Garamond" w:eastAsia="MS Mincho" w:hAnsi="Garamond" w:cstheme="majorBidi"/>
          <w:color w:val="0D0D0D" w:themeColor="text1" w:themeTint="F2"/>
          <w:spacing w:val="-4"/>
        </w:rPr>
        <w:t xml:space="preserve">litetit që përgatiten për propozimet e projektit në Bashkimin </w:t>
      </w:r>
      <w:r w:rsidR="00F75B8A" w:rsidRPr="00770F9D">
        <w:rPr>
          <w:rFonts w:ascii="Garamond" w:eastAsia="MS Mincho" w:hAnsi="Garamond" w:cstheme="majorBidi"/>
          <w:color w:val="0D0D0D" w:themeColor="text1" w:themeTint="F2"/>
          <w:spacing w:val="-4"/>
        </w:rPr>
        <w:t>Evropian</w:t>
      </w:r>
      <w:r w:rsidR="00720244" w:rsidRPr="00770F9D">
        <w:rPr>
          <w:rFonts w:ascii="Garamond" w:eastAsia="MS Mincho" w:hAnsi="Garamond" w:cstheme="majorBidi"/>
          <w:color w:val="0D0D0D" w:themeColor="text1" w:themeTint="F2"/>
          <w:spacing w:val="-4"/>
        </w:rPr>
        <w:t>. Për projektet të cilat kanë një vlerë të konsiderueshme mbi 10 miliardë lekë nga MFE</w:t>
      </w:r>
      <w:r w:rsidR="009B554E" w:rsidRPr="00770F9D">
        <w:rPr>
          <w:rFonts w:ascii="Garamond" w:eastAsia="MS Mincho" w:hAnsi="Garamond" w:cstheme="majorBidi"/>
          <w:color w:val="0D0D0D" w:themeColor="text1" w:themeTint="F2"/>
          <w:spacing w:val="-4"/>
        </w:rPr>
        <w:t>-ja</w:t>
      </w:r>
      <w:r w:rsidR="00720244" w:rsidRPr="00770F9D">
        <w:rPr>
          <w:rFonts w:ascii="Garamond" w:eastAsia="MS Mincho" w:hAnsi="Garamond" w:cstheme="majorBidi"/>
          <w:color w:val="0D0D0D" w:themeColor="text1" w:themeTint="F2"/>
          <w:spacing w:val="-4"/>
        </w:rPr>
        <w:t xml:space="preserve"> do të bëhet oponencë të jashtme për studimin e fi</w:t>
      </w:r>
      <w:r w:rsidR="00914F5D" w:rsidRPr="00770F9D">
        <w:rPr>
          <w:rFonts w:ascii="Garamond" w:eastAsia="MS Mincho" w:hAnsi="Garamond" w:cstheme="majorBidi"/>
          <w:color w:val="0D0D0D" w:themeColor="text1" w:themeTint="F2"/>
          <w:spacing w:val="-4"/>
        </w:rPr>
        <w:t>z</w:t>
      </w:r>
      <w:r w:rsidR="00720244" w:rsidRPr="00770F9D">
        <w:rPr>
          <w:rFonts w:ascii="Garamond" w:eastAsia="MS Mincho" w:hAnsi="Garamond" w:cstheme="majorBidi"/>
          <w:color w:val="0D0D0D" w:themeColor="text1" w:themeTint="F2"/>
          <w:spacing w:val="-4"/>
        </w:rPr>
        <w:t>ibilitetit. Në këtë vendim</w:t>
      </w:r>
      <w:r w:rsidR="00BA653D" w:rsidRPr="00770F9D">
        <w:rPr>
          <w:rFonts w:ascii="Garamond" w:eastAsia="MS Mincho" w:hAnsi="Garamond" w:cstheme="majorBidi"/>
          <w:color w:val="0D0D0D" w:themeColor="text1" w:themeTint="F2"/>
          <w:spacing w:val="-4"/>
        </w:rPr>
        <w:t>,</w:t>
      </w:r>
      <w:r w:rsidR="00720244" w:rsidRPr="00770F9D">
        <w:rPr>
          <w:rFonts w:ascii="Garamond" w:eastAsia="MS Mincho" w:hAnsi="Garamond" w:cstheme="majorBidi"/>
          <w:color w:val="0D0D0D" w:themeColor="text1" w:themeTint="F2"/>
          <w:spacing w:val="-4"/>
        </w:rPr>
        <w:t xml:space="preserve"> gjithashtu</w:t>
      </w:r>
      <w:r w:rsidR="00BA653D" w:rsidRPr="00770F9D">
        <w:rPr>
          <w:rFonts w:ascii="Garamond" w:eastAsia="MS Mincho" w:hAnsi="Garamond" w:cstheme="majorBidi"/>
          <w:color w:val="0D0D0D" w:themeColor="text1" w:themeTint="F2"/>
          <w:spacing w:val="-4"/>
        </w:rPr>
        <w:t>,</w:t>
      </w:r>
      <w:r w:rsidR="00720244" w:rsidRPr="00770F9D">
        <w:rPr>
          <w:rFonts w:ascii="Garamond" w:eastAsia="MS Mincho" w:hAnsi="Garamond" w:cstheme="majorBidi"/>
          <w:color w:val="0D0D0D" w:themeColor="text1" w:themeTint="F2"/>
          <w:spacing w:val="-4"/>
        </w:rPr>
        <w:t xml:space="preserve"> </w:t>
      </w:r>
      <w:r w:rsidR="00BA653D" w:rsidRPr="00770F9D">
        <w:rPr>
          <w:rFonts w:ascii="Garamond" w:eastAsia="MS Mincho" w:hAnsi="Garamond" w:cstheme="majorBidi"/>
          <w:color w:val="0D0D0D" w:themeColor="text1" w:themeTint="F2"/>
          <w:spacing w:val="-4"/>
        </w:rPr>
        <w:t>është</w:t>
      </w:r>
      <w:r w:rsidR="00720244" w:rsidRPr="00770F9D">
        <w:rPr>
          <w:rFonts w:ascii="Garamond" w:eastAsia="MS Mincho" w:hAnsi="Garamond" w:cstheme="majorBidi"/>
          <w:color w:val="0D0D0D" w:themeColor="text1" w:themeTint="F2"/>
          <w:spacing w:val="-4"/>
        </w:rPr>
        <w:t xml:space="preserve"> miratuar në një aneks të </w:t>
      </w:r>
      <w:r w:rsidR="00BA653D" w:rsidRPr="00770F9D">
        <w:rPr>
          <w:rFonts w:ascii="Garamond" w:eastAsia="MS Mincho" w:hAnsi="Garamond" w:cstheme="majorBidi"/>
          <w:color w:val="0D0D0D" w:themeColor="text1" w:themeTint="F2"/>
          <w:spacing w:val="-4"/>
        </w:rPr>
        <w:t>veçante</w:t>
      </w:r>
      <w:r w:rsidR="00720244" w:rsidRPr="00770F9D">
        <w:rPr>
          <w:rFonts w:ascii="Garamond" w:eastAsia="MS Mincho" w:hAnsi="Garamond" w:cstheme="majorBidi"/>
          <w:color w:val="0D0D0D" w:themeColor="text1" w:themeTint="F2"/>
          <w:spacing w:val="-4"/>
        </w:rPr>
        <w:t xml:space="preserve"> edhe përmbajtja që duhet të ketë studimi i fi</w:t>
      </w:r>
      <w:r w:rsidR="00BA653D" w:rsidRPr="00770F9D">
        <w:rPr>
          <w:rFonts w:ascii="Garamond" w:eastAsia="MS Mincho" w:hAnsi="Garamond" w:cstheme="majorBidi"/>
          <w:color w:val="0D0D0D" w:themeColor="text1" w:themeTint="F2"/>
          <w:spacing w:val="-4"/>
        </w:rPr>
        <w:t>z</w:t>
      </w:r>
      <w:r w:rsidR="00720244" w:rsidRPr="00770F9D">
        <w:rPr>
          <w:rFonts w:ascii="Garamond" w:eastAsia="MS Mincho" w:hAnsi="Garamond" w:cstheme="majorBidi"/>
          <w:color w:val="0D0D0D" w:themeColor="text1" w:themeTint="F2"/>
          <w:spacing w:val="-4"/>
        </w:rPr>
        <w:t xml:space="preserve">ibilitetit. Një ndër </w:t>
      </w:r>
      <w:r w:rsidR="00BA653D" w:rsidRPr="00770F9D">
        <w:rPr>
          <w:rFonts w:ascii="Garamond" w:eastAsia="MS Mincho" w:hAnsi="Garamond" w:cstheme="majorBidi"/>
          <w:color w:val="0D0D0D" w:themeColor="text1" w:themeTint="F2"/>
          <w:spacing w:val="-4"/>
        </w:rPr>
        <w:t>këta kapituj</w:t>
      </w:r>
      <w:r w:rsidR="00720244" w:rsidRPr="00770F9D">
        <w:rPr>
          <w:rFonts w:ascii="Garamond" w:eastAsia="MS Mincho" w:hAnsi="Garamond" w:cstheme="majorBidi"/>
          <w:color w:val="0D0D0D" w:themeColor="text1" w:themeTint="F2"/>
          <w:spacing w:val="-4"/>
        </w:rPr>
        <w:t xml:space="preserve"> është edhe analiza kosto-</w:t>
      </w:r>
      <w:r w:rsidR="00DF11B8" w:rsidRPr="00770F9D">
        <w:rPr>
          <w:rFonts w:ascii="Garamond" w:eastAsia="MS Mincho" w:hAnsi="Garamond" w:cstheme="majorBidi"/>
          <w:color w:val="0D0D0D" w:themeColor="text1" w:themeTint="F2"/>
          <w:spacing w:val="-4"/>
        </w:rPr>
        <w:t>p</w:t>
      </w:r>
      <w:r w:rsidR="00BA653D" w:rsidRPr="00770F9D">
        <w:rPr>
          <w:rFonts w:ascii="Garamond" w:eastAsia="MS Mincho" w:hAnsi="Garamond" w:cstheme="majorBidi"/>
          <w:color w:val="0D0D0D" w:themeColor="text1" w:themeTint="F2"/>
          <w:spacing w:val="-4"/>
        </w:rPr>
        <w:t>ë</w:t>
      </w:r>
      <w:r w:rsidR="00DF11B8" w:rsidRPr="00770F9D">
        <w:rPr>
          <w:rFonts w:ascii="Garamond" w:eastAsia="MS Mincho" w:hAnsi="Garamond" w:cstheme="majorBidi"/>
          <w:color w:val="0D0D0D" w:themeColor="text1" w:themeTint="F2"/>
          <w:spacing w:val="-4"/>
        </w:rPr>
        <w:t>rfitim.</w:t>
      </w:r>
    </w:p>
    <w:p w14:paraId="085A7DA1" w14:textId="2D4CAC39" w:rsidR="00720244" w:rsidRPr="00770F9D" w:rsidRDefault="00720244" w:rsidP="00FF0899">
      <w:pPr>
        <w:pStyle w:val="ListBullet"/>
        <w:tabs>
          <w:tab w:val="clear" w:pos="720"/>
        </w:tabs>
        <w:spacing w:after="0" w:line="240" w:lineRule="auto"/>
        <w:ind w:left="0" w:firstLine="284"/>
        <w:jc w:val="both"/>
        <w:rPr>
          <w:rFonts w:ascii="Garamond" w:eastAsiaTheme="minorHAnsi" w:hAnsi="Garamond" w:cstheme="majorBidi"/>
          <w:color w:val="0D0D0D" w:themeColor="text1" w:themeTint="F2"/>
        </w:rPr>
      </w:pPr>
      <w:r w:rsidRPr="00770F9D">
        <w:rPr>
          <w:rFonts w:ascii="Garamond" w:eastAsiaTheme="minorHAnsi" w:hAnsi="Garamond" w:cstheme="majorBidi"/>
          <w:color w:val="0D0D0D" w:themeColor="text1" w:themeTint="F2"/>
        </w:rPr>
        <w:t xml:space="preserve">Një tjetër pikë që është </w:t>
      </w:r>
      <w:r w:rsidR="009340A4" w:rsidRPr="00770F9D">
        <w:rPr>
          <w:rFonts w:ascii="Garamond" w:eastAsiaTheme="minorHAnsi" w:hAnsi="Garamond" w:cstheme="majorBidi"/>
          <w:color w:val="0D0D0D" w:themeColor="text1" w:themeTint="F2"/>
        </w:rPr>
        <w:t xml:space="preserve">miratuar </w:t>
      </w:r>
      <w:r w:rsidRPr="00770F9D">
        <w:rPr>
          <w:rFonts w:ascii="Garamond" w:eastAsiaTheme="minorHAnsi" w:hAnsi="Garamond" w:cstheme="majorBidi"/>
          <w:color w:val="0D0D0D" w:themeColor="text1" w:themeTint="F2"/>
        </w:rPr>
        <w:t xml:space="preserve">ka të bëjë me parimet ku bazohen njësitë e qeverisjes qendrore për vlerësimin, prioritizimin dhe propozimin e projekteve të investimeve, </w:t>
      </w:r>
      <w:r w:rsidR="00FF0899" w:rsidRPr="00770F9D">
        <w:rPr>
          <w:rFonts w:ascii="Garamond" w:eastAsiaTheme="minorHAnsi" w:hAnsi="Garamond" w:cstheme="majorBidi"/>
          <w:color w:val="0D0D0D" w:themeColor="text1" w:themeTint="F2"/>
        </w:rPr>
        <w:t xml:space="preserve">institucionin </w:t>
      </w:r>
      <w:r w:rsidRPr="00770F9D">
        <w:rPr>
          <w:rFonts w:ascii="Garamond" w:eastAsiaTheme="minorHAnsi" w:hAnsi="Garamond" w:cstheme="majorBidi"/>
          <w:color w:val="0D0D0D" w:themeColor="text1" w:themeTint="F2"/>
        </w:rPr>
        <w:t xml:space="preserve">përgjegjës për programimin strategjik për vlerësimin e propozimeve të projekteve të investimit për përfshirjen e tyre në Listën Unike të Projekteve me Rëndësi Kombëtare; si dhe </w:t>
      </w:r>
      <w:r w:rsidR="00FF0899" w:rsidRPr="00770F9D">
        <w:rPr>
          <w:rFonts w:ascii="Garamond" w:eastAsiaTheme="minorHAnsi" w:hAnsi="Garamond" w:cstheme="majorBidi"/>
          <w:color w:val="0D0D0D" w:themeColor="text1" w:themeTint="F2"/>
        </w:rPr>
        <w:t>ministrinë</w:t>
      </w:r>
      <w:r w:rsidRPr="00770F9D">
        <w:rPr>
          <w:rFonts w:ascii="Garamond" w:eastAsiaTheme="minorHAnsi" w:hAnsi="Garamond" w:cstheme="majorBidi"/>
          <w:color w:val="0D0D0D" w:themeColor="text1" w:themeTint="F2"/>
        </w:rPr>
        <w:t xml:space="preserve"> përgjegjëse për financat për vlerësimin përfundimtar për përfshirjen e tyre në Programin Buxhetor Afatmesëm (PBA) apo Buxhetin Vjetor, </w:t>
      </w:r>
      <w:r w:rsidR="00FF0899" w:rsidRPr="00770F9D">
        <w:rPr>
          <w:rFonts w:ascii="Garamond" w:eastAsiaTheme="minorHAnsi" w:hAnsi="Garamond" w:cstheme="majorBidi"/>
          <w:color w:val="0D0D0D" w:themeColor="text1" w:themeTint="F2"/>
        </w:rPr>
        <w:t>përveç</w:t>
      </w:r>
      <w:r w:rsidRPr="00770F9D">
        <w:rPr>
          <w:rFonts w:ascii="Garamond" w:eastAsiaTheme="minorHAnsi" w:hAnsi="Garamond" w:cstheme="majorBidi"/>
          <w:color w:val="0D0D0D" w:themeColor="text1" w:themeTint="F2"/>
        </w:rPr>
        <w:t xml:space="preserve"> parimeve aktuale që janë:</w:t>
      </w:r>
    </w:p>
    <w:p w14:paraId="174EE112" w14:textId="2FD60361" w:rsidR="00625D7B" w:rsidRPr="00770F9D" w:rsidRDefault="00625D7B" w:rsidP="003F46E1">
      <w:pPr>
        <w:pStyle w:val="ListParagraph"/>
        <w:autoSpaceDE w:val="0"/>
        <w:autoSpaceDN w:val="0"/>
        <w:adjustRightInd w:val="0"/>
        <w:ind w:left="0" w:firstLine="284"/>
        <w:jc w:val="both"/>
        <w:rPr>
          <w:rFonts w:ascii="Garamond" w:hAnsi="Garamond"/>
          <w:color w:val="0D0D0D"/>
          <w:sz w:val="24"/>
          <w:szCs w:val="24"/>
          <w:lang w:val="sq-AL" w:eastAsia="sq-AL"/>
        </w:rPr>
      </w:pPr>
      <w:r w:rsidRPr="00770F9D">
        <w:rPr>
          <w:rFonts w:ascii="Garamond" w:hAnsi="Garamond" w:cs="Calibri"/>
          <w:color w:val="0D0D0D"/>
          <w:sz w:val="24"/>
          <w:szCs w:val="24"/>
          <w:lang w:val="sq-AL" w:eastAsia="sq-AL"/>
        </w:rPr>
        <w:t>-</w:t>
      </w:r>
      <w:r w:rsidR="00BA4F1A" w:rsidRPr="00770F9D">
        <w:rPr>
          <w:rFonts w:ascii="Garamond" w:hAnsi="Garamond" w:cs="Calibri"/>
          <w:color w:val="0D0D0D"/>
          <w:sz w:val="24"/>
          <w:szCs w:val="24"/>
          <w:lang w:val="sq-AL" w:eastAsia="sq-AL"/>
        </w:rPr>
        <w:t xml:space="preserve"> </w:t>
      </w:r>
      <w:r w:rsidRPr="00770F9D">
        <w:rPr>
          <w:rFonts w:ascii="Garamond" w:hAnsi="Garamond"/>
          <w:color w:val="0D0D0D"/>
          <w:sz w:val="24"/>
          <w:szCs w:val="24"/>
          <w:lang w:val="sq-AL" w:eastAsia="sq-AL"/>
        </w:rPr>
        <w:t>Parimi i vlerësimit të rëndësisë strategjike;</w:t>
      </w:r>
    </w:p>
    <w:p w14:paraId="481D1CA5" w14:textId="51DA1897" w:rsidR="00625D7B" w:rsidRPr="00770F9D" w:rsidRDefault="00625D7B" w:rsidP="003F46E1">
      <w:pPr>
        <w:pStyle w:val="ListParagraph"/>
        <w:autoSpaceDE w:val="0"/>
        <w:autoSpaceDN w:val="0"/>
        <w:adjustRightInd w:val="0"/>
        <w:ind w:left="0" w:firstLine="284"/>
        <w:jc w:val="both"/>
        <w:rPr>
          <w:rFonts w:ascii="Garamond" w:hAnsi="Garamond"/>
          <w:color w:val="0D0D0D"/>
          <w:sz w:val="24"/>
          <w:szCs w:val="24"/>
          <w:lang w:val="sq-AL" w:eastAsia="sq-AL"/>
        </w:rPr>
      </w:pPr>
      <w:r w:rsidRPr="00770F9D">
        <w:rPr>
          <w:rFonts w:ascii="Garamond" w:hAnsi="Garamond" w:cs="Calibri"/>
          <w:color w:val="0D0D0D"/>
          <w:sz w:val="24"/>
          <w:szCs w:val="24"/>
          <w:lang w:val="sq-AL" w:eastAsia="sq-AL"/>
        </w:rPr>
        <w:t>-</w:t>
      </w:r>
      <w:r w:rsidR="00BA4F1A" w:rsidRPr="00770F9D">
        <w:rPr>
          <w:rFonts w:ascii="Garamond" w:hAnsi="Garamond" w:cs="Calibri"/>
          <w:color w:val="0D0D0D"/>
          <w:sz w:val="24"/>
          <w:szCs w:val="24"/>
          <w:lang w:val="sq-AL" w:eastAsia="sq-AL"/>
        </w:rPr>
        <w:t xml:space="preserve"> </w:t>
      </w:r>
      <w:r w:rsidRPr="00770F9D">
        <w:rPr>
          <w:rFonts w:ascii="Garamond" w:hAnsi="Garamond"/>
          <w:color w:val="0D0D0D"/>
          <w:sz w:val="24"/>
          <w:szCs w:val="24"/>
          <w:lang w:val="sq-AL" w:eastAsia="sq-AL"/>
        </w:rPr>
        <w:t>Parimi i vlerësimit ekonomik dhe financiar;</w:t>
      </w:r>
    </w:p>
    <w:p w14:paraId="1FE0CD1F" w14:textId="6D604E36" w:rsidR="00625D7B" w:rsidRPr="00770F9D" w:rsidRDefault="00625D7B" w:rsidP="003F46E1">
      <w:pPr>
        <w:pStyle w:val="ListParagraph"/>
        <w:autoSpaceDE w:val="0"/>
        <w:autoSpaceDN w:val="0"/>
        <w:adjustRightInd w:val="0"/>
        <w:ind w:left="0" w:firstLine="284"/>
        <w:jc w:val="both"/>
        <w:rPr>
          <w:rFonts w:ascii="Garamond" w:hAnsi="Garamond"/>
          <w:color w:val="0D0D0D"/>
          <w:sz w:val="24"/>
          <w:szCs w:val="24"/>
          <w:lang w:val="sq-AL" w:eastAsia="sq-AL"/>
        </w:rPr>
      </w:pPr>
      <w:r w:rsidRPr="00770F9D">
        <w:rPr>
          <w:rFonts w:ascii="Garamond" w:hAnsi="Garamond" w:cs="Calibri"/>
          <w:color w:val="0D0D0D"/>
          <w:sz w:val="24"/>
          <w:szCs w:val="24"/>
          <w:lang w:val="sq-AL" w:eastAsia="sq-AL"/>
        </w:rPr>
        <w:t>-</w:t>
      </w:r>
      <w:r w:rsidR="00BA4F1A" w:rsidRPr="00770F9D">
        <w:rPr>
          <w:rFonts w:ascii="Garamond" w:hAnsi="Garamond" w:cs="Calibri"/>
          <w:color w:val="0D0D0D"/>
          <w:sz w:val="24"/>
          <w:szCs w:val="24"/>
          <w:lang w:val="sq-AL" w:eastAsia="sq-AL"/>
        </w:rPr>
        <w:t xml:space="preserve"> </w:t>
      </w:r>
      <w:r w:rsidRPr="00770F9D">
        <w:rPr>
          <w:rFonts w:ascii="Garamond" w:hAnsi="Garamond"/>
          <w:color w:val="0D0D0D"/>
          <w:sz w:val="24"/>
          <w:szCs w:val="24"/>
          <w:lang w:val="sq-AL" w:eastAsia="sq-AL"/>
        </w:rPr>
        <w:t>Parimi i vlerësimit të menaxhimit të projektit.</w:t>
      </w:r>
    </w:p>
    <w:p w14:paraId="760F6971" w14:textId="77777777" w:rsidR="00625D7B" w:rsidRPr="00770F9D" w:rsidRDefault="00625D7B" w:rsidP="003F46E1">
      <w:pPr>
        <w:pStyle w:val="ListParagraph"/>
        <w:autoSpaceDE w:val="0"/>
        <w:autoSpaceDN w:val="0"/>
        <w:adjustRightInd w:val="0"/>
        <w:ind w:left="0" w:firstLine="284"/>
        <w:jc w:val="both"/>
        <w:rPr>
          <w:rFonts w:ascii="Garamond" w:hAnsi="Garamond"/>
          <w:color w:val="0D0D0D"/>
          <w:sz w:val="24"/>
          <w:szCs w:val="24"/>
          <w:lang w:val="sq-AL" w:eastAsia="sq-AL"/>
        </w:rPr>
      </w:pPr>
      <w:r w:rsidRPr="00770F9D">
        <w:rPr>
          <w:rFonts w:ascii="Garamond" w:hAnsi="Garamond"/>
          <w:color w:val="0D0D0D"/>
          <w:sz w:val="24"/>
          <w:szCs w:val="24"/>
          <w:lang w:val="sq-AL" w:eastAsia="sq-AL"/>
        </w:rPr>
        <w:t>Janë shtuar edhe parimi:</w:t>
      </w:r>
    </w:p>
    <w:p w14:paraId="484CFE99" w14:textId="3B5C921C" w:rsidR="00625D7B" w:rsidRPr="00770F9D" w:rsidRDefault="00625D7B" w:rsidP="003F46E1">
      <w:pPr>
        <w:pStyle w:val="ListParagraph"/>
        <w:autoSpaceDE w:val="0"/>
        <w:autoSpaceDN w:val="0"/>
        <w:adjustRightInd w:val="0"/>
        <w:ind w:left="0" w:firstLine="284"/>
        <w:jc w:val="both"/>
        <w:rPr>
          <w:rFonts w:ascii="Garamond" w:hAnsi="Garamond"/>
          <w:color w:val="0D0D0D"/>
          <w:sz w:val="24"/>
          <w:szCs w:val="24"/>
          <w:lang w:val="sq-AL" w:eastAsia="sq-AL"/>
        </w:rPr>
      </w:pPr>
      <w:r w:rsidRPr="00770F9D">
        <w:rPr>
          <w:rFonts w:ascii="Garamond" w:hAnsi="Garamond" w:cs="Calibri"/>
          <w:color w:val="0D0D0D"/>
          <w:sz w:val="24"/>
          <w:szCs w:val="24"/>
          <w:lang w:val="sq-AL" w:eastAsia="sq-AL"/>
        </w:rPr>
        <w:t>-</w:t>
      </w:r>
      <w:r w:rsidR="00BA4F1A" w:rsidRPr="00770F9D">
        <w:rPr>
          <w:rFonts w:ascii="Garamond" w:hAnsi="Garamond" w:cs="Calibri"/>
          <w:color w:val="0D0D0D"/>
          <w:sz w:val="24"/>
          <w:szCs w:val="24"/>
          <w:lang w:val="sq-AL" w:eastAsia="sq-AL"/>
        </w:rPr>
        <w:t xml:space="preserve"> </w:t>
      </w:r>
      <w:r w:rsidRPr="00770F9D">
        <w:rPr>
          <w:rFonts w:ascii="Garamond" w:hAnsi="Garamond"/>
          <w:color w:val="0D0D0D"/>
          <w:sz w:val="24"/>
          <w:szCs w:val="24"/>
          <w:lang w:val="sq-AL" w:eastAsia="sq-AL"/>
        </w:rPr>
        <w:t>Parimi i vlerësimit mjedisor dhe impaktit klimaterik;</w:t>
      </w:r>
    </w:p>
    <w:p w14:paraId="4CD018CF" w14:textId="5B0ED0C9" w:rsidR="00625D7B" w:rsidRPr="00770F9D" w:rsidRDefault="00625D7B" w:rsidP="003F46E1">
      <w:pPr>
        <w:pStyle w:val="ListParagraph"/>
        <w:autoSpaceDE w:val="0"/>
        <w:autoSpaceDN w:val="0"/>
        <w:adjustRightInd w:val="0"/>
        <w:ind w:left="0" w:firstLine="284"/>
        <w:jc w:val="both"/>
        <w:rPr>
          <w:rFonts w:ascii="Garamond" w:hAnsi="Garamond"/>
          <w:color w:val="0D0D0D"/>
          <w:sz w:val="24"/>
          <w:szCs w:val="24"/>
          <w:lang w:val="sq-AL" w:eastAsia="sq-AL"/>
        </w:rPr>
      </w:pPr>
      <w:r w:rsidRPr="00770F9D">
        <w:rPr>
          <w:rFonts w:ascii="Garamond" w:hAnsi="Garamond" w:cs="Calibri"/>
          <w:color w:val="0D0D0D"/>
          <w:sz w:val="24"/>
          <w:szCs w:val="24"/>
          <w:lang w:val="sq-AL" w:eastAsia="sq-AL"/>
        </w:rPr>
        <w:t>-</w:t>
      </w:r>
      <w:r w:rsidR="00BA4F1A" w:rsidRPr="00770F9D">
        <w:rPr>
          <w:rFonts w:ascii="Garamond" w:hAnsi="Garamond" w:cs="Calibri"/>
          <w:color w:val="0D0D0D"/>
          <w:sz w:val="24"/>
          <w:szCs w:val="24"/>
          <w:lang w:val="sq-AL" w:eastAsia="sq-AL"/>
        </w:rPr>
        <w:t xml:space="preserve"> </w:t>
      </w:r>
      <w:r w:rsidRPr="00770F9D">
        <w:rPr>
          <w:rFonts w:ascii="Garamond" w:hAnsi="Garamond"/>
          <w:color w:val="0D0D0D"/>
          <w:sz w:val="24"/>
          <w:szCs w:val="24"/>
          <w:lang w:val="sq-AL" w:eastAsia="sq-AL"/>
        </w:rPr>
        <w:t>Parimi i vlerësimit të qëndrueshmërisë;</w:t>
      </w:r>
    </w:p>
    <w:p w14:paraId="6654A63F" w14:textId="791E8DD7" w:rsidR="00625D7B" w:rsidRPr="00770F9D" w:rsidRDefault="00625D7B" w:rsidP="003F46E1">
      <w:pPr>
        <w:pStyle w:val="ListParagraph"/>
        <w:autoSpaceDE w:val="0"/>
        <w:autoSpaceDN w:val="0"/>
        <w:adjustRightInd w:val="0"/>
        <w:ind w:left="0" w:firstLine="284"/>
        <w:jc w:val="both"/>
        <w:rPr>
          <w:rFonts w:ascii="Garamond" w:hAnsi="Garamond"/>
          <w:color w:val="0D0D0D"/>
          <w:sz w:val="24"/>
          <w:szCs w:val="24"/>
          <w:lang w:val="sq-AL" w:eastAsia="sq-AL"/>
        </w:rPr>
      </w:pPr>
      <w:r w:rsidRPr="00770F9D">
        <w:rPr>
          <w:rFonts w:ascii="Garamond" w:hAnsi="Garamond" w:cs="Calibri"/>
          <w:color w:val="0D0D0D"/>
          <w:sz w:val="24"/>
          <w:szCs w:val="24"/>
          <w:lang w:val="sq-AL" w:eastAsia="sq-AL"/>
        </w:rPr>
        <w:t>-</w:t>
      </w:r>
      <w:r w:rsidR="00BA4F1A" w:rsidRPr="00770F9D">
        <w:rPr>
          <w:rFonts w:ascii="Garamond" w:hAnsi="Garamond" w:cs="Calibri"/>
          <w:color w:val="0D0D0D"/>
          <w:sz w:val="24"/>
          <w:szCs w:val="24"/>
          <w:lang w:val="sq-AL" w:eastAsia="sq-AL"/>
        </w:rPr>
        <w:t xml:space="preserve"> </w:t>
      </w:r>
      <w:r w:rsidRPr="00770F9D">
        <w:rPr>
          <w:rFonts w:ascii="Garamond" w:hAnsi="Garamond"/>
          <w:color w:val="0D0D0D"/>
          <w:sz w:val="24"/>
          <w:szCs w:val="24"/>
          <w:lang w:val="sq-AL" w:eastAsia="sq-AL"/>
        </w:rPr>
        <w:t>Parimi i vlerësimit gjinor.</w:t>
      </w:r>
    </w:p>
    <w:p w14:paraId="6D655055" w14:textId="714ADC16" w:rsidR="00720244" w:rsidRPr="00770F9D" w:rsidRDefault="00720244" w:rsidP="003F46E1">
      <w:pPr>
        <w:pStyle w:val="ListBullet"/>
        <w:tabs>
          <w:tab w:val="clear" w:pos="720"/>
        </w:tabs>
        <w:spacing w:after="0" w:line="240" w:lineRule="auto"/>
        <w:ind w:left="0" w:firstLine="284"/>
        <w:jc w:val="both"/>
        <w:rPr>
          <w:rFonts w:ascii="Garamond" w:eastAsiaTheme="minorHAnsi" w:hAnsi="Garamond" w:cstheme="majorBidi"/>
          <w:color w:val="0D0D0D" w:themeColor="text1" w:themeTint="F2"/>
        </w:rPr>
      </w:pPr>
      <w:r w:rsidRPr="00770F9D">
        <w:rPr>
          <w:rFonts w:ascii="Garamond" w:eastAsiaTheme="minorHAnsi" w:hAnsi="Garamond" w:cstheme="majorBidi"/>
          <w:color w:val="0D0D0D" w:themeColor="text1" w:themeTint="F2"/>
        </w:rPr>
        <w:t>Në lidhje me monitorimin në vendimin e miratuar është përcaktuar që do të raportohet edhe për treguesit e performancës në nivel projekti, informacione mbi realizimin e procedurave të prokurimit, informacioni mbi rastet e krijimit të detyrimeve të prapambetura të argumentuara, problematikat e krijuara në realizimin e projekteve, argumentimet në rastet e parealizuara</w:t>
      </w:r>
      <w:r w:rsidR="00084BA0" w:rsidRPr="00770F9D">
        <w:rPr>
          <w:rFonts w:ascii="Garamond" w:eastAsiaTheme="minorHAnsi" w:hAnsi="Garamond" w:cstheme="majorBidi"/>
          <w:color w:val="0D0D0D" w:themeColor="text1" w:themeTint="F2"/>
        </w:rPr>
        <w:t>,</w:t>
      </w:r>
      <w:r w:rsidRPr="00770F9D">
        <w:rPr>
          <w:rFonts w:ascii="Garamond" w:eastAsiaTheme="minorHAnsi" w:hAnsi="Garamond" w:cstheme="majorBidi"/>
          <w:color w:val="0D0D0D" w:themeColor="text1" w:themeTint="F2"/>
        </w:rPr>
        <w:t xml:space="preserve"> duke i dhënë një rol më të rëndësishëm Ministrisë së Financave dhe Ekonomisë mbi monitorimin dhe zgjidhjen e problemeve mbi projektet e investimeve etj.</w:t>
      </w:r>
    </w:p>
    <w:p w14:paraId="237E4E1F" w14:textId="5FEA2935" w:rsidR="00720244" w:rsidRPr="00770F9D" w:rsidRDefault="00720244" w:rsidP="003F46E1">
      <w:pPr>
        <w:widowControl w:val="0"/>
        <w:ind w:firstLine="284"/>
        <w:jc w:val="both"/>
        <w:rPr>
          <w:rFonts w:ascii="Garamond" w:hAnsi="Garamond" w:cstheme="majorBidi"/>
          <w:b/>
          <w:color w:val="0D0D0D" w:themeColor="text1" w:themeTint="F2"/>
        </w:rPr>
      </w:pPr>
      <w:r w:rsidRPr="00770F9D">
        <w:rPr>
          <w:rFonts w:ascii="Garamond" w:hAnsi="Garamond" w:cstheme="majorBidi"/>
          <w:color w:val="0D0D0D" w:themeColor="text1" w:themeTint="F2"/>
        </w:rPr>
        <w:t xml:space="preserve">Gjatë vitit 2022 është vijuar me </w:t>
      </w:r>
      <w:r w:rsidRPr="00770F9D">
        <w:rPr>
          <w:rFonts w:ascii="Garamond" w:hAnsi="Garamond" w:cstheme="majorBidi"/>
          <w:bCs/>
          <w:color w:val="0D0D0D" w:themeColor="text1" w:themeTint="F2"/>
        </w:rPr>
        <w:t>mirëmbajtjen e linjës së vetme të projekteve nëpërmjet përditësimit të statusit të projekteve ekzistuese dhe përfshirjes së projekteve të reja bazuar në kritere të qarta të përzgjedhjes të lidhura me dokumentet strategjike, prioritetet e qeverisë dhe prioritetet sektoriale. Ky është një proces dinamik</w:t>
      </w:r>
      <w:r w:rsidR="00084BA0" w:rsidRPr="00770F9D">
        <w:rPr>
          <w:rFonts w:ascii="Garamond" w:hAnsi="Garamond" w:cstheme="majorBidi"/>
          <w:bCs/>
          <w:color w:val="0D0D0D" w:themeColor="text1" w:themeTint="F2"/>
        </w:rPr>
        <w:t>,</w:t>
      </w:r>
      <w:r w:rsidRPr="00770F9D">
        <w:rPr>
          <w:rFonts w:ascii="Garamond" w:hAnsi="Garamond" w:cstheme="majorBidi"/>
          <w:bCs/>
          <w:color w:val="0D0D0D" w:themeColor="text1" w:themeTint="F2"/>
        </w:rPr>
        <w:t xml:space="preserve"> i cili është duke vijuar aktualisht dhe do të vijojë edhe në vitet pasardhëse.</w:t>
      </w:r>
    </w:p>
    <w:p w14:paraId="58520043" w14:textId="11A86E45" w:rsidR="00141F13" w:rsidRPr="00770F9D" w:rsidRDefault="00141F13" w:rsidP="003469F3">
      <w:pPr>
        <w:snapToGrid w:val="0"/>
        <w:ind w:firstLine="284"/>
        <w:jc w:val="both"/>
        <w:rPr>
          <w:rFonts w:ascii="Garamond" w:hAnsi="Garamond" w:cstheme="majorBidi"/>
          <w:bCs/>
          <w:color w:val="0D0D0D" w:themeColor="text1" w:themeTint="F2"/>
        </w:rPr>
      </w:pPr>
      <w:r w:rsidRPr="00770F9D">
        <w:rPr>
          <w:rFonts w:ascii="Garamond" w:hAnsi="Garamond" w:cstheme="majorBidi"/>
          <w:color w:val="0D0D0D" w:themeColor="text1" w:themeTint="F2"/>
        </w:rPr>
        <w:t xml:space="preserve">Lista Unike e Projekteve me Rëndësi Kombëtare është një instrument prioritizimi strategjik afatmesëm dhe afatgjatë i </w:t>
      </w:r>
      <w:r w:rsidR="002D4839" w:rsidRPr="00770F9D">
        <w:rPr>
          <w:rFonts w:ascii="Garamond" w:hAnsi="Garamond" w:cstheme="majorBidi"/>
          <w:color w:val="0D0D0D" w:themeColor="text1" w:themeTint="F2"/>
        </w:rPr>
        <w:t>qeverisë shqiptare</w:t>
      </w:r>
      <w:r w:rsidRPr="00770F9D">
        <w:rPr>
          <w:rFonts w:ascii="Garamond" w:hAnsi="Garamond" w:cstheme="majorBidi"/>
          <w:color w:val="0D0D0D" w:themeColor="text1" w:themeTint="F2"/>
        </w:rPr>
        <w:t xml:space="preserve">, i cili shërben për të materializuar Strategjinë Kombëtare për Zhvillim dhe Integrim </w:t>
      </w:r>
      <w:r w:rsidR="002D4839" w:rsidRPr="00770F9D">
        <w:rPr>
          <w:rFonts w:ascii="Garamond" w:hAnsi="Garamond" w:cstheme="majorBidi"/>
          <w:color w:val="0D0D0D" w:themeColor="text1" w:themeTint="F2"/>
        </w:rPr>
        <w:t>Evropian</w:t>
      </w:r>
      <w:r w:rsidR="009340A4"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(SKZHI</w:t>
      </w:r>
      <w:r w:rsidR="009340A4" w:rsidRPr="00770F9D">
        <w:rPr>
          <w:rFonts w:ascii="Garamond" w:hAnsi="Garamond" w:cstheme="majorBidi"/>
          <w:color w:val="0D0D0D" w:themeColor="text1" w:themeTint="F2"/>
        </w:rPr>
        <w:t>E</w:t>
      </w:r>
      <w:r w:rsidRPr="00770F9D">
        <w:rPr>
          <w:rFonts w:ascii="Garamond" w:hAnsi="Garamond" w:cstheme="majorBidi"/>
          <w:color w:val="0D0D0D" w:themeColor="text1" w:themeTint="F2"/>
        </w:rPr>
        <w:t>), strategjitë sektoriale dhe prioritet e qeverisë në projekte konkrete në nivel kombëtar dhe rajonal. NSPP</w:t>
      </w:r>
      <w:r w:rsidR="00405E18" w:rsidRPr="00770F9D">
        <w:rPr>
          <w:rFonts w:ascii="Garamond" w:hAnsi="Garamond" w:cstheme="majorBidi"/>
          <w:color w:val="0D0D0D" w:themeColor="text1" w:themeTint="F2"/>
        </w:rPr>
        <w:t>-ja</w:t>
      </w:r>
      <w:r w:rsidRPr="00770F9D">
        <w:rPr>
          <w:rFonts w:ascii="Garamond" w:hAnsi="Garamond" w:cstheme="majorBidi"/>
          <w:color w:val="0D0D0D" w:themeColor="text1" w:themeTint="F2"/>
        </w:rPr>
        <w:t>, përveç se unifikon dhe priori</w:t>
      </w:r>
      <w:r w:rsidR="00405E18" w:rsidRPr="00770F9D">
        <w:rPr>
          <w:rFonts w:ascii="Garamond" w:hAnsi="Garamond" w:cstheme="majorBidi"/>
          <w:color w:val="0D0D0D" w:themeColor="text1" w:themeTint="F2"/>
        </w:rPr>
        <w:t>tizon projektet sipas sektorëve/ministrive</w:t>
      </w:r>
      <w:r w:rsidRPr="00770F9D">
        <w:rPr>
          <w:rFonts w:ascii="Garamond" w:hAnsi="Garamond" w:cstheme="majorBidi"/>
          <w:color w:val="0D0D0D" w:themeColor="text1" w:themeTint="F2"/>
        </w:rPr>
        <w:t xml:space="preserve">, shërben si lista e vetme unike e projekteve me rëndësi kombëtare në vend, orienton burimet e brendshme dhe të huaja të financimit në drejtim të prioriteteve, si edhe ndërlidh prioritet afatgjata me Programin Buxhetor Afatmesëm (PBA). </w:t>
      </w:r>
      <w:r w:rsidR="003469F3" w:rsidRPr="00770F9D">
        <w:rPr>
          <w:rFonts w:ascii="Garamond" w:hAnsi="Garamond" w:cstheme="majorBidi"/>
          <w:color w:val="0D0D0D" w:themeColor="text1" w:themeTint="F2"/>
        </w:rPr>
        <w:t>Çdo</w:t>
      </w:r>
      <w:r w:rsidRPr="00770F9D">
        <w:rPr>
          <w:rFonts w:ascii="Garamond" w:hAnsi="Garamond" w:cstheme="majorBidi"/>
          <w:color w:val="0D0D0D" w:themeColor="text1" w:themeTint="F2"/>
        </w:rPr>
        <w:t xml:space="preserve"> projekt i cili kërkon financim nëpërmjet</w:t>
      </w:r>
      <w:r w:rsidR="003469F3" w:rsidRPr="00770F9D">
        <w:rPr>
          <w:rFonts w:ascii="Garamond" w:hAnsi="Garamond" w:cstheme="majorBidi"/>
          <w:color w:val="0D0D0D" w:themeColor="text1" w:themeTint="F2"/>
        </w:rPr>
        <w:t xml:space="preserve"> ndonjë burimi financimi (p.sh.</w:t>
      </w:r>
      <w:r w:rsidRPr="00770F9D">
        <w:rPr>
          <w:rFonts w:ascii="Garamond" w:hAnsi="Garamond" w:cstheme="majorBidi"/>
          <w:color w:val="0D0D0D" w:themeColor="text1" w:themeTint="F2"/>
        </w:rPr>
        <w:t xml:space="preserve"> </w:t>
      </w:r>
      <w:r w:rsidR="003469F3" w:rsidRPr="00770F9D">
        <w:rPr>
          <w:rFonts w:ascii="Garamond" w:hAnsi="Garamond" w:cstheme="majorBidi"/>
          <w:color w:val="0D0D0D" w:themeColor="text1" w:themeTint="F2"/>
        </w:rPr>
        <w:t>W</w:t>
      </w:r>
      <w:r w:rsidRPr="00770F9D">
        <w:rPr>
          <w:rFonts w:ascii="Garamond" w:hAnsi="Garamond" w:cstheme="majorBidi"/>
          <w:color w:val="0D0D0D" w:themeColor="text1" w:themeTint="F2"/>
        </w:rPr>
        <w:t>BIF, marrëveshje bilaterale</w:t>
      </w:r>
      <w:r w:rsidR="003469F3" w:rsidRPr="00770F9D">
        <w:rPr>
          <w:rFonts w:ascii="Garamond" w:hAnsi="Garamond" w:cstheme="majorBidi"/>
          <w:color w:val="0D0D0D" w:themeColor="text1" w:themeTint="F2"/>
        </w:rPr>
        <w:t xml:space="preserve"> etj</w:t>
      </w:r>
      <w:r w:rsidRPr="00770F9D">
        <w:rPr>
          <w:rFonts w:ascii="Garamond" w:hAnsi="Garamond" w:cstheme="majorBidi"/>
          <w:color w:val="0D0D0D" w:themeColor="text1" w:themeTint="F2"/>
        </w:rPr>
        <w:t>.) duhet të përfshihet në NSPP dhe duhet të zhvillohet dhe maturohet sipas metodologjisë dhe procedurave të përcaktuara për NSPP.Në këtë aspekt, vlen të përmendet, krijimi i Agjencisë Shtetërore të Programit Strategjik dhe Koordinimin të Ndihmës (SASPAC) nëpërmjet VKM-së Nr. 642, datë 29.10.2021, e cila midis funksioneve të tjera, vepron si sekretari teknik për Komitetin e Planifikimit Strategjik, është përgjegjëse për vlerësimin e projekteve të investimeve me rëndësi strategjike, si edhe për përgatitjen, miratimin, përditësimin, monitorimin dhe zbatimin e NSPP. Në kuadër të forcimit të kapaciteteve të qeverisë për të vlerësuar projektet e investimeve publike, SASPAC, në bashkëpunim me Ministrinë e Financave dhe Ekonomisë dhe me mbështetjen e Asistencës Teknike të projektit "Për forcimin e kapaciteteve për planifikimin, përgatitjen dhe implementimin e projekteve infrastrukturore në Shqipëri”, kanë punuar dhe është miratuar nga Këshilli i Ministrave vendimi “Për procedurat e menaxhimit të investimeve publike”</w:t>
      </w:r>
      <w:r w:rsidR="009340A4"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i cili</w:t>
      </w:r>
      <w:r w:rsidR="009340A4"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ka</w:t>
      </w:r>
      <w:r w:rsidR="009340A4"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 xml:space="preserve">zëvendësuar VKM-në Nr. 185, datë 29.03.2018. Ndërmjet shumë ndryshimeve, të cilat synojnë të përmirësojnë procedurat e menaxhimit të investimeve publike, VKM-ja e re ofron mbështetje ligjore NSPP-së, e cila do të shërbejë si instrument për përzgjedhjene projekteve bazuar në kritere që lidhen me dokumentet strategjike, prioritet e qeverisë dhe atyre sektoriale. Për më shumë, në VKM-në e re janë përfshirë element të cilët priren të kenë ndikim pozitiv mbi mjedisin dhe barazinë gjinore. VKM-ja e është miratuar në datë 27 </w:t>
      </w:r>
      <w:r w:rsidR="00DD4714" w:rsidRPr="00770F9D">
        <w:rPr>
          <w:rFonts w:ascii="Garamond" w:hAnsi="Garamond" w:cstheme="majorBidi"/>
          <w:color w:val="0D0D0D" w:themeColor="text1" w:themeTint="F2"/>
        </w:rPr>
        <w:t xml:space="preserve">dhjetor </w:t>
      </w:r>
      <w:r w:rsidRPr="00770F9D">
        <w:rPr>
          <w:rFonts w:ascii="Garamond" w:hAnsi="Garamond" w:cstheme="majorBidi"/>
          <w:color w:val="0D0D0D" w:themeColor="text1" w:themeTint="F2"/>
        </w:rPr>
        <w:t xml:space="preserve">2022 dhe është bërë e zbatueshme nga data 1 </w:t>
      </w:r>
      <w:r w:rsidR="000E5ADB" w:rsidRPr="00770F9D">
        <w:rPr>
          <w:rFonts w:ascii="Garamond" w:hAnsi="Garamond" w:cstheme="majorBidi"/>
          <w:color w:val="0D0D0D" w:themeColor="text1" w:themeTint="F2"/>
        </w:rPr>
        <w:t xml:space="preserve">janar </w:t>
      </w:r>
      <w:r w:rsidRPr="00770F9D">
        <w:rPr>
          <w:rFonts w:ascii="Garamond" w:hAnsi="Garamond" w:cstheme="majorBidi"/>
          <w:color w:val="0D0D0D" w:themeColor="text1" w:themeTint="F2"/>
        </w:rPr>
        <w:t>2023. Kuadri rregullator dhe metodologjik për përgatitjen, miratimin, përditësimin monitorimin dhe implementimin e NSPP</w:t>
      </w:r>
      <w:r w:rsidR="000E5ADB" w:rsidRPr="00770F9D">
        <w:rPr>
          <w:rFonts w:ascii="Garamond" w:hAnsi="Garamond" w:cstheme="majorBidi"/>
          <w:color w:val="0D0D0D" w:themeColor="text1" w:themeTint="F2"/>
        </w:rPr>
        <w:t>-së</w:t>
      </w:r>
      <w:r w:rsidRPr="00770F9D">
        <w:rPr>
          <w:rFonts w:ascii="Garamond" w:hAnsi="Garamond" w:cstheme="majorBidi"/>
          <w:color w:val="0D0D0D" w:themeColor="text1" w:themeTint="F2"/>
        </w:rPr>
        <w:t xml:space="preserve"> do të përgatitet gjatë muajit </w:t>
      </w:r>
      <w:r w:rsidR="000E5ADB" w:rsidRPr="00770F9D">
        <w:rPr>
          <w:rFonts w:ascii="Garamond" w:hAnsi="Garamond" w:cstheme="majorBidi"/>
          <w:color w:val="0D0D0D" w:themeColor="text1" w:themeTint="F2"/>
        </w:rPr>
        <w:t xml:space="preserve">janar </w:t>
      </w:r>
      <w:r w:rsidRPr="00770F9D">
        <w:rPr>
          <w:rFonts w:ascii="Garamond" w:hAnsi="Garamond" w:cstheme="majorBidi"/>
          <w:color w:val="0D0D0D" w:themeColor="text1" w:themeTint="F2"/>
        </w:rPr>
        <w:t>2023</w:t>
      </w:r>
      <w:r w:rsidR="000E5ADB"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dhe do të reflektojë të gjitha ndryshimet e nevojshme në aktet e tjera nënligjore të institucioneve shtetërore. Për sa</w:t>
      </w:r>
      <w:r w:rsidR="009340A4"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i përket përmirësimit të monitorimit të NSPP</w:t>
      </w:r>
      <w:r w:rsidR="000E5ADB" w:rsidRPr="00770F9D">
        <w:rPr>
          <w:rFonts w:ascii="Garamond" w:hAnsi="Garamond" w:cstheme="majorBidi"/>
          <w:color w:val="0D0D0D" w:themeColor="text1" w:themeTint="F2"/>
        </w:rPr>
        <w:t>-së</w:t>
      </w:r>
      <w:r w:rsidRPr="00770F9D">
        <w:rPr>
          <w:rFonts w:ascii="Garamond" w:hAnsi="Garamond" w:cstheme="majorBidi"/>
          <w:color w:val="0D0D0D" w:themeColor="text1" w:themeTint="F2"/>
        </w:rPr>
        <w:t>, SASPAC</w:t>
      </w:r>
      <w:r w:rsidR="000E5ADB" w:rsidRPr="00770F9D">
        <w:rPr>
          <w:rFonts w:ascii="Garamond" w:hAnsi="Garamond" w:cstheme="majorBidi"/>
          <w:color w:val="0D0D0D" w:themeColor="text1" w:themeTint="F2"/>
        </w:rPr>
        <w:t>-i</w:t>
      </w:r>
      <w:r w:rsidRPr="00770F9D">
        <w:rPr>
          <w:rFonts w:ascii="Garamond" w:hAnsi="Garamond" w:cstheme="majorBidi"/>
          <w:color w:val="0D0D0D" w:themeColor="text1" w:themeTint="F2"/>
        </w:rPr>
        <w:t xml:space="preserve"> është duke përgatitur metodologjinë dhe procedurat, të cilat janë të rëndësishme për identifikimin, vlerësimin dhe raportimin e progresit të kryer gjatë secilës fazë të procesit të përgatitjes së projekteve me rëndësi strategjike. Finalizimi dhe miratimi i procedurave të monitorimit dhe </w:t>
      </w:r>
      <w:r w:rsidR="000E5ADB" w:rsidRPr="00770F9D">
        <w:rPr>
          <w:rFonts w:ascii="Garamond" w:hAnsi="Garamond" w:cstheme="majorBidi"/>
          <w:color w:val="0D0D0D" w:themeColor="text1" w:themeTint="F2"/>
        </w:rPr>
        <w:t xml:space="preserve">të </w:t>
      </w:r>
      <w:r w:rsidRPr="00770F9D">
        <w:rPr>
          <w:rFonts w:ascii="Garamond" w:hAnsi="Garamond" w:cstheme="majorBidi"/>
          <w:color w:val="0D0D0D" w:themeColor="text1" w:themeTint="F2"/>
        </w:rPr>
        <w:t>raportimit parashikohet të realizohet rreth fundit të vitit 2022 dhe fillimit të vitit 2023.</w:t>
      </w:r>
    </w:p>
    <w:p w14:paraId="3EF6F856" w14:textId="77777777" w:rsidR="000A083E" w:rsidRPr="00770F9D" w:rsidRDefault="000A083E"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UP 2.2</w:t>
      </w:r>
    </w:p>
    <w:p w14:paraId="23A1BEAE" w14:textId="77777777" w:rsidR="00DB3786" w:rsidRPr="00770F9D" w:rsidRDefault="00DB3786" w:rsidP="003F46E1">
      <w:pPr>
        <w:snapToGrid w:val="0"/>
        <w:ind w:firstLine="284"/>
        <w:jc w:val="both"/>
        <w:rPr>
          <w:rFonts w:ascii="Garamond" w:hAnsi="Garamond" w:cstheme="majorBidi"/>
          <w:b/>
          <w:color w:val="0D0D0D" w:themeColor="text1" w:themeTint="F2"/>
        </w:rPr>
      </w:pPr>
      <w:r w:rsidRPr="00770F9D">
        <w:rPr>
          <w:rFonts w:ascii="Garamond" w:hAnsi="Garamond" w:cstheme="majorBidi"/>
          <w:b/>
          <w:color w:val="0D0D0D" w:themeColor="text1" w:themeTint="F2"/>
        </w:rPr>
        <w:t>Miratoni strategjinë afatmesme të të ardhurave pas një konsultimi intensiv publik dhe plotësoni atë me një plan zbatimi të buxhetuar dhe operacional për të udhëhequr politikat tatimore në vitet e ardhshme.</w:t>
      </w:r>
    </w:p>
    <w:p w14:paraId="4099F683" w14:textId="77777777" w:rsidR="00625D7B" w:rsidRPr="00770F9D" w:rsidRDefault="00625D7B"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Strategjia Afatmesme e të Ardhurave (MTRS) është hartuar nga Ministria e Financave dhe Ekonomisë dhe është hedhur për njohje dhe konsultim publik prej një viti. Ndërkohë, masat e parashikuara në këtë Strategji, kanë filluar të implementohen dhe zbatohen:</w:t>
      </w:r>
    </w:p>
    <w:p w14:paraId="3627BD13" w14:textId="6241BCEF" w:rsidR="00625D7B" w:rsidRPr="00770F9D" w:rsidRDefault="00625D7B" w:rsidP="0062376B">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Nga 1 janari i</w:t>
      </w:r>
      <w:r w:rsidR="0062376B" w:rsidRPr="00770F9D">
        <w:rPr>
          <w:rFonts w:ascii="Garamond" w:hAnsi="Garamond" w:cs="Garamond"/>
          <w:color w:val="0D0D0D"/>
          <w:lang w:eastAsia="sq-AL"/>
        </w:rPr>
        <w:t xml:space="preserve"> vitit 2021 </w:t>
      </w:r>
      <w:r w:rsidRPr="00770F9D">
        <w:rPr>
          <w:rFonts w:ascii="Garamond" w:hAnsi="Garamond" w:cs="Garamond"/>
          <w:color w:val="0D0D0D"/>
          <w:lang w:eastAsia="sq-AL"/>
        </w:rPr>
        <w:t xml:space="preserve">ka filluar zbatimi i masave të parashikuara në komponentin e </w:t>
      </w:r>
      <w:r w:rsidR="0062376B" w:rsidRPr="00770F9D">
        <w:rPr>
          <w:rFonts w:ascii="Garamond" w:hAnsi="Garamond" w:cs="Garamond"/>
          <w:color w:val="0D0D0D"/>
          <w:lang w:eastAsia="sq-AL"/>
        </w:rPr>
        <w:t>administrimit tatimor</w:t>
      </w:r>
      <w:r w:rsidRPr="00770F9D">
        <w:rPr>
          <w:rFonts w:ascii="Garamond" w:hAnsi="Garamond" w:cs="Garamond"/>
          <w:color w:val="0D0D0D"/>
          <w:lang w:eastAsia="sq-AL"/>
        </w:rPr>
        <w:t>, ku masat kryesore të parashikuara kanë q</w:t>
      </w:r>
      <w:r w:rsidR="0062376B" w:rsidRPr="00770F9D">
        <w:rPr>
          <w:rFonts w:ascii="Garamond" w:hAnsi="Garamond" w:cs="Garamond"/>
          <w:color w:val="0D0D0D"/>
          <w:lang w:eastAsia="sq-AL"/>
        </w:rPr>
        <w:t>e</w:t>
      </w:r>
      <w:r w:rsidRPr="00770F9D">
        <w:rPr>
          <w:rFonts w:ascii="Garamond" w:hAnsi="Garamond" w:cs="Garamond"/>
          <w:color w:val="0D0D0D"/>
          <w:lang w:eastAsia="sq-AL"/>
        </w:rPr>
        <w:t xml:space="preserve">në: </w:t>
      </w:r>
    </w:p>
    <w:p w14:paraId="2D8D439E" w14:textId="2202A0BF" w:rsidR="00625D7B" w:rsidRPr="00770F9D" w:rsidRDefault="00625D7B"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procesi i fiskalizimit dhe fatura elektronike;</w:t>
      </w:r>
    </w:p>
    <w:p w14:paraId="1F67C357" w14:textId="231B90F6" w:rsidR="00625D7B" w:rsidRPr="00770F9D" w:rsidRDefault="00625D7B"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Modernizimi i administrimit të akcizave.</w:t>
      </w:r>
    </w:p>
    <w:p w14:paraId="09399506" w14:textId="39EFA75C" w:rsidR="00625D7B" w:rsidRPr="00770F9D" w:rsidRDefault="00625D7B"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Nga 1 janari i vitit 2022 ka filluar zbatimi i masave të parashikuara në komponentin e </w:t>
      </w:r>
      <w:r w:rsidR="00141D2A" w:rsidRPr="00770F9D">
        <w:rPr>
          <w:rFonts w:ascii="Garamond" w:hAnsi="Garamond" w:cs="Garamond"/>
          <w:color w:val="0D0D0D"/>
          <w:lang w:eastAsia="sq-AL"/>
        </w:rPr>
        <w:t>politikave tatimore</w:t>
      </w:r>
      <w:r w:rsidRPr="00770F9D">
        <w:rPr>
          <w:rFonts w:ascii="Garamond" w:hAnsi="Garamond" w:cs="Garamond"/>
          <w:color w:val="0D0D0D"/>
          <w:lang w:eastAsia="sq-AL"/>
        </w:rPr>
        <w:t xml:space="preserve">. </w:t>
      </w:r>
    </w:p>
    <w:p w14:paraId="611D4407" w14:textId="56F33E38" w:rsidR="00625D7B" w:rsidRPr="00770F9D" w:rsidRDefault="00625D7B"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 xml:space="preserve">Strategjia Afatmesme e të Ardhurave (MTRS) ka parashikuar ndërmarrjen e rreth 25 ndryshimeve në fushën e politikave fiskale, nga të cilat, me paketën fiskale që ka hyrë në fuqi në </w:t>
      </w:r>
      <w:r w:rsidR="0014370E" w:rsidRPr="00770F9D">
        <w:rPr>
          <w:rFonts w:ascii="Garamond" w:hAnsi="Garamond" w:cs="Garamond"/>
          <w:color w:val="0D0D0D"/>
          <w:lang w:eastAsia="sq-AL"/>
        </w:rPr>
        <w:t xml:space="preserve">janar </w:t>
      </w:r>
      <w:r w:rsidRPr="00770F9D">
        <w:rPr>
          <w:rFonts w:ascii="Garamond" w:hAnsi="Garamond" w:cs="Garamond"/>
          <w:color w:val="0D0D0D"/>
          <w:lang w:eastAsia="sq-AL"/>
        </w:rPr>
        <w:t xml:space="preserve">2022, janë miratuar 8 masa, ndërkohë që me paketën fiskale që ka hyrë në fuqi në </w:t>
      </w:r>
      <w:r w:rsidR="0014370E" w:rsidRPr="00770F9D">
        <w:rPr>
          <w:rFonts w:ascii="Garamond" w:hAnsi="Garamond" w:cs="Garamond"/>
          <w:color w:val="0D0D0D"/>
          <w:lang w:eastAsia="sq-AL"/>
        </w:rPr>
        <w:t xml:space="preserve">janar </w:t>
      </w:r>
      <w:r w:rsidRPr="00770F9D">
        <w:rPr>
          <w:rFonts w:ascii="Garamond" w:hAnsi="Garamond" w:cs="Garamond"/>
          <w:color w:val="0D0D0D"/>
          <w:lang w:eastAsia="sq-AL"/>
        </w:rPr>
        <w:t xml:space="preserve">23 janë miratuar edhe 2 masa të tjera. Në kuadrin e implementimit të Strategjisë Afatmesme të të Ardhurave (MTRS) lidhur me politikat tatimore, hapat që janë ndërmarrë dhe që do </w:t>
      </w:r>
      <w:r w:rsidR="0014370E" w:rsidRPr="00770F9D">
        <w:rPr>
          <w:rFonts w:ascii="Garamond" w:hAnsi="Garamond" w:cs="Garamond"/>
          <w:color w:val="0D0D0D"/>
          <w:lang w:eastAsia="sq-AL"/>
        </w:rPr>
        <w:t xml:space="preserve">të </w:t>
      </w:r>
      <w:r w:rsidRPr="00770F9D">
        <w:rPr>
          <w:rFonts w:ascii="Garamond" w:hAnsi="Garamond" w:cs="Garamond"/>
          <w:color w:val="0D0D0D"/>
          <w:lang w:eastAsia="sq-AL"/>
        </w:rPr>
        <w:t>ndërmerren në të ardhmen janë:</w:t>
      </w:r>
    </w:p>
    <w:p w14:paraId="3AC7AC11" w14:textId="25F707B7" w:rsidR="00625D7B" w:rsidRPr="00770F9D" w:rsidRDefault="00625D7B"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Në periudhën 2022</w:t>
      </w:r>
      <w:r w:rsidR="00F6684E" w:rsidRPr="00770F9D">
        <w:rPr>
          <w:rFonts w:ascii="Garamond" w:hAnsi="Garamond" w:cs="Garamond"/>
          <w:color w:val="0D0D0D"/>
          <w:lang w:eastAsia="sq-AL"/>
        </w:rPr>
        <w:t>–</w:t>
      </w:r>
      <w:r w:rsidRPr="00770F9D">
        <w:rPr>
          <w:rFonts w:ascii="Garamond" w:hAnsi="Garamond" w:cs="Garamond"/>
          <w:color w:val="0D0D0D"/>
          <w:lang w:eastAsia="sq-AL"/>
        </w:rPr>
        <w:t>2023 zbatimi i ndryshimeve në politikat tatimore të akcizave, duke i unifikuar ato.</w:t>
      </w:r>
    </w:p>
    <w:p w14:paraId="1920E038" w14:textId="17FD7BA2" w:rsidR="00625D7B" w:rsidRPr="00770F9D" w:rsidRDefault="00625D7B" w:rsidP="00F6684E">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Në periudhën 2023</w:t>
      </w:r>
      <w:r w:rsidR="00F6684E" w:rsidRPr="00770F9D">
        <w:rPr>
          <w:rFonts w:ascii="Garamond" w:hAnsi="Garamond" w:cs="Garamond"/>
          <w:color w:val="0D0D0D"/>
          <w:lang w:eastAsia="sq-AL"/>
        </w:rPr>
        <w:t>–</w:t>
      </w:r>
      <w:r w:rsidRPr="00770F9D">
        <w:rPr>
          <w:rFonts w:ascii="Garamond" w:hAnsi="Garamond" w:cs="Garamond"/>
          <w:color w:val="0D0D0D"/>
          <w:lang w:eastAsia="sq-AL"/>
        </w:rPr>
        <w:t>2024 zbatimi i ndryshimeve në politikat tatimore të tatimeve direkte mbi të ardhurat e personave fizikë dhe juridikë, duke eliminuar gradualisht përjashtimet dhe tarifat e reduktuara.</w:t>
      </w:r>
    </w:p>
    <w:p w14:paraId="1D46883B" w14:textId="540FB43C" w:rsidR="00625D7B" w:rsidRPr="00770F9D" w:rsidRDefault="00625D7B" w:rsidP="00F6684E">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Në periudhën 2024</w:t>
      </w:r>
      <w:r w:rsidR="00F6684E" w:rsidRPr="00770F9D">
        <w:rPr>
          <w:rFonts w:ascii="Garamond" w:hAnsi="Garamond" w:cs="Garamond"/>
          <w:color w:val="0D0D0D"/>
          <w:lang w:eastAsia="sq-AL"/>
        </w:rPr>
        <w:t>–</w:t>
      </w:r>
      <w:r w:rsidRPr="00770F9D">
        <w:rPr>
          <w:rFonts w:ascii="Garamond" w:hAnsi="Garamond" w:cs="Garamond"/>
          <w:color w:val="0D0D0D"/>
          <w:lang w:eastAsia="sq-AL"/>
        </w:rPr>
        <w:t>2025 zbatimi i ndryshimeve në politikat tatimore të TVSH-së, duke eliminuar gradualisht përjashtimet dhe tarifat e reduktuara, si dhe ndryshimet në politikat tatimore të pak</w:t>
      </w:r>
      <w:r w:rsidR="00A00857" w:rsidRPr="00770F9D">
        <w:rPr>
          <w:rFonts w:ascii="Garamond" w:hAnsi="Garamond" w:cs="Garamond"/>
          <w:color w:val="0D0D0D"/>
          <w:lang w:eastAsia="sq-AL"/>
        </w:rPr>
        <w:t>ë</w:t>
      </w:r>
      <w:r w:rsidRPr="00770F9D">
        <w:rPr>
          <w:rFonts w:ascii="Garamond" w:hAnsi="Garamond" w:cs="Garamond"/>
          <w:color w:val="0D0D0D"/>
          <w:lang w:eastAsia="sq-AL"/>
        </w:rPr>
        <w:t>simit të pasurive të paluajtshme.</w:t>
      </w:r>
    </w:p>
    <w:p w14:paraId="2E8940D0" w14:textId="77777777" w:rsidR="00625D7B" w:rsidRPr="00770F9D" w:rsidRDefault="00625D7B"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 xml:space="preserve">Në paketën fiskale 2022 janë miratuar masat e mëposhtme: </w:t>
      </w:r>
    </w:p>
    <w:p w14:paraId="62883F1B" w14:textId="50844332" w:rsidR="00625D7B" w:rsidRPr="00770F9D" w:rsidRDefault="00625D7B"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Eliminimi i skemës së kompensimit të prodhuesit bujqësor për efekt të TVSH-së (nga 6% në 0%).</w:t>
      </w:r>
    </w:p>
    <w:p w14:paraId="1FE9DCF5" w14:textId="500D13D4" w:rsidR="00625D7B" w:rsidRPr="00770F9D" w:rsidRDefault="00625D7B"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Vendosja e një norme të reduktuar 10% TVSH për furnizimin e inputeve bujqësore. </w:t>
      </w:r>
    </w:p>
    <w:p w14:paraId="69CE56ED" w14:textId="49D6E093" w:rsidR="00625D7B" w:rsidRPr="00770F9D" w:rsidRDefault="00625D7B"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Rritja nga 50 milionë në 500 milionë e kufirit të përjashtimit nga TVSH-ja për importin e makinerive dhe pajisjeve për realizimin e kontratave të investimit. </w:t>
      </w:r>
    </w:p>
    <w:p w14:paraId="2BE9BD95" w14:textId="165FE5CA" w:rsidR="00625D7B" w:rsidRPr="00770F9D" w:rsidRDefault="00625D7B" w:rsidP="002B21C9">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Unifikimi i akcizës së aplikueshme për gazin e lëngshëm</w:t>
      </w:r>
      <w:r w:rsidR="002B21C9" w:rsidRPr="00770F9D">
        <w:rPr>
          <w:rFonts w:ascii="Garamond" w:hAnsi="Garamond" w:cs="Garamond"/>
          <w:color w:val="0D0D0D"/>
          <w:lang w:eastAsia="sq-AL"/>
        </w:rPr>
        <w:t>,</w:t>
      </w:r>
      <w:r w:rsidR="00985A22" w:rsidRPr="00770F9D">
        <w:rPr>
          <w:rFonts w:ascii="Garamond" w:hAnsi="Garamond" w:cs="Garamond"/>
          <w:color w:val="0D0D0D"/>
          <w:lang w:eastAsia="sq-AL"/>
        </w:rPr>
        <w:t xml:space="preserve"> </w:t>
      </w:r>
      <w:r w:rsidRPr="00770F9D">
        <w:rPr>
          <w:rFonts w:ascii="Garamond" w:hAnsi="Garamond" w:cs="Garamond"/>
          <w:color w:val="0D0D0D"/>
          <w:lang w:eastAsia="sq-AL"/>
        </w:rPr>
        <w:t xml:space="preserve">si për konsumatorët privatë ashtu edhe për ato komerciale në masën 6 lekë/litër. </w:t>
      </w:r>
    </w:p>
    <w:p w14:paraId="411ABDCB" w14:textId="50E6BA67" w:rsidR="00625D7B" w:rsidRPr="00770F9D" w:rsidRDefault="00625D7B" w:rsidP="00F6684E">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Rritja e akcizës sipas kalendarit (2022</w:t>
      </w:r>
      <w:r w:rsidR="00F6684E" w:rsidRPr="00770F9D">
        <w:rPr>
          <w:rFonts w:ascii="Garamond" w:hAnsi="Garamond" w:cs="Garamond"/>
          <w:color w:val="0D0D0D"/>
          <w:lang w:eastAsia="sq-AL"/>
        </w:rPr>
        <w:t>–</w:t>
      </w:r>
      <w:r w:rsidRPr="00770F9D">
        <w:rPr>
          <w:rFonts w:ascii="Garamond" w:hAnsi="Garamond" w:cs="Garamond"/>
          <w:color w:val="0D0D0D"/>
          <w:lang w:eastAsia="sq-AL"/>
        </w:rPr>
        <w:t xml:space="preserve">2026) për produktet e duhanit dhe nënproduktet e tij. </w:t>
      </w:r>
    </w:p>
    <w:p w14:paraId="39EFE538" w14:textId="66AE69AE" w:rsidR="00625D7B" w:rsidRPr="00770F9D" w:rsidRDefault="00625D7B"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Indeksimi i akcizës me normën e inflacionit për produktet e tjera të akcizës. </w:t>
      </w:r>
    </w:p>
    <w:p w14:paraId="43397254" w14:textId="77FF3C83" w:rsidR="00625D7B" w:rsidRPr="00770F9D" w:rsidRDefault="00625D7B" w:rsidP="00985A22">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Heqja e rimbursimit të akcizës së karburanteve për fermerët dhe industrinë agroindustriale (përveç peshkimit). </w:t>
      </w:r>
    </w:p>
    <w:p w14:paraId="7BA0EB2E" w14:textId="77777777" w:rsidR="00625D7B" w:rsidRPr="00770F9D" w:rsidRDefault="00625D7B"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 xml:space="preserve">Në paketën fiskale 2023 janë miratuar masat e mëposhtme: </w:t>
      </w:r>
    </w:p>
    <w:p w14:paraId="676B4808" w14:textId="20F5627A" w:rsidR="00625D7B" w:rsidRPr="00770F9D" w:rsidRDefault="00625D7B"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Unifikimin e akcizës së birrës, me qëllim eliminimin e diferencimit të saj ndërmjet prodhuesve </w:t>
      </w:r>
      <w:r w:rsidR="002A4878" w:rsidRPr="00770F9D">
        <w:rPr>
          <w:rFonts w:ascii="Garamond" w:hAnsi="Garamond" w:cs="Garamond"/>
          <w:color w:val="0D0D0D"/>
          <w:lang w:eastAsia="sq-AL"/>
        </w:rPr>
        <w:t>vendës</w:t>
      </w:r>
      <w:r w:rsidRPr="00770F9D">
        <w:rPr>
          <w:rFonts w:ascii="Garamond" w:hAnsi="Garamond" w:cs="Garamond"/>
          <w:color w:val="0D0D0D"/>
          <w:lang w:eastAsia="sq-AL"/>
        </w:rPr>
        <w:t xml:space="preserve"> dhe importuesve.</w:t>
      </w:r>
    </w:p>
    <w:p w14:paraId="19B752B8" w14:textId="468E7FF1" w:rsidR="00625D7B" w:rsidRPr="00770F9D" w:rsidRDefault="00625D7B"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Unifikimin e akcizës të pijeve të forta alkoolike </w:t>
      </w:r>
      <w:r w:rsidRPr="00770F9D">
        <w:rPr>
          <w:rFonts w:ascii="Garamond" w:hAnsi="Garamond" w:cs="Garamond"/>
          <w:i/>
          <w:iCs/>
          <w:color w:val="0D0D0D"/>
          <w:lang w:eastAsia="sq-AL"/>
        </w:rPr>
        <w:t>(Spirituous Beverages),</w:t>
      </w:r>
      <w:r w:rsidRPr="00770F9D">
        <w:rPr>
          <w:rFonts w:ascii="Garamond" w:hAnsi="Garamond" w:cs="Garamond"/>
          <w:color w:val="0D0D0D"/>
          <w:lang w:eastAsia="sq-AL"/>
        </w:rPr>
        <w:t xml:space="preserve"> me qëllim eliminimin e diferencimit në nivelin e akcizës.</w:t>
      </w:r>
    </w:p>
    <w:p w14:paraId="2C246E1B" w14:textId="77777777" w:rsidR="00625D7B" w:rsidRPr="00770F9D" w:rsidRDefault="00625D7B" w:rsidP="003F46E1">
      <w:pPr>
        <w:autoSpaceDE w:val="0"/>
        <w:autoSpaceDN w:val="0"/>
        <w:adjustRightInd w:val="0"/>
        <w:ind w:firstLine="284"/>
        <w:jc w:val="both"/>
        <w:rPr>
          <w:rFonts w:ascii="Garamond" w:hAnsi="Garamond" w:cs="Garamond"/>
          <w:i/>
          <w:iCs/>
          <w:color w:val="0D0D0D"/>
          <w:lang w:eastAsia="sq-AL"/>
        </w:rPr>
      </w:pPr>
      <w:r w:rsidRPr="00770F9D">
        <w:rPr>
          <w:rFonts w:ascii="Garamond" w:hAnsi="Garamond" w:cs="Garamond"/>
          <w:i/>
          <w:iCs/>
          <w:color w:val="0D0D0D"/>
          <w:lang w:eastAsia="sq-AL"/>
        </w:rPr>
        <w:t>Efektet e zbatimit të masave të parashikuara në Strategjinë Afatmesme të të Ardhurave</w:t>
      </w:r>
    </w:p>
    <w:p w14:paraId="0FCFBB3C" w14:textId="226A9096" w:rsidR="00625D7B" w:rsidRPr="00770F9D" w:rsidRDefault="00625D7B" w:rsidP="00CC703F">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Strategjia Afatmesme e të Ardhurave ka pasur si objektiv kryesor rritjen e të ardhurave në raport me PBB-në m</w:t>
      </w:r>
      <w:r w:rsidR="00CC703F" w:rsidRPr="00770F9D">
        <w:rPr>
          <w:rFonts w:ascii="Garamond" w:hAnsi="Garamond" w:cs="Garamond"/>
          <w:color w:val="0D0D0D"/>
          <w:lang w:eastAsia="sq-AL"/>
        </w:rPr>
        <w:t>e +2,5 %, brenda një periudhe 5-</w:t>
      </w:r>
      <w:r w:rsidRPr="00770F9D">
        <w:rPr>
          <w:rFonts w:ascii="Garamond" w:hAnsi="Garamond" w:cs="Garamond"/>
          <w:color w:val="0D0D0D"/>
          <w:lang w:eastAsia="sq-AL"/>
        </w:rPr>
        <w:t>vje</w:t>
      </w:r>
      <w:r w:rsidR="00CC703F" w:rsidRPr="00770F9D">
        <w:rPr>
          <w:rFonts w:ascii="Garamond" w:hAnsi="Garamond" w:cs="Garamond"/>
          <w:color w:val="0D0D0D"/>
          <w:lang w:eastAsia="sq-AL"/>
        </w:rPr>
        <w:t>ç</w:t>
      </w:r>
      <w:r w:rsidRPr="00770F9D">
        <w:rPr>
          <w:rFonts w:ascii="Garamond" w:hAnsi="Garamond" w:cs="Garamond"/>
          <w:color w:val="0D0D0D"/>
          <w:lang w:eastAsia="sq-AL"/>
        </w:rPr>
        <w:t>are nga fillimi i implementimit të saj. Si vit bazë krahasimi me qëllim matjen e realizimit të objektivit kryesor, merren të ardhurat e vitit 2019.</w:t>
      </w:r>
    </w:p>
    <w:p w14:paraId="2F4E9868" w14:textId="7140B44B" w:rsidR="00625D7B" w:rsidRPr="00770F9D" w:rsidRDefault="00625D7B"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Të a</w:t>
      </w:r>
      <w:r w:rsidR="001C3701" w:rsidRPr="00770F9D">
        <w:rPr>
          <w:rFonts w:ascii="Garamond" w:hAnsi="Garamond" w:cs="Garamond"/>
          <w:color w:val="0D0D0D"/>
          <w:lang w:eastAsia="sq-AL"/>
        </w:rPr>
        <w:t>rdhurat tatimore 2019 janë 25,2</w:t>
      </w:r>
      <w:r w:rsidRPr="00770F9D">
        <w:rPr>
          <w:rFonts w:ascii="Garamond" w:hAnsi="Garamond" w:cs="Garamond"/>
          <w:color w:val="0D0D0D"/>
          <w:lang w:eastAsia="sq-AL"/>
        </w:rPr>
        <w:t>% e PBB-së</w:t>
      </w:r>
      <w:r w:rsidR="005F6E12" w:rsidRPr="00770F9D">
        <w:rPr>
          <w:rFonts w:ascii="Garamond" w:hAnsi="Garamond" w:cs="Garamond"/>
          <w:color w:val="0D0D0D"/>
          <w:lang w:eastAsia="sq-AL"/>
        </w:rPr>
        <w:t>;</w:t>
      </w:r>
    </w:p>
    <w:p w14:paraId="75399CAE" w14:textId="5A519CF4" w:rsidR="00625D7B" w:rsidRPr="00770F9D" w:rsidRDefault="00625D7B"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Të a</w:t>
      </w:r>
      <w:r w:rsidR="001C3701" w:rsidRPr="00770F9D">
        <w:rPr>
          <w:rFonts w:ascii="Garamond" w:hAnsi="Garamond" w:cs="Garamond"/>
          <w:color w:val="0D0D0D"/>
          <w:lang w:eastAsia="sq-AL"/>
        </w:rPr>
        <w:t>rdhurat tatimore 2020 janë 24.2</w:t>
      </w:r>
      <w:r w:rsidRPr="00770F9D">
        <w:rPr>
          <w:rFonts w:ascii="Garamond" w:hAnsi="Garamond" w:cs="Garamond"/>
          <w:color w:val="0D0D0D"/>
          <w:lang w:eastAsia="sq-AL"/>
        </w:rPr>
        <w:t>% e PBB-së</w:t>
      </w:r>
      <w:r w:rsidR="005F6E12" w:rsidRPr="00770F9D">
        <w:rPr>
          <w:rFonts w:ascii="Garamond" w:hAnsi="Garamond" w:cs="Garamond"/>
          <w:color w:val="0D0D0D"/>
          <w:lang w:eastAsia="sq-AL"/>
        </w:rPr>
        <w:t>;</w:t>
      </w:r>
    </w:p>
    <w:p w14:paraId="3E3CA351" w14:textId="07FF124A" w:rsidR="00625D7B" w:rsidRPr="00770F9D" w:rsidRDefault="00625D7B"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Të a</w:t>
      </w:r>
      <w:r w:rsidR="001C3701" w:rsidRPr="00770F9D">
        <w:rPr>
          <w:rFonts w:ascii="Garamond" w:hAnsi="Garamond" w:cs="Garamond"/>
          <w:color w:val="0D0D0D"/>
          <w:lang w:eastAsia="sq-AL"/>
        </w:rPr>
        <w:t>rdhurat tatimore 2021 janë 25.2</w:t>
      </w:r>
      <w:r w:rsidRPr="00770F9D">
        <w:rPr>
          <w:rFonts w:ascii="Garamond" w:hAnsi="Garamond" w:cs="Garamond"/>
          <w:color w:val="0D0D0D"/>
          <w:lang w:eastAsia="sq-AL"/>
        </w:rPr>
        <w:t>% e PBB-së</w:t>
      </w:r>
      <w:r w:rsidR="005F6E12" w:rsidRPr="00770F9D">
        <w:rPr>
          <w:rFonts w:ascii="Garamond" w:hAnsi="Garamond" w:cs="Garamond"/>
          <w:color w:val="0D0D0D"/>
          <w:lang w:eastAsia="sq-AL"/>
        </w:rPr>
        <w:t>;</w:t>
      </w:r>
    </w:p>
    <w:p w14:paraId="375227AD" w14:textId="5F6D4599" w:rsidR="00625D7B" w:rsidRPr="00770F9D" w:rsidRDefault="00625D7B"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Të a</w:t>
      </w:r>
      <w:r w:rsidR="001C3701" w:rsidRPr="00770F9D">
        <w:rPr>
          <w:rFonts w:ascii="Garamond" w:hAnsi="Garamond" w:cs="Garamond"/>
          <w:color w:val="0D0D0D"/>
          <w:lang w:eastAsia="sq-AL"/>
        </w:rPr>
        <w:t>rdhurat tatimore 2022 janë 26.4</w:t>
      </w:r>
      <w:r w:rsidRPr="00770F9D">
        <w:rPr>
          <w:rFonts w:ascii="Garamond" w:hAnsi="Garamond" w:cs="Garamond"/>
          <w:color w:val="0D0D0D"/>
          <w:lang w:eastAsia="sq-AL"/>
        </w:rPr>
        <w:t>% e PBB-së</w:t>
      </w:r>
      <w:r w:rsidR="005F6E12" w:rsidRPr="00770F9D">
        <w:rPr>
          <w:rFonts w:ascii="Garamond" w:hAnsi="Garamond" w:cs="Garamond"/>
          <w:color w:val="0D0D0D"/>
          <w:lang w:eastAsia="sq-AL"/>
        </w:rPr>
        <w:t>;</w:t>
      </w:r>
    </w:p>
    <w:p w14:paraId="65C8FC1A" w14:textId="7E13D891" w:rsidR="00625D7B" w:rsidRPr="00770F9D" w:rsidRDefault="00625D7B" w:rsidP="005F6E12">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Të ardhurat tatimore 2023 janë programuar 27% e PBB-së.</w:t>
      </w:r>
    </w:p>
    <w:p w14:paraId="3D94BEDD" w14:textId="77777777" w:rsidR="00625D7B" w:rsidRPr="00770F9D" w:rsidRDefault="00625D7B"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Sikurse shihet nga të dhënat:</w:t>
      </w:r>
    </w:p>
    <w:p w14:paraId="0E6B003A" w14:textId="15B27178" w:rsidR="00625D7B" w:rsidRPr="00770F9D" w:rsidRDefault="00625D7B"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Në vitin 2022 (viti i par</w:t>
      </w:r>
      <w:r w:rsidR="005F6E12" w:rsidRPr="00770F9D">
        <w:rPr>
          <w:rFonts w:ascii="Garamond" w:hAnsi="Garamond" w:cs="Garamond"/>
          <w:color w:val="0D0D0D"/>
          <w:lang w:eastAsia="sq-AL"/>
        </w:rPr>
        <w:t>ë</w:t>
      </w:r>
      <w:r w:rsidRPr="00770F9D">
        <w:rPr>
          <w:rFonts w:ascii="Garamond" w:hAnsi="Garamond" w:cs="Garamond"/>
          <w:color w:val="0D0D0D"/>
          <w:lang w:eastAsia="sq-AL"/>
        </w:rPr>
        <w:t xml:space="preserve"> i zbatimit të Strategjisë) të ardhurat tatimore janë rritur me +1,2 % të PBB-së, krahasuar me vitin bazë 2019;</w:t>
      </w:r>
    </w:p>
    <w:p w14:paraId="39F45FAD" w14:textId="6138372C" w:rsidR="00625D7B" w:rsidRPr="00770F9D" w:rsidRDefault="00625D7B"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Në</w:t>
      </w:r>
      <w:r w:rsidR="005025FA" w:rsidRPr="00770F9D">
        <w:rPr>
          <w:rFonts w:ascii="Garamond" w:hAnsi="Garamond" w:cs="Garamond"/>
          <w:color w:val="0D0D0D"/>
          <w:lang w:eastAsia="sq-AL"/>
        </w:rPr>
        <w:t xml:space="preserve"> </w:t>
      </w:r>
      <w:r w:rsidRPr="00770F9D">
        <w:rPr>
          <w:rFonts w:ascii="Garamond" w:hAnsi="Garamond" w:cs="Garamond"/>
          <w:color w:val="0D0D0D"/>
          <w:lang w:eastAsia="sq-AL"/>
        </w:rPr>
        <w:t>vitin 2023 (viti i dytë i zbatimit të Strategjisë) të ardhurat tatimore rriten me +1,8 % të PBB-së, krahasuar me vitin bazë</w:t>
      </w:r>
      <w:r w:rsidR="005025FA" w:rsidRPr="00770F9D">
        <w:rPr>
          <w:rFonts w:ascii="Garamond" w:hAnsi="Garamond" w:cs="Garamond"/>
          <w:color w:val="0D0D0D"/>
          <w:lang w:eastAsia="sq-AL"/>
        </w:rPr>
        <w:t xml:space="preserve"> </w:t>
      </w:r>
      <w:r w:rsidRPr="00770F9D">
        <w:rPr>
          <w:rFonts w:ascii="Garamond" w:hAnsi="Garamond" w:cs="Garamond"/>
          <w:color w:val="0D0D0D"/>
          <w:lang w:eastAsia="sq-AL"/>
        </w:rPr>
        <w:t>2019;</w:t>
      </w:r>
    </w:p>
    <w:p w14:paraId="6F0748EF" w14:textId="186C10BF" w:rsidR="00625D7B" w:rsidRPr="00770F9D" w:rsidRDefault="00625D7B"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Pra 72 % e objektivit të</w:t>
      </w:r>
      <w:r w:rsidR="005F6E12" w:rsidRPr="00770F9D">
        <w:rPr>
          <w:rFonts w:ascii="Garamond" w:hAnsi="Garamond" w:cs="Garamond"/>
          <w:color w:val="0D0D0D"/>
          <w:lang w:eastAsia="sq-AL"/>
        </w:rPr>
        <w:t xml:space="preserve"> Strategjisë (1,8 %/</w:t>
      </w:r>
      <w:r w:rsidR="001C3701" w:rsidRPr="00770F9D">
        <w:rPr>
          <w:rFonts w:ascii="Garamond" w:hAnsi="Garamond" w:cs="Garamond"/>
          <w:color w:val="0D0D0D"/>
          <w:lang w:eastAsia="sq-AL"/>
        </w:rPr>
        <w:t>2,5 %) pë</w:t>
      </w:r>
      <w:r w:rsidRPr="00770F9D">
        <w:rPr>
          <w:rFonts w:ascii="Garamond" w:hAnsi="Garamond" w:cs="Garamond"/>
          <w:color w:val="0D0D0D"/>
          <w:lang w:eastAsia="sq-AL"/>
        </w:rPr>
        <w:t>r</w:t>
      </w:r>
      <w:r w:rsidR="001C3701" w:rsidRPr="00770F9D">
        <w:rPr>
          <w:rFonts w:ascii="Garamond" w:hAnsi="Garamond" w:cs="Garamond"/>
          <w:color w:val="0D0D0D"/>
          <w:lang w:eastAsia="sq-AL"/>
        </w:rPr>
        <w:t xml:space="preserve"> </w:t>
      </w:r>
      <w:r w:rsidRPr="00770F9D">
        <w:rPr>
          <w:rFonts w:ascii="Garamond" w:hAnsi="Garamond" w:cs="Garamond"/>
          <w:color w:val="0D0D0D"/>
          <w:lang w:eastAsia="sq-AL"/>
        </w:rPr>
        <w:t xml:space="preserve">rritjen </w:t>
      </w:r>
      <w:r w:rsidR="005F6E12" w:rsidRPr="00770F9D">
        <w:rPr>
          <w:rFonts w:ascii="Garamond" w:hAnsi="Garamond" w:cs="Garamond"/>
          <w:color w:val="0D0D0D"/>
          <w:lang w:eastAsia="sq-AL"/>
        </w:rPr>
        <w:t>e të ardhurave tatimore me +2,5</w:t>
      </w:r>
      <w:r w:rsidRPr="00770F9D">
        <w:rPr>
          <w:rFonts w:ascii="Garamond" w:hAnsi="Garamond" w:cs="Garamond"/>
          <w:color w:val="0D0D0D"/>
          <w:lang w:eastAsia="sq-AL"/>
        </w:rPr>
        <w:t>% të PBB-së krahasuar me vitin 2019, realizohen vetëm më dy vitet e para të implementimit;</w:t>
      </w:r>
    </w:p>
    <w:p w14:paraId="0585F7E8" w14:textId="33840976" w:rsidR="00625D7B" w:rsidRPr="00770F9D" w:rsidRDefault="00625D7B"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Zbatimi i masave të tjera të papa</w:t>
      </w:r>
      <w:r w:rsidR="001C3701" w:rsidRPr="00770F9D">
        <w:rPr>
          <w:rFonts w:ascii="Garamond" w:hAnsi="Garamond" w:cs="Garamond"/>
          <w:color w:val="0D0D0D"/>
          <w:lang w:eastAsia="sq-AL"/>
        </w:rPr>
        <w:t>ra</w:t>
      </w:r>
      <w:r w:rsidRPr="00770F9D">
        <w:rPr>
          <w:rFonts w:ascii="Garamond" w:hAnsi="Garamond" w:cs="Garamond"/>
          <w:color w:val="0D0D0D"/>
          <w:lang w:eastAsia="sq-AL"/>
        </w:rPr>
        <w:t xml:space="preserve">shikuara për vitet </w:t>
      </w:r>
      <w:r w:rsidR="003F4C96" w:rsidRPr="00770F9D">
        <w:rPr>
          <w:rFonts w:ascii="Garamond" w:hAnsi="Garamond" w:cs="Garamond"/>
          <w:color w:val="0D0D0D"/>
          <w:lang w:eastAsia="sq-AL"/>
        </w:rPr>
        <w:t>2023–2025</w:t>
      </w:r>
      <w:r w:rsidRPr="00770F9D">
        <w:rPr>
          <w:rFonts w:ascii="Garamond" w:hAnsi="Garamond" w:cs="Garamond"/>
          <w:color w:val="0D0D0D"/>
          <w:lang w:eastAsia="sq-AL"/>
        </w:rPr>
        <w:t xml:space="preserve"> do bëjë plotësisht të mundur arritjen e objektivit +2,5 % të PBB-së.</w:t>
      </w:r>
    </w:p>
    <w:p w14:paraId="0DF80A03" w14:textId="7E1CAFAF" w:rsidR="00625D7B" w:rsidRPr="00770F9D" w:rsidRDefault="00625D7B"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 xml:space="preserve">Hapat që do </w:t>
      </w:r>
      <w:r w:rsidR="005F6E12" w:rsidRPr="00770F9D">
        <w:rPr>
          <w:rFonts w:ascii="Garamond" w:hAnsi="Garamond" w:cs="Garamond"/>
          <w:color w:val="0D0D0D"/>
          <w:lang w:eastAsia="sq-AL"/>
        </w:rPr>
        <w:t xml:space="preserve">të </w:t>
      </w:r>
      <w:r w:rsidRPr="00770F9D">
        <w:rPr>
          <w:rFonts w:ascii="Garamond" w:hAnsi="Garamond" w:cs="Garamond"/>
          <w:color w:val="0D0D0D"/>
          <w:lang w:eastAsia="sq-AL"/>
        </w:rPr>
        <w:t>ndërmerren në vijim:</w:t>
      </w:r>
    </w:p>
    <w:p w14:paraId="7FA4DDD7" w14:textId="70EDB173" w:rsidR="00625D7B" w:rsidRPr="00770F9D" w:rsidRDefault="00625D7B"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00A77883" w:rsidRPr="00770F9D">
        <w:rPr>
          <w:rFonts w:ascii="Garamond" w:hAnsi="Garamond" w:cs="Garamond"/>
          <w:color w:val="0D0D0D"/>
          <w:lang w:eastAsia="sq-AL"/>
        </w:rPr>
        <w:t>Në muajt e parë</w:t>
      </w:r>
      <w:r w:rsidRPr="00770F9D">
        <w:rPr>
          <w:rFonts w:ascii="Garamond" w:hAnsi="Garamond" w:cs="Garamond"/>
          <w:color w:val="0D0D0D"/>
          <w:lang w:eastAsia="sq-AL"/>
        </w:rPr>
        <w:t xml:space="preserve"> të vitit 2023 do </w:t>
      </w:r>
      <w:r w:rsidR="00A77883" w:rsidRPr="00770F9D">
        <w:rPr>
          <w:rFonts w:ascii="Garamond" w:hAnsi="Garamond" w:cs="Garamond"/>
          <w:color w:val="0D0D0D"/>
          <w:lang w:eastAsia="sq-AL"/>
        </w:rPr>
        <w:t xml:space="preserve">të </w:t>
      </w:r>
      <w:r w:rsidRPr="00770F9D">
        <w:rPr>
          <w:rFonts w:ascii="Garamond" w:hAnsi="Garamond" w:cs="Garamond"/>
          <w:color w:val="0D0D0D"/>
          <w:lang w:eastAsia="sq-AL"/>
        </w:rPr>
        <w:t xml:space="preserve">miratohet </w:t>
      </w:r>
      <w:r w:rsidR="00A77883" w:rsidRPr="00770F9D">
        <w:rPr>
          <w:rFonts w:ascii="Garamond" w:hAnsi="Garamond" w:cs="Garamond"/>
          <w:color w:val="0D0D0D"/>
          <w:lang w:eastAsia="sq-AL"/>
        </w:rPr>
        <w:t xml:space="preserve">ligji </w:t>
      </w:r>
      <w:r w:rsidRPr="00770F9D">
        <w:rPr>
          <w:rFonts w:ascii="Garamond" w:hAnsi="Garamond" w:cs="Garamond"/>
          <w:color w:val="0D0D0D"/>
          <w:lang w:eastAsia="sq-AL"/>
        </w:rPr>
        <w:t>i ri “Për tatimin mbi të ardhurat” si pjesë e reformës së tatimeve direkte</w:t>
      </w:r>
      <w:r w:rsidR="00A77883" w:rsidRPr="00770F9D">
        <w:rPr>
          <w:rFonts w:ascii="Garamond" w:hAnsi="Garamond" w:cs="Garamond"/>
          <w:color w:val="0D0D0D"/>
          <w:lang w:eastAsia="sq-AL"/>
        </w:rPr>
        <w:t>.</w:t>
      </w:r>
    </w:p>
    <w:p w14:paraId="72DF8F9E" w14:textId="32F6C2DE" w:rsidR="00625D7B" w:rsidRPr="00770F9D" w:rsidRDefault="00625D7B"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Në dhjetor 2023 do </w:t>
      </w:r>
      <w:r w:rsidR="00A77883" w:rsidRPr="00770F9D">
        <w:rPr>
          <w:rFonts w:ascii="Garamond" w:hAnsi="Garamond" w:cs="Garamond"/>
          <w:color w:val="0D0D0D"/>
          <w:lang w:eastAsia="sq-AL"/>
        </w:rPr>
        <w:t xml:space="preserve">të </w:t>
      </w:r>
      <w:r w:rsidRPr="00770F9D">
        <w:rPr>
          <w:rFonts w:ascii="Garamond" w:hAnsi="Garamond" w:cs="Garamond"/>
          <w:color w:val="0D0D0D"/>
          <w:lang w:eastAsia="sq-AL"/>
        </w:rPr>
        <w:t>miratohet ligji i ri i taksave mbi pasurinë, si pjesë e komponentit të reformës së MTRS</w:t>
      </w:r>
      <w:r w:rsidR="00390748" w:rsidRPr="00770F9D">
        <w:rPr>
          <w:rFonts w:ascii="Garamond" w:hAnsi="Garamond" w:cs="Garamond"/>
          <w:color w:val="0D0D0D"/>
          <w:lang w:eastAsia="sq-AL"/>
        </w:rPr>
        <w:t>-së</w:t>
      </w:r>
      <w:r w:rsidRPr="00770F9D">
        <w:rPr>
          <w:rFonts w:ascii="Garamond" w:hAnsi="Garamond" w:cs="Garamond"/>
          <w:color w:val="0D0D0D"/>
          <w:lang w:eastAsia="sq-AL"/>
        </w:rPr>
        <w:t>.</w:t>
      </w:r>
    </w:p>
    <w:p w14:paraId="05958CD3" w14:textId="3AA6B2F3" w:rsidR="00625D7B" w:rsidRPr="00770F9D" w:rsidRDefault="00625D7B"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Gjatë vitit 2023 do punohet për rishikimin tërësor të taksave ambientale</w:t>
      </w:r>
      <w:r w:rsidR="00A77883" w:rsidRPr="00770F9D">
        <w:rPr>
          <w:rFonts w:ascii="Garamond" w:hAnsi="Garamond" w:cs="Garamond"/>
          <w:color w:val="0D0D0D"/>
          <w:lang w:eastAsia="sq-AL"/>
        </w:rPr>
        <w:t>.</w:t>
      </w:r>
    </w:p>
    <w:p w14:paraId="4C2D0486" w14:textId="77777777" w:rsidR="00625D7B" w:rsidRPr="00770F9D" w:rsidRDefault="00625D7B"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UP 2.3</w:t>
      </w:r>
    </w:p>
    <w:p w14:paraId="761362F7" w14:textId="77777777" w:rsidR="00625D7B" w:rsidRPr="00770F9D" w:rsidRDefault="00625D7B" w:rsidP="003F46E1">
      <w:pPr>
        <w:autoSpaceDE w:val="0"/>
        <w:autoSpaceDN w:val="0"/>
        <w:adjustRightInd w:val="0"/>
        <w:ind w:firstLine="284"/>
        <w:jc w:val="both"/>
        <w:rPr>
          <w:rFonts w:ascii="Garamond" w:hAnsi="Garamond" w:cs="Garamond"/>
          <w:b/>
          <w:bCs/>
          <w:color w:val="0D0D0D"/>
          <w:lang w:eastAsia="sq-AL"/>
        </w:rPr>
      </w:pPr>
      <w:r w:rsidRPr="00770F9D">
        <w:rPr>
          <w:rFonts w:ascii="Garamond" w:hAnsi="Garamond" w:cs="Garamond"/>
          <w:b/>
          <w:bCs/>
          <w:color w:val="0D0D0D"/>
          <w:lang w:eastAsia="sq-AL"/>
        </w:rPr>
        <w:t>Vazhdoni rritjen e pjesëve të shpenzimeve për arsimin, shëndetësinë, mbrojtjen sociale dhe kërkimin dhe zhvillimin në totalin e shpenzimeve publike.</w:t>
      </w:r>
    </w:p>
    <w:p w14:paraId="60C89936" w14:textId="28B42334" w:rsidR="00625D7B" w:rsidRPr="00770F9D" w:rsidRDefault="00625D7B"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 xml:space="preserve">Shpenzimet për arsim, shëndetësi dhe mbrojtje sociale në vlera nominale janë në rritje nga viti 2018 deri në vitin 2025, të paraqitura në tabelën e shpenzimeve sipas funksionit të qeverisë më poshtë. </w:t>
      </w:r>
    </w:p>
    <w:p w14:paraId="0AAA93A6" w14:textId="77F2DBBF" w:rsidR="00625D7B" w:rsidRPr="00770F9D" w:rsidRDefault="00E5354E" w:rsidP="005025FA">
      <w:pPr>
        <w:autoSpaceDE w:val="0"/>
        <w:autoSpaceDN w:val="0"/>
        <w:adjustRightInd w:val="0"/>
        <w:ind w:firstLine="284"/>
        <w:jc w:val="right"/>
        <w:rPr>
          <w:rFonts w:ascii="Garamond" w:hAnsi="Garamond" w:cs="Garamond"/>
          <w:i/>
          <w:iCs/>
          <w:color w:val="0D0D0D"/>
          <w:lang w:eastAsia="sq-AL"/>
        </w:rPr>
      </w:pPr>
      <w:r w:rsidRPr="00770F9D">
        <w:rPr>
          <w:rStyle w:val="rynqvb"/>
          <w:rFonts w:ascii="Garamond" w:hAnsi="Garamond" w:cstheme="majorBidi"/>
          <w:noProof/>
          <w:color w:val="0D0D0D" w:themeColor="text1" w:themeTint="F2"/>
          <w:sz w:val="20"/>
          <w:szCs w:val="20"/>
          <w:lang w:eastAsia="sq-AL"/>
        </w:rPr>
        <w:drawing>
          <wp:anchor distT="0" distB="0" distL="114300" distR="114300" simplePos="0" relativeHeight="251658245" behindDoc="0" locked="0" layoutInCell="1" allowOverlap="1" wp14:anchorId="1550F802" wp14:editId="2A06613C">
            <wp:simplePos x="0" y="0"/>
            <wp:positionH relativeFrom="column">
              <wp:posOffset>-49530</wp:posOffset>
            </wp:positionH>
            <wp:positionV relativeFrom="paragraph">
              <wp:posOffset>153670</wp:posOffset>
            </wp:positionV>
            <wp:extent cx="5943600" cy="1695450"/>
            <wp:effectExtent l="0" t="0" r="0" b="0"/>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1695450"/>
                    </a:xfrm>
                    <a:prstGeom prst="rect">
                      <a:avLst/>
                    </a:prstGeom>
                    <a:noFill/>
                    <a:ln>
                      <a:noFill/>
                    </a:ln>
                  </pic:spPr>
                </pic:pic>
              </a:graphicData>
            </a:graphic>
            <wp14:sizeRelH relativeFrom="page">
              <wp14:pctWidth>0</wp14:pctWidth>
            </wp14:sizeRelH>
            <wp14:sizeRelV relativeFrom="page">
              <wp14:pctHeight>0</wp14:pctHeight>
            </wp14:sizeRelV>
          </wp:anchor>
        </w:drawing>
      </w:r>
      <w:r w:rsidR="00625D7B" w:rsidRPr="00770F9D">
        <w:rPr>
          <w:rFonts w:ascii="Garamond" w:hAnsi="Garamond" w:cs="Garamond"/>
          <w:i/>
          <w:iCs/>
          <w:color w:val="0D0D0D"/>
          <w:sz w:val="20"/>
          <w:szCs w:val="20"/>
          <w:lang w:eastAsia="sq-AL"/>
        </w:rPr>
        <w:t>Në mln le</w:t>
      </w:r>
      <w:r w:rsidR="000F4E5B">
        <w:rPr>
          <w:rFonts w:ascii="Garamond" w:hAnsi="Garamond" w:cs="Garamond"/>
          <w:i/>
          <w:iCs/>
          <w:color w:val="0D0D0D"/>
          <w:sz w:val="20"/>
          <w:szCs w:val="20"/>
          <w:lang w:eastAsia="sq-AL"/>
        </w:rPr>
        <w:t>k</w:t>
      </w:r>
    </w:p>
    <w:bookmarkEnd w:id="7"/>
    <w:p w14:paraId="50CC020B" w14:textId="41E103EC" w:rsidR="00E5354E" w:rsidRPr="00770F9D" w:rsidRDefault="00E5354E" w:rsidP="003F46E1">
      <w:pPr>
        <w:autoSpaceDE w:val="0"/>
        <w:autoSpaceDN w:val="0"/>
        <w:adjustRightInd w:val="0"/>
        <w:ind w:firstLine="284"/>
        <w:jc w:val="both"/>
        <w:rPr>
          <w:rFonts w:ascii="Garamond" w:hAnsi="Garamond" w:cs="Garamond"/>
          <w:color w:val="0D0D0D"/>
          <w:lang w:eastAsia="sq-AL"/>
        </w:rPr>
      </w:pPr>
    </w:p>
    <w:p w14:paraId="27288956" w14:textId="4E954D87"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Kjo rritje e shpenzimeve në këto funksione tregon për përpjekjet e vazhdueshme të qeverisë për të mbështetur sektorë</w:t>
      </w:r>
      <w:r w:rsidR="00390748" w:rsidRPr="00770F9D">
        <w:rPr>
          <w:rFonts w:ascii="Garamond" w:hAnsi="Garamond" w:cs="Garamond"/>
          <w:color w:val="0D0D0D"/>
          <w:lang w:eastAsia="sq-AL"/>
        </w:rPr>
        <w:t>,</w:t>
      </w:r>
      <w:r w:rsidRPr="00770F9D">
        <w:rPr>
          <w:rFonts w:ascii="Garamond" w:hAnsi="Garamond" w:cs="Garamond"/>
          <w:color w:val="0D0D0D"/>
          <w:lang w:eastAsia="sq-AL"/>
        </w:rPr>
        <w:t xml:space="preserve"> si arsimi, shëndetësia dhe mbrojtja sociale. Shpenzimet që lidhen me funksionin e Kërkimit dhe Zhvillimit llogariten në funksionin e arsimit ku ekzistojnë 2 programe buxhetore të ndara për mbështetjen e shkencës, kërkimit dhe zhvillimit. </w:t>
      </w:r>
    </w:p>
    <w:p w14:paraId="254595C6" w14:textId="583F04BE"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Për buxhetin e vitit 2023, sektori i shëndetësisë, arsimit dhe mbrojtjes sociale kanë marrë një vëmendje të veçantë</w:t>
      </w:r>
      <w:r w:rsidR="004F6E97" w:rsidRPr="00770F9D">
        <w:rPr>
          <w:rFonts w:ascii="Garamond" w:hAnsi="Garamond" w:cs="Garamond"/>
          <w:color w:val="0D0D0D"/>
          <w:lang w:eastAsia="sq-AL"/>
        </w:rPr>
        <w:t>,</w:t>
      </w:r>
      <w:r w:rsidRPr="00770F9D">
        <w:rPr>
          <w:rFonts w:ascii="Garamond" w:hAnsi="Garamond" w:cs="Garamond"/>
          <w:color w:val="0D0D0D"/>
          <w:lang w:eastAsia="sq-AL"/>
        </w:rPr>
        <w:t xml:space="preserve"> duke mbështetur me prioritet politikat e mëposhtme: </w:t>
      </w:r>
    </w:p>
    <w:p w14:paraId="798F8B31" w14:textId="648C2B69" w:rsidR="00072546" w:rsidRPr="00770F9D" w:rsidRDefault="00072546" w:rsidP="003F46E1">
      <w:pPr>
        <w:autoSpaceDE w:val="0"/>
        <w:autoSpaceDN w:val="0"/>
        <w:adjustRightInd w:val="0"/>
        <w:ind w:firstLine="284"/>
        <w:jc w:val="both"/>
        <w:rPr>
          <w:rFonts w:ascii="Garamond" w:hAnsi="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Rritje pagash me 6% për punonjësit e shëndetësisë, arsimit dhe mbrojtjes.</w:t>
      </w:r>
    </w:p>
    <w:p w14:paraId="12DBD4D5" w14:textId="739C59D9"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 xml:space="preserve">Për periudhën </w:t>
      </w:r>
      <w:r w:rsidR="003F4C96" w:rsidRPr="00770F9D">
        <w:rPr>
          <w:rFonts w:ascii="Garamond" w:hAnsi="Garamond" w:cs="Garamond"/>
          <w:color w:val="0D0D0D"/>
          <w:lang w:eastAsia="sq-AL"/>
        </w:rPr>
        <w:t>2023–2025</w:t>
      </w:r>
      <w:r w:rsidRPr="00770F9D">
        <w:rPr>
          <w:rFonts w:ascii="Garamond" w:hAnsi="Garamond" w:cs="Garamond"/>
          <w:color w:val="0D0D0D"/>
          <w:lang w:eastAsia="sq-AL"/>
        </w:rPr>
        <w:t>, në fushën e arsimit do të financohet me prioritet:</w:t>
      </w:r>
    </w:p>
    <w:p w14:paraId="1680B6F0" w14:textId="390050DF"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Rritjen e numrit të fëmijëve që ndjekin arsimin parashkollor, si dhe përfshirjes së klasës përgatitore në arsimin e detyrueshëm; </w:t>
      </w:r>
    </w:p>
    <w:p w14:paraId="62F6DA92" w14:textId="0260A388"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Reduktimin e numrit të klasave kolektive; </w:t>
      </w:r>
    </w:p>
    <w:p w14:paraId="332BF486" w14:textId="54036B2F" w:rsidR="00072546" w:rsidRPr="00770F9D" w:rsidRDefault="00072546" w:rsidP="00F7469C">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Sigurimin e shërbimit të transportit, si dhe mbulimin e shpenzimeve të transportit të 35 mijë fëmijëve dhe nxënësve që kanë vendbanimin e tyre mbi 2 km nga shkolla, si dhe transportin për rreth se 12 mijë mësuesve që punojnë mbi 5 </w:t>
      </w:r>
      <w:r w:rsidR="00964C0E" w:rsidRPr="00770F9D">
        <w:rPr>
          <w:rFonts w:ascii="Garamond" w:hAnsi="Garamond" w:cs="Garamond"/>
          <w:color w:val="0D0D0D"/>
          <w:lang w:eastAsia="sq-AL"/>
        </w:rPr>
        <w:t xml:space="preserve">km </w:t>
      </w:r>
      <w:r w:rsidRPr="00770F9D">
        <w:rPr>
          <w:rFonts w:ascii="Garamond" w:hAnsi="Garamond" w:cs="Garamond"/>
          <w:color w:val="0D0D0D"/>
          <w:lang w:eastAsia="sq-AL"/>
        </w:rPr>
        <w:t>nga vendbanimi/qendra e përhershme e punës në shkollë</w:t>
      </w:r>
      <w:r w:rsidR="00F7469C" w:rsidRPr="00770F9D">
        <w:rPr>
          <w:rFonts w:ascii="Garamond" w:hAnsi="Garamond" w:cs="Garamond"/>
          <w:color w:val="0D0D0D"/>
          <w:lang w:eastAsia="sq-AL"/>
        </w:rPr>
        <w:t>;</w:t>
      </w:r>
      <w:r w:rsidRPr="00770F9D">
        <w:rPr>
          <w:rFonts w:ascii="Garamond" w:hAnsi="Garamond" w:cs="Garamond"/>
          <w:color w:val="0D0D0D"/>
          <w:lang w:eastAsia="sq-AL"/>
        </w:rPr>
        <w:t xml:space="preserve"> </w:t>
      </w:r>
    </w:p>
    <w:p w14:paraId="38507838" w14:textId="425A0832"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Ofrimi i teksteve shkollore falas për 280 mijë nxënësi që ndjekin arsimin bazë nga klasa e parë në klasën e nëntë, si dhe tekste shkollore falas nxënës nga shtresa sociale në nevojë në arsimin e mesëm të lartë;</w:t>
      </w:r>
    </w:p>
    <w:p w14:paraId="0220D763" w14:textId="6282029B" w:rsidR="00072546" w:rsidRPr="00770F9D" w:rsidRDefault="00072546" w:rsidP="004A2CCC">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Ofrimin e bursave financiare apo kuotë ushqimore/financiare për 2800</w:t>
      </w:r>
      <w:r w:rsidR="004A2CCC" w:rsidRPr="00770F9D">
        <w:rPr>
          <w:rFonts w:ascii="Garamond" w:hAnsi="Garamond" w:cs="Garamond"/>
          <w:color w:val="0D0D0D"/>
          <w:lang w:eastAsia="sq-AL"/>
        </w:rPr>
        <w:t>–</w:t>
      </w:r>
      <w:r w:rsidRPr="00770F9D">
        <w:rPr>
          <w:rFonts w:ascii="Garamond" w:hAnsi="Garamond" w:cs="Garamond"/>
          <w:color w:val="0D0D0D"/>
          <w:lang w:eastAsia="sq-AL"/>
        </w:rPr>
        <w:t>3000 nxënës me nevoja të veçanta</w:t>
      </w:r>
      <w:r w:rsidR="004A2CCC" w:rsidRPr="00770F9D">
        <w:rPr>
          <w:rFonts w:ascii="Garamond" w:hAnsi="Garamond" w:cs="Garamond"/>
          <w:color w:val="0D0D0D"/>
          <w:lang w:eastAsia="sq-AL"/>
        </w:rPr>
        <w:t>,</w:t>
      </w:r>
      <w:r w:rsidRPr="00770F9D">
        <w:rPr>
          <w:rFonts w:ascii="Garamond" w:hAnsi="Garamond" w:cs="Garamond"/>
          <w:color w:val="0D0D0D"/>
          <w:lang w:eastAsia="sq-AL"/>
        </w:rPr>
        <w:t xml:space="preserve"> si dhe fëmijëve më me ndikim në uljen e braktisjes shkollore, të nxënësve të arsimit parauniversitar nga shtresat sociale në nevojë; </w:t>
      </w:r>
    </w:p>
    <w:p w14:paraId="40F398AD" w14:textId="39232055" w:rsidR="00072546" w:rsidRPr="00770F9D" w:rsidRDefault="00072546" w:rsidP="00F7469C">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Hartimin e programeve specifike për arsimimin e grupeve të pa favorizuara. Deri në vitin 2023, çdo fëmijë rom dhe egjiptian, do të regjistrohet në shkollë, 100% e tyre do të mbarojnë arsimin e detyruar dhe 70% më shumë vajza e djem romë dhe egjiptianë do të përfundojnë të arsimin e mesëm të lartë</w:t>
      </w:r>
      <w:r w:rsidR="00F7469C" w:rsidRPr="00770F9D">
        <w:rPr>
          <w:rFonts w:ascii="Garamond" w:hAnsi="Garamond" w:cs="Garamond"/>
          <w:color w:val="0D0D0D"/>
          <w:lang w:eastAsia="sq-AL"/>
        </w:rPr>
        <w:t>;</w:t>
      </w:r>
      <w:r w:rsidRPr="00770F9D">
        <w:rPr>
          <w:rFonts w:ascii="Garamond" w:hAnsi="Garamond" w:cs="Garamond"/>
          <w:color w:val="0D0D0D"/>
          <w:lang w:eastAsia="sq-AL"/>
        </w:rPr>
        <w:t xml:space="preserve"> </w:t>
      </w:r>
    </w:p>
    <w:p w14:paraId="5C350907" w14:textId="57B5B701"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Përmirësimin e infrastrukturës shkollore, shkolla dhe konvikte të reja sipas standardeve evropiane; </w:t>
      </w:r>
    </w:p>
    <w:p w14:paraId="79A83CC3" w14:textId="30CB1A40"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Rritjen e numrit t</w:t>
      </w:r>
      <w:r w:rsidR="005025FA" w:rsidRPr="00770F9D">
        <w:rPr>
          <w:rFonts w:ascii="Garamond" w:hAnsi="Garamond" w:cs="Garamond"/>
          <w:color w:val="0D0D0D"/>
          <w:lang w:eastAsia="sq-AL"/>
        </w:rPr>
        <w:t>ë punonjësve të shërbimit psiko</w:t>
      </w:r>
      <w:r w:rsidRPr="00770F9D">
        <w:rPr>
          <w:rFonts w:ascii="Garamond" w:hAnsi="Garamond" w:cs="Garamond"/>
          <w:color w:val="0D0D0D"/>
          <w:lang w:eastAsia="sq-AL"/>
        </w:rPr>
        <w:t>social në sistemin e arsimit parauniversitar;</w:t>
      </w:r>
    </w:p>
    <w:p w14:paraId="46300245" w14:textId="1800CF19"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Zhvillimin dhe zbatimin e kurrikulave bazuar në standarde të krahasueshme me vendet e BE-së, nëpërmjet: zbatimit të ku</w:t>
      </w:r>
      <w:r w:rsidR="004A2CCC" w:rsidRPr="00770F9D">
        <w:rPr>
          <w:rFonts w:ascii="Garamond" w:hAnsi="Garamond" w:cs="Garamond"/>
          <w:color w:val="0D0D0D"/>
          <w:lang w:eastAsia="sq-AL"/>
        </w:rPr>
        <w:t>r</w:t>
      </w:r>
      <w:r w:rsidRPr="00770F9D">
        <w:rPr>
          <w:rFonts w:ascii="Garamond" w:hAnsi="Garamond" w:cs="Garamond"/>
          <w:color w:val="0D0D0D"/>
          <w:lang w:eastAsia="sq-AL"/>
        </w:rPr>
        <w:t>rikulës së re në të gjithë sis</w:t>
      </w:r>
      <w:r w:rsidR="004A2CCC" w:rsidRPr="00770F9D">
        <w:rPr>
          <w:rFonts w:ascii="Garamond" w:hAnsi="Garamond" w:cs="Garamond"/>
          <w:color w:val="0D0D0D"/>
          <w:lang w:eastAsia="sq-AL"/>
        </w:rPr>
        <w:t xml:space="preserve">temin e arsimit parauniversitar, </w:t>
      </w:r>
      <w:r w:rsidRPr="00770F9D">
        <w:rPr>
          <w:rFonts w:ascii="Garamond" w:hAnsi="Garamond" w:cs="Garamond"/>
          <w:color w:val="0D0D0D"/>
          <w:lang w:eastAsia="sq-AL"/>
        </w:rPr>
        <w:t xml:space="preserve">si dhe përgatitjes së teksteve specifike për nxënësit e pakicave kombëtare; </w:t>
      </w:r>
    </w:p>
    <w:p w14:paraId="3AD3ED9A" w14:textId="7215B4FE"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Fuqizimin e TIK-ut në arsim, nëpërmjet: hartimit të një platforme dhe plani kombëtar veprimi për zbatimin e TIK-ut në arsim</w:t>
      </w:r>
      <w:r w:rsidR="004A2CCC" w:rsidRPr="00770F9D">
        <w:rPr>
          <w:rFonts w:ascii="Garamond" w:hAnsi="Garamond" w:cs="Garamond"/>
          <w:color w:val="0D0D0D"/>
          <w:lang w:eastAsia="sq-AL"/>
        </w:rPr>
        <w:t>,</w:t>
      </w:r>
      <w:r w:rsidRPr="00770F9D">
        <w:rPr>
          <w:rFonts w:ascii="Garamond" w:hAnsi="Garamond" w:cs="Garamond"/>
          <w:color w:val="0D0D0D"/>
          <w:lang w:eastAsia="sq-AL"/>
        </w:rPr>
        <w:t xml:space="preserve"> si dhe krijimit të një infrastrukture të qëndrueshme, gjerësisht të përdorshme të burimeve digjitale në shkolla; </w:t>
      </w:r>
    </w:p>
    <w:p w14:paraId="6F4F134B" w14:textId="45CD55FB"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Përfshirja e gjuhës së huaj (gjuhës angleze) që në klasën e parë të arsimit fillor dhe nga klasa e tretë dy gjuhë të huaja, nga të cilat gjuha angleze</w:t>
      </w:r>
      <w:r w:rsidR="004A2CCC" w:rsidRPr="00770F9D">
        <w:rPr>
          <w:rFonts w:ascii="Garamond" w:hAnsi="Garamond" w:cs="Garamond"/>
          <w:color w:val="0D0D0D"/>
          <w:lang w:eastAsia="sq-AL"/>
        </w:rPr>
        <w:t>,</w:t>
      </w:r>
      <w:r w:rsidRPr="00770F9D">
        <w:rPr>
          <w:rFonts w:ascii="Garamond" w:hAnsi="Garamond" w:cs="Garamond"/>
          <w:color w:val="0D0D0D"/>
          <w:lang w:eastAsia="sq-AL"/>
        </w:rPr>
        <w:t xml:space="preserve"> si dhe një gjuhë tjetër e huaj me zgjedhje; </w:t>
      </w:r>
    </w:p>
    <w:p w14:paraId="47A42918" w14:textId="3A443B14"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Rritja e fondeve grant për IAL publike “Pakti për </w:t>
      </w:r>
      <w:r w:rsidR="004A2CCC" w:rsidRPr="00770F9D">
        <w:rPr>
          <w:rFonts w:ascii="Garamond" w:hAnsi="Garamond" w:cs="Garamond"/>
          <w:color w:val="0D0D0D"/>
          <w:lang w:eastAsia="sq-AL"/>
        </w:rPr>
        <w:t>universitetet</w:t>
      </w:r>
      <w:r w:rsidRPr="00770F9D">
        <w:rPr>
          <w:rFonts w:ascii="Garamond" w:hAnsi="Garamond" w:cs="Garamond"/>
          <w:color w:val="0D0D0D"/>
          <w:lang w:eastAsia="sq-AL"/>
        </w:rPr>
        <w:t>”, përmes financimit me përparësi për ngritjen e infrastrukturës</w:t>
      </w:r>
      <w:r w:rsidR="00137D4B" w:rsidRPr="00770F9D">
        <w:rPr>
          <w:rFonts w:ascii="Garamond" w:hAnsi="Garamond" w:cs="Garamond"/>
          <w:color w:val="0D0D0D"/>
          <w:lang w:eastAsia="sq-AL"/>
        </w:rPr>
        <w:t xml:space="preserve"> </w:t>
      </w:r>
      <w:r w:rsidRPr="00770F9D">
        <w:rPr>
          <w:rFonts w:ascii="Garamond" w:hAnsi="Garamond" w:cs="Garamond"/>
          <w:color w:val="0D0D0D"/>
          <w:lang w:eastAsia="sq-AL"/>
        </w:rPr>
        <w:t>dhe investimeve në kampuse universitare, rritjes së fondeve për mbështetjen</w:t>
      </w:r>
      <w:r w:rsidR="00AC37B6" w:rsidRPr="00770F9D">
        <w:rPr>
          <w:rFonts w:ascii="Garamond" w:hAnsi="Garamond" w:cs="Garamond"/>
          <w:color w:val="0D0D0D"/>
          <w:lang w:eastAsia="sq-AL"/>
        </w:rPr>
        <w:t xml:space="preserve"> </w:t>
      </w:r>
      <w:r w:rsidRPr="00770F9D">
        <w:rPr>
          <w:rFonts w:ascii="Garamond" w:hAnsi="Garamond" w:cs="Garamond"/>
          <w:color w:val="0D0D0D"/>
          <w:lang w:eastAsia="sq-AL"/>
        </w:rPr>
        <w:t>studentore, për të mbuluar shpenzimet për bursat e studentëve nga</w:t>
      </w:r>
      <w:r w:rsidR="00AC37B6" w:rsidRPr="00770F9D">
        <w:rPr>
          <w:rFonts w:ascii="Garamond" w:hAnsi="Garamond" w:cs="Garamond"/>
          <w:color w:val="0D0D0D"/>
          <w:lang w:eastAsia="sq-AL"/>
        </w:rPr>
        <w:t xml:space="preserve"> </w:t>
      </w:r>
      <w:r w:rsidRPr="00770F9D">
        <w:rPr>
          <w:rFonts w:ascii="Garamond" w:hAnsi="Garamond" w:cs="Garamond"/>
          <w:color w:val="0D0D0D"/>
          <w:lang w:eastAsia="sq-AL"/>
        </w:rPr>
        <w:t>shtresat sociale në nevojë, si dhe studentëve ekselencë në IAL publike, si dhe rritje a fondeve për përjashtimi apo reduktimi i tarifave vjetore të shkollimit për studentët e ekselencës apo studentët e kategorive sociale në nevojë;</w:t>
      </w:r>
    </w:p>
    <w:p w14:paraId="7FC95981" w14:textId="6A8A46E9" w:rsidR="00072546" w:rsidRPr="00770F9D" w:rsidRDefault="00072546" w:rsidP="00F7469C">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Edukimi nëpërmjet sportit si një faktor efikas në përmirësimin e shëndetit e të mirëqenies për qytetarët përmes sigurimit të një shërbimi cilësor nëpërmjet sportit elitar dhe sportit në tërësi në institucionet arsimore</w:t>
      </w:r>
      <w:r w:rsidR="00AC37B6" w:rsidRPr="00770F9D">
        <w:rPr>
          <w:rFonts w:ascii="Garamond" w:hAnsi="Garamond" w:cs="Garamond"/>
          <w:color w:val="0D0D0D"/>
          <w:lang w:eastAsia="sq-AL"/>
        </w:rPr>
        <w:t>,</w:t>
      </w:r>
      <w:r w:rsidRPr="00770F9D">
        <w:rPr>
          <w:rFonts w:ascii="Garamond" w:hAnsi="Garamond" w:cs="Garamond"/>
          <w:color w:val="0D0D0D"/>
          <w:lang w:eastAsia="sq-AL"/>
        </w:rPr>
        <w:t xml:space="preserve"> duke kontribuar kësisoj dhe në forcimin e statusit të të rinjve shqiptarë në të gjitha fushat e jetës</w:t>
      </w:r>
      <w:r w:rsidR="00F7469C" w:rsidRPr="00770F9D">
        <w:rPr>
          <w:rFonts w:ascii="Garamond" w:hAnsi="Garamond" w:cs="Garamond"/>
          <w:color w:val="0D0D0D"/>
          <w:lang w:eastAsia="sq-AL"/>
        </w:rPr>
        <w:t>;</w:t>
      </w:r>
    </w:p>
    <w:p w14:paraId="6A7B9742" w14:textId="0C7F664E" w:rsidR="00072546" w:rsidRPr="00770F9D" w:rsidRDefault="00072546" w:rsidP="00F7469C">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Klasat e profilizuara sportive</w:t>
      </w:r>
      <w:r w:rsidR="002133C5" w:rsidRPr="00770F9D">
        <w:rPr>
          <w:rFonts w:ascii="Garamond" w:hAnsi="Garamond" w:cs="Garamond"/>
          <w:color w:val="0D0D0D"/>
          <w:lang w:eastAsia="sq-AL"/>
        </w:rPr>
        <w:t>:</w:t>
      </w:r>
      <w:r w:rsidRPr="00770F9D">
        <w:rPr>
          <w:rFonts w:ascii="Garamond" w:hAnsi="Garamond" w:cs="Garamond"/>
          <w:color w:val="0D0D0D"/>
          <w:lang w:eastAsia="sq-AL"/>
        </w:rPr>
        <w:t xml:space="preserve"> do të rritet numri i klasave të profilizuara sportive në mënyrë progresive në të gjithë vendin, duke filluar që nga viti shkollor 2021</w:t>
      </w:r>
      <w:r w:rsidR="00F82385" w:rsidRPr="00770F9D">
        <w:rPr>
          <w:rFonts w:ascii="Garamond" w:hAnsi="Garamond" w:cs="Garamond"/>
          <w:color w:val="0D0D0D"/>
          <w:lang w:eastAsia="sq-AL"/>
        </w:rPr>
        <w:t>–</w:t>
      </w:r>
      <w:r w:rsidRPr="00770F9D">
        <w:rPr>
          <w:rFonts w:ascii="Garamond" w:hAnsi="Garamond" w:cs="Garamond"/>
          <w:color w:val="0D0D0D"/>
          <w:lang w:eastAsia="sq-AL"/>
        </w:rPr>
        <w:t>2022 nga 223 në 423, duke shtuar edhe disiplina të reja sportive, si gjimnastikë, atletikë dhe tenis</w:t>
      </w:r>
      <w:r w:rsidR="00F7469C" w:rsidRPr="00770F9D">
        <w:rPr>
          <w:rFonts w:ascii="Garamond" w:hAnsi="Garamond" w:cs="Garamond"/>
          <w:color w:val="0D0D0D"/>
          <w:lang w:eastAsia="sq-AL"/>
        </w:rPr>
        <w:t>;</w:t>
      </w:r>
    </w:p>
    <w:p w14:paraId="2266A04F" w14:textId="08A4DA88" w:rsidR="00072546" w:rsidRPr="00770F9D" w:rsidRDefault="00072546" w:rsidP="00F7469C">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Plani për zhvillimin e sistemit arsimor do të pajisë studentët shqiptarë me dije dhe aftësi të konkurruese me bashkëmoshatarët e tyre në BE. Shkollat profesionale dhe universitetet do të përgatisin qytetarin e mirë dhe punonjë</w:t>
      </w:r>
      <w:r w:rsidR="002133C5" w:rsidRPr="00770F9D">
        <w:rPr>
          <w:rFonts w:ascii="Garamond" w:hAnsi="Garamond" w:cs="Garamond"/>
          <w:color w:val="0D0D0D"/>
          <w:lang w:eastAsia="sq-AL"/>
        </w:rPr>
        <w:t>sin e suksesshëm të vitit 2030</w:t>
      </w:r>
      <w:r w:rsidR="00F7469C" w:rsidRPr="00770F9D">
        <w:rPr>
          <w:rFonts w:ascii="Garamond" w:hAnsi="Garamond" w:cs="Garamond"/>
          <w:color w:val="0D0D0D"/>
          <w:lang w:eastAsia="sq-AL"/>
        </w:rPr>
        <w:t>;</w:t>
      </w:r>
      <w:r w:rsidRPr="00770F9D">
        <w:rPr>
          <w:rFonts w:ascii="Garamond" w:hAnsi="Garamond" w:cs="Garamond"/>
          <w:color w:val="0D0D0D"/>
          <w:lang w:eastAsia="sq-AL"/>
        </w:rPr>
        <w:t xml:space="preserve"> </w:t>
      </w:r>
    </w:p>
    <w:p w14:paraId="5620CEAA" w14:textId="068E7B1E" w:rsidR="00072546" w:rsidRPr="00770F9D" w:rsidRDefault="00072546" w:rsidP="00F7469C">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Me investimet në laboratorë për kërkimin shkencor dhe me sigurimin e integritet akademik dhe shkencor të universiteteve, do të përmirësohet cilësia e produkt universitar, ndërsa diploma e secilit student do të mbartë vlerën që duhet ta ketë</w:t>
      </w:r>
      <w:r w:rsidR="00F7469C" w:rsidRPr="00770F9D">
        <w:rPr>
          <w:rFonts w:ascii="Garamond" w:hAnsi="Garamond" w:cs="Garamond"/>
          <w:color w:val="0D0D0D"/>
          <w:lang w:eastAsia="sq-AL"/>
        </w:rPr>
        <w:t>;</w:t>
      </w:r>
      <w:r w:rsidRPr="00770F9D">
        <w:rPr>
          <w:rFonts w:ascii="Garamond" w:hAnsi="Garamond" w:cs="Garamond"/>
          <w:color w:val="0D0D0D"/>
          <w:lang w:eastAsia="sq-AL"/>
        </w:rPr>
        <w:t xml:space="preserve"> </w:t>
      </w:r>
    </w:p>
    <w:p w14:paraId="43A5330A" w14:textId="1A99245C" w:rsidR="00072546" w:rsidRPr="00770F9D" w:rsidRDefault="00072546" w:rsidP="00F7469C">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Me investimet infrastrukturore në kampuset universitare, do të përmirësohet eksperienca studentore dhe do të inkurajohen të rinjtë të ndjekin ëndrrat e tyre në kampuset universitare shqiptare</w:t>
      </w:r>
      <w:r w:rsidR="00F7469C" w:rsidRPr="00770F9D">
        <w:rPr>
          <w:rFonts w:ascii="Garamond" w:hAnsi="Garamond" w:cs="Garamond"/>
          <w:color w:val="0D0D0D"/>
          <w:lang w:eastAsia="sq-AL"/>
        </w:rPr>
        <w:t>;</w:t>
      </w:r>
      <w:r w:rsidRPr="00770F9D">
        <w:rPr>
          <w:rFonts w:ascii="Garamond" w:hAnsi="Garamond" w:cs="Garamond"/>
          <w:color w:val="0D0D0D"/>
          <w:lang w:eastAsia="sq-AL"/>
        </w:rPr>
        <w:t xml:space="preserve"> </w:t>
      </w:r>
    </w:p>
    <w:p w14:paraId="33A3D3F6" w14:textId="1C1A39CD"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Ndërkombëtarizimi i </w:t>
      </w:r>
      <w:r w:rsidR="002133C5" w:rsidRPr="00770F9D">
        <w:rPr>
          <w:rFonts w:ascii="Garamond" w:hAnsi="Garamond" w:cs="Garamond"/>
          <w:color w:val="0D0D0D"/>
          <w:lang w:eastAsia="sq-AL"/>
        </w:rPr>
        <w:t>arsimit të lart</w:t>
      </w:r>
      <w:r w:rsidRPr="00770F9D">
        <w:rPr>
          <w:rFonts w:ascii="Garamond" w:hAnsi="Garamond" w:cs="Garamond"/>
          <w:color w:val="0D0D0D"/>
          <w:lang w:eastAsia="sq-AL"/>
        </w:rPr>
        <w:t xml:space="preserve">ë: fillohet puna për hapjen e filialeve të </w:t>
      </w:r>
      <w:r w:rsidR="002133C5" w:rsidRPr="00770F9D">
        <w:rPr>
          <w:rFonts w:ascii="Garamond" w:hAnsi="Garamond" w:cs="Garamond"/>
          <w:color w:val="0D0D0D"/>
          <w:lang w:eastAsia="sq-AL"/>
        </w:rPr>
        <w:t xml:space="preserve">universiteteve </w:t>
      </w:r>
      <w:r w:rsidRPr="00770F9D">
        <w:rPr>
          <w:rFonts w:ascii="Garamond" w:hAnsi="Garamond" w:cs="Garamond"/>
          <w:color w:val="0D0D0D"/>
          <w:lang w:eastAsia="sq-AL"/>
        </w:rPr>
        <w:t>më të mira ndërkombëtare në Shqipëri, si dhe për programe studimi të përbashkëta dhe të dyfishta me to. MASR</w:t>
      </w:r>
      <w:r w:rsidR="002133C5" w:rsidRPr="00770F9D">
        <w:rPr>
          <w:rFonts w:ascii="Garamond" w:hAnsi="Garamond" w:cs="Garamond"/>
          <w:color w:val="0D0D0D"/>
          <w:lang w:eastAsia="sq-AL"/>
        </w:rPr>
        <w:t>-ja</w:t>
      </w:r>
      <w:r w:rsidRPr="00770F9D">
        <w:rPr>
          <w:rFonts w:ascii="Garamond" w:hAnsi="Garamond" w:cs="Garamond"/>
          <w:color w:val="0D0D0D"/>
          <w:lang w:eastAsia="sq-AL"/>
        </w:rPr>
        <w:t xml:space="preserve"> do të mbështesë hapjen e programeve në gjuhën angleze në të gjitha universitetet shqiptare.</w:t>
      </w:r>
    </w:p>
    <w:p w14:paraId="2F07493A" w14:textId="77777777"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Në fushën e shëndetësisë do të vijojë:</w:t>
      </w:r>
    </w:p>
    <w:p w14:paraId="45910D23" w14:textId="1509D1DE"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Financimi i shërbimeve shëndetësore (parësore e spitalore);</w:t>
      </w:r>
    </w:p>
    <w:p w14:paraId="68B1D419" w14:textId="7FE7762F"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Qëndrueshmëria dhe përmirësimi i situatës financiare institucioneve shëndetësore e të mbrojtjes sociale, nëpërmjet përdorimit me efektivitet të burimeve të financimit, forcimit të kontrollit të shpenzimeve;</w:t>
      </w:r>
    </w:p>
    <w:p w14:paraId="0922C1DD" w14:textId="413798DB"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Rritja e kosto-efektivitetit të listës së barnave e pajisjeve të rimbursueshme;</w:t>
      </w:r>
    </w:p>
    <w:p w14:paraId="1573FBA7" w14:textId="6B4C8235"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Financimi i paketave të miratuara të shërbimit spitalor në spitalet publike e jopublike;</w:t>
      </w:r>
    </w:p>
    <w:p w14:paraId="1D89EA45" w14:textId="415BF500"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Pagesat për kujdes shëndetësor, sipas marrëveshjeve ndërkombëtare të nënshkruara;</w:t>
      </w:r>
    </w:p>
    <w:p w14:paraId="4EED202C" w14:textId="55FD08F8"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Intensifikimi i punës për kostimin e shërbimeve të reja shëndetësore, në kujdesin shëndetësor, me synim ndryshimin e mënyrës së financimit të shërbimeve shëndetësore;</w:t>
      </w:r>
    </w:p>
    <w:p w14:paraId="79F82048" w14:textId="3DDCDFA6" w:rsidR="00072546" w:rsidRPr="00770F9D" w:rsidRDefault="00072546" w:rsidP="00F5734F">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Financimi i shërbimit të kontrollit bazë mjekësor bazë</w:t>
      </w:r>
      <w:r w:rsidR="00F5734F" w:rsidRPr="00770F9D">
        <w:rPr>
          <w:rFonts w:ascii="Garamond" w:hAnsi="Garamond" w:cs="Garamond"/>
          <w:color w:val="0D0D0D"/>
          <w:lang w:eastAsia="sq-AL"/>
        </w:rPr>
        <w:t>,</w:t>
      </w:r>
      <w:r w:rsidRPr="00770F9D">
        <w:rPr>
          <w:rFonts w:ascii="Garamond" w:hAnsi="Garamond" w:cs="Garamond"/>
          <w:color w:val="0D0D0D"/>
          <w:lang w:eastAsia="sq-AL"/>
        </w:rPr>
        <w:t xml:space="preserve"> për të paktën 50% të numrit të shtetasve të moshës 35</w:t>
      </w:r>
      <w:r w:rsidR="00F5734F" w:rsidRPr="00770F9D">
        <w:rPr>
          <w:rFonts w:ascii="Garamond" w:hAnsi="Garamond" w:cs="Garamond"/>
          <w:color w:val="0D0D0D"/>
          <w:lang w:eastAsia="sq-AL"/>
        </w:rPr>
        <w:t>–</w:t>
      </w:r>
      <w:r w:rsidRPr="00770F9D">
        <w:rPr>
          <w:rFonts w:ascii="Garamond" w:hAnsi="Garamond" w:cs="Garamond"/>
          <w:color w:val="0D0D0D"/>
          <w:lang w:eastAsia="sq-AL"/>
        </w:rPr>
        <w:t>70 vjeç;</w:t>
      </w:r>
    </w:p>
    <w:p w14:paraId="4D462784" w14:textId="3B300B02"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 xml:space="preserve">Në fushën e mbrojtjes sociale, për vitet </w:t>
      </w:r>
      <w:r w:rsidR="003F4C96" w:rsidRPr="00770F9D">
        <w:rPr>
          <w:rFonts w:ascii="Garamond" w:hAnsi="Garamond" w:cs="Garamond"/>
          <w:color w:val="0D0D0D"/>
          <w:lang w:eastAsia="sq-AL"/>
        </w:rPr>
        <w:t>2023–2025</w:t>
      </w:r>
      <w:r w:rsidRPr="00770F9D">
        <w:rPr>
          <w:rFonts w:ascii="Garamond" w:hAnsi="Garamond" w:cs="Garamond"/>
          <w:color w:val="0D0D0D"/>
          <w:lang w:eastAsia="sq-AL"/>
        </w:rPr>
        <w:t>, vijon të financohet politika e rishikimit të masës së përfitimit të ndihmës ekonomike, në të cilën parashikohet një rritje me 10% (dhjetë për qind) të masës së pagesës ekzistuese, sipas strukturës së familjes.</w:t>
      </w:r>
      <w:r w:rsidR="00497D15" w:rsidRPr="00770F9D">
        <w:rPr>
          <w:rFonts w:ascii="Garamond" w:hAnsi="Garamond" w:cs="Garamond"/>
          <w:color w:val="0D0D0D"/>
          <w:lang w:eastAsia="sq-AL"/>
        </w:rPr>
        <w:t xml:space="preserve"> </w:t>
      </w:r>
      <w:r w:rsidRPr="00770F9D">
        <w:rPr>
          <w:rFonts w:ascii="Garamond" w:hAnsi="Garamond" w:cs="Garamond"/>
          <w:color w:val="0D0D0D"/>
          <w:lang w:eastAsia="sq-AL"/>
        </w:rPr>
        <w:t xml:space="preserve">Përgjatë viteve </w:t>
      </w:r>
      <w:r w:rsidR="003F4C96" w:rsidRPr="00770F9D">
        <w:rPr>
          <w:rFonts w:ascii="Garamond" w:hAnsi="Garamond" w:cs="Garamond"/>
          <w:color w:val="0D0D0D"/>
          <w:lang w:eastAsia="sq-AL"/>
        </w:rPr>
        <w:t>2023–2025</w:t>
      </w:r>
      <w:r w:rsidRPr="00770F9D">
        <w:rPr>
          <w:rFonts w:ascii="Garamond" w:hAnsi="Garamond" w:cs="Garamond"/>
          <w:color w:val="0D0D0D"/>
          <w:lang w:eastAsia="sq-AL"/>
        </w:rPr>
        <w:t>, si pjesë e grupeve në nevojë do të trajtohen me ndihmë ekonomike dhe kategoritë</w:t>
      </w:r>
      <w:r w:rsidR="00497D15" w:rsidRPr="00770F9D">
        <w:rPr>
          <w:rFonts w:ascii="Garamond" w:hAnsi="Garamond" w:cs="Garamond"/>
          <w:color w:val="0D0D0D"/>
          <w:lang w:eastAsia="sq-AL"/>
        </w:rPr>
        <w:t>,</w:t>
      </w:r>
      <w:r w:rsidRPr="00770F9D">
        <w:rPr>
          <w:rFonts w:ascii="Garamond" w:hAnsi="Garamond" w:cs="Garamond"/>
          <w:color w:val="0D0D0D"/>
          <w:lang w:eastAsia="sq-AL"/>
        </w:rPr>
        <w:t xml:space="preserve"> si më poshtë:</w:t>
      </w:r>
    </w:p>
    <w:p w14:paraId="1766C3BB" w14:textId="73997B78" w:rsidR="00072546" w:rsidRPr="00770F9D" w:rsidRDefault="00072546" w:rsidP="00C86784">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Gratë kryefamiljare përfitues në programin e ndihmës ekonomike, që kanë në përbërje të familjes deri në dy fëmijë të moshës 0</w:t>
      </w:r>
      <w:r w:rsidR="00C86784" w:rsidRPr="00770F9D">
        <w:rPr>
          <w:rFonts w:ascii="Garamond" w:hAnsi="Garamond" w:cs="Garamond"/>
          <w:color w:val="0D0D0D"/>
          <w:lang w:eastAsia="sq-AL"/>
        </w:rPr>
        <w:t>–</w:t>
      </w:r>
      <w:r w:rsidRPr="00770F9D">
        <w:rPr>
          <w:rFonts w:ascii="Garamond" w:hAnsi="Garamond" w:cs="Garamond"/>
          <w:color w:val="0D0D0D"/>
          <w:lang w:eastAsia="sq-AL"/>
        </w:rPr>
        <w:t>18 vjeç, përfitojnë dyfishin e masës së pagesës ekzistuese të ndihmës ekonomike, sipas strukturës së familjes.</w:t>
      </w:r>
    </w:p>
    <w:p w14:paraId="5C6F8911" w14:textId="5A0593E2"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Përfituesit e programit të ndihmës ekonomike, që kanë mbushur moshën 65 vjeç, të vetmuar dhe nuk trajtohen me pension pleqërie, apo pension social, përfitojnë dyfishin e masës së pagesës ekzistuese të ndihmës ekonomike.</w:t>
      </w:r>
    </w:p>
    <w:p w14:paraId="3DEA2A7E" w14:textId="103065B8"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Anëtarët e familjeve përfituese të programit të ndihmës ekonomike që kanë mbushur 65 vjeç dhe nu</w:t>
      </w:r>
      <w:r w:rsidR="000A506B" w:rsidRPr="00770F9D">
        <w:rPr>
          <w:rFonts w:ascii="Garamond" w:hAnsi="Garamond" w:cs="Garamond"/>
          <w:color w:val="0D0D0D"/>
          <w:lang w:eastAsia="sq-AL"/>
        </w:rPr>
        <w:t>k trajtohen me pension pleqërie</w:t>
      </w:r>
      <w:r w:rsidRPr="00770F9D">
        <w:rPr>
          <w:rFonts w:ascii="Garamond" w:hAnsi="Garamond" w:cs="Garamond"/>
          <w:color w:val="0D0D0D"/>
          <w:lang w:eastAsia="sq-AL"/>
        </w:rPr>
        <w:t xml:space="preserve"> apo pension social, përfitojnë dyfishin e masës së pagesës ekzistuese të ndihmës ekonomike, sipas strukturës së familjes.</w:t>
      </w:r>
    </w:p>
    <w:p w14:paraId="5B6CEB07" w14:textId="302CAC9D" w:rsidR="00072546" w:rsidRPr="00770F9D" w:rsidRDefault="00072546" w:rsidP="003F46E1">
      <w:pPr>
        <w:autoSpaceDE w:val="0"/>
        <w:autoSpaceDN w:val="0"/>
        <w:adjustRightInd w:val="0"/>
        <w:ind w:firstLine="284"/>
        <w:jc w:val="both"/>
        <w:rPr>
          <w:rFonts w:ascii="Garamond" w:hAnsi="Garamond" w:cs="Garamond"/>
          <w:i/>
          <w:iCs/>
          <w:color w:val="0D0D0D"/>
          <w:lang w:eastAsia="sq-AL"/>
        </w:rPr>
      </w:pPr>
      <w:r w:rsidRPr="00770F9D">
        <w:rPr>
          <w:rFonts w:ascii="Garamond" w:hAnsi="Garamond" w:cs="Garamond"/>
          <w:color w:val="0D0D0D"/>
          <w:lang w:eastAsia="sq-AL"/>
        </w:rPr>
        <w:t xml:space="preserve">Masa e ndihmës ekonomike parashikohet të rritet me 10% më shumë </w:t>
      </w:r>
      <w:r w:rsidR="0054276B" w:rsidRPr="00770F9D">
        <w:rPr>
          <w:rFonts w:ascii="Garamond" w:hAnsi="Garamond" w:cs="Garamond"/>
          <w:color w:val="0D0D0D"/>
          <w:lang w:eastAsia="sq-AL"/>
        </w:rPr>
        <w:t>krahasuar</w:t>
      </w:r>
      <w:r w:rsidRPr="00770F9D">
        <w:rPr>
          <w:rFonts w:ascii="Garamond" w:hAnsi="Garamond" w:cs="Garamond"/>
          <w:color w:val="0D0D0D"/>
          <w:lang w:eastAsia="sq-AL"/>
        </w:rPr>
        <w:t xml:space="preserve"> me masën ekzistuese për </w:t>
      </w:r>
      <w:r w:rsidR="0054276B" w:rsidRPr="00770F9D">
        <w:rPr>
          <w:rFonts w:ascii="Garamond" w:hAnsi="Garamond" w:cs="Garamond"/>
          <w:color w:val="0D0D0D"/>
          <w:lang w:eastAsia="sq-AL"/>
        </w:rPr>
        <w:t>familjet</w:t>
      </w:r>
      <w:r w:rsidRPr="00770F9D">
        <w:rPr>
          <w:rFonts w:ascii="Garamond" w:hAnsi="Garamond" w:cs="Garamond"/>
          <w:color w:val="0D0D0D"/>
          <w:lang w:eastAsia="sq-AL"/>
        </w:rPr>
        <w:t xml:space="preserve"> q</w:t>
      </w:r>
      <w:r w:rsidR="0054276B" w:rsidRPr="00770F9D">
        <w:rPr>
          <w:rFonts w:ascii="Garamond" w:hAnsi="Garamond" w:cs="Garamond"/>
          <w:color w:val="0D0D0D"/>
          <w:lang w:eastAsia="sq-AL"/>
        </w:rPr>
        <w:t>ë trajtohen me ndihmë ekonomike</w:t>
      </w:r>
      <w:r w:rsidRPr="00770F9D">
        <w:rPr>
          <w:rFonts w:ascii="Garamond" w:hAnsi="Garamond" w:cs="Garamond"/>
          <w:color w:val="0D0D0D"/>
          <w:lang w:eastAsia="sq-AL"/>
        </w:rPr>
        <w:t xml:space="preserve"> dhe nuk janë pjesë e ndonjë kategorie tjetër përfituese.</w:t>
      </w:r>
    </w:p>
    <w:p w14:paraId="77EA2574" w14:textId="1CCA7F13"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 xml:space="preserve">Udhëzimi i </w:t>
      </w:r>
      <w:r w:rsidR="0054276B" w:rsidRPr="00770F9D">
        <w:rPr>
          <w:rFonts w:ascii="Garamond" w:hAnsi="Garamond" w:cs="Garamond"/>
          <w:color w:val="0D0D0D"/>
          <w:lang w:eastAsia="sq-AL"/>
        </w:rPr>
        <w:t xml:space="preserve">politikave </w:t>
      </w:r>
      <w:r w:rsidRPr="00770F9D">
        <w:rPr>
          <w:rFonts w:ascii="Garamond" w:hAnsi="Garamond" w:cs="Garamond"/>
          <w:color w:val="0D0D0D"/>
          <w:lang w:eastAsia="sq-AL"/>
        </w:rPr>
        <w:t>3</w:t>
      </w:r>
    </w:p>
    <w:p w14:paraId="6CABC33B" w14:textId="77777777"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UP 3.1</w:t>
      </w:r>
    </w:p>
    <w:p w14:paraId="146DA473" w14:textId="77777777" w:rsidR="00072546" w:rsidRPr="00770F9D" w:rsidRDefault="00072546" w:rsidP="003F46E1">
      <w:pPr>
        <w:autoSpaceDE w:val="0"/>
        <w:autoSpaceDN w:val="0"/>
        <w:adjustRightInd w:val="0"/>
        <w:ind w:firstLine="284"/>
        <w:jc w:val="both"/>
        <w:rPr>
          <w:rFonts w:ascii="Garamond" w:hAnsi="Garamond" w:cs="Garamond"/>
          <w:b/>
          <w:bCs/>
          <w:color w:val="0D0D0D"/>
          <w:lang w:eastAsia="sq-AL"/>
        </w:rPr>
      </w:pPr>
      <w:r w:rsidRPr="00770F9D">
        <w:rPr>
          <w:rFonts w:ascii="Garamond" w:hAnsi="Garamond" w:cs="Garamond"/>
          <w:b/>
          <w:bCs/>
          <w:color w:val="0D0D0D"/>
          <w:lang w:eastAsia="sq-AL"/>
        </w:rPr>
        <w:t>Vlerësoni dhe analizoni me kujdes zhvillimet e çmimeve dhe qëndroni të gatshëm për të shtrënguar politikën monetare, nëse është e nevojshme, për të ruajtur stabilitetin e çmimeve në periudhën afatmesme.</w:t>
      </w:r>
    </w:p>
    <w:p w14:paraId="4D4A868D" w14:textId="6B9A7E04"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Vendimmarrja Bankës së Shqipërisë udhëhiqet nga arritja e objektivit kryesor të stabilitetit të çmimeve. Vendimet mbështeten në një kuadër solid analize dhe parashikimesh makroekonomike. Rritja e shpejtë e presioneve inflacioniste gjatë vitit 2022 e ka përballur Bankën e Shqipërisë me nevojën për të normalizuar politikën monetare më shpejt se</w:t>
      </w:r>
      <w:r w:rsidR="0090011A" w:rsidRPr="00770F9D">
        <w:rPr>
          <w:rFonts w:ascii="Garamond" w:hAnsi="Garamond" w:cs="Garamond"/>
          <w:color w:val="0D0D0D"/>
          <w:lang w:eastAsia="sq-AL"/>
        </w:rPr>
        <w:t xml:space="preserve"> </w:t>
      </w:r>
      <w:r w:rsidRPr="00770F9D">
        <w:rPr>
          <w:rFonts w:ascii="Garamond" w:hAnsi="Garamond" w:cs="Garamond"/>
          <w:color w:val="0D0D0D"/>
          <w:lang w:eastAsia="sq-AL"/>
        </w:rPr>
        <w:t xml:space="preserve">sa pritej. Norma e inflacionit ka kulmuar në nivelin 8.3% në muajin tetor, ndjeshëm mbi nivelin 3.0% të objektivit afatmesëm të Bankës së Shqipërisë. Rritja e menjëhershme dhe e ndjeshme e çmimeve të konsumit u ushqye nga çmimet e larta të ushqimeve dhe të lëndëve djegëse në tregjet ndërkombëtare, në kombinim me presionet e brendshme të krijuara nga rekuperimi i kërkesës pas pandemisë. </w:t>
      </w:r>
    </w:p>
    <w:p w14:paraId="4CD5D8F9" w14:textId="77777777" w:rsidR="007066AD" w:rsidRPr="00770F9D" w:rsidRDefault="007066AD"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Në përputhje me ngushtimin e hendekut negativ të prodhimit dhe me komunikimet e mëparshme, në muajin mars, Banka e Shqipërisë nisi normalizimin e politikës monetare nëpërmjet rritjes së normës bazë nga niveli më i ulët historik prej 0.50% në nivelin 1.00%. Normalizimi i politikës monetare u përshpejtua edhe me katër rritje të tjera të njëpasnjëshme të normës bazë. Deri në fund të muajin nëntor 2022, norma bazë qëndron në nivelin 2.75%. Banka e Shqipërisë ka komunikuar se cikli normalizues i politikës monetare do të vijojë edhe në të ardhmen e afërt, por shpejtësia e normalizimit do të jetë në përputhje me të dhënat e reja.</w:t>
      </w:r>
    </w:p>
    <w:p w14:paraId="4B64C9D9" w14:textId="19F5785F" w:rsidR="007066AD" w:rsidRPr="00770F9D" w:rsidRDefault="007066AD"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Inflacioni pritet të mbetet i lartë në vitin 2022, por të reduktohet gradualisht gjatë vitit 2023 dhe të kthehet në objektiv në vitin 2024. Pritjet afatmesme për inflacionin mbeten pranë objektivit të Bankës. Banka e Shqipërisë do të vijojë normalizimin e politikës monetare</w:t>
      </w:r>
      <w:r w:rsidR="009C6302"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me qëllim adresimin e presioneve inflacioniste dhe mbrojtjen e mandatit të stabilitetit të çmimeve.</w:t>
      </w:r>
    </w:p>
    <w:p w14:paraId="4AD9EF9A" w14:textId="77777777" w:rsidR="000A083E" w:rsidRPr="00770F9D" w:rsidRDefault="000A083E"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UP 3.2</w:t>
      </w:r>
    </w:p>
    <w:p w14:paraId="25C9B865" w14:textId="77777777" w:rsidR="00DB3786" w:rsidRPr="00770F9D" w:rsidRDefault="00DB3786" w:rsidP="003F46E1">
      <w:pPr>
        <w:snapToGrid w:val="0"/>
        <w:ind w:firstLine="284"/>
        <w:jc w:val="both"/>
        <w:rPr>
          <w:rFonts w:ascii="Garamond" w:hAnsi="Garamond" w:cstheme="majorBidi"/>
          <w:b/>
          <w:bCs/>
          <w:color w:val="0D0D0D" w:themeColor="text1" w:themeTint="F2"/>
        </w:rPr>
      </w:pPr>
      <w:r w:rsidRPr="00770F9D">
        <w:rPr>
          <w:rFonts w:ascii="Garamond" w:hAnsi="Garamond" w:cstheme="majorBidi"/>
          <w:b/>
          <w:bCs/>
          <w:color w:val="0D0D0D" w:themeColor="text1" w:themeTint="F2"/>
        </w:rPr>
        <w:t xml:space="preserve">Siguroni një raportim transparent dhe të saktë të cilësisë së aseteve dhe sigurimin e duhur, reduktoni më tej pengesat e mbetura për zgjidhjen e </w:t>
      </w:r>
      <w:r w:rsidR="007066AD" w:rsidRPr="00770F9D">
        <w:rPr>
          <w:rFonts w:ascii="Garamond" w:hAnsi="Garamond" w:cstheme="majorBidi"/>
          <w:b/>
          <w:bCs/>
          <w:color w:val="0D0D0D" w:themeColor="text1" w:themeTint="F2"/>
        </w:rPr>
        <w:t>kredive të këqija</w:t>
      </w:r>
      <w:r w:rsidRPr="00770F9D">
        <w:rPr>
          <w:rFonts w:ascii="Garamond" w:hAnsi="Garamond" w:cstheme="majorBidi"/>
          <w:b/>
          <w:bCs/>
          <w:color w:val="0D0D0D" w:themeColor="text1" w:themeTint="F2"/>
        </w:rPr>
        <w:t>, veçanërisht duke zgjidhur ngërçin e përmbarimit, dhe zvogëloni boshllëqet e të dhënave në veçanti për sa i përket sektorit të pasurive të paluajtshme.</w:t>
      </w:r>
    </w:p>
    <w:p w14:paraId="46B3BF2D" w14:textId="1698DFD0" w:rsidR="007066AD" w:rsidRPr="00770F9D" w:rsidRDefault="007066AD" w:rsidP="00C77F3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Në lidhje me përmirësimin e të dhënave për sektorin e pasurisë së paluajtshme, Banka e Sh</w:t>
      </w:r>
      <w:r w:rsidR="0009653E" w:rsidRPr="00770F9D">
        <w:rPr>
          <w:rFonts w:ascii="Garamond" w:hAnsi="Garamond" w:cstheme="majorBidi"/>
          <w:color w:val="0D0D0D" w:themeColor="text1" w:themeTint="F2"/>
        </w:rPr>
        <w:t>qipërisë ka hartuar një projekt</w:t>
      </w:r>
      <w:r w:rsidRPr="00770F9D">
        <w:rPr>
          <w:rFonts w:ascii="Garamond" w:hAnsi="Garamond" w:cstheme="majorBidi"/>
          <w:color w:val="0D0D0D" w:themeColor="text1" w:themeTint="F2"/>
        </w:rPr>
        <w:t>rregullore, e cila synon të përmirësojë mbledhjen e informacionit për ekspozimet e sektorit bankar (huadhënie dhe investime) në sektorin e pasurisë së paluajtshme (rezi</w:t>
      </w:r>
      <w:r w:rsidR="00257CD0" w:rsidRPr="00770F9D">
        <w:rPr>
          <w:rFonts w:ascii="Garamond" w:hAnsi="Garamond" w:cstheme="majorBidi"/>
          <w:color w:val="0D0D0D" w:themeColor="text1" w:themeTint="F2"/>
        </w:rPr>
        <w:t>denciale dhe tregtare). Projekt</w:t>
      </w:r>
      <w:r w:rsidRPr="00770F9D">
        <w:rPr>
          <w:rFonts w:ascii="Garamond" w:hAnsi="Garamond" w:cstheme="majorBidi"/>
          <w:color w:val="0D0D0D" w:themeColor="text1" w:themeTint="F2"/>
        </w:rPr>
        <w:t>rregullorja do të siguro</w:t>
      </w:r>
      <w:r w:rsidR="00257CD0" w:rsidRPr="00770F9D">
        <w:rPr>
          <w:rFonts w:ascii="Garamond" w:hAnsi="Garamond" w:cstheme="majorBidi"/>
          <w:color w:val="0D0D0D" w:themeColor="text1" w:themeTint="F2"/>
        </w:rPr>
        <w:t>jë që ky informacion bazohet te</w:t>
      </w:r>
      <w:r w:rsidRPr="00770F9D">
        <w:rPr>
          <w:rFonts w:ascii="Garamond" w:hAnsi="Garamond" w:cstheme="majorBidi"/>
          <w:color w:val="0D0D0D" w:themeColor="text1" w:themeTint="F2"/>
        </w:rPr>
        <w:t xml:space="preserve"> përkufizimet më të fundit dhe lejon llogaritjen e treguesve kryesorë të </w:t>
      </w:r>
      <w:r w:rsidR="00257CD0" w:rsidRPr="00770F9D">
        <w:rPr>
          <w:rFonts w:ascii="Garamond" w:hAnsi="Garamond" w:cstheme="majorBidi"/>
          <w:color w:val="0D0D0D" w:themeColor="text1" w:themeTint="F2"/>
        </w:rPr>
        <w:t>standardeve</w:t>
      </w:r>
      <w:r w:rsidRPr="00770F9D">
        <w:rPr>
          <w:rFonts w:ascii="Garamond" w:hAnsi="Garamond" w:cstheme="majorBidi"/>
          <w:color w:val="0D0D0D" w:themeColor="text1" w:themeTint="F2"/>
        </w:rPr>
        <w:t xml:space="preserve"> të huadhënies në sektorin e pasurisë së paluajtshme, pë</w:t>
      </w:r>
      <w:r w:rsidR="00257CD0" w:rsidRPr="00770F9D">
        <w:rPr>
          <w:rFonts w:ascii="Garamond" w:hAnsi="Garamond" w:cstheme="majorBidi"/>
          <w:color w:val="0D0D0D" w:themeColor="text1" w:themeTint="F2"/>
        </w:rPr>
        <w:t>rfshirë treguesit “vlera e huas</w:t>
      </w:r>
      <w:r w:rsidRPr="00770F9D">
        <w:rPr>
          <w:rFonts w:ascii="Garamond" w:hAnsi="Garamond" w:cstheme="majorBidi"/>
          <w:color w:val="0D0D0D" w:themeColor="text1" w:themeTint="F2"/>
        </w:rPr>
        <w:t>/vler</w:t>
      </w:r>
      <w:r w:rsidR="00257CD0" w:rsidRPr="00770F9D">
        <w:rPr>
          <w:rFonts w:ascii="Garamond" w:hAnsi="Garamond" w:cstheme="majorBidi"/>
          <w:color w:val="0D0D0D" w:themeColor="text1" w:themeTint="F2"/>
        </w:rPr>
        <w:t>a e kolateralit”, “vlera e huas</w:t>
      </w:r>
      <w:r w:rsidRPr="00770F9D">
        <w:rPr>
          <w:rFonts w:ascii="Garamond" w:hAnsi="Garamond" w:cstheme="majorBidi"/>
          <w:color w:val="0D0D0D" w:themeColor="text1" w:themeTint="F2"/>
        </w:rPr>
        <w:t>/të ardhurat” dhe raporti “shërbimi i borxhit/të ardhurat”. Për hartimin e projektrregullores, Banka e Shqipërisë ka marrë parasysh rekomandimet e Bordit Evropian të Rrezikut Sistemik në ESRB/2016/14 dhe të ndryshuara në ESRB/2019/3. Gjithashtu, projektrregullorja i njeh Bankës së Shqipërisë fuqinë për t</w:t>
      </w:r>
      <w:r w:rsidR="00996F2C">
        <w:rPr>
          <w:rFonts w:ascii="Garamond" w:hAnsi="Garamond" w:cstheme="majorBidi"/>
          <w:color w:val="0D0D0D" w:themeColor="text1" w:themeTint="F2"/>
        </w:rPr>
        <w:t>’</w:t>
      </w:r>
      <w:r w:rsidRPr="00770F9D">
        <w:rPr>
          <w:rFonts w:ascii="Garamond" w:hAnsi="Garamond" w:cstheme="majorBidi"/>
          <w:color w:val="0D0D0D" w:themeColor="text1" w:themeTint="F2"/>
        </w:rPr>
        <w:t>i përdorur këta tregues si instrument të politikës makroprudenciale, në raste kur vërehen dobësi në aktivitetin huadhënës të lidhur me sektorin e pasurisë së paluajtshme. Banka e Shqipërisë ka nisur procesin e konsultimit të projektrregullores me bankat.</w:t>
      </w:r>
    </w:p>
    <w:p w14:paraId="1202F0D2" w14:textId="77777777" w:rsidR="000A083E" w:rsidRPr="00770F9D" w:rsidRDefault="000A083E"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UP 3.3</w:t>
      </w:r>
    </w:p>
    <w:p w14:paraId="15DD5879" w14:textId="77777777" w:rsidR="00DB3786" w:rsidRPr="00770F9D" w:rsidRDefault="00DB3786" w:rsidP="003F46E1">
      <w:pPr>
        <w:snapToGrid w:val="0"/>
        <w:ind w:firstLine="284"/>
        <w:jc w:val="both"/>
        <w:rPr>
          <w:rFonts w:ascii="Garamond" w:hAnsi="Garamond" w:cstheme="majorBidi"/>
          <w:b/>
          <w:bCs/>
          <w:color w:val="0D0D0D" w:themeColor="text1" w:themeTint="F2"/>
        </w:rPr>
      </w:pPr>
      <w:r w:rsidRPr="00770F9D">
        <w:rPr>
          <w:rFonts w:ascii="Garamond" w:hAnsi="Garamond" w:cstheme="majorBidi"/>
          <w:b/>
          <w:bCs/>
          <w:color w:val="0D0D0D" w:themeColor="text1" w:themeTint="F2"/>
        </w:rPr>
        <w:t>Nxitni zbatimin e masave që synojnë nxitjen e kursimit dhe huamarrjes në monedhën kombëtare dhe kufizimin e përdorimit të valutës në ekonominë reale, duke përfshirë edhe masat në kompetencën e qeverisë në përputhje me Memorandumin e Bashkëpunimit.</w:t>
      </w:r>
    </w:p>
    <w:p w14:paraId="6797C590" w14:textId="77777777" w:rsidR="00B33D90" w:rsidRPr="00770F9D" w:rsidRDefault="00B33D90"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Masat e parashikuara në MoU mbeten në zbatim.</w:t>
      </w:r>
    </w:p>
    <w:p w14:paraId="07F31145" w14:textId="1E099276"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 xml:space="preserve">Udhëzimi i </w:t>
      </w:r>
      <w:r w:rsidR="001A7C3F" w:rsidRPr="00770F9D">
        <w:rPr>
          <w:rFonts w:ascii="Garamond" w:hAnsi="Garamond" w:cs="Garamond"/>
          <w:color w:val="0D0D0D"/>
          <w:lang w:eastAsia="sq-AL"/>
        </w:rPr>
        <w:t xml:space="preserve">politikave </w:t>
      </w:r>
      <w:r w:rsidRPr="00770F9D">
        <w:rPr>
          <w:rFonts w:ascii="Garamond" w:hAnsi="Garamond" w:cs="Garamond"/>
          <w:color w:val="0D0D0D"/>
          <w:lang w:eastAsia="sq-AL"/>
        </w:rPr>
        <w:t>4</w:t>
      </w:r>
    </w:p>
    <w:p w14:paraId="12EA3705" w14:textId="77777777"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UP 4.1</w:t>
      </w:r>
    </w:p>
    <w:p w14:paraId="3E4D8213" w14:textId="77777777" w:rsidR="00072546" w:rsidRPr="00770F9D" w:rsidRDefault="00072546" w:rsidP="003F46E1">
      <w:pPr>
        <w:autoSpaceDE w:val="0"/>
        <w:autoSpaceDN w:val="0"/>
        <w:adjustRightInd w:val="0"/>
        <w:ind w:firstLine="284"/>
        <w:jc w:val="both"/>
        <w:rPr>
          <w:rFonts w:ascii="Garamond" w:hAnsi="Garamond" w:cs="Garamond"/>
          <w:b/>
          <w:bCs/>
          <w:color w:val="0D0D0D"/>
          <w:lang w:eastAsia="sq-AL"/>
        </w:rPr>
      </w:pPr>
      <w:r w:rsidRPr="00770F9D">
        <w:rPr>
          <w:rFonts w:ascii="Garamond" w:hAnsi="Garamond" w:cs="Garamond"/>
          <w:b/>
          <w:bCs/>
          <w:color w:val="0D0D0D"/>
          <w:lang w:eastAsia="sq-AL"/>
        </w:rPr>
        <w:t>Ofroni shërbime të zgjeruara të mbështetjes së biznesit për të përmirësuar aksesin në financa dhe njohuritë e sipërmarrjes.</w:t>
      </w:r>
    </w:p>
    <w:p w14:paraId="3E83E2C7" w14:textId="79E7C81C" w:rsidR="00072546" w:rsidRPr="00770F9D" w:rsidRDefault="0090730B"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Symbol"/>
          <w:color w:val="0D0D0D"/>
          <w:lang w:eastAsia="sq-AL"/>
        </w:rPr>
        <w:t>-</w:t>
      </w:r>
      <w:r w:rsidR="00263132" w:rsidRPr="00770F9D">
        <w:rPr>
          <w:rFonts w:ascii="Garamond" w:hAnsi="Garamond" w:cs="Symbol"/>
          <w:color w:val="0D0D0D"/>
          <w:lang w:eastAsia="sq-AL"/>
        </w:rPr>
        <w:t xml:space="preserve"> </w:t>
      </w:r>
      <w:r w:rsidR="00072546" w:rsidRPr="00770F9D">
        <w:rPr>
          <w:rFonts w:ascii="Garamond" w:hAnsi="Garamond" w:cs="Garamond"/>
          <w:color w:val="0D0D0D"/>
          <w:lang w:eastAsia="sq-AL"/>
        </w:rPr>
        <w:t>Miratimi</w:t>
      </w:r>
      <w:r w:rsidR="00BC68C6" w:rsidRPr="00770F9D">
        <w:rPr>
          <w:rFonts w:ascii="Garamond" w:hAnsi="Garamond" w:cs="Garamond"/>
          <w:color w:val="0D0D0D"/>
          <w:lang w:eastAsia="sq-AL"/>
        </w:rPr>
        <w:t xml:space="preserve"> i ligjit nr. 43/2022, datë 21.</w:t>
      </w:r>
      <w:r w:rsidR="00072546" w:rsidRPr="00770F9D">
        <w:rPr>
          <w:rFonts w:ascii="Garamond" w:hAnsi="Garamond" w:cs="Garamond"/>
          <w:color w:val="0D0D0D"/>
          <w:lang w:eastAsia="sq-AL"/>
        </w:rPr>
        <w:t>4.2022</w:t>
      </w:r>
      <w:r w:rsidR="00BC68C6" w:rsidRPr="00770F9D">
        <w:rPr>
          <w:rFonts w:ascii="Garamond" w:hAnsi="Garamond" w:cs="Garamond"/>
          <w:color w:val="0D0D0D"/>
          <w:lang w:eastAsia="sq-AL"/>
        </w:rPr>
        <w:t>,</w:t>
      </w:r>
      <w:r w:rsidR="00072546" w:rsidRPr="00770F9D">
        <w:rPr>
          <w:rFonts w:ascii="Garamond" w:hAnsi="Garamond" w:cs="Garamond"/>
          <w:color w:val="0D0D0D"/>
          <w:lang w:eastAsia="sq-AL"/>
        </w:rPr>
        <w:t xml:space="preserve"> “Për zhvillimin e sipërmarrjeve mikro, të vogla dhe të mesme”</w:t>
      </w:r>
      <w:r w:rsidR="00BC68C6" w:rsidRPr="00770F9D">
        <w:rPr>
          <w:rFonts w:ascii="Garamond" w:hAnsi="Garamond" w:cs="Garamond"/>
          <w:color w:val="0D0D0D"/>
          <w:lang w:eastAsia="sq-AL"/>
        </w:rPr>
        <w:t>,</w:t>
      </w:r>
      <w:r w:rsidR="00072546" w:rsidRPr="00770F9D">
        <w:rPr>
          <w:rFonts w:ascii="Garamond" w:hAnsi="Garamond" w:cs="Garamond"/>
          <w:color w:val="0D0D0D"/>
          <w:lang w:eastAsia="sq-AL"/>
        </w:rPr>
        <w:t xml:space="preserve"> nga Kuvendi i Shqipërisë dhe botimi në Fl</w:t>
      </w:r>
      <w:r w:rsidR="00BC68C6" w:rsidRPr="00770F9D">
        <w:rPr>
          <w:rFonts w:ascii="Garamond" w:hAnsi="Garamond" w:cs="Garamond"/>
          <w:color w:val="0D0D0D"/>
          <w:lang w:eastAsia="sq-AL"/>
        </w:rPr>
        <w:t>etoren Zyrtare nr. 76, datë 20.</w:t>
      </w:r>
      <w:r w:rsidR="00072546" w:rsidRPr="00770F9D">
        <w:rPr>
          <w:rFonts w:ascii="Garamond" w:hAnsi="Garamond" w:cs="Garamond"/>
          <w:color w:val="0D0D0D"/>
          <w:lang w:eastAsia="sq-AL"/>
        </w:rPr>
        <w:t xml:space="preserve">5.2022. </w:t>
      </w:r>
    </w:p>
    <w:p w14:paraId="649FB7E5" w14:textId="69A7DFA1" w:rsidR="00072546" w:rsidRPr="00770F9D" w:rsidRDefault="0090730B" w:rsidP="00BC68C6">
      <w:pPr>
        <w:autoSpaceDE w:val="0"/>
        <w:autoSpaceDN w:val="0"/>
        <w:adjustRightInd w:val="0"/>
        <w:ind w:firstLine="284"/>
        <w:jc w:val="both"/>
        <w:rPr>
          <w:rFonts w:ascii="Garamond" w:hAnsi="Garamond" w:cs="Garamond"/>
          <w:color w:val="0D0D0D"/>
          <w:lang w:eastAsia="sq-AL"/>
        </w:rPr>
      </w:pPr>
      <w:r w:rsidRPr="00770F9D">
        <w:rPr>
          <w:rFonts w:ascii="Garamond" w:hAnsi="Garamond" w:cs="Symbol"/>
          <w:color w:val="0D0D0D"/>
          <w:lang w:eastAsia="sq-AL"/>
        </w:rPr>
        <w:t>-</w:t>
      </w:r>
      <w:r w:rsidR="00BA4F1A" w:rsidRPr="00770F9D">
        <w:rPr>
          <w:rFonts w:ascii="Garamond" w:hAnsi="Garamond" w:cs="Symbol"/>
          <w:color w:val="0D0D0D"/>
          <w:lang w:eastAsia="sq-AL"/>
        </w:rPr>
        <w:t xml:space="preserve"> </w:t>
      </w:r>
      <w:r w:rsidR="00072546" w:rsidRPr="00770F9D">
        <w:rPr>
          <w:rFonts w:ascii="Garamond" w:hAnsi="Garamond" w:cs="Garamond"/>
          <w:color w:val="0D0D0D"/>
          <w:lang w:eastAsia="sq-AL"/>
        </w:rPr>
        <w:t>Miratimi i akteve nënligjo</w:t>
      </w:r>
      <w:r w:rsidR="00BC68C6" w:rsidRPr="00770F9D">
        <w:rPr>
          <w:rFonts w:ascii="Garamond" w:hAnsi="Garamond" w:cs="Garamond"/>
          <w:color w:val="0D0D0D"/>
          <w:lang w:eastAsia="sq-AL"/>
        </w:rPr>
        <w:t>re ligjit nr. 43/2022, datë 21.</w:t>
      </w:r>
      <w:r w:rsidR="00072546" w:rsidRPr="00770F9D">
        <w:rPr>
          <w:rFonts w:ascii="Garamond" w:hAnsi="Garamond" w:cs="Garamond"/>
          <w:color w:val="0D0D0D"/>
          <w:lang w:eastAsia="sq-AL"/>
        </w:rPr>
        <w:t>4.2022</w:t>
      </w:r>
      <w:r w:rsidR="00BC68C6" w:rsidRPr="00770F9D">
        <w:rPr>
          <w:rFonts w:ascii="Garamond" w:hAnsi="Garamond" w:cs="Garamond"/>
          <w:color w:val="0D0D0D"/>
          <w:lang w:eastAsia="sq-AL"/>
        </w:rPr>
        <w:t>.</w:t>
      </w:r>
    </w:p>
    <w:p w14:paraId="5E5EB098" w14:textId="479616FC"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Vendim </w:t>
      </w:r>
      <w:r w:rsidR="00BC68C6" w:rsidRPr="00770F9D">
        <w:rPr>
          <w:rFonts w:ascii="Garamond" w:hAnsi="Garamond" w:cs="Garamond"/>
          <w:color w:val="0D0D0D"/>
          <w:lang w:eastAsia="sq-AL"/>
        </w:rPr>
        <w:t xml:space="preserve">i </w:t>
      </w:r>
      <w:r w:rsidRPr="00770F9D">
        <w:rPr>
          <w:rFonts w:ascii="Garamond" w:hAnsi="Garamond" w:cs="Garamond"/>
          <w:color w:val="0D0D0D"/>
          <w:lang w:eastAsia="sq-AL"/>
        </w:rPr>
        <w:t>KM</w:t>
      </w:r>
      <w:r w:rsidR="00BC68C6" w:rsidRPr="00770F9D">
        <w:rPr>
          <w:rFonts w:ascii="Garamond" w:hAnsi="Garamond" w:cs="Garamond"/>
          <w:color w:val="0D0D0D"/>
          <w:lang w:eastAsia="sq-AL"/>
        </w:rPr>
        <w:t>-së</w:t>
      </w:r>
      <w:r w:rsidRPr="00770F9D">
        <w:rPr>
          <w:rFonts w:ascii="Garamond" w:hAnsi="Garamond" w:cs="Garamond"/>
          <w:color w:val="0D0D0D"/>
          <w:lang w:eastAsia="sq-AL"/>
        </w:rPr>
        <w:t xml:space="preserve"> nr. 539, datë 29.7.2022</w:t>
      </w:r>
      <w:r w:rsidR="00BC68C6" w:rsidRPr="00770F9D">
        <w:rPr>
          <w:rFonts w:ascii="Garamond" w:hAnsi="Garamond" w:cs="Garamond"/>
          <w:color w:val="0D0D0D"/>
          <w:lang w:eastAsia="sq-AL"/>
        </w:rPr>
        <w:t>,</w:t>
      </w:r>
      <w:r w:rsidRPr="00770F9D">
        <w:rPr>
          <w:rFonts w:ascii="Garamond" w:hAnsi="Garamond" w:cs="Garamond"/>
          <w:color w:val="0D0D0D"/>
          <w:lang w:eastAsia="sq-AL"/>
        </w:rPr>
        <w:t xml:space="preserve"> “Për krijimin, organizimin, funksionimin, shpërblimin e anëtarëve të Bordit vlerësues të kërkesave, si dhe procedurën konkurruese për dhënien e granteve”.</w:t>
      </w:r>
    </w:p>
    <w:p w14:paraId="71A9A057" w14:textId="63FCA0DB"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Vendim KM nr. 540, datë 29.7.2022</w:t>
      </w:r>
      <w:r w:rsidR="00BC68C6" w:rsidRPr="00770F9D">
        <w:rPr>
          <w:rFonts w:ascii="Garamond" w:hAnsi="Garamond" w:cs="Garamond"/>
          <w:color w:val="0D0D0D"/>
          <w:lang w:eastAsia="sq-AL"/>
        </w:rPr>
        <w:t>,</w:t>
      </w:r>
      <w:r w:rsidRPr="00770F9D">
        <w:rPr>
          <w:rFonts w:ascii="Garamond" w:hAnsi="Garamond" w:cs="Garamond"/>
          <w:color w:val="0D0D0D"/>
          <w:lang w:eastAsia="sq-AL"/>
        </w:rPr>
        <w:t xml:space="preserve"> “Për përcaktimin e masës së përfitimit, kriteret dhe kushtet e veçanta të përfitimit për sipërmarrjet mikro, të vogla dhe të mesme për vitin 2022”.</w:t>
      </w:r>
    </w:p>
    <w:p w14:paraId="137923BE" w14:textId="232F9572"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Vendim KM nr. 541, datë 29.7.2022</w:t>
      </w:r>
      <w:r w:rsidR="008647A3" w:rsidRPr="00770F9D">
        <w:rPr>
          <w:rFonts w:ascii="Garamond" w:hAnsi="Garamond" w:cs="Garamond"/>
          <w:color w:val="0D0D0D"/>
          <w:lang w:eastAsia="sq-AL"/>
        </w:rPr>
        <w:t>,</w:t>
      </w:r>
      <w:r w:rsidRPr="00770F9D">
        <w:rPr>
          <w:rFonts w:ascii="Garamond" w:hAnsi="Garamond" w:cs="Garamond"/>
          <w:color w:val="0D0D0D"/>
          <w:lang w:eastAsia="sq-AL"/>
        </w:rPr>
        <w:t xml:space="preserve"> “Për kriteret e përzgjedhjes së anëtarëve, si dhe për organizimin, funksionimin e Këshillit Konsultativ për sipërmarrjet mikro, të vogla dhe të mesme”.</w:t>
      </w:r>
    </w:p>
    <w:p w14:paraId="295CE67F" w14:textId="60903BB4"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Miratuar dhe botuar në Fletoren Zyrtare</w:t>
      </w:r>
      <w:r w:rsidR="00BC68C6" w:rsidRPr="00770F9D">
        <w:rPr>
          <w:rFonts w:ascii="Garamond" w:hAnsi="Garamond" w:cs="Garamond"/>
          <w:color w:val="0D0D0D"/>
          <w:lang w:eastAsia="sq-AL"/>
        </w:rPr>
        <w:t>,</w:t>
      </w:r>
      <w:r w:rsidRPr="00770F9D">
        <w:rPr>
          <w:rFonts w:ascii="Garamond" w:hAnsi="Garamond" w:cs="Garamond"/>
          <w:color w:val="0D0D0D"/>
          <w:lang w:eastAsia="sq-AL"/>
        </w:rPr>
        <w:t xml:space="preserve"> </w:t>
      </w:r>
      <w:r w:rsidR="00BC68C6" w:rsidRPr="00770F9D">
        <w:rPr>
          <w:rFonts w:ascii="Garamond" w:hAnsi="Garamond" w:cs="Garamond"/>
          <w:color w:val="0D0D0D"/>
          <w:lang w:eastAsia="sq-AL"/>
        </w:rPr>
        <w:t xml:space="preserve">udhëzimi </w:t>
      </w:r>
      <w:r w:rsidRPr="00770F9D">
        <w:rPr>
          <w:rFonts w:ascii="Garamond" w:hAnsi="Garamond" w:cs="Garamond"/>
          <w:color w:val="0D0D0D"/>
          <w:lang w:eastAsia="sq-AL"/>
        </w:rPr>
        <w:t xml:space="preserve">i </w:t>
      </w:r>
      <w:r w:rsidR="00BC68C6" w:rsidRPr="00770F9D">
        <w:rPr>
          <w:rFonts w:ascii="Garamond" w:hAnsi="Garamond" w:cs="Garamond"/>
          <w:color w:val="0D0D0D"/>
          <w:lang w:eastAsia="sq-AL"/>
        </w:rPr>
        <w:t xml:space="preserve">ministrit </w:t>
      </w:r>
      <w:r w:rsidRPr="00770F9D">
        <w:rPr>
          <w:rFonts w:ascii="Garamond" w:hAnsi="Garamond" w:cs="Garamond"/>
          <w:color w:val="0D0D0D"/>
          <w:lang w:eastAsia="sq-AL"/>
        </w:rPr>
        <w:t>të Financave dhe Ekonomisë nr. 24, datë 12 korrik 2022</w:t>
      </w:r>
      <w:r w:rsidR="00BC68C6" w:rsidRPr="00770F9D">
        <w:rPr>
          <w:rFonts w:ascii="Garamond" w:hAnsi="Garamond" w:cs="Garamond"/>
          <w:color w:val="0D0D0D"/>
          <w:lang w:eastAsia="sq-AL"/>
        </w:rPr>
        <w:t>,</w:t>
      </w:r>
      <w:r w:rsidRPr="00770F9D">
        <w:rPr>
          <w:rFonts w:ascii="Garamond" w:hAnsi="Garamond" w:cs="Garamond"/>
          <w:color w:val="0D0D0D"/>
          <w:lang w:eastAsia="sq-AL"/>
        </w:rPr>
        <w:t xml:space="preserve"> “Për mënyrën, formularin e deklarimit të kategorisë së sipërmarrjeve dhe llogaritjen e të dhënave për sipërmarrjet mikro, të vogla dhe të mesme”.</w:t>
      </w:r>
    </w:p>
    <w:p w14:paraId="24062641" w14:textId="77777777" w:rsidR="00E74E85" w:rsidRPr="00770F9D" w:rsidRDefault="00E74E85" w:rsidP="003F46E1">
      <w:pPr>
        <w:ind w:firstLine="284"/>
        <w:jc w:val="both"/>
        <w:rPr>
          <w:rFonts w:ascii="Garamond" w:hAnsi="Garamond" w:cstheme="majorBidi"/>
          <w:bCs/>
          <w:color w:val="0D0D0D" w:themeColor="text1" w:themeTint="F2"/>
        </w:rPr>
      </w:pPr>
      <w:r w:rsidRPr="00770F9D">
        <w:rPr>
          <w:rFonts w:ascii="Garamond" w:hAnsi="Garamond" w:cstheme="majorBidi"/>
          <w:bCs/>
          <w:color w:val="0D0D0D" w:themeColor="text1" w:themeTint="F2"/>
        </w:rPr>
        <w:t>Udhëzues për tregtinë elektronike</w:t>
      </w:r>
    </w:p>
    <w:p w14:paraId="1AF65A84" w14:textId="274077BF" w:rsidR="00E74E85" w:rsidRPr="00770F9D" w:rsidRDefault="00E74E85" w:rsidP="003F46E1">
      <w:pPr>
        <w:pStyle w:val="ListParagraph"/>
        <w:ind w:left="0" w:firstLine="284"/>
        <w:jc w:val="both"/>
        <w:rPr>
          <w:rFonts w:ascii="Garamond" w:hAnsi="Garamond" w:cstheme="majorBidi"/>
          <w:color w:val="0D0D0D" w:themeColor="text1" w:themeTint="F2"/>
          <w:sz w:val="24"/>
          <w:szCs w:val="24"/>
          <w:lang w:val="sq-AL"/>
        </w:rPr>
      </w:pPr>
      <w:r w:rsidRPr="00770F9D">
        <w:rPr>
          <w:rFonts w:ascii="Garamond" w:hAnsi="Garamond" w:cstheme="majorBidi"/>
          <w:color w:val="0D0D0D" w:themeColor="text1" w:themeTint="F2"/>
          <w:sz w:val="24"/>
          <w:szCs w:val="24"/>
          <w:lang w:val="sq-AL"/>
        </w:rPr>
        <w:t xml:space="preserve">AIDA hartoi një udhëzues të shkurtër me ndihmën e ekspertëve të Bankës Botërore, i cili do të ndihmojë bizneset e SME-ve që duan të zhvillojnë tregtinë elektronike. Ky udhëzues përmban informacion dhe hapa për krijimin dhe përdorimin e </w:t>
      </w:r>
      <w:r w:rsidRPr="00770F9D">
        <w:rPr>
          <w:rFonts w:ascii="Garamond" w:hAnsi="Garamond" w:cstheme="majorBidi"/>
          <w:i/>
          <w:iCs/>
          <w:color w:val="0D0D0D" w:themeColor="text1" w:themeTint="F2"/>
          <w:sz w:val="24"/>
          <w:szCs w:val="24"/>
          <w:lang w:val="sq-AL"/>
        </w:rPr>
        <w:t>e-</w:t>
      </w:r>
      <w:r w:rsidR="00096476" w:rsidRPr="00770F9D">
        <w:rPr>
          <w:rFonts w:ascii="Garamond" w:hAnsi="Garamond" w:cstheme="majorBidi"/>
          <w:i/>
          <w:iCs/>
          <w:color w:val="0D0D0D" w:themeColor="text1" w:themeTint="F2"/>
          <w:sz w:val="24"/>
          <w:szCs w:val="24"/>
          <w:lang w:val="sq-AL"/>
        </w:rPr>
        <w:t>Commerce</w:t>
      </w:r>
      <w:r w:rsidR="00096476" w:rsidRPr="00770F9D">
        <w:rPr>
          <w:rFonts w:ascii="Garamond" w:hAnsi="Garamond" w:cstheme="majorBidi"/>
          <w:color w:val="0D0D0D" w:themeColor="text1" w:themeTint="F2"/>
          <w:sz w:val="24"/>
          <w:szCs w:val="24"/>
          <w:lang w:val="sq-AL"/>
        </w:rPr>
        <w:t xml:space="preserve"> </w:t>
      </w:r>
      <w:r w:rsidRPr="00770F9D">
        <w:rPr>
          <w:rFonts w:ascii="Garamond" w:hAnsi="Garamond" w:cstheme="majorBidi"/>
          <w:color w:val="0D0D0D" w:themeColor="text1" w:themeTint="F2"/>
          <w:sz w:val="24"/>
          <w:szCs w:val="24"/>
          <w:lang w:val="sq-AL"/>
        </w:rPr>
        <w:t xml:space="preserve">në mënyrë që të zgjerohet tregu i kompanisë dhe të ofrohet një shërbim/produkt më i shpejtë. AIDA e finalizoi </w:t>
      </w:r>
      <w:r w:rsidR="00096476" w:rsidRPr="00770F9D">
        <w:rPr>
          <w:rFonts w:ascii="Garamond" w:hAnsi="Garamond" w:cstheme="majorBidi"/>
          <w:color w:val="0D0D0D" w:themeColor="text1" w:themeTint="F2"/>
          <w:sz w:val="24"/>
          <w:szCs w:val="24"/>
          <w:lang w:val="sq-AL"/>
        </w:rPr>
        <w:t xml:space="preserve">udhëzuesin </w:t>
      </w:r>
      <w:r w:rsidRPr="00770F9D">
        <w:rPr>
          <w:rFonts w:ascii="Garamond" w:hAnsi="Garamond" w:cstheme="majorBidi"/>
          <w:color w:val="0D0D0D" w:themeColor="text1" w:themeTint="F2"/>
          <w:sz w:val="24"/>
          <w:szCs w:val="24"/>
          <w:lang w:val="sq-AL"/>
        </w:rPr>
        <w:t xml:space="preserve">dhe e publikoi në </w:t>
      </w:r>
      <w:r w:rsidR="00096476" w:rsidRPr="00770F9D">
        <w:rPr>
          <w:rFonts w:ascii="Garamond" w:hAnsi="Garamond" w:cstheme="majorBidi"/>
          <w:color w:val="0D0D0D" w:themeColor="text1" w:themeTint="F2"/>
          <w:sz w:val="24"/>
          <w:szCs w:val="24"/>
          <w:lang w:val="sq-AL"/>
        </w:rPr>
        <w:t xml:space="preserve">mars </w:t>
      </w:r>
      <w:r w:rsidRPr="00770F9D">
        <w:rPr>
          <w:rFonts w:ascii="Garamond" w:hAnsi="Garamond" w:cstheme="majorBidi"/>
          <w:color w:val="0D0D0D" w:themeColor="text1" w:themeTint="F2"/>
          <w:sz w:val="24"/>
          <w:szCs w:val="24"/>
          <w:lang w:val="sq-AL"/>
        </w:rPr>
        <w:t>2022 në të gjitha kanalet e saj të komunikimit.</w:t>
      </w:r>
    </w:p>
    <w:p w14:paraId="7B9474E9" w14:textId="77777777" w:rsidR="00E74E85" w:rsidRPr="00770F9D" w:rsidRDefault="00E74E85" w:rsidP="003F46E1">
      <w:pPr>
        <w:ind w:firstLine="284"/>
        <w:jc w:val="both"/>
        <w:rPr>
          <w:rFonts w:ascii="Garamond" w:hAnsi="Garamond" w:cstheme="majorBidi"/>
          <w:bCs/>
          <w:color w:val="0D0D0D" w:themeColor="text1" w:themeTint="F2"/>
        </w:rPr>
      </w:pPr>
      <w:r w:rsidRPr="00770F9D">
        <w:rPr>
          <w:rFonts w:ascii="Garamond" w:hAnsi="Garamond" w:cstheme="majorBidi"/>
          <w:bCs/>
          <w:color w:val="0D0D0D" w:themeColor="text1" w:themeTint="F2"/>
        </w:rPr>
        <w:t>Mjeti i vetëvlerësimit</w:t>
      </w:r>
    </w:p>
    <w:p w14:paraId="09561957" w14:textId="7012808D" w:rsidR="00E74E85" w:rsidRPr="00770F9D" w:rsidRDefault="00E74E85" w:rsidP="003F46E1">
      <w:pPr>
        <w:ind w:firstLine="284"/>
        <w:jc w:val="both"/>
        <w:rPr>
          <w:rFonts w:ascii="Garamond" w:hAnsi="Garamond" w:cstheme="majorBidi"/>
          <w:bCs/>
          <w:color w:val="0D0D0D" w:themeColor="text1" w:themeTint="F2"/>
        </w:rPr>
      </w:pPr>
      <w:r w:rsidRPr="00770F9D">
        <w:rPr>
          <w:rFonts w:ascii="Garamond" w:hAnsi="Garamond" w:cstheme="majorBidi"/>
          <w:bCs/>
          <w:color w:val="0D0D0D" w:themeColor="text1" w:themeTint="F2"/>
        </w:rPr>
        <w:t xml:space="preserve">“Mjeti i </w:t>
      </w:r>
      <w:r w:rsidR="00096476" w:rsidRPr="00770F9D">
        <w:rPr>
          <w:rFonts w:ascii="Garamond" w:hAnsi="Garamond" w:cstheme="majorBidi"/>
          <w:bCs/>
          <w:color w:val="0D0D0D" w:themeColor="text1" w:themeTint="F2"/>
        </w:rPr>
        <w:t>vetëvlerësimit</w:t>
      </w:r>
      <w:r w:rsidRPr="00770F9D">
        <w:rPr>
          <w:rFonts w:ascii="Garamond" w:hAnsi="Garamond" w:cstheme="majorBidi"/>
          <w:bCs/>
          <w:color w:val="0D0D0D" w:themeColor="text1" w:themeTint="F2"/>
        </w:rPr>
        <w:t xml:space="preserve">” është një mjet </w:t>
      </w:r>
      <w:r w:rsidR="003F4C96" w:rsidRPr="00770F9D">
        <w:rPr>
          <w:rFonts w:ascii="Garamond" w:hAnsi="Garamond" w:cstheme="majorBidi"/>
          <w:bCs/>
          <w:color w:val="0D0D0D" w:themeColor="text1" w:themeTint="F2"/>
        </w:rPr>
        <w:t>digjital</w:t>
      </w:r>
      <w:r w:rsidRPr="00770F9D">
        <w:rPr>
          <w:rFonts w:ascii="Garamond" w:hAnsi="Garamond" w:cstheme="majorBidi"/>
          <w:bCs/>
          <w:color w:val="0D0D0D" w:themeColor="text1" w:themeTint="F2"/>
        </w:rPr>
        <w:t xml:space="preserve">, i vendosur në faqen e AIDA-s, i cili do t'u shërbejë bizneseve të vetëvlerësojnë nivelin e njohurive dhe zhvillimit të tregtisë elektronike, për të matur dhe nxjerrë statistika se sa është </w:t>
      </w:r>
      <w:r w:rsidRPr="00770F9D">
        <w:rPr>
          <w:rFonts w:ascii="Garamond" w:hAnsi="Garamond" w:cstheme="majorBidi"/>
          <w:bCs/>
          <w:i/>
          <w:iCs/>
          <w:color w:val="0D0D0D" w:themeColor="text1" w:themeTint="F2"/>
        </w:rPr>
        <w:t>e-</w:t>
      </w:r>
      <w:r w:rsidR="00096476" w:rsidRPr="00770F9D">
        <w:rPr>
          <w:rFonts w:ascii="Garamond" w:hAnsi="Garamond" w:cstheme="majorBidi"/>
          <w:bCs/>
          <w:i/>
          <w:iCs/>
          <w:color w:val="0D0D0D" w:themeColor="text1" w:themeTint="F2"/>
        </w:rPr>
        <w:t>Commerce</w:t>
      </w:r>
      <w:r w:rsidRPr="00770F9D">
        <w:rPr>
          <w:rFonts w:ascii="Garamond" w:hAnsi="Garamond" w:cstheme="majorBidi"/>
          <w:bCs/>
          <w:i/>
          <w:iCs/>
          <w:color w:val="0D0D0D" w:themeColor="text1" w:themeTint="F2"/>
        </w:rPr>
        <w:t>.</w:t>
      </w:r>
      <w:r w:rsidRPr="00770F9D">
        <w:rPr>
          <w:rFonts w:ascii="Garamond" w:hAnsi="Garamond" w:cstheme="majorBidi"/>
          <w:bCs/>
          <w:color w:val="0D0D0D" w:themeColor="text1" w:themeTint="F2"/>
        </w:rPr>
        <w:t xml:space="preserve"> </w:t>
      </w:r>
    </w:p>
    <w:p w14:paraId="52C832D1" w14:textId="77777777" w:rsidR="00E74E85" w:rsidRPr="00770F9D" w:rsidRDefault="00E74E85"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Aktivitete informative dhe trajnime</w:t>
      </w:r>
    </w:p>
    <w:p w14:paraId="6552541D" w14:textId="7705AA8F" w:rsidR="00E74E85" w:rsidRPr="00770F9D" w:rsidRDefault="00E74E85" w:rsidP="00A679D7">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Në kuadër të fushatës sensibilizuese dhe aktiviteteve informuese gjatë muajve maj</w:t>
      </w:r>
      <w:r w:rsidR="00A679D7" w:rsidRPr="00770F9D">
        <w:rPr>
          <w:rFonts w:ascii="Garamond" w:hAnsi="Garamond" w:cs="Garamond"/>
          <w:color w:val="0D0D0D"/>
          <w:lang w:eastAsia="sq-AL"/>
        </w:rPr>
        <w:t>–</w:t>
      </w:r>
      <w:r w:rsidRPr="00770F9D">
        <w:rPr>
          <w:rFonts w:ascii="Garamond" w:hAnsi="Garamond" w:cstheme="majorBidi"/>
          <w:color w:val="0D0D0D" w:themeColor="text1" w:themeTint="F2"/>
        </w:rPr>
        <w:t>qershor, AIDA zhvilloi një cikël seminaresh informuese me stafin e drejtorive të saj dhe me përfaqësues nga institucionet publike dhe dhomat e tregtisë, me qëllim prezantimin e udhëzuesit të tregtisë elektronike dhe të ndërtojë kapacitete për ndërmarrjet dhe palët e interesuara të zhvillojnë tregtinë elektronike.</w:t>
      </w:r>
    </w:p>
    <w:p w14:paraId="03FA7E2D" w14:textId="6143B8DD" w:rsidR="00E74E85" w:rsidRPr="00770F9D" w:rsidRDefault="00E74E85"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Financimi i granteve për MSME-të për të zbatuar </w:t>
      </w:r>
      <w:r w:rsidR="003F4C96" w:rsidRPr="00770F9D">
        <w:rPr>
          <w:rFonts w:ascii="Garamond" w:hAnsi="Garamond" w:cstheme="majorBidi"/>
          <w:color w:val="0D0D0D" w:themeColor="text1" w:themeTint="F2"/>
        </w:rPr>
        <w:t>digjital</w:t>
      </w:r>
      <w:r w:rsidRPr="00770F9D">
        <w:rPr>
          <w:rFonts w:ascii="Garamond" w:hAnsi="Garamond" w:cstheme="majorBidi"/>
          <w:color w:val="0D0D0D" w:themeColor="text1" w:themeTint="F2"/>
        </w:rPr>
        <w:t>izimin dhe tregtinë elektronike, AIDA do t</w:t>
      </w:r>
      <w:r w:rsidR="00A84445" w:rsidRPr="00770F9D">
        <w:rPr>
          <w:rFonts w:ascii="Garamond" w:eastAsia="Arial Narrow" w:hAnsi="Garamond" w:cstheme="majorBidi"/>
          <w:color w:val="0D0D0D" w:themeColor="text1" w:themeTint="F2"/>
        </w:rPr>
        <w:t>ë</w:t>
      </w:r>
      <w:r w:rsidRPr="00770F9D">
        <w:rPr>
          <w:rFonts w:ascii="Garamond" w:hAnsi="Garamond" w:cstheme="majorBidi"/>
          <w:color w:val="0D0D0D" w:themeColor="text1" w:themeTint="F2"/>
        </w:rPr>
        <w:t xml:space="preserve"> menaxhoj</w:t>
      </w:r>
      <w:r w:rsidR="00A84445" w:rsidRPr="00770F9D">
        <w:rPr>
          <w:rFonts w:ascii="Garamond" w:eastAsia="Arial Narrow" w:hAnsi="Garamond" w:cstheme="majorBidi"/>
          <w:color w:val="0D0D0D" w:themeColor="text1" w:themeTint="F2"/>
        </w:rPr>
        <w:t>ë</w:t>
      </w:r>
      <w:r w:rsidRPr="00770F9D">
        <w:rPr>
          <w:rFonts w:ascii="Garamond" w:hAnsi="Garamond" w:cstheme="majorBidi"/>
          <w:color w:val="0D0D0D" w:themeColor="text1" w:themeTint="F2"/>
        </w:rPr>
        <w:t xml:space="preserve"> p</w:t>
      </w:r>
      <w:r w:rsidR="00A84445" w:rsidRPr="00770F9D">
        <w:rPr>
          <w:rFonts w:ascii="Garamond" w:eastAsia="Arial Narrow" w:hAnsi="Garamond" w:cstheme="majorBidi"/>
          <w:color w:val="0D0D0D" w:themeColor="text1" w:themeTint="F2"/>
        </w:rPr>
        <w:t>ë</w:t>
      </w:r>
      <w:r w:rsidRPr="00770F9D">
        <w:rPr>
          <w:rFonts w:ascii="Garamond" w:hAnsi="Garamond" w:cstheme="majorBidi"/>
          <w:color w:val="0D0D0D" w:themeColor="text1" w:themeTint="F2"/>
        </w:rPr>
        <w:t>r vitin 2022 grante p</w:t>
      </w:r>
      <w:r w:rsidR="00A84445" w:rsidRPr="00770F9D">
        <w:rPr>
          <w:rFonts w:ascii="Garamond" w:eastAsia="Arial Narrow" w:hAnsi="Garamond" w:cstheme="majorBidi"/>
          <w:color w:val="0D0D0D" w:themeColor="text1" w:themeTint="F2"/>
        </w:rPr>
        <w:t>ë</w:t>
      </w:r>
      <w:r w:rsidRPr="00770F9D">
        <w:rPr>
          <w:rFonts w:ascii="Garamond" w:hAnsi="Garamond" w:cstheme="majorBidi"/>
          <w:color w:val="0D0D0D" w:themeColor="text1" w:themeTint="F2"/>
        </w:rPr>
        <w:t>r biznesin p</w:t>
      </w:r>
      <w:r w:rsidR="00A84445" w:rsidRPr="00770F9D">
        <w:rPr>
          <w:rFonts w:ascii="Garamond" w:eastAsia="Arial Narrow" w:hAnsi="Garamond" w:cstheme="majorBidi"/>
          <w:color w:val="0D0D0D" w:themeColor="text1" w:themeTint="F2"/>
        </w:rPr>
        <w:t>ë</w:t>
      </w:r>
      <w:r w:rsidRPr="00770F9D">
        <w:rPr>
          <w:rFonts w:ascii="Garamond" w:hAnsi="Garamond" w:cstheme="majorBidi"/>
          <w:color w:val="0D0D0D" w:themeColor="text1" w:themeTint="F2"/>
        </w:rPr>
        <w:t xml:space="preserve">r </w:t>
      </w:r>
      <w:r w:rsidR="003F4C96" w:rsidRPr="00770F9D">
        <w:rPr>
          <w:rFonts w:ascii="Garamond" w:hAnsi="Garamond" w:cstheme="majorBidi"/>
          <w:color w:val="0D0D0D" w:themeColor="text1" w:themeTint="F2"/>
        </w:rPr>
        <w:t>digjital</w:t>
      </w:r>
      <w:r w:rsidRPr="00770F9D">
        <w:rPr>
          <w:rFonts w:ascii="Garamond" w:hAnsi="Garamond" w:cstheme="majorBidi"/>
          <w:color w:val="0D0D0D" w:themeColor="text1" w:themeTint="F2"/>
        </w:rPr>
        <w:t xml:space="preserve">izim dhe </w:t>
      </w:r>
      <w:r w:rsidRPr="00770F9D">
        <w:rPr>
          <w:rFonts w:ascii="Garamond" w:hAnsi="Garamond" w:cstheme="majorBidi"/>
          <w:i/>
          <w:iCs/>
          <w:color w:val="0D0D0D" w:themeColor="text1" w:themeTint="F2"/>
        </w:rPr>
        <w:t>e-</w:t>
      </w:r>
      <w:r w:rsidR="00F65702" w:rsidRPr="00770F9D">
        <w:rPr>
          <w:rFonts w:ascii="Garamond" w:hAnsi="Garamond" w:cstheme="majorBidi"/>
          <w:i/>
          <w:iCs/>
          <w:color w:val="0D0D0D" w:themeColor="text1" w:themeTint="F2"/>
        </w:rPr>
        <w:t>Commerce</w:t>
      </w:r>
      <w:r w:rsidRPr="00770F9D">
        <w:rPr>
          <w:rFonts w:ascii="Garamond" w:hAnsi="Garamond" w:cstheme="majorBidi"/>
          <w:i/>
          <w:iCs/>
          <w:color w:val="0D0D0D" w:themeColor="text1" w:themeTint="F2"/>
        </w:rPr>
        <w:t>.</w:t>
      </w:r>
    </w:p>
    <w:p w14:paraId="61BBAD98" w14:textId="0A616075" w:rsidR="00E74E85" w:rsidRPr="00770F9D" w:rsidRDefault="00E74E85" w:rsidP="00A32D34">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Platforma </w:t>
      </w:r>
      <w:r w:rsidRPr="008D4875">
        <w:rPr>
          <w:rFonts w:ascii="Garamond" w:hAnsi="Garamond" w:cstheme="majorBidi"/>
          <w:color w:val="0D0D0D" w:themeColor="text1" w:themeTint="F2"/>
        </w:rPr>
        <w:t xml:space="preserve">“Biznes </w:t>
      </w:r>
      <w:r w:rsidR="008D4875">
        <w:rPr>
          <w:rFonts w:ascii="Garamond" w:hAnsi="Garamond" w:cstheme="majorBidi"/>
          <w:color w:val="0D0D0D" w:themeColor="text1" w:themeTint="F2"/>
        </w:rPr>
        <w:t>në</w:t>
      </w:r>
      <w:r w:rsidR="00A32D34" w:rsidRPr="008D4875">
        <w:rPr>
          <w:rFonts w:ascii="Garamond" w:hAnsi="Garamond" w:cstheme="majorBidi"/>
          <w:color w:val="0D0D0D" w:themeColor="text1" w:themeTint="F2"/>
        </w:rPr>
        <w:t xml:space="preserve"> biznesin</w:t>
      </w:r>
      <w:r w:rsidRPr="008D4875">
        <w:rPr>
          <w:rFonts w:ascii="Garamond" w:hAnsi="Garamond" w:cstheme="majorBidi"/>
          <w:color w:val="0D0D0D" w:themeColor="text1" w:themeTint="F2"/>
        </w:rPr>
        <w:t>”.</w:t>
      </w:r>
    </w:p>
    <w:p w14:paraId="77FF8B83" w14:textId="204A48C2" w:rsidR="00E74E85" w:rsidRPr="00770F9D" w:rsidRDefault="00E74E85" w:rsidP="008D5167">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Platforma </w:t>
      </w:r>
      <w:r w:rsidRPr="00770F9D">
        <w:rPr>
          <w:rFonts w:ascii="Garamond" w:hAnsi="Garamond" w:cstheme="majorBidi"/>
          <w:i/>
          <w:iCs/>
          <w:color w:val="0D0D0D" w:themeColor="text1" w:themeTint="F2"/>
        </w:rPr>
        <w:t>Business to Business</w:t>
      </w:r>
      <w:r w:rsidRPr="00770F9D">
        <w:rPr>
          <w:rFonts w:ascii="Garamond" w:hAnsi="Garamond" w:cstheme="majorBidi"/>
          <w:color w:val="0D0D0D" w:themeColor="text1" w:themeTint="F2"/>
        </w:rPr>
        <w:t xml:space="preserve"> (B2B) është një rrjet aktiv që ofron mundësi për bashkëpunime dhe investime të suksesshme mes bizneseve. Në platformën </w:t>
      </w:r>
      <w:r w:rsidRPr="00770F9D">
        <w:rPr>
          <w:rFonts w:ascii="Garamond" w:hAnsi="Garamond" w:cstheme="majorBidi"/>
          <w:i/>
          <w:iCs/>
          <w:color w:val="0D0D0D" w:themeColor="text1" w:themeTint="F2"/>
        </w:rPr>
        <w:t>online</w:t>
      </w:r>
      <w:r w:rsidRPr="00770F9D">
        <w:rPr>
          <w:rFonts w:ascii="Garamond" w:hAnsi="Garamond" w:cstheme="majorBidi"/>
          <w:color w:val="0D0D0D" w:themeColor="text1" w:themeTint="F2"/>
        </w:rPr>
        <w:t xml:space="preserve"> B2B të faqes së AIDA-s, në tetor 2022 janë publikuar 1047 profile të kompanive shqiptare, me synimin për t</w:t>
      </w:r>
      <w:r w:rsidR="008D5167" w:rsidRPr="00770F9D">
        <w:rPr>
          <w:rFonts w:ascii="Garamond" w:hAnsi="Garamond" w:cstheme="majorBidi"/>
          <w:color w:val="0D0D0D" w:themeColor="text1" w:themeTint="F2"/>
        </w:rPr>
        <w:t>’</w:t>
      </w:r>
      <w:r w:rsidRPr="00770F9D">
        <w:rPr>
          <w:rFonts w:ascii="Garamond" w:hAnsi="Garamond" w:cstheme="majorBidi"/>
          <w:color w:val="0D0D0D" w:themeColor="text1" w:themeTint="F2"/>
        </w:rPr>
        <w:t>i bërë kompanitë të dukshme për partnerët e mundshëm për të bërë biznes.</w:t>
      </w:r>
    </w:p>
    <w:p w14:paraId="64CFD640" w14:textId="77777777" w:rsidR="00E74E85" w:rsidRPr="00770F9D" w:rsidRDefault="00E74E85"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Fushata </w:t>
      </w:r>
      <w:r w:rsidRPr="00770F9D">
        <w:rPr>
          <w:rFonts w:ascii="Garamond" w:hAnsi="Garamond" w:cstheme="majorBidi"/>
          <w:i/>
          <w:iCs/>
          <w:color w:val="0D0D0D" w:themeColor="text1" w:themeTint="F2"/>
        </w:rPr>
        <w:t>“Made in Albania”.</w:t>
      </w:r>
    </w:p>
    <w:p w14:paraId="145B3503" w14:textId="109240B3" w:rsidR="00E74E85" w:rsidRPr="00770F9D" w:rsidRDefault="00E74E85" w:rsidP="00C15EF4">
      <w:pPr>
        <w:ind w:firstLine="284"/>
        <w:jc w:val="both"/>
        <w:rPr>
          <w:rFonts w:ascii="Garamond" w:hAnsi="Garamond" w:cstheme="majorBidi"/>
          <w:color w:val="0D0D0D" w:themeColor="text1" w:themeTint="F2"/>
        </w:rPr>
      </w:pPr>
      <w:r w:rsidRPr="00770F9D">
        <w:rPr>
          <w:rFonts w:ascii="Garamond" w:hAnsi="Garamond" w:cstheme="majorBidi"/>
          <w:i/>
          <w:iCs/>
          <w:color w:val="0D0D0D" w:themeColor="text1" w:themeTint="F2"/>
        </w:rPr>
        <w:t>“Made in Albania”</w:t>
      </w:r>
      <w:r w:rsidRPr="00770F9D">
        <w:rPr>
          <w:rFonts w:ascii="Garamond" w:hAnsi="Garamond" w:cstheme="majorBidi"/>
          <w:color w:val="0D0D0D" w:themeColor="text1" w:themeTint="F2"/>
        </w:rPr>
        <w:t xml:space="preserve"> është fushata promovuese e Agjencisë Shqiptare të Zhvillimit të Investimeve (AIDA), në mbështetje të bizneseve shqiptare dhe produkteve </w:t>
      </w:r>
      <w:r w:rsidRPr="00770F9D">
        <w:rPr>
          <w:rFonts w:ascii="Garamond" w:hAnsi="Garamond" w:cstheme="majorBidi"/>
          <w:i/>
          <w:iCs/>
          <w:color w:val="0D0D0D" w:themeColor="text1" w:themeTint="F2"/>
        </w:rPr>
        <w:t>“Made in Albania”.</w:t>
      </w:r>
      <w:r w:rsidRPr="00770F9D">
        <w:rPr>
          <w:rFonts w:ascii="Garamond" w:hAnsi="Garamond" w:cstheme="majorBidi"/>
          <w:color w:val="0D0D0D" w:themeColor="text1" w:themeTint="F2"/>
        </w:rPr>
        <w:t xml:space="preserve"> Fushata ka nisur në korrik 2020 dhe deri më tani janë publikuar dhe promovuar 191 produkte vendore në faqen e internetit dhe rrjetet sociale të institucionit. Në kuadër të nismës për promovimin e produkteve </w:t>
      </w:r>
      <w:r w:rsidRPr="00770F9D">
        <w:rPr>
          <w:rFonts w:ascii="Garamond" w:hAnsi="Garamond" w:cstheme="majorBidi"/>
          <w:i/>
          <w:iCs/>
          <w:color w:val="0D0D0D" w:themeColor="text1" w:themeTint="F2"/>
        </w:rPr>
        <w:t>“Made in Albania”,</w:t>
      </w:r>
      <w:r w:rsidRPr="00770F9D">
        <w:rPr>
          <w:rFonts w:ascii="Garamond" w:hAnsi="Garamond" w:cstheme="majorBidi"/>
          <w:color w:val="0D0D0D" w:themeColor="text1" w:themeTint="F2"/>
        </w:rPr>
        <w:t xml:space="preserve"> Agjencia Shqiptare e Zhvillimit të Investimeve publikoi “Zgjidhni vendin”, katalogun e parë të produkteve </w:t>
      </w:r>
      <w:r w:rsidR="00C15EF4" w:rsidRPr="00770F9D">
        <w:rPr>
          <w:rFonts w:ascii="Garamond" w:hAnsi="Garamond" w:cstheme="majorBidi"/>
          <w:i/>
          <w:iCs/>
          <w:color w:val="0D0D0D" w:themeColor="text1" w:themeTint="F2"/>
        </w:rPr>
        <w:t>‘</w:t>
      </w:r>
      <w:r w:rsidRPr="00770F9D">
        <w:rPr>
          <w:rFonts w:ascii="Garamond" w:hAnsi="Garamond" w:cstheme="majorBidi"/>
          <w:i/>
          <w:iCs/>
          <w:color w:val="0D0D0D" w:themeColor="text1" w:themeTint="F2"/>
        </w:rPr>
        <w:t>Made in Albania</w:t>
      </w:r>
      <w:r w:rsidR="00C15EF4" w:rsidRPr="00770F9D">
        <w:rPr>
          <w:rFonts w:ascii="Garamond" w:hAnsi="Garamond" w:cstheme="majorBidi"/>
          <w:i/>
          <w:iCs/>
          <w:color w:val="0D0D0D" w:themeColor="text1" w:themeTint="F2"/>
        </w:rPr>
        <w:t>’</w:t>
      </w:r>
      <w:r w:rsidRPr="00770F9D">
        <w:rPr>
          <w:rFonts w:ascii="Garamond" w:hAnsi="Garamond" w:cstheme="majorBidi"/>
          <w:i/>
          <w:iCs/>
          <w:color w:val="0D0D0D" w:themeColor="text1" w:themeTint="F2"/>
        </w:rPr>
        <w:t>”.</w:t>
      </w:r>
    </w:p>
    <w:p w14:paraId="40142E4C" w14:textId="77777777" w:rsidR="00E74E85" w:rsidRPr="00770F9D" w:rsidRDefault="00E74E85"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Publikimi i broshurave informative</w:t>
      </w:r>
    </w:p>
    <w:p w14:paraId="6140DF11" w14:textId="3C53E634" w:rsidR="00E74E85" w:rsidRPr="00770F9D" w:rsidRDefault="00E74E85"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AIDA ka hartuar dhe publikuar 10 broshura (</w:t>
      </w:r>
      <w:r w:rsidR="003F4C96" w:rsidRPr="00770F9D">
        <w:rPr>
          <w:rFonts w:ascii="Garamond" w:hAnsi="Garamond" w:cstheme="majorBidi"/>
          <w:color w:val="0D0D0D" w:themeColor="text1" w:themeTint="F2"/>
        </w:rPr>
        <w:t>digjital</w:t>
      </w:r>
      <w:r w:rsidRPr="00770F9D">
        <w:rPr>
          <w:rFonts w:ascii="Garamond" w:hAnsi="Garamond" w:cstheme="majorBidi"/>
          <w:color w:val="0D0D0D" w:themeColor="text1" w:themeTint="F2"/>
        </w:rPr>
        <w:t>e dhe fizike), me një përmbledhje të sektorëve kyç në Shqipëri, statistikat e viteve të fundit, sfidat kryesore të sektorit pas periudhës së pandemisë, si dhe informacion mbi avantazhet dhe rëndësinë e sektor në ekonomi.</w:t>
      </w:r>
    </w:p>
    <w:p w14:paraId="5C8C16E8" w14:textId="77777777" w:rsidR="00E74E85" w:rsidRPr="00770F9D" w:rsidRDefault="00E74E85"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Lehtësimi i pjesëmarrjes së kompanive shqiptare në panairet ndërkombëtare</w:t>
      </w:r>
    </w:p>
    <w:p w14:paraId="05579DB3" w14:textId="46D1A815" w:rsidR="00E74E85" w:rsidRPr="00770F9D" w:rsidRDefault="00E74E85"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Gjatë vitit 2022 AIDA ka mbështetur me asistencë teknike dhe me stendë pjesëmarrjen e kompanive shqiptare në </w:t>
      </w:r>
      <w:r w:rsidR="00C4321C" w:rsidRPr="00770F9D">
        <w:rPr>
          <w:rFonts w:ascii="Garamond" w:hAnsi="Garamond" w:cstheme="majorBidi"/>
          <w:color w:val="0D0D0D" w:themeColor="text1" w:themeTint="F2"/>
        </w:rPr>
        <w:t xml:space="preserve">panairin </w:t>
      </w:r>
      <w:r w:rsidRPr="00770F9D">
        <w:rPr>
          <w:rFonts w:ascii="Garamond" w:hAnsi="Garamond" w:cstheme="majorBidi"/>
          <w:i/>
          <w:iCs/>
          <w:color w:val="0D0D0D" w:themeColor="text1" w:themeTint="F2"/>
        </w:rPr>
        <w:t>Biofach,</w:t>
      </w:r>
      <w:r w:rsidRPr="00770F9D">
        <w:rPr>
          <w:rFonts w:ascii="Garamond" w:hAnsi="Garamond" w:cstheme="majorBidi"/>
          <w:color w:val="0D0D0D" w:themeColor="text1" w:themeTint="F2"/>
        </w:rPr>
        <w:t xml:space="preserve"> në Gjermani. Gjithashtu, AIDA ka mbështetur me asistencë teknike pjesëmarrjen e kompanive shqiptare në </w:t>
      </w:r>
      <w:r w:rsidR="00C4321C" w:rsidRPr="00770F9D">
        <w:rPr>
          <w:rFonts w:ascii="Garamond" w:hAnsi="Garamond" w:cstheme="majorBidi"/>
          <w:color w:val="0D0D0D" w:themeColor="text1" w:themeTint="F2"/>
        </w:rPr>
        <w:t xml:space="preserve">panairin </w:t>
      </w:r>
      <w:r w:rsidRPr="00770F9D">
        <w:rPr>
          <w:rFonts w:ascii="Garamond" w:hAnsi="Garamond" w:cstheme="majorBidi"/>
          <w:i/>
          <w:iCs/>
          <w:color w:val="0D0D0D" w:themeColor="text1" w:themeTint="F2"/>
        </w:rPr>
        <w:t>Expo Dubai.</w:t>
      </w:r>
    </w:p>
    <w:p w14:paraId="57C8B3EB" w14:textId="77777777" w:rsidR="00E74E85" w:rsidRPr="00770F9D" w:rsidRDefault="00E74E85"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Platforma e Aksesi në Financa</w:t>
      </w:r>
    </w:p>
    <w:p w14:paraId="49AB1477" w14:textId="19967F49" w:rsidR="00E74E85" w:rsidRPr="00770F9D" w:rsidRDefault="00E74E85" w:rsidP="00E924B4">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AIDA në kuadër të objektivit </w:t>
      </w:r>
      <w:r w:rsidR="00E924B4" w:rsidRPr="00770F9D">
        <w:rPr>
          <w:rFonts w:ascii="Garamond" w:hAnsi="Garamond" w:cstheme="majorBidi"/>
          <w:color w:val="0D0D0D" w:themeColor="text1" w:themeTint="F2"/>
        </w:rPr>
        <w:t>“</w:t>
      </w:r>
      <w:r w:rsidRPr="00770F9D">
        <w:rPr>
          <w:rFonts w:ascii="Garamond" w:hAnsi="Garamond" w:cstheme="majorBidi"/>
          <w:color w:val="0D0D0D" w:themeColor="text1" w:themeTint="F2"/>
        </w:rPr>
        <w:t>Rritja e aksesit në financa për MSME-të (BIDS 2021</w:t>
      </w:r>
      <w:r w:rsidR="00E924B4" w:rsidRPr="00770F9D">
        <w:rPr>
          <w:rFonts w:ascii="Garamond" w:hAnsi="Garamond" w:cs="Garamond"/>
          <w:color w:val="0D0D0D"/>
          <w:lang w:eastAsia="sq-AL"/>
        </w:rPr>
        <w:t>–</w:t>
      </w:r>
      <w:r w:rsidRPr="00770F9D">
        <w:rPr>
          <w:rFonts w:ascii="Garamond" w:hAnsi="Garamond" w:cstheme="majorBidi"/>
          <w:color w:val="0D0D0D" w:themeColor="text1" w:themeTint="F2"/>
        </w:rPr>
        <w:t xml:space="preserve">2027), me mbështetjen e BERZH-it ka krijuar platformën </w:t>
      </w:r>
      <w:r w:rsidR="00E924B4" w:rsidRPr="00770F9D">
        <w:rPr>
          <w:rFonts w:ascii="Garamond" w:hAnsi="Garamond" w:cstheme="majorBidi"/>
          <w:i/>
          <w:iCs/>
          <w:color w:val="0D0D0D" w:themeColor="text1" w:themeTint="F2"/>
        </w:rPr>
        <w:t>“</w:t>
      </w:r>
      <w:r w:rsidRPr="00770F9D">
        <w:rPr>
          <w:rFonts w:ascii="Garamond" w:hAnsi="Garamond" w:cstheme="majorBidi"/>
          <w:i/>
          <w:iCs/>
          <w:color w:val="0D0D0D" w:themeColor="text1" w:themeTint="F2"/>
        </w:rPr>
        <w:t>Access to Finance</w:t>
      </w:r>
      <w:r w:rsidR="00E924B4" w:rsidRPr="00770F9D">
        <w:rPr>
          <w:rFonts w:ascii="Garamond" w:hAnsi="Garamond" w:cstheme="majorBidi"/>
          <w:i/>
          <w:iCs/>
          <w:color w:val="0D0D0D" w:themeColor="text1" w:themeTint="F2"/>
        </w:rPr>
        <w:t>”</w:t>
      </w:r>
      <w:r w:rsidRPr="00770F9D">
        <w:rPr>
          <w:rFonts w:ascii="Garamond" w:hAnsi="Garamond" w:cstheme="majorBidi"/>
          <w:color w:val="0D0D0D" w:themeColor="text1" w:themeTint="F2"/>
        </w:rPr>
        <w:t xml:space="preserve"> për t</w:t>
      </w:r>
      <w:r w:rsidR="00E924B4" w:rsidRPr="00770F9D">
        <w:rPr>
          <w:rFonts w:ascii="Garamond" w:hAnsi="Garamond" w:cstheme="majorBidi"/>
          <w:color w:val="0D0D0D" w:themeColor="text1" w:themeTint="F2"/>
        </w:rPr>
        <w:t>’</w:t>
      </w:r>
      <w:r w:rsidRPr="00770F9D">
        <w:rPr>
          <w:rFonts w:ascii="Garamond" w:hAnsi="Garamond" w:cstheme="majorBidi"/>
          <w:color w:val="0D0D0D" w:themeColor="text1" w:themeTint="F2"/>
        </w:rPr>
        <w:t>i shërbyer MSME-ve kompanitë shqiptare, të cilat duan të zgjerohen dhe investojnë në aktivitet duke përfituar nga mundësitë financiare që ofron tregu, me grante, kredi apo iniciativa të tjera financimi.</w:t>
      </w:r>
    </w:p>
    <w:p w14:paraId="433CE7C1" w14:textId="1CDC384C" w:rsidR="00E74E85" w:rsidRPr="00770F9D" w:rsidRDefault="00E74E85" w:rsidP="00E924B4">
      <w:pPr>
        <w:ind w:firstLine="284"/>
        <w:jc w:val="both"/>
        <w:rPr>
          <w:rFonts w:ascii="Garamond" w:hAnsi="Garamond" w:cstheme="majorBidi"/>
          <w:bCs/>
          <w:color w:val="0D0D0D" w:themeColor="text1" w:themeTint="F2"/>
        </w:rPr>
      </w:pPr>
      <w:r w:rsidRPr="00770F9D">
        <w:rPr>
          <w:rFonts w:ascii="Garamond" w:hAnsi="Garamond" w:cstheme="majorBidi"/>
          <w:bCs/>
          <w:color w:val="0D0D0D" w:themeColor="text1" w:themeTint="F2"/>
        </w:rPr>
        <w:t>Platforma “Qasja në Financa” u lançua në maj të vitit 2021 dhe është pritur në faqen e internetit të AIDA-s. Në këtë portal NMVM-të mund të gjejnë informacion të përditësuar mbi instrumentet financiare që janë në dispozicion për t</w:t>
      </w:r>
      <w:r w:rsidR="00E924B4" w:rsidRPr="00770F9D">
        <w:rPr>
          <w:rFonts w:ascii="Garamond" w:hAnsi="Garamond" w:cstheme="majorBidi"/>
          <w:bCs/>
          <w:color w:val="0D0D0D" w:themeColor="text1" w:themeTint="F2"/>
        </w:rPr>
        <w:t>’u</w:t>
      </w:r>
      <w:r w:rsidRPr="00770F9D">
        <w:rPr>
          <w:rFonts w:ascii="Garamond" w:hAnsi="Garamond" w:cstheme="majorBidi"/>
          <w:bCs/>
          <w:color w:val="0D0D0D" w:themeColor="text1" w:themeTint="F2"/>
        </w:rPr>
        <w:t xml:space="preserve"> mbështetur nga qeveria shqiptare dhe donatorët.</w:t>
      </w:r>
    </w:p>
    <w:p w14:paraId="1293BEBE" w14:textId="77777777" w:rsidR="00E74E85" w:rsidRPr="00770F9D" w:rsidRDefault="00E74E85" w:rsidP="003F46E1">
      <w:pPr>
        <w:ind w:firstLine="284"/>
        <w:jc w:val="both"/>
        <w:rPr>
          <w:rFonts w:ascii="Garamond" w:hAnsi="Garamond" w:cstheme="majorBidi"/>
          <w:bCs/>
          <w:color w:val="0D0D0D" w:themeColor="text1" w:themeTint="F2"/>
        </w:rPr>
      </w:pPr>
      <w:r w:rsidRPr="00770F9D">
        <w:rPr>
          <w:rFonts w:ascii="Garamond" w:hAnsi="Garamond" w:cstheme="majorBidi"/>
          <w:bCs/>
          <w:color w:val="0D0D0D" w:themeColor="text1" w:themeTint="F2"/>
        </w:rPr>
        <w:t>Platforma përditësohet çdo javë dhe publikohen mesatarisht 4 thirrje në muaj. Në mënyrë tipike, thirrjet që fokusohen në veprimet që lidhen me inovacionin, teknologjinë dhe arsimin janë më të vizituarat. Deri më 12 tetor 2022, në platformë janë publikuar 89 thirrje për aplikim. Gjithsej 6284 vizitorë/përdorues kanë ndërvepruar me platformën dhe faqja kryesore e internetit është vizituar gjithsej 32244 herë.</w:t>
      </w:r>
    </w:p>
    <w:p w14:paraId="49093A84" w14:textId="31D7EFB8" w:rsidR="00E74E85" w:rsidRPr="00770F9D" w:rsidRDefault="00E74E85" w:rsidP="001A0462">
      <w:pPr>
        <w:ind w:firstLine="284"/>
        <w:jc w:val="both"/>
        <w:rPr>
          <w:rFonts w:ascii="Garamond" w:hAnsi="Garamond" w:cstheme="majorBidi"/>
          <w:bCs/>
          <w:color w:val="0D0D0D" w:themeColor="text1" w:themeTint="F2"/>
        </w:rPr>
      </w:pPr>
      <w:r w:rsidRPr="00770F9D">
        <w:rPr>
          <w:rFonts w:ascii="Garamond" w:hAnsi="Garamond" w:cstheme="majorBidi"/>
          <w:bCs/>
          <w:color w:val="0D0D0D" w:themeColor="text1" w:themeTint="F2"/>
        </w:rPr>
        <w:t>Përdoruesit më të shpeshtë vijnë nga Shqipëria, Shtetet e Bashkuara të Amerikës, Italia, Mbretëria e Bashkuar dhe Kosova. Mosha mbizotëruese e përdoruesve është 25</w:t>
      </w:r>
      <w:r w:rsidR="001A0462" w:rsidRPr="00770F9D">
        <w:rPr>
          <w:rFonts w:ascii="Garamond" w:hAnsi="Garamond" w:cs="Garamond"/>
          <w:color w:val="0D0D0D"/>
          <w:lang w:eastAsia="sq-AL"/>
        </w:rPr>
        <w:t>–</w:t>
      </w:r>
      <w:r w:rsidRPr="00770F9D">
        <w:rPr>
          <w:rFonts w:ascii="Garamond" w:hAnsi="Garamond" w:cstheme="majorBidi"/>
          <w:bCs/>
          <w:color w:val="0D0D0D" w:themeColor="text1" w:themeTint="F2"/>
        </w:rPr>
        <w:t>34 vjeç (33,5%) dhe 18</w:t>
      </w:r>
      <w:r w:rsidR="001A0462" w:rsidRPr="00770F9D">
        <w:rPr>
          <w:rFonts w:ascii="Garamond" w:hAnsi="Garamond" w:cs="Garamond"/>
          <w:color w:val="0D0D0D"/>
          <w:lang w:eastAsia="sq-AL"/>
        </w:rPr>
        <w:t>–</w:t>
      </w:r>
      <w:r w:rsidRPr="00770F9D">
        <w:rPr>
          <w:rFonts w:ascii="Garamond" w:hAnsi="Garamond" w:cstheme="majorBidi"/>
          <w:bCs/>
          <w:color w:val="0D0D0D" w:themeColor="text1" w:themeTint="F2"/>
        </w:rPr>
        <w:t>24 vjeç (27,5%). Nuk ka asnjë hendek të madh për sa i përket gjinisë, ku 54.15% e përdoruesve janë meshkuj dhe 45.85% femra.</w:t>
      </w:r>
    </w:p>
    <w:p w14:paraId="3D43F5AD" w14:textId="77777777" w:rsidR="00E74E85" w:rsidRPr="00770F9D" w:rsidRDefault="00E74E85" w:rsidP="003F46E1">
      <w:pPr>
        <w:ind w:firstLine="284"/>
        <w:jc w:val="both"/>
        <w:rPr>
          <w:rFonts w:ascii="Garamond" w:hAnsi="Garamond" w:cstheme="majorBidi"/>
          <w:bCs/>
          <w:color w:val="0D0D0D" w:themeColor="text1" w:themeTint="F2"/>
        </w:rPr>
      </w:pPr>
      <w:r w:rsidRPr="00770F9D">
        <w:rPr>
          <w:rFonts w:ascii="Garamond" w:hAnsi="Garamond" w:cstheme="majorBidi"/>
          <w:bCs/>
          <w:color w:val="0D0D0D" w:themeColor="text1" w:themeTint="F2"/>
        </w:rPr>
        <w:t xml:space="preserve">Rezultatet përmes projektit </w:t>
      </w:r>
      <w:r w:rsidRPr="00770F9D">
        <w:rPr>
          <w:rFonts w:ascii="Garamond" w:hAnsi="Garamond" w:cstheme="majorBidi"/>
          <w:bCs/>
          <w:i/>
          <w:iCs/>
          <w:color w:val="0D0D0D" w:themeColor="text1" w:themeTint="F2"/>
        </w:rPr>
        <w:t>Proseed</w:t>
      </w:r>
    </w:p>
    <w:p w14:paraId="7334BDCC" w14:textId="5234E182" w:rsidR="00E74E85" w:rsidRPr="00770F9D" w:rsidRDefault="00E74E85" w:rsidP="003F46E1">
      <w:pPr>
        <w:ind w:firstLine="284"/>
        <w:jc w:val="both"/>
        <w:rPr>
          <w:rFonts w:ascii="Garamond" w:hAnsi="Garamond" w:cstheme="majorBidi"/>
          <w:bCs/>
          <w:color w:val="0D0D0D" w:themeColor="text1" w:themeTint="F2"/>
        </w:rPr>
      </w:pPr>
      <w:r w:rsidRPr="00770F9D">
        <w:rPr>
          <w:rFonts w:ascii="Garamond" w:hAnsi="Garamond" w:cstheme="majorBidi"/>
          <w:bCs/>
          <w:color w:val="0D0D0D" w:themeColor="text1" w:themeTint="F2"/>
        </w:rPr>
        <w:t xml:space="preserve">Përmes </w:t>
      </w:r>
      <w:r w:rsidR="00E60EE9" w:rsidRPr="00770F9D">
        <w:rPr>
          <w:rFonts w:ascii="Garamond" w:hAnsi="Garamond" w:cstheme="majorBidi"/>
          <w:bCs/>
          <w:color w:val="0D0D0D" w:themeColor="text1" w:themeTint="F2"/>
        </w:rPr>
        <w:t xml:space="preserve">projektit </w:t>
      </w:r>
      <w:r w:rsidRPr="00770F9D">
        <w:rPr>
          <w:rFonts w:ascii="Garamond" w:hAnsi="Garamond" w:cstheme="majorBidi"/>
          <w:bCs/>
          <w:i/>
          <w:iCs/>
          <w:color w:val="0D0D0D" w:themeColor="text1" w:themeTint="F2"/>
        </w:rPr>
        <w:t>Proseed</w:t>
      </w:r>
      <w:r w:rsidRPr="00770F9D">
        <w:rPr>
          <w:rFonts w:ascii="Garamond" w:hAnsi="Garamond" w:cstheme="majorBidi"/>
          <w:bCs/>
          <w:color w:val="0D0D0D" w:themeColor="text1" w:themeTint="F2"/>
        </w:rPr>
        <w:t xml:space="preserve"> gjatë vitit 2022 janë ofruar disa shërbime mbështetëse të biznesit, si më poshtë:</w:t>
      </w:r>
    </w:p>
    <w:p w14:paraId="496224AF" w14:textId="0C110744" w:rsidR="00E74E85" w:rsidRPr="00770F9D" w:rsidRDefault="0090730B" w:rsidP="00E60EE9">
      <w:pPr>
        <w:ind w:firstLine="284"/>
        <w:jc w:val="both"/>
        <w:rPr>
          <w:rFonts w:ascii="Garamond" w:hAnsi="Garamond" w:cstheme="majorBidi"/>
          <w:bCs/>
          <w:color w:val="0D0D0D" w:themeColor="text1" w:themeTint="F2"/>
        </w:rPr>
      </w:pPr>
      <w:r w:rsidRPr="00770F9D">
        <w:rPr>
          <w:rFonts w:ascii="Garamond" w:hAnsi="Garamond" w:cstheme="majorBidi"/>
          <w:bCs/>
          <w:color w:val="0D0D0D" w:themeColor="text1" w:themeTint="F2"/>
        </w:rPr>
        <w:t>-</w:t>
      </w:r>
      <w:r w:rsidR="00E74E85" w:rsidRPr="00770F9D">
        <w:rPr>
          <w:rFonts w:ascii="Garamond" w:hAnsi="Garamond" w:cstheme="majorBidi"/>
          <w:bCs/>
          <w:color w:val="0D0D0D" w:themeColor="text1" w:themeTint="F2"/>
        </w:rPr>
        <w:t xml:space="preserve"> ProSEED mbështet AIDA-n në fillimin e ofrimit të Shërbimeve të Kujdesit pasues në Bashkinë Kamz</w:t>
      </w:r>
      <w:r w:rsidR="00E60EE9" w:rsidRPr="00770F9D">
        <w:rPr>
          <w:rFonts w:ascii="Garamond" w:hAnsi="Garamond" w:cstheme="majorBidi"/>
          <w:bCs/>
          <w:color w:val="0D0D0D" w:themeColor="text1" w:themeTint="F2"/>
        </w:rPr>
        <w:t>ë</w:t>
      </w:r>
      <w:r w:rsidR="00E74E85" w:rsidRPr="00770F9D">
        <w:rPr>
          <w:rFonts w:ascii="Garamond" w:hAnsi="Garamond" w:cstheme="majorBidi"/>
          <w:bCs/>
          <w:color w:val="0D0D0D" w:themeColor="text1" w:themeTint="F2"/>
        </w:rPr>
        <w:t>.</w:t>
      </w:r>
    </w:p>
    <w:p w14:paraId="552624DD" w14:textId="03D5CA43" w:rsidR="00E74E85" w:rsidRPr="00770F9D" w:rsidRDefault="0090730B" w:rsidP="003F46E1">
      <w:pPr>
        <w:ind w:firstLine="284"/>
        <w:jc w:val="both"/>
        <w:rPr>
          <w:rFonts w:ascii="Garamond" w:hAnsi="Garamond" w:cstheme="majorBidi"/>
          <w:bCs/>
          <w:color w:val="0D0D0D" w:themeColor="text1" w:themeTint="F2"/>
        </w:rPr>
      </w:pPr>
      <w:r w:rsidRPr="00770F9D">
        <w:rPr>
          <w:rFonts w:ascii="Garamond" w:hAnsi="Garamond" w:cstheme="majorBidi"/>
          <w:bCs/>
          <w:color w:val="0D0D0D" w:themeColor="text1" w:themeTint="F2"/>
        </w:rPr>
        <w:t>-</w:t>
      </w:r>
      <w:r w:rsidR="00E74E85" w:rsidRPr="00770F9D">
        <w:rPr>
          <w:rFonts w:ascii="Garamond" w:hAnsi="Garamond" w:cstheme="majorBidi"/>
          <w:bCs/>
          <w:color w:val="0D0D0D" w:themeColor="text1" w:themeTint="F2"/>
        </w:rPr>
        <w:t xml:space="preserve"> Trajnim për PREMA (Menaxhimi efikas i burimeve fitimprurëse) për MSME</w:t>
      </w:r>
      <w:r w:rsidR="00EE4A66" w:rsidRPr="00770F9D">
        <w:rPr>
          <w:rFonts w:ascii="Garamond" w:hAnsi="Garamond" w:cstheme="majorBidi"/>
          <w:bCs/>
          <w:color w:val="0D0D0D" w:themeColor="text1" w:themeTint="F2"/>
        </w:rPr>
        <w:t>-në</w:t>
      </w:r>
      <w:r w:rsidR="00E74E85" w:rsidRPr="00770F9D">
        <w:rPr>
          <w:rFonts w:ascii="Garamond" w:hAnsi="Garamond" w:cstheme="majorBidi"/>
          <w:bCs/>
          <w:color w:val="0D0D0D" w:themeColor="text1" w:themeTint="F2"/>
        </w:rPr>
        <w:t>. Do të certifikohen rreth 15 trajnerë PREMA.</w:t>
      </w:r>
    </w:p>
    <w:p w14:paraId="33612394" w14:textId="640BBC99" w:rsidR="00E74E85" w:rsidRPr="00770F9D" w:rsidRDefault="0090730B" w:rsidP="003F46E1">
      <w:pPr>
        <w:ind w:firstLine="284"/>
        <w:jc w:val="both"/>
        <w:rPr>
          <w:rFonts w:ascii="Garamond" w:hAnsi="Garamond" w:cstheme="majorBidi"/>
          <w:bCs/>
          <w:color w:val="0D0D0D" w:themeColor="text1" w:themeTint="F2"/>
        </w:rPr>
      </w:pPr>
      <w:r w:rsidRPr="00770F9D">
        <w:rPr>
          <w:rFonts w:ascii="Garamond" w:hAnsi="Garamond" w:cstheme="majorBidi"/>
          <w:bCs/>
          <w:color w:val="0D0D0D" w:themeColor="text1" w:themeTint="F2"/>
        </w:rPr>
        <w:t>-</w:t>
      </w:r>
      <w:r w:rsidR="00E74E85" w:rsidRPr="00770F9D">
        <w:rPr>
          <w:rFonts w:ascii="Garamond" w:hAnsi="Garamond" w:cstheme="majorBidi"/>
          <w:bCs/>
          <w:color w:val="0D0D0D" w:themeColor="text1" w:themeTint="F2"/>
        </w:rPr>
        <w:t xml:space="preserve"> Në vitin 2022, </w:t>
      </w:r>
      <w:r w:rsidR="00EE4A66" w:rsidRPr="00770F9D">
        <w:rPr>
          <w:rFonts w:ascii="Garamond" w:hAnsi="Garamond" w:cstheme="majorBidi"/>
          <w:bCs/>
          <w:color w:val="0D0D0D" w:themeColor="text1" w:themeTint="F2"/>
        </w:rPr>
        <w:t xml:space="preserve">programi </w:t>
      </w:r>
      <w:r w:rsidR="00E74E85" w:rsidRPr="00770F9D">
        <w:rPr>
          <w:rFonts w:ascii="Garamond" w:hAnsi="Garamond" w:cstheme="majorBidi"/>
          <w:bCs/>
          <w:color w:val="0D0D0D" w:themeColor="text1" w:themeTint="F2"/>
        </w:rPr>
        <w:t xml:space="preserve">CoSOLVE dha këshilla (502) dhe grante (228) për MSME-të. Në vitin 2023, 230 të tjerë do të marrin këshillim 90 do të marrin shërbime në </w:t>
      </w:r>
      <w:r w:rsidR="003F4C96" w:rsidRPr="00770F9D">
        <w:rPr>
          <w:rFonts w:ascii="Garamond" w:hAnsi="Garamond" w:cstheme="majorBidi"/>
          <w:bCs/>
          <w:color w:val="0D0D0D" w:themeColor="text1" w:themeTint="F2"/>
        </w:rPr>
        <w:t>digjital</w:t>
      </w:r>
      <w:r w:rsidR="00E74E85" w:rsidRPr="00770F9D">
        <w:rPr>
          <w:rFonts w:ascii="Garamond" w:hAnsi="Garamond" w:cstheme="majorBidi"/>
          <w:bCs/>
          <w:color w:val="0D0D0D" w:themeColor="text1" w:themeTint="F2"/>
        </w:rPr>
        <w:t>izim dhe rreth 70 MSME do të marrin një grant</w:t>
      </w:r>
    </w:p>
    <w:p w14:paraId="52F229C7" w14:textId="77777777" w:rsidR="00E74E85" w:rsidRPr="00770F9D" w:rsidRDefault="00E74E85" w:rsidP="003F46E1">
      <w:pPr>
        <w:ind w:firstLine="284"/>
        <w:jc w:val="both"/>
        <w:rPr>
          <w:rFonts w:ascii="Garamond" w:hAnsi="Garamond" w:cstheme="majorBidi"/>
          <w:bCs/>
          <w:color w:val="0D0D0D" w:themeColor="text1" w:themeTint="F2"/>
        </w:rPr>
      </w:pPr>
      <w:r w:rsidRPr="00770F9D">
        <w:rPr>
          <w:rFonts w:ascii="Garamond" w:hAnsi="Garamond" w:cstheme="majorBidi"/>
          <w:bCs/>
          <w:color w:val="0D0D0D" w:themeColor="text1" w:themeTint="F2"/>
        </w:rPr>
        <w:t>Përmbledhje e panaireve për të mbështetur NVM-të</w:t>
      </w:r>
    </w:p>
    <w:p w14:paraId="2F3987B1" w14:textId="0FD4B690" w:rsidR="00E74E85" w:rsidRPr="00770F9D" w:rsidRDefault="00E74E85" w:rsidP="003F46E1">
      <w:pPr>
        <w:ind w:firstLine="284"/>
        <w:jc w:val="both"/>
        <w:rPr>
          <w:rFonts w:ascii="Garamond" w:hAnsi="Garamond" w:cstheme="majorBidi"/>
          <w:bCs/>
          <w:color w:val="0D0D0D" w:themeColor="text1" w:themeTint="F2"/>
        </w:rPr>
      </w:pPr>
      <w:r w:rsidRPr="00770F9D">
        <w:rPr>
          <w:rFonts w:ascii="Garamond" w:hAnsi="Garamond" w:cstheme="majorBidi"/>
          <w:bCs/>
          <w:color w:val="0D0D0D" w:themeColor="text1" w:themeTint="F2"/>
        </w:rPr>
        <w:t>Një nga funksionet e AIDA-s është mbështetja dhe lehtësimi i pjesëmarrjes në panairet kombëtare dhe ndërkombëtare për SME-të shqiptare. Për këtë qëllim, gjatë vitit 2021, AIDA organizoi disa aktivitete, seminare informative dhe takime “derë më derë” me bizneset, me qëllim informimin e tyre mbi shërbimet kryesore</w:t>
      </w:r>
      <w:r w:rsidR="003A0B9E" w:rsidRPr="00770F9D">
        <w:rPr>
          <w:rFonts w:ascii="Garamond" w:hAnsi="Garamond" w:cstheme="majorBidi"/>
          <w:bCs/>
          <w:color w:val="0D0D0D" w:themeColor="text1" w:themeTint="F2"/>
        </w:rPr>
        <w:t>,</w:t>
      </w:r>
      <w:r w:rsidRPr="00770F9D">
        <w:rPr>
          <w:rFonts w:ascii="Garamond" w:hAnsi="Garamond" w:cstheme="majorBidi"/>
          <w:bCs/>
          <w:color w:val="0D0D0D" w:themeColor="text1" w:themeTint="F2"/>
        </w:rPr>
        <w:t xml:space="preserve"> që ofron AIDA</w:t>
      </w:r>
      <w:r w:rsidR="00291DEC" w:rsidRPr="00770F9D">
        <w:rPr>
          <w:rFonts w:ascii="Garamond" w:hAnsi="Garamond" w:cstheme="majorBidi"/>
          <w:bCs/>
          <w:color w:val="0D0D0D" w:themeColor="text1" w:themeTint="F2"/>
        </w:rPr>
        <w:t>,</w:t>
      </w:r>
      <w:r w:rsidRPr="00770F9D">
        <w:rPr>
          <w:rFonts w:ascii="Garamond" w:hAnsi="Garamond" w:cstheme="majorBidi"/>
          <w:bCs/>
          <w:color w:val="0D0D0D" w:themeColor="text1" w:themeTint="F2"/>
        </w:rPr>
        <w:t xml:space="preserve"> si dhe mënyrat e mundshme të përfitimit nga aksesi në financa.</w:t>
      </w:r>
    </w:p>
    <w:p w14:paraId="15E37C59" w14:textId="77777777" w:rsidR="00E74E85" w:rsidRPr="00770F9D" w:rsidRDefault="00E74E85" w:rsidP="003F46E1">
      <w:pPr>
        <w:ind w:firstLine="284"/>
        <w:jc w:val="both"/>
        <w:rPr>
          <w:rFonts w:ascii="Garamond" w:hAnsi="Garamond" w:cstheme="majorBidi"/>
          <w:bCs/>
          <w:color w:val="0D0D0D" w:themeColor="text1" w:themeTint="F2"/>
        </w:rPr>
      </w:pPr>
      <w:r w:rsidRPr="00770F9D">
        <w:rPr>
          <w:rFonts w:ascii="Garamond" w:hAnsi="Garamond" w:cstheme="majorBidi"/>
          <w:bCs/>
          <w:color w:val="0D0D0D" w:themeColor="text1" w:themeTint="F2"/>
        </w:rPr>
        <w:t>Bashkëpunimi me partnerët</w:t>
      </w:r>
    </w:p>
    <w:p w14:paraId="532627B7" w14:textId="77777777" w:rsidR="00E74E85" w:rsidRPr="00770F9D" w:rsidRDefault="00E74E85" w:rsidP="003F46E1">
      <w:pPr>
        <w:ind w:firstLine="284"/>
        <w:jc w:val="both"/>
        <w:rPr>
          <w:rFonts w:ascii="Garamond" w:hAnsi="Garamond" w:cstheme="majorBidi"/>
          <w:bCs/>
          <w:color w:val="0D0D0D" w:themeColor="text1" w:themeTint="F2"/>
        </w:rPr>
      </w:pPr>
      <w:r w:rsidRPr="00770F9D">
        <w:rPr>
          <w:rFonts w:ascii="Garamond" w:hAnsi="Garamond" w:cstheme="majorBidi"/>
          <w:bCs/>
          <w:color w:val="0D0D0D" w:themeColor="text1" w:themeTint="F2"/>
        </w:rPr>
        <w:t xml:space="preserve">Agjencia Shqiptare e Zhvillimit të Investimeve, si partnere e IDEA Challenge, ka asistuar në të gjitha fazat e zhvillimit të saj, që nga promovimi, vlerësimi i planeve të biznesit dhe shpallja e finalistëve. Gjatë vitit 2021, rreth 300 </w:t>
      </w:r>
      <w:r w:rsidRPr="00770F9D">
        <w:rPr>
          <w:rFonts w:ascii="Garamond" w:hAnsi="Garamond" w:cstheme="majorBidi"/>
          <w:bCs/>
          <w:i/>
          <w:iCs/>
          <w:color w:val="0D0D0D" w:themeColor="text1" w:themeTint="F2"/>
        </w:rPr>
        <w:t>start-up</w:t>
      </w:r>
      <w:r w:rsidRPr="00770F9D">
        <w:rPr>
          <w:rFonts w:ascii="Garamond" w:hAnsi="Garamond" w:cstheme="majorBidi"/>
          <w:bCs/>
          <w:color w:val="0D0D0D" w:themeColor="text1" w:themeTint="F2"/>
        </w:rPr>
        <w:t xml:space="preserve"> inovativë iu nënshtruan iniciativës për të forcuar kompetencat e tyre sipërmarrëse dhe aftësitë e biznesit, përmes gjenerimit të ideve dhe zhvillimit të planeve bindëse të biznesit.</w:t>
      </w:r>
    </w:p>
    <w:p w14:paraId="78D1411A" w14:textId="77777777" w:rsidR="000A083E" w:rsidRPr="00770F9D" w:rsidRDefault="000A083E"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UP 4.2</w:t>
      </w:r>
    </w:p>
    <w:p w14:paraId="0EBB76E3" w14:textId="77777777" w:rsidR="00DB3786" w:rsidRPr="00770F9D" w:rsidRDefault="00DB3786" w:rsidP="003F46E1">
      <w:pPr>
        <w:snapToGrid w:val="0"/>
        <w:ind w:firstLine="284"/>
        <w:jc w:val="both"/>
        <w:rPr>
          <w:rFonts w:ascii="Garamond" w:hAnsi="Garamond" w:cstheme="majorBidi"/>
          <w:b/>
          <w:bCs/>
          <w:color w:val="0D0D0D" w:themeColor="text1" w:themeTint="F2"/>
        </w:rPr>
      </w:pPr>
      <w:r w:rsidRPr="00770F9D">
        <w:rPr>
          <w:rFonts w:ascii="Garamond" w:hAnsi="Garamond" w:cstheme="majorBidi"/>
          <w:b/>
          <w:bCs/>
          <w:color w:val="0D0D0D" w:themeColor="text1" w:themeTint="F2"/>
        </w:rPr>
        <w:t>Vlerësoni efektivitetin e mekanizmit të konsultimit dhe më pas rishikoni atë me kontributin e bizneseve dhe partnerëve socialë për ta bërë procesin më gjithëpërfshirës, praktik dhe transparent.</w:t>
      </w:r>
    </w:p>
    <w:p w14:paraId="48CCABD2" w14:textId="687BBA5D" w:rsidR="00B433CD" w:rsidRPr="00770F9D" w:rsidRDefault="00B433CD"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Me miratimin e ligjit nr. 43/2022 “Për zhvillimin e sipërmarrjeve mikro, të vogla dhe të mesme” është krijuar Këshilli Konsultativ i Ndërmarrjeve. Këshilli përbëhet nga 11 anëtarë me përfaqësues nga agjencitë shtetërore, shoqatat e biznesit dhe akademia. Kompetencat e Këshillit janë</w:t>
      </w:r>
      <w:r w:rsidR="00A56D82"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më poshtë:</w:t>
      </w:r>
    </w:p>
    <w:p w14:paraId="6EE86A75" w14:textId="77777777" w:rsidR="00B433CD" w:rsidRPr="00770F9D" w:rsidRDefault="00B433CD"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a) diskuton politikat për mbështetjen dhe zhvillimin e biznesit;</w:t>
      </w:r>
    </w:p>
    <w:p w14:paraId="6548FC2B" w14:textId="77777777" w:rsidR="00B433CD" w:rsidRPr="00770F9D" w:rsidRDefault="00B433CD"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b) të japë mendime dhe këshilla për të adresuar nevojat për mbështetje të biznesit;</w:t>
      </w:r>
    </w:p>
    <w:p w14:paraId="3BFEEC97" w14:textId="77777777" w:rsidR="00B433CD" w:rsidRPr="00770F9D" w:rsidRDefault="00B433CD"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c) të sigurojë mbështetje këshillimore gjatë hartimit të skemave të mbështetjes shtetërore në kuadër të Strategjisë për Zhvillimin e Biznesit dhe Investimeve.</w:t>
      </w:r>
    </w:p>
    <w:p w14:paraId="1E987BB1" w14:textId="77777777" w:rsidR="00B433CD" w:rsidRPr="00770F9D" w:rsidRDefault="00B433CD"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Funksionimi i Këshillit synon të rrisë dhe përmirësojë efektivitetin e mekanizmit të konsultimit me inpute nga bizneset dhe partnerët socialë për ta bërë procesin më gjithëpërfshirës, praktik dhe transparent.</w:t>
      </w:r>
    </w:p>
    <w:p w14:paraId="491762A0" w14:textId="77777777"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UP 4.3</w:t>
      </w:r>
    </w:p>
    <w:p w14:paraId="212F6041" w14:textId="77777777" w:rsidR="00072546" w:rsidRPr="00770F9D" w:rsidRDefault="00072546" w:rsidP="003F46E1">
      <w:pPr>
        <w:autoSpaceDE w:val="0"/>
        <w:autoSpaceDN w:val="0"/>
        <w:adjustRightInd w:val="0"/>
        <w:ind w:firstLine="284"/>
        <w:jc w:val="both"/>
        <w:rPr>
          <w:rFonts w:ascii="Garamond" w:hAnsi="Garamond" w:cs="Garamond"/>
          <w:b/>
          <w:bCs/>
          <w:color w:val="0D0D0D"/>
          <w:lang w:eastAsia="sq-AL"/>
        </w:rPr>
      </w:pPr>
      <w:r w:rsidRPr="00770F9D">
        <w:rPr>
          <w:rFonts w:ascii="Garamond" w:hAnsi="Garamond" w:cs="Garamond"/>
          <w:b/>
          <w:bCs/>
          <w:color w:val="0D0D0D"/>
          <w:lang w:eastAsia="sq-AL"/>
        </w:rPr>
        <w:t>Hartoni një plan veprimi strategjik dhe të koordinuar për zbatimin e politikave kundër informalitetit, bazuar, por pa u kufizuar, në strategjinë afatmesme të të ardhurave.</w:t>
      </w:r>
    </w:p>
    <w:p w14:paraId="318C6612" w14:textId="2B4BE51B" w:rsidR="00072546" w:rsidRPr="00770F9D" w:rsidRDefault="00072546" w:rsidP="006C4DF1">
      <w:pPr>
        <w:tabs>
          <w:tab w:val="left" w:pos="0"/>
        </w:tabs>
        <w:autoSpaceDE w:val="0"/>
        <w:autoSpaceDN w:val="0"/>
        <w:adjustRightInd w:val="0"/>
        <w:ind w:firstLine="284"/>
        <w:jc w:val="both"/>
        <w:rPr>
          <w:rFonts w:ascii="Garamond" w:hAnsi="Garamond" w:cs="Garamond"/>
          <w:b/>
          <w:bCs/>
          <w:color w:val="0D0D0D"/>
          <w:lang w:eastAsia="sq-AL"/>
        </w:rPr>
      </w:pPr>
      <w:r w:rsidRPr="00770F9D">
        <w:rPr>
          <w:rFonts w:ascii="Garamond" w:hAnsi="Garamond" w:cs="Garamond"/>
          <w:b/>
          <w:bCs/>
          <w:color w:val="0D0D0D"/>
          <w:lang w:eastAsia="sq-AL"/>
        </w:rPr>
        <w:t>A.</w:t>
      </w:r>
      <w:r w:rsidR="00BA4F1A" w:rsidRPr="00770F9D">
        <w:rPr>
          <w:rFonts w:ascii="Garamond" w:hAnsi="Garamond" w:cs="Garamond"/>
          <w:b/>
          <w:bCs/>
          <w:color w:val="0D0D0D"/>
          <w:lang w:eastAsia="sq-AL"/>
        </w:rPr>
        <w:t xml:space="preserve"> </w:t>
      </w:r>
      <w:r w:rsidR="00A56D82" w:rsidRPr="00770F9D">
        <w:rPr>
          <w:rFonts w:ascii="Garamond" w:hAnsi="Garamond" w:cs="Garamond"/>
          <w:b/>
          <w:bCs/>
          <w:color w:val="0D0D0D"/>
          <w:lang w:eastAsia="sq-AL"/>
        </w:rPr>
        <w:t>N</w:t>
      </w:r>
      <w:r w:rsidR="006C4DF1" w:rsidRPr="00770F9D">
        <w:rPr>
          <w:rFonts w:ascii="Garamond" w:hAnsi="Garamond" w:cs="Garamond"/>
          <w:b/>
          <w:bCs/>
          <w:color w:val="0D0D0D"/>
          <w:lang w:eastAsia="sq-AL"/>
        </w:rPr>
        <w:t>ë</w:t>
      </w:r>
      <w:r w:rsidR="00A56D82" w:rsidRPr="00770F9D">
        <w:rPr>
          <w:rFonts w:ascii="Garamond" w:hAnsi="Garamond" w:cs="Garamond"/>
          <w:b/>
          <w:bCs/>
          <w:color w:val="0D0D0D"/>
          <w:lang w:eastAsia="sq-AL"/>
        </w:rPr>
        <w:t xml:space="preserve"> kuadër të prioritetit-zvogëlim </w:t>
      </w:r>
      <w:r w:rsidRPr="00770F9D">
        <w:rPr>
          <w:rFonts w:ascii="Garamond" w:hAnsi="Garamond" w:cs="Garamond"/>
          <w:b/>
          <w:bCs/>
          <w:color w:val="0D0D0D"/>
          <w:lang w:eastAsia="sq-AL"/>
        </w:rPr>
        <w:t>i punës së padeklaruar dhe nën deklaruar gjatë vitit 2022</w:t>
      </w:r>
    </w:p>
    <w:p w14:paraId="72348CD0" w14:textId="3D52938C" w:rsidR="00072546" w:rsidRPr="00770F9D" w:rsidRDefault="009040BF" w:rsidP="003F46E1">
      <w:pPr>
        <w:autoSpaceDE w:val="0"/>
        <w:autoSpaceDN w:val="0"/>
        <w:adjustRightInd w:val="0"/>
        <w:ind w:firstLine="284"/>
        <w:jc w:val="both"/>
        <w:rPr>
          <w:rFonts w:ascii="Garamond" w:hAnsi="Garamond" w:cs="Garamond"/>
          <w:b/>
          <w:bCs/>
          <w:color w:val="0D0D0D"/>
          <w:lang w:eastAsia="sq-AL"/>
        </w:rPr>
      </w:pPr>
      <w:r w:rsidRPr="00770F9D">
        <w:rPr>
          <w:rFonts w:ascii="Garamond" w:hAnsi="Garamond" w:cs="Garamond"/>
          <w:b/>
          <w:bCs/>
          <w:color w:val="0D0D0D"/>
          <w:lang w:eastAsia="sq-AL"/>
        </w:rPr>
        <w:t xml:space="preserve">Njësia antiinformalitet </w:t>
      </w:r>
      <w:r w:rsidR="00072546" w:rsidRPr="00770F9D">
        <w:rPr>
          <w:rFonts w:ascii="Garamond" w:hAnsi="Garamond" w:cs="Garamond"/>
          <w:b/>
          <w:bCs/>
          <w:color w:val="0D0D0D"/>
          <w:lang w:eastAsia="sq-AL"/>
        </w:rPr>
        <w:t xml:space="preserve">për të ardhurat nga </w:t>
      </w:r>
      <w:r w:rsidR="00B24531" w:rsidRPr="00770F9D">
        <w:rPr>
          <w:rFonts w:ascii="Garamond" w:hAnsi="Garamond" w:cs="Garamond"/>
          <w:b/>
          <w:bCs/>
          <w:color w:val="0D0D0D"/>
          <w:lang w:eastAsia="sq-AL"/>
        </w:rPr>
        <w:t xml:space="preserve">punësimi dhe shërbimet </w:t>
      </w:r>
    </w:p>
    <w:p w14:paraId="650B0451" w14:textId="78AFDBAE" w:rsidR="00072546" w:rsidRPr="00770F9D" w:rsidRDefault="00072546" w:rsidP="00A54C4F">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 xml:space="preserve">Bazuar në </w:t>
      </w:r>
      <w:r w:rsidR="00B20B8C" w:rsidRPr="00770F9D">
        <w:rPr>
          <w:rFonts w:ascii="Garamond" w:hAnsi="Garamond" w:cs="Garamond"/>
          <w:color w:val="0D0D0D"/>
          <w:lang w:eastAsia="sq-AL"/>
        </w:rPr>
        <w:t xml:space="preserve">urdhrin nr. </w:t>
      </w:r>
      <w:r w:rsidRPr="00770F9D">
        <w:rPr>
          <w:rFonts w:ascii="Garamond" w:hAnsi="Garamond" w:cs="Garamond"/>
          <w:color w:val="0D0D0D"/>
          <w:lang w:eastAsia="sq-AL"/>
        </w:rPr>
        <w:t>1</w:t>
      </w:r>
      <w:r w:rsidR="00367D78" w:rsidRPr="00770F9D">
        <w:rPr>
          <w:rFonts w:ascii="Garamond" w:hAnsi="Garamond" w:cs="Garamond"/>
          <w:color w:val="0D0D0D"/>
          <w:lang w:eastAsia="sq-AL"/>
        </w:rPr>
        <w:t>,</w:t>
      </w:r>
      <w:r w:rsidRPr="00770F9D">
        <w:rPr>
          <w:rFonts w:ascii="Garamond" w:hAnsi="Garamond" w:cs="Garamond"/>
          <w:color w:val="0D0D0D"/>
          <w:lang w:eastAsia="sq-AL"/>
        </w:rPr>
        <w:t xml:space="preserve"> dat</w:t>
      </w:r>
      <w:r w:rsidR="00367D78" w:rsidRPr="00770F9D">
        <w:rPr>
          <w:rFonts w:ascii="Garamond" w:hAnsi="Garamond" w:cs="Garamond"/>
          <w:color w:val="0D0D0D"/>
          <w:lang w:eastAsia="sq-AL"/>
        </w:rPr>
        <w:t>ë 5.</w:t>
      </w:r>
      <w:r w:rsidRPr="00770F9D">
        <w:rPr>
          <w:rFonts w:ascii="Garamond" w:hAnsi="Garamond" w:cs="Garamond"/>
          <w:color w:val="0D0D0D"/>
          <w:lang w:eastAsia="sq-AL"/>
        </w:rPr>
        <w:t>1.2022 të Kryeministrit</w:t>
      </w:r>
      <w:r w:rsidR="00367D78" w:rsidRPr="00770F9D">
        <w:rPr>
          <w:rFonts w:ascii="Garamond" w:hAnsi="Garamond" w:cs="Garamond"/>
          <w:color w:val="0D0D0D"/>
          <w:lang w:eastAsia="sq-AL"/>
        </w:rPr>
        <w:t>,</w:t>
      </w:r>
      <w:r w:rsidRPr="00770F9D">
        <w:rPr>
          <w:rFonts w:ascii="Garamond" w:hAnsi="Garamond" w:cs="Garamond"/>
          <w:color w:val="0D0D0D"/>
          <w:lang w:eastAsia="sq-AL"/>
        </w:rPr>
        <w:t xml:space="preserve"> “Për n</w:t>
      </w:r>
      <w:r w:rsidR="00367D78" w:rsidRPr="00770F9D">
        <w:rPr>
          <w:rFonts w:ascii="Garamond" w:hAnsi="Garamond" w:cs="Garamond"/>
          <w:color w:val="0D0D0D"/>
          <w:lang w:eastAsia="sq-AL"/>
        </w:rPr>
        <w:t>gritjen e njësisë speciale anti</w:t>
      </w:r>
      <w:r w:rsidRPr="00770F9D">
        <w:rPr>
          <w:rFonts w:ascii="Garamond" w:hAnsi="Garamond" w:cs="Garamond"/>
          <w:color w:val="0D0D0D"/>
          <w:lang w:eastAsia="sq-AL"/>
        </w:rPr>
        <w:t>informalitet për të ardhurat nga punësimi dhe shërbimet”, është hartuar nga MFE</w:t>
      </w:r>
      <w:r w:rsidR="00367D78" w:rsidRPr="00770F9D">
        <w:rPr>
          <w:rFonts w:ascii="Garamond" w:hAnsi="Garamond" w:cs="Garamond"/>
          <w:color w:val="0D0D0D"/>
          <w:lang w:eastAsia="sq-AL"/>
        </w:rPr>
        <w:t>-ja</w:t>
      </w:r>
      <w:r w:rsidRPr="00770F9D">
        <w:rPr>
          <w:rFonts w:ascii="Garamond" w:hAnsi="Garamond" w:cs="Garamond"/>
          <w:color w:val="0D0D0D"/>
          <w:lang w:eastAsia="sq-AL"/>
        </w:rPr>
        <w:t xml:space="preserve"> </w:t>
      </w:r>
      <w:r w:rsidR="00367D78" w:rsidRPr="00770F9D">
        <w:rPr>
          <w:rFonts w:ascii="Garamond" w:hAnsi="Garamond" w:cs="Garamond"/>
          <w:color w:val="0D0D0D"/>
          <w:lang w:eastAsia="sq-AL"/>
        </w:rPr>
        <w:t xml:space="preserve">urdhri </w:t>
      </w:r>
      <w:r w:rsidRPr="00770F9D">
        <w:rPr>
          <w:rFonts w:ascii="Garamond" w:hAnsi="Garamond" w:cs="Garamond"/>
          <w:color w:val="0D0D0D"/>
          <w:lang w:eastAsia="sq-AL"/>
        </w:rPr>
        <w:t>nr.</w:t>
      </w:r>
      <w:r w:rsidR="00A54C4F" w:rsidRPr="00770F9D">
        <w:rPr>
          <w:rFonts w:ascii="Garamond" w:hAnsi="Garamond" w:cs="Garamond"/>
          <w:color w:val="0D0D0D"/>
          <w:lang w:eastAsia="sq-AL"/>
        </w:rPr>
        <w:t xml:space="preserve"> </w:t>
      </w:r>
      <w:r w:rsidRPr="00770F9D">
        <w:rPr>
          <w:rFonts w:ascii="Garamond" w:hAnsi="Garamond" w:cs="Garamond"/>
          <w:color w:val="0D0D0D"/>
          <w:lang w:eastAsia="sq-AL"/>
        </w:rPr>
        <w:t>11</w:t>
      </w:r>
      <w:r w:rsidR="00A54C4F" w:rsidRPr="00770F9D">
        <w:rPr>
          <w:rFonts w:ascii="Garamond" w:hAnsi="Garamond" w:cs="Garamond"/>
          <w:color w:val="0D0D0D"/>
          <w:lang w:eastAsia="sq-AL"/>
        </w:rPr>
        <w:t>, datë 14.</w:t>
      </w:r>
      <w:r w:rsidRPr="00770F9D">
        <w:rPr>
          <w:rFonts w:ascii="Garamond" w:hAnsi="Garamond" w:cs="Garamond"/>
          <w:color w:val="0D0D0D"/>
          <w:lang w:eastAsia="sq-AL"/>
        </w:rPr>
        <w:t>1.2022</w:t>
      </w:r>
      <w:r w:rsidR="00A54C4F" w:rsidRPr="00770F9D">
        <w:rPr>
          <w:rFonts w:ascii="Garamond" w:hAnsi="Garamond" w:cs="Garamond"/>
          <w:color w:val="0D0D0D"/>
          <w:lang w:eastAsia="sq-AL"/>
        </w:rPr>
        <w:t>,</w:t>
      </w:r>
      <w:r w:rsidRPr="00770F9D">
        <w:rPr>
          <w:rFonts w:ascii="Garamond" w:hAnsi="Garamond" w:cs="Garamond"/>
          <w:color w:val="0D0D0D"/>
          <w:lang w:eastAsia="sq-AL"/>
        </w:rPr>
        <w:t xml:space="preserve"> “Për përbërjen e njësisë speciale antiinformalitet për të ardhurat nga punësimi dhe shërbimet, grupit të punës dhe sekretariatit teknik”</w:t>
      </w:r>
      <w:r w:rsidR="00A54C4F" w:rsidRPr="00770F9D">
        <w:rPr>
          <w:rFonts w:ascii="Garamond" w:hAnsi="Garamond" w:cs="Garamond"/>
          <w:color w:val="0D0D0D"/>
          <w:lang w:eastAsia="sq-AL"/>
        </w:rPr>
        <w:t>,</w:t>
      </w:r>
      <w:r w:rsidRPr="00770F9D">
        <w:rPr>
          <w:rFonts w:ascii="Garamond" w:hAnsi="Garamond" w:cs="Garamond"/>
          <w:color w:val="0D0D0D"/>
          <w:lang w:eastAsia="sq-AL"/>
        </w:rPr>
        <w:t xml:space="preserve"> në këtë grup ka përfaqësues nga MFE</w:t>
      </w:r>
      <w:r w:rsidR="00A54C4F" w:rsidRPr="00770F9D">
        <w:rPr>
          <w:rFonts w:ascii="Garamond" w:hAnsi="Garamond" w:cs="Garamond"/>
          <w:color w:val="0D0D0D"/>
          <w:lang w:eastAsia="sq-AL"/>
        </w:rPr>
        <w:t>-ja</w:t>
      </w:r>
      <w:r w:rsidRPr="00770F9D">
        <w:rPr>
          <w:rFonts w:ascii="Garamond" w:hAnsi="Garamond" w:cs="Garamond"/>
          <w:color w:val="0D0D0D"/>
          <w:lang w:eastAsia="sq-AL"/>
        </w:rPr>
        <w:t xml:space="preserve">, Drejtoria e Përgjithshme e Tatimeve, Drejtoria e Përgjithshme e Policisë së Shtetit, Drejtoria e Përgjithshme e Parandalimin Pastrimit të Parave, Agjencia Shtetërore Kadastrës, Inspektorati Shtetëror i Punës. </w:t>
      </w:r>
    </w:p>
    <w:p w14:paraId="47F46CE0" w14:textId="68C890DD" w:rsidR="007066AD" w:rsidRPr="00770F9D" w:rsidRDefault="007066AD" w:rsidP="00441300">
      <w:pPr>
        <w:suppressAutoHyphens/>
        <w:ind w:firstLine="284"/>
        <w:jc w:val="both"/>
        <w:rPr>
          <w:rFonts w:ascii="Garamond" w:eastAsia="Times New Roman" w:hAnsi="Garamond" w:cstheme="majorBidi"/>
          <w:color w:val="0D0D0D" w:themeColor="text1" w:themeTint="F2"/>
        </w:rPr>
      </w:pPr>
      <w:r w:rsidRPr="00770F9D">
        <w:rPr>
          <w:rFonts w:ascii="Garamond" w:eastAsia="Times New Roman" w:hAnsi="Garamond" w:cstheme="majorBidi"/>
          <w:color w:val="0D0D0D" w:themeColor="text1" w:themeTint="F2"/>
        </w:rPr>
        <w:t>Ky grup pune ka punuar sipas një plani veprimi. Në zbatim të urdhrit, puna u bashkërendua mes administratës tatimore, ISHP</w:t>
      </w:r>
      <w:r w:rsidR="00EE603A" w:rsidRPr="00770F9D">
        <w:rPr>
          <w:rFonts w:ascii="Garamond" w:eastAsia="Times New Roman" w:hAnsi="Garamond" w:cstheme="majorBidi"/>
          <w:color w:val="0D0D0D" w:themeColor="text1" w:themeTint="F2"/>
        </w:rPr>
        <w:t>,</w:t>
      </w:r>
      <w:r w:rsidR="00441300" w:rsidRPr="00770F9D">
        <w:rPr>
          <w:rFonts w:ascii="Garamond" w:eastAsia="Times New Roman" w:hAnsi="Garamond" w:cstheme="majorBidi"/>
          <w:color w:val="0D0D0D" w:themeColor="text1" w:themeTint="F2"/>
        </w:rPr>
        <w:t xml:space="preserve"> </w:t>
      </w:r>
      <w:r w:rsidRPr="00770F9D">
        <w:rPr>
          <w:rFonts w:ascii="Garamond" w:eastAsia="Times New Roman" w:hAnsi="Garamond" w:cstheme="majorBidi"/>
          <w:color w:val="0D0D0D" w:themeColor="text1" w:themeTint="F2"/>
        </w:rPr>
        <w:t>SHSH-së dhe institucioneve të tjera të rëndësishme të vendit, duke kryer inspektime me fokus informalitetin në tregun e punës. Tatimpaguesit e listuar me risk nga Sektori i Analizës së Riskut të ISHP</w:t>
      </w:r>
      <w:r w:rsidR="00441300" w:rsidRPr="00770F9D">
        <w:rPr>
          <w:rFonts w:ascii="Garamond" w:hAnsi="Garamond" w:cs="Garamond"/>
          <w:color w:val="0D0D0D"/>
          <w:lang w:eastAsia="sq-AL"/>
        </w:rPr>
        <w:t>–</w:t>
      </w:r>
      <w:r w:rsidRPr="00770F9D">
        <w:rPr>
          <w:rFonts w:ascii="Garamond" w:eastAsia="Times New Roman" w:hAnsi="Garamond" w:cstheme="majorBidi"/>
          <w:color w:val="0D0D0D" w:themeColor="text1" w:themeTint="F2"/>
        </w:rPr>
        <w:t>SHSH janë marrë në konsideratë nga Sektori i Analizës së Riskut të administratës tatimore duke shtuar pikë risku për këta tatimpagues.</w:t>
      </w:r>
    </w:p>
    <w:p w14:paraId="6589F9E0" w14:textId="05BCA5C5" w:rsidR="007066AD" w:rsidRPr="00770F9D" w:rsidRDefault="007066AD" w:rsidP="009027A1">
      <w:pPr>
        <w:suppressAutoHyphens/>
        <w:ind w:firstLine="284"/>
        <w:jc w:val="both"/>
        <w:rPr>
          <w:rFonts w:ascii="Garamond" w:eastAsia="Times New Roman" w:hAnsi="Garamond" w:cstheme="majorBidi"/>
          <w:color w:val="0D0D0D" w:themeColor="text1" w:themeTint="F2"/>
        </w:rPr>
      </w:pPr>
      <w:r w:rsidRPr="00770F9D">
        <w:rPr>
          <w:rFonts w:ascii="Garamond" w:eastAsia="Times New Roman" w:hAnsi="Garamond" w:cstheme="majorBidi"/>
          <w:color w:val="0D0D0D" w:themeColor="text1" w:themeTint="F2"/>
        </w:rPr>
        <w:t>Efektet e planit të zbatuar për zvogëlimin e punës së padeklaruar dhe nën deklaruar gj</w:t>
      </w:r>
      <w:r w:rsidR="009027A1" w:rsidRPr="00770F9D">
        <w:rPr>
          <w:rFonts w:ascii="Garamond" w:eastAsia="Times New Roman" w:hAnsi="Garamond" w:cstheme="majorBidi"/>
          <w:color w:val="0D0D0D" w:themeColor="text1" w:themeTint="F2"/>
        </w:rPr>
        <w:t xml:space="preserve">atë vitit 2022, nga </w:t>
      </w:r>
      <w:r w:rsidR="00576C52" w:rsidRPr="00770F9D">
        <w:rPr>
          <w:rFonts w:ascii="Garamond" w:eastAsia="Times New Roman" w:hAnsi="Garamond" w:cstheme="majorBidi"/>
          <w:color w:val="0D0D0D" w:themeColor="text1" w:themeTint="F2"/>
        </w:rPr>
        <w:t>njësia antiinformalitet</w:t>
      </w:r>
      <w:r w:rsidRPr="00770F9D">
        <w:rPr>
          <w:rFonts w:ascii="Garamond" w:eastAsia="Times New Roman" w:hAnsi="Garamond" w:cstheme="majorBidi"/>
          <w:color w:val="0D0D0D" w:themeColor="text1" w:themeTint="F2"/>
        </w:rPr>
        <w:t>, janë si m</w:t>
      </w:r>
      <w:r w:rsidR="009027A1" w:rsidRPr="00770F9D">
        <w:rPr>
          <w:rFonts w:ascii="Garamond" w:eastAsia="Times New Roman" w:hAnsi="Garamond" w:cstheme="majorBidi"/>
          <w:color w:val="0D0D0D" w:themeColor="text1" w:themeTint="F2"/>
        </w:rPr>
        <w:t>ë</w:t>
      </w:r>
      <w:r w:rsidRPr="00770F9D">
        <w:rPr>
          <w:rFonts w:ascii="Garamond" w:eastAsia="Times New Roman" w:hAnsi="Garamond" w:cstheme="majorBidi"/>
          <w:color w:val="0D0D0D" w:themeColor="text1" w:themeTint="F2"/>
        </w:rPr>
        <w:t xml:space="preserve"> poshtë për të gjithë popullatën aktive të tatimpaguesve, p</w:t>
      </w:r>
      <w:r w:rsidR="00671BF2" w:rsidRPr="00770F9D">
        <w:rPr>
          <w:rFonts w:ascii="Garamond" w:eastAsia="Times New Roman" w:hAnsi="Garamond" w:cstheme="majorBidi"/>
          <w:color w:val="0D0D0D" w:themeColor="text1" w:themeTint="F2"/>
        </w:rPr>
        <w:t>ërafërsisht 120.000 tatimpagues</w:t>
      </w:r>
      <w:r w:rsidRPr="00770F9D">
        <w:rPr>
          <w:rFonts w:ascii="Garamond" w:eastAsia="Times New Roman" w:hAnsi="Garamond" w:cstheme="majorBidi"/>
          <w:color w:val="0D0D0D" w:themeColor="text1" w:themeTint="F2"/>
        </w:rPr>
        <w:t>:</w:t>
      </w:r>
    </w:p>
    <w:p w14:paraId="3DF758E4" w14:textId="34ACAD09" w:rsidR="007066AD" w:rsidRPr="00770F9D" w:rsidRDefault="007066AD" w:rsidP="008F23E2">
      <w:pPr>
        <w:suppressAutoHyphens/>
        <w:ind w:firstLine="284"/>
        <w:jc w:val="both"/>
        <w:rPr>
          <w:rFonts w:ascii="Garamond" w:eastAsia="Times New Roman" w:hAnsi="Garamond" w:cstheme="majorBidi"/>
          <w:color w:val="0D0D0D" w:themeColor="text1" w:themeTint="F2"/>
        </w:rPr>
      </w:pPr>
      <w:r w:rsidRPr="00770F9D">
        <w:rPr>
          <w:rFonts w:ascii="Garamond" w:eastAsia="Times New Roman" w:hAnsi="Garamond" w:cstheme="majorBidi"/>
          <w:color w:val="0D0D0D" w:themeColor="text1" w:themeTint="F2"/>
        </w:rPr>
        <w:t xml:space="preserve">26% </w:t>
      </w:r>
      <w:r w:rsidR="008F23E2" w:rsidRPr="00770F9D">
        <w:rPr>
          <w:rFonts w:ascii="Garamond" w:hAnsi="Garamond" w:cs="Garamond"/>
          <w:color w:val="0D0D0D"/>
          <w:lang w:eastAsia="sq-AL"/>
        </w:rPr>
        <w:t>–</w:t>
      </w:r>
      <w:r w:rsidRPr="00770F9D">
        <w:rPr>
          <w:rFonts w:ascii="Garamond" w:eastAsia="Times New Roman" w:hAnsi="Garamond" w:cstheme="majorBidi"/>
          <w:color w:val="0D0D0D" w:themeColor="text1" w:themeTint="F2"/>
        </w:rPr>
        <w:t xml:space="preserve"> nr. i pozicioneve të punës që kanë deklaruar rritje në paga.</w:t>
      </w:r>
    </w:p>
    <w:p w14:paraId="5519FFF7" w14:textId="1D36A752" w:rsidR="007066AD" w:rsidRPr="00770F9D" w:rsidRDefault="007066AD" w:rsidP="003F46E1">
      <w:pPr>
        <w:suppressAutoHyphens/>
        <w:ind w:firstLine="284"/>
        <w:jc w:val="both"/>
        <w:rPr>
          <w:rFonts w:ascii="Garamond" w:eastAsia="Times New Roman" w:hAnsi="Garamond" w:cstheme="majorBidi"/>
          <w:color w:val="0D0D0D" w:themeColor="text1" w:themeTint="F2"/>
        </w:rPr>
      </w:pPr>
      <w:r w:rsidRPr="00770F9D">
        <w:rPr>
          <w:rFonts w:ascii="Garamond" w:eastAsia="Times New Roman" w:hAnsi="Garamond" w:cstheme="majorBidi"/>
          <w:color w:val="0D0D0D" w:themeColor="text1" w:themeTint="F2"/>
        </w:rPr>
        <w:t xml:space="preserve">12.015 lekë </w:t>
      </w:r>
      <w:r w:rsidR="00671BF2" w:rsidRPr="00770F9D">
        <w:rPr>
          <w:rFonts w:ascii="Garamond" w:eastAsia="Times New Roman" w:hAnsi="Garamond" w:cstheme="majorBidi"/>
          <w:color w:val="0D0D0D" w:themeColor="text1" w:themeTint="F2"/>
        </w:rPr>
        <w:t xml:space="preserve">– </w:t>
      </w:r>
      <w:r w:rsidRPr="00770F9D">
        <w:rPr>
          <w:rFonts w:ascii="Garamond" w:eastAsia="Times New Roman" w:hAnsi="Garamond" w:cstheme="majorBidi"/>
          <w:color w:val="0D0D0D" w:themeColor="text1" w:themeTint="F2"/>
        </w:rPr>
        <w:t>është rritja mesatare e pagës për rastet me rritje page.</w:t>
      </w:r>
    </w:p>
    <w:p w14:paraId="617D781A" w14:textId="5CB01E48" w:rsidR="007066AD" w:rsidRPr="00770F9D" w:rsidRDefault="007066AD" w:rsidP="008F23E2">
      <w:pPr>
        <w:suppressAutoHyphens/>
        <w:ind w:firstLine="284"/>
        <w:jc w:val="both"/>
        <w:rPr>
          <w:rFonts w:ascii="Garamond" w:eastAsia="Times New Roman" w:hAnsi="Garamond" w:cstheme="majorBidi"/>
          <w:color w:val="0D0D0D" w:themeColor="text1" w:themeTint="F2"/>
        </w:rPr>
      </w:pPr>
      <w:r w:rsidRPr="00770F9D">
        <w:rPr>
          <w:rFonts w:ascii="Garamond" w:eastAsia="Times New Roman" w:hAnsi="Garamond" w:cstheme="majorBidi"/>
          <w:color w:val="0D0D0D" w:themeColor="text1" w:themeTint="F2"/>
        </w:rPr>
        <w:t xml:space="preserve">7% </w:t>
      </w:r>
      <w:r w:rsidR="008F23E2" w:rsidRPr="00770F9D">
        <w:rPr>
          <w:rFonts w:ascii="Garamond" w:hAnsi="Garamond" w:cs="Garamond"/>
          <w:color w:val="0D0D0D"/>
          <w:lang w:eastAsia="sq-AL"/>
        </w:rPr>
        <w:t>–</w:t>
      </w:r>
      <w:r w:rsidRPr="00770F9D">
        <w:rPr>
          <w:rFonts w:ascii="Garamond" w:eastAsia="Times New Roman" w:hAnsi="Garamond" w:cstheme="majorBidi"/>
          <w:color w:val="0D0D0D" w:themeColor="text1" w:themeTint="F2"/>
        </w:rPr>
        <w:t xml:space="preserve"> më shumë </w:t>
      </w:r>
      <w:r w:rsidR="00576C52" w:rsidRPr="00770F9D">
        <w:rPr>
          <w:rFonts w:ascii="Garamond" w:eastAsia="Times New Roman" w:hAnsi="Garamond" w:cstheme="majorBidi"/>
          <w:color w:val="0D0D0D" w:themeColor="text1" w:themeTint="F2"/>
        </w:rPr>
        <w:t xml:space="preserve">kontribute </w:t>
      </w:r>
      <w:r w:rsidRPr="00770F9D">
        <w:rPr>
          <w:rFonts w:ascii="Garamond" w:eastAsia="Times New Roman" w:hAnsi="Garamond" w:cstheme="majorBidi"/>
          <w:color w:val="0D0D0D" w:themeColor="text1" w:themeTint="F2"/>
        </w:rPr>
        <w:t xml:space="preserve">shoqërore e shëndetësore (krahasuam të dhënat e </w:t>
      </w:r>
      <w:r w:rsidR="00EB4437" w:rsidRPr="00770F9D">
        <w:rPr>
          <w:rFonts w:ascii="Garamond" w:eastAsia="Times New Roman" w:hAnsi="Garamond" w:cstheme="majorBidi"/>
          <w:color w:val="0D0D0D" w:themeColor="text1" w:themeTint="F2"/>
        </w:rPr>
        <w:t>qershor 2022 me të dhënat e qershor 2021).</w:t>
      </w:r>
    </w:p>
    <w:p w14:paraId="6F32BE57" w14:textId="26F743D9" w:rsidR="00072546" w:rsidRPr="00770F9D" w:rsidRDefault="0090730B" w:rsidP="003F46E1">
      <w:pPr>
        <w:tabs>
          <w:tab w:val="left" w:pos="0"/>
        </w:tabs>
        <w:autoSpaceDE w:val="0"/>
        <w:autoSpaceDN w:val="0"/>
        <w:adjustRightInd w:val="0"/>
        <w:ind w:firstLine="284"/>
        <w:jc w:val="both"/>
        <w:rPr>
          <w:rFonts w:ascii="Garamond" w:hAnsi="Garamond" w:cs="Garamond"/>
          <w:b/>
          <w:bCs/>
          <w:color w:val="0D0D0D"/>
          <w:lang w:eastAsia="sq-AL"/>
        </w:rPr>
      </w:pPr>
      <w:r w:rsidRPr="00770F9D">
        <w:rPr>
          <w:rFonts w:ascii="Garamond" w:hAnsi="Garamond" w:cs="Garamond"/>
          <w:b/>
          <w:bCs/>
          <w:color w:val="0D0D0D"/>
          <w:lang w:eastAsia="sq-AL"/>
        </w:rPr>
        <w:t>B</w:t>
      </w:r>
      <w:r w:rsidR="00072546" w:rsidRPr="00770F9D">
        <w:rPr>
          <w:rFonts w:ascii="Garamond" w:hAnsi="Garamond" w:cs="Garamond"/>
          <w:b/>
          <w:bCs/>
          <w:color w:val="0D0D0D"/>
          <w:lang w:eastAsia="sq-AL"/>
        </w:rPr>
        <w:t>.</w:t>
      </w:r>
      <w:r w:rsidR="00BA4F1A" w:rsidRPr="00770F9D">
        <w:rPr>
          <w:rFonts w:ascii="Garamond" w:hAnsi="Garamond" w:cs="Garamond"/>
          <w:b/>
          <w:bCs/>
          <w:color w:val="0D0D0D"/>
          <w:lang w:eastAsia="sq-AL"/>
        </w:rPr>
        <w:t xml:space="preserve"> </w:t>
      </w:r>
      <w:r w:rsidR="00072546" w:rsidRPr="00770F9D">
        <w:rPr>
          <w:rFonts w:ascii="Garamond" w:hAnsi="Garamond" w:cs="Garamond"/>
          <w:b/>
          <w:bCs/>
          <w:color w:val="0D0D0D"/>
          <w:lang w:eastAsia="sq-AL"/>
        </w:rPr>
        <w:t>Në kuadër të prioritetit: Reduktimi i hendekut të përmbushjes së TVSH (6-</w:t>
      </w:r>
      <w:r w:rsidR="00EB4437" w:rsidRPr="00770F9D">
        <w:rPr>
          <w:rFonts w:ascii="Garamond" w:hAnsi="Garamond" w:cs="Garamond"/>
          <w:b/>
          <w:bCs/>
          <w:color w:val="0D0D0D"/>
          <w:lang w:eastAsia="sq-AL"/>
        </w:rPr>
        <w:t xml:space="preserve">mujori </w:t>
      </w:r>
      <w:r w:rsidR="00072546" w:rsidRPr="00770F9D">
        <w:rPr>
          <w:rFonts w:ascii="Garamond" w:hAnsi="Garamond" w:cs="Garamond"/>
          <w:b/>
          <w:bCs/>
          <w:color w:val="0D0D0D"/>
          <w:lang w:eastAsia="sq-AL"/>
        </w:rPr>
        <w:t>1 2022):</w:t>
      </w:r>
    </w:p>
    <w:p w14:paraId="08BCF80F" w14:textId="4BAA3C8A" w:rsidR="00072546" w:rsidRPr="00770F9D" w:rsidRDefault="0090730B" w:rsidP="003F46E1">
      <w:pPr>
        <w:tabs>
          <w:tab w:val="left" w:pos="-360"/>
        </w:tabs>
        <w:autoSpaceDE w:val="0"/>
        <w:autoSpaceDN w:val="0"/>
        <w:adjustRightInd w:val="0"/>
        <w:ind w:firstLine="284"/>
        <w:jc w:val="both"/>
        <w:rPr>
          <w:rFonts w:ascii="Garamond" w:hAnsi="Garamond" w:cs="Garamond"/>
          <w:color w:val="0D0D0D"/>
          <w:lang w:eastAsia="sq-AL"/>
        </w:rPr>
      </w:pPr>
      <w:r w:rsidRPr="00770F9D">
        <w:rPr>
          <w:rFonts w:ascii="Garamond" w:hAnsi="Garamond" w:cs="Symbol"/>
          <w:color w:val="0D0D0D"/>
          <w:lang w:eastAsia="sq-AL"/>
        </w:rPr>
        <w:t>-</w:t>
      </w:r>
      <w:r w:rsidR="00BA4F1A" w:rsidRPr="00770F9D">
        <w:rPr>
          <w:rFonts w:ascii="Garamond" w:hAnsi="Garamond" w:cs="Symbol"/>
          <w:color w:val="0D0D0D"/>
          <w:lang w:eastAsia="sq-AL"/>
        </w:rPr>
        <w:t xml:space="preserve"> </w:t>
      </w:r>
      <w:r w:rsidR="00072546" w:rsidRPr="00770F9D">
        <w:rPr>
          <w:rFonts w:ascii="Garamond" w:hAnsi="Garamond" w:cs="Garamond"/>
          <w:color w:val="0D0D0D"/>
          <w:lang w:eastAsia="sq-AL"/>
        </w:rPr>
        <w:t>Në mënyrë periodike mujore janë evidentuar tatimpagues me rritje të gjendjes kreditore për t</w:t>
      </w:r>
      <w:r w:rsidR="00721DA5" w:rsidRPr="00770F9D">
        <w:rPr>
          <w:rFonts w:ascii="Garamond" w:hAnsi="Garamond" w:cs="Garamond"/>
          <w:color w:val="0D0D0D"/>
          <w:lang w:eastAsia="sq-AL"/>
        </w:rPr>
        <w:t>’</w:t>
      </w:r>
      <w:r w:rsidR="00072546" w:rsidRPr="00770F9D">
        <w:rPr>
          <w:rFonts w:ascii="Garamond" w:hAnsi="Garamond" w:cs="Garamond"/>
          <w:color w:val="0D0D0D"/>
          <w:lang w:eastAsia="sq-AL"/>
        </w:rPr>
        <w:t>u trajtuar më pas nga DRT</w:t>
      </w:r>
      <w:r w:rsidR="00721DA5" w:rsidRPr="00770F9D">
        <w:rPr>
          <w:rFonts w:ascii="Garamond" w:hAnsi="Garamond" w:cs="Garamond"/>
          <w:color w:val="0D0D0D"/>
          <w:lang w:eastAsia="sq-AL"/>
        </w:rPr>
        <w:t>-ja</w:t>
      </w:r>
      <w:r w:rsidR="00072546" w:rsidRPr="00770F9D">
        <w:rPr>
          <w:rFonts w:ascii="Garamond" w:hAnsi="Garamond" w:cs="Garamond"/>
          <w:color w:val="0D0D0D"/>
          <w:lang w:eastAsia="sq-AL"/>
        </w:rPr>
        <w:t>.</w:t>
      </w:r>
    </w:p>
    <w:p w14:paraId="54851304" w14:textId="46D579AD" w:rsidR="00072546" w:rsidRPr="00770F9D" w:rsidRDefault="0090730B" w:rsidP="003F46E1">
      <w:pPr>
        <w:tabs>
          <w:tab w:val="left" w:pos="-360"/>
        </w:tabs>
        <w:autoSpaceDE w:val="0"/>
        <w:autoSpaceDN w:val="0"/>
        <w:adjustRightInd w:val="0"/>
        <w:ind w:firstLine="284"/>
        <w:jc w:val="both"/>
        <w:rPr>
          <w:rFonts w:ascii="Garamond" w:hAnsi="Garamond" w:cs="Garamond"/>
          <w:color w:val="0D0D0D"/>
          <w:lang w:eastAsia="sq-AL"/>
        </w:rPr>
      </w:pPr>
      <w:r w:rsidRPr="00770F9D">
        <w:rPr>
          <w:rFonts w:ascii="Garamond" w:hAnsi="Garamond" w:cs="Symbol"/>
          <w:color w:val="0D0D0D"/>
          <w:lang w:eastAsia="sq-AL"/>
        </w:rPr>
        <w:t>-</w:t>
      </w:r>
      <w:r w:rsidR="00BA4F1A" w:rsidRPr="00770F9D">
        <w:rPr>
          <w:rFonts w:ascii="Garamond" w:hAnsi="Garamond" w:cs="Symbol"/>
          <w:color w:val="0D0D0D"/>
          <w:lang w:eastAsia="sq-AL"/>
        </w:rPr>
        <w:t xml:space="preserve"> </w:t>
      </w:r>
      <w:r w:rsidR="00072546" w:rsidRPr="00770F9D">
        <w:rPr>
          <w:rFonts w:ascii="Garamond" w:hAnsi="Garamond" w:cs="Garamond"/>
          <w:color w:val="0D0D0D"/>
          <w:lang w:eastAsia="sq-AL"/>
        </w:rPr>
        <w:t>Janë evidentuar tatimpagues me mbi 7 punonjës dhe janë kontaktuar e trajtuar të gjithë; jemi në fazën e evidentimit të rezultateve.</w:t>
      </w:r>
    </w:p>
    <w:p w14:paraId="103769CE" w14:textId="3A6C6B45" w:rsidR="00072546" w:rsidRPr="00770F9D" w:rsidRDefault="0090730B" w:rsidP="003F46E1">
      <w:pPr>
        <w:tabs>
          <w:tab w:val="left" w:pos="-360"/>
        </w:tabs>
        <w:autoSpaceDE w:val="0"/>
        <w:autoSpaceDN w:val="0"/>
        <w:adjustRightInd w:val="0"/>
        <w:ind w:firstLine="284"/>
        <w:jc w:val="both"/>
        <w:rPr>
          <w:rFonts w:ascii="Garamond" w:hAnsi="Garamond" w:cs="Garamond"/>
          <w:color w:val="0D0D0D"/>
          <w:lang w:eastAsia="sq-AL"/>
        </w:rPr>
      </w:pPr>
      <w:r w:rsidRPr="00770F9D">
        <w:rPr>
          <w:rFonts w:ascii="Garamond" w:hAnsi="Garamond" w:cs="Symbol"/>
          <w:color w:val="0D0D0D"/>
          <w:lang w:eastAsia="sq-AL"/>
        </w:rPr>
        <w:t>-</w:t>
      </w:r>
      <w:r w:rsidR="00BA4F1A" w:rsidRPr="00770F9D">
        <w:rPr>
          <w:rFonts w:ascii="Garamond" w:hAnsi="Garamond" w:cs="Symbol"/>
          <w:color w:val="0D0D0D"/>
          <w:lang w:eastAsia="sq-AL"/>
        </w:rPr>
        <w:t xml:space="preserve"> </w:t>
      </w:r>
      <w:r w:rsidR="00072546" w:rsidRPr="00770F9D">
        <w:rPr>
          <w:rFonts w:ascii="Garamond" w:hAnsi="Garamond" w:cs="Garamond"/>
          <w:color w:val="0D0D0D"/>
          <w:lang w:eastAsia="sq-AL"/>
        </w:rPr>
        <w:t>Po përdoren të dhënat nga fiskalizimi për të evidentuar tatimpagues që kalojnë pragun për regjistrim në përgjegjësi të reja tatimore.</w:t>
      </w:r>
    </w:p>
    <w:p w14:paraId="38E2C626" w14:textId="17D8765E" w:rsidR="00072546" w:rsidRPr="00770F9D" w:rsidRDefault="0090730B" w:rsidP="003F46E1">
      <w:pPr>
        <w:tabs>
          <w:tab w:val="left" w:pos="-360"/>
        </w:tabs>
        <w:autoSpaceDE w:val="0"/>
        <w:autoSpaceDN w:val="0"/>
        <w:adjustRightInd w:val="0"/>
        <w:ind w:firstLine="284"/>
        <w:jc w:val="both"/>
        <w:rPr>
          <w:rFonts w:ascii="Garamond" w:hAnsi="Garamond" w:cs="Garamond"/>
          <w:color w:val="0D0D0D"/>
          <w:lang w:eastAsia="sq-AL"/>
        </w:rPr>
      </w:pPr>
      <w:r w:rsidRPr="00770F9D">
        <w:rPr>
          <w:rFonts w:ascii="Garamond" w:hAnsi="Garamond" w:cs="Symbol"/>
          <w:color w:val="0D0D0D"/>
          <w:lang w:eastAsia="sq-AL"/>
        </w:rPr>
        <w:t>-</w:t>
      </w:r>
      <w:r w:rsidR="00BA4F1A" w:rsidRPr="00770F9D">
        <w:rPr>
          <w:rFonts w:ascii="Garamond" w:hAnsi="Garamond" w:cs="Symbol"/>
          <w:color w:val="0D0D0D"/>
          <w:lang w:eastAsia="sq-AL"/>
        </w:rPr>
        <w:t xml:space="preserve"> </w:t>
      </w:r>
      <w:r w:rsidR="00072546" w:rsidRPr="00770F9D">
        <w:rPr>
          <w:rFonts w:ascii="Garamond" w:hAnsi="Garamond" w:cs="Garamond"/>
          <w:color w:val="0D0D0D"/>
          <w:lang w:eastAsia="sq-AL"/>
        </w:rPr>
        <w:t>Janë evidentuar dhe po analizohen nga DRT</w:t>
      </w:r>
      <w:r w:rsidR="00F47C19" w:rsidRPr="00770F9D">
        <w:rPr>
          <w:rFonts w:ascii="Garamond" w:hAnsi="Garamond" w:cs="Garamond"/>
          <w:color w:val="0D0D0D"/>
          <w:lang w:eastAsia="sq-AL"/>
        </w:rPr>
        <w:t>-ja</w:t>
      </w:r>
      <w:r w:rsidR="00072546" w:rsidRPr="00770F9D">
        <w:rPr>
          <w:rFonts w:ascii="Garamond" w:hAnsi="Garamond" w:cs="Garamond"/>
          <w:color w:val="0D0D0D"/>
          <w:lang w:eastAsia="sq-AL"/>
        </w:rPr>
        <w:t xml:space="preserve"> listat e tatimpaguesve me mospërputhje ndërmjet të dhënave të qarkullimit nga fiskalizimi me të dhënat e qarkullimit të deklaratave tatimore.</w:t>
      </w:r>
    </w:p>
    <w:p w14:paraId="6ED87020" w14:textId="72956B66" w:rsidR="00072546" w:rsidRPr="00770F9D" w:rsidRDefault="0090730B" w:rsidP="003F46E1">
      <w:pPr>
        <w:tabs>
          <w:tab w:val="left" w:pos="-360"/>
        </w:tabs>
        <w:autoSpaceDE w:val="0"/>
        <w:autoSpaceDN w:val="0"/>
        <w:adjustRightInd w:val="0"/>
        <w:ind w:firstLine="284"/>
        <w:jc w:val="both"/>
        <w:rPr>
          <w:rFonts w:ascii="Garamond" w:hAnsi="Garamond" w:cs="Garamond"/>
          <w:color w:val="0D0D0D"/>
          <w:lang w:eastAsia="sq-AL"/>
        </w:rPr>
      </w:pPr>
      <w:r w:rsidRPr="00770F9D">
        <w:rPr>
          <w:rFonts w:ascii="Garamond" w:hAnsi="Garamond" w:cs="Symbol"/>
          <w:color w:val="0D0D0D"/>
          <w:lang w:eastAsia="sq-AL"/>
        </w:rPr>
        <w:t>-</w:t>
      </w:r>
      <w:r w:rsidR="00BA4F1A" w:rsidRPr="00770F9D">
        <w:rPr>
          <w:rFonts w:ascii="Garamond" w:hAnsi="Garamond" w:cs="Symbol"/>
          <w:color w:val="0D0D0D"/>
          <w:lang w:eastAsia="sq-AL"/>
        </w:rPr>
        <w:t xml:space="preserve"> </w:t>
      </w:r>
      <w:r w:rsidR="00072546" w:rsidRPr="00770F9D">
        <w:rPr>
          <w:rFonts w:ascii="Garamond" w:hAnsi="Garamond" w:cs="Garamond"/>
          <w:color w:val="0D0D0D"/>
          <w:lang w:eastAsia="sq-AL"/>
        </w:rPr>
        <w:t>Janë evidentuar të gjitha deklarimet nga TVSH</w:t>
      </w:r>
      <w:r w:rsidR="00F47C19" w:rsidRPr="00770F9D">
        <w:rPr>
          <w:rFonts w:ascii="Garamond" w:hAnsi="Garamond" w:cs="Garamond"/>
          <w:color w:val="0D0D0D"/>
          <w:lang w:eastAsia="sq-AL"/>
        </w:rPr>
        <w:t>-ja</w:t>
      </w:r>
      <w:r w:rsidR="00072546" w:rsidRPr="00770F9D">
        <w:rPr>
          <w:rFonts w:ascii="Garamond" w:hAnsi="Garamond" w:cs="Garamond"/>
          <w:color w:val="0D0D0D"/>
          <w:lang w:eastAsia="sq-AL"/>
        </w:rPr>
        <w:t>, TFTH</w:t>
      </w:r>
      <w:r w:rsidR="00F47C19" w:rsidRPr="00770F9D">
        <w:rPr>
          <w:rFonts w:ascii="Garamond" w:hAnsi="Garamond" w:cs="Garamond"/>
          <w:color w:val="0D0D0D"/>
          <w:lang w:eastAsia="sq-AL"/>
        </w:rPr>
        <w:t>-ja</w:t>
      </w:r>
      <w:r w:rsidR="00072546" w:rsidRPr="00770F9D">
        <w:rPr>
          <w:rFonts w:ascii="Garamond" w:hAnsi="Garamond" w:cs="Garamond"/>
          <w:color w:val="0D0D0D"/>
          <w:lang w:eastAsia="sq-AL"/>
        </w:rPr>
        <w:t xml:space="preserve"> dhe TF</w:t>
      </w:r>
      <w:r w:rsidR="00F47C19" w:rsidRPr="00770F9D">
        <w:rPr>
          <w:rFonts w:ascii="Garamond" w:hAnsi="Garamond" w:cs="Garamond"/>
          <w:color w:val="0D0D0D"/>
          <w:lang w:eastAsia="sq-AL"/>
        </w:rPr>
        <w:t>-ja</w:t>
      </w:r>
      <w:r w:rsidR="00072546" w:rsidRPr="00770F9D">
        <w:rPr>
          <w:rFonts w:ascii="Garamond" w:hAnsi="Garamond" w:cs="Garamond"/>
          <w:color w:val="0D0D0D"/>
          <w:lang w:eastAsia="sq-AL"/>
        </w:rPr>
        <w:t xml:space="preserve"> të vitit 2021 dhe janë kryer ndryshimet përkatëse në përgjegjësitë e tatimpagues bazuar në këto të dhëna.</w:t>
      </w:r>
    </w:p>
    <w:p w14:paraId="0052710B" w14:textId="7B381E52" w:rsidR="00072546" w:rsidRPr="00770F9D" w:rsidRDefault="0090730B" w:rsidP="003F46E1">
      <w:pPr>
        <w:tabs>
          <w:tab w:val="left" w:pos="-360"/>
        </w:tabs>
        <w:autoSpaceDE w:val="0"/>
        <w:autoSpaceDN w:val="0"/>
        <w:adjustRightInd w:val="0"/>
        <w:ind w:firstLine="284"/>
        <w:jc w:val="both"/>
        <w:rPr>
          <w:rFonts w:ascii="Garamond" w:hAnsi="Garamond" w:cs="Garamond"/>
          <w:color w:val="0D0D0D"/>
          <w:lang w:eastAsia="sq-AL"/>
        </w:rPr>
      </w:pPr>
      <w:r w:rsidRPr="00770F9D">
        <w:rPr>
          <w:rFonts w:ascii="Garamond" w:hAnsi="Garamond" w:cs="Symbol"/>
          <w:color w:val="0D0D0D"/>
          <w:lang w:eastAsia="sq-AL"/>
        </w:rPr>
        <w:t>-</w:t>
      </w:r>
      <w:r w:rsidR="00BA4F1A" w:rsidRPr="00770F9D">
        <w:rPr>
          <w:rFonts w:ascii="Garamond" w:hAnsi="Garamond" w:cs="Symbol"/>
          <w:color w:val="0D0D0D"/>
          <w:lang w:eastAsia="sq-AL"/>
        </w:rPr>
        <w:t xml:space="preserve"> </w:t>
      </w:r>
      <w:r w:rsidR="00072546" w:rsidRPr="00770F9D">
        <w:rPr>
          <w:rFonts w:ascii="Garamond" w:hAnsi="Garamond" w:cs="Garamond"/>
          <w:color w:val="0D0D0D"/>
          <w:lang w:eastAsia="sq-AL"/>
        </w:rPr>
        <w:t>Analizë e tatimpaguesve që janë pajisur me autorizim nga DPT</w:t>
      </w:r>
      <w:r w:rsidR="00083C67" w:rsidRPr="00770F9D">
        <w:rPr>
          <w:rFonts w:ascii="Garamond" w:hAnsi="Garamond" w:cs="Garamond"/>
          <w:color w:val="0D0D0D"/>
          <w:lang w:eastAsia="sq-AL"/>
        </w:rPr>
        <w:t>-ja,</w:t>
      </w:r>
      <w:r w:rsidR="00072546" w:rsidRPr="00770F9D">
        <w:rPr>
          <w:rFonts w:ascii="Garamond" w:hAnsi="Garamond" w:cs="Garamond"/>
          <w:color w:val="0D0D0D"/>
          <w:lang w:eastAsia="sq-AL"/>
        </w:rPr>
        <w:t xml:space="preserve"> në kuadër të procesit të rindërtimit, kryesisht me aktivitete projektim dhe ndërtim</w:t>
      </w:r>
      <w:r w:rsidR="00083C67" w:rsidRPr="00770F9D">
        <w:rPr>
          <w:rFonts w:ascii="Garamond" w:hAnsi="Garamond" w:cs="Garamond"/>
          <w:color w:val="0D0D0D"/>
          <w:lang w:eastAsia="sq-AL"/>
        </w:rPr>
        <w:t>,</w:t>
      </w:r>
      <w:r w:rsidR="00072546" w:rsidRPr="00770F9D">
        <w:rPr>
          <w:rFonts w:ascii="Garamond" w:hAnsi="Garamond" w:cs="Garamond"/>
          <w:color w:val="0D0D0D"/>
          <w:lang w:eastAsia="sq-AL"/>
        </w:rPr>
        <w:t xml:space="preserve"> si dhe të furnizuesve të tyre, si lëndë e parë në sektorin e tregtisë apo </w:t>
      </w:r>
      <w:r w:rsidR="00083C67" w:rsidRPr="00770F9D">
        <w:rPr>
          <w:rFonts w:ascii="Garamond" w:hAnsi="Garamond" w:cs="Garamond"/>
          <w:color w:val="0D0D0D"/>
          <w:lang w:eastAsia="sq-AL"/>
        </w:rPr>
        <w:t xml:space="preserve">të </w:t>
      </w:r>
      <w:r w:rsidR="00072546" w:rsidRPr="00770F9D">
        <w:rPr>
          <w:rFonts w:ascii="Garamond" w:hAnsi="Garamond" w:cs="Garamond"/>
          <w:color w:val="0D0D0D"/>
          <w:lang w:eastAsia="sq-AL"/>
        </w:rPr>
        <w:t>prodhimit.</w:t>
      </w:r>
    </w:p>
    <w:p w14:paraId="7B9699F1" w14:textId="39745A10" w:rsidR="00072546" w:rsidRPr="00770F9D" w:rsidRDefault="0090730B" w:rsidP="003F46E1">
      <w:pPr>
        <w:tabs>
          <w:tab w:val="left" w:pos="0"/>
        </w:tabs>
        <w:autoSpaceDE w:val="0"/>
        <w:autoSpaceDN w:val="0"/>
        <w:adjustRightInd w:val="0"/>
        <w:ind w:firstLine="284"/>
        <w:jc w:val="both"/>
        <w:rPr>
          <w:rFonts w:ascii="Garamond" w:hAnsi="Garamond" w:cs="Garamond"/>
          <w:b/>
          <w:bCs/>
          <w:color w:val="0D0D0D"/>
          <w:lang w:eastAsia="sq-AL"/>
        </w:rPr>
      </w:pPr>
      <w:r w:rsidRPr="00770F9D">
        <w:rPr>
          <w:rFonts w:ascii="Garamond" w:hAnsi="Garamond" w:cs="Garamond"/>
          <w:b/>
          <w:bCs/>
          <w:color w:val="0D0D0D"/>
          <w:lang w:eastAsia="sq-AL"/>
        </w:rPr>
        <w:t>C</w:t>
      </w:r>
      <w:r w:rsidR="00072546" w:rsidRPr="00770F9D">
        <w:rPr>
          <w:rFonts w:ascii="Garamond" w:hAnsi="Garamond" w:cs="Garamond"/>
          <w:b/>
          <w:bCs/>
          <w:color w:val="0D0D0D"/>
          <w:lang w:eastAsia="sq-AL"/>
        </w:rPr>
        <w:t>.</w:t>
      </w:r>
      <w:r w:rsidR="00BA4F1A" w:rsidRPr="00770F9D">
        <w:rPr>
          <w:rFonts w:ascii="Garamond" w:hAnsi="Garamond" w:cs="Garamond"/>
          <w:b/>
          <w:bCs/>
          <w:color w:val="0D0D0D"/>
          <w:lang w:eastAsia="sq-AL"/>
        </w:rPr>
        <w:t xml:space="preserve"> </w:t>
      </w:r>
      <w:r w:rsidR="00072546" w:rsidRPr="00770F9D">
        <w:rPr>
          <w:rFonts w:ascii="Garamond" w:hAnsi="Garamond" w:cs="Garamond"/>
          <w:b/>
          <w:bCs/>
          <w:color w:val="0D0D0D"/>
          <w:lang w:eastAsia="sq-AL"/>
        </w:rPr>
        <w:t>Fiskalizimi</w:t>
      </w:r>
    </w:p>
    <w:p w14:paraId="5B9CA1D1" w14:textId="63196E3F"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Fiskalizimi konsiderohet një reformë madhore që ndikon në uljen e konkurrencës së pandershme</w:t>
      </w:r>
      <w:r w:rsidR="00F63D57" w:rsidRPr="00770F9D">
        <w:rPr>
          <w:rFonts w:ascii="Garamond" w:hAnsi="Garamond" w:cs="Garamond"/>
          <w:color w:val="0D0D0D"/>
          <w:lang w:eastAsia="sq-AL"/>
        </w:rPr>
        <w:t>,</w:t>
      </w:r>
      <w:r w:rsidRPr="00770F9D">
        <w:rPr>
          <w:rFonts w:ascii="Garamond" w:hAnsi="Garamond" w:cs="Garamond"/>
          <w:color w:val="0D0D0D"/>
          <w:lang w:eastAsia="sq-AL"/>
        </w:rPr>
        <w:t xml:space="preserve"> duke eliminuar faturat fiktive të lëshuara nga blloqet e vjetra tatimore.</w:t>
      </w:r>
    </w:p>
    <w:p w14:paraId="22F8C517" w14:textId="77777777"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Shitjet nga pasivet nuk lejohen të kryhen më dhe verifikohen në kohë reale. Fiskalizmi ka thjeshtuar mënyrën e faturimit dhe të verifikimit nga ana e administratës tatimore në kohë reale. Kjo reformë madhore ka çuar në rritjen e të ardhurave.</w:t>
      </w:r>
    </w:p>
    <w:p w14:paraId="59BCE27B" w14:textId="77777777" w:rsidR="007066AD" w:rsidRPr="00770F9D" w:rsidRDefault="007066AD" w:rsidP="005674F2">
      <w:pPr>
        <w:ind w:firstLine="284"/>
        <w:rPr>
          <w:rFonts w:ascii="Garamond" w:hAnsi="Garamond" w:cstheme="majorBidi"/>
          <w:color w:val="0D0D0D" w:themeColor="text1" w:themeTint="F2"/>
          <w:lang w:eastAsia="zh-CN"/>
        </w:rPr>
      </w:pPr>
    </w:p>
    <w:tbl>
      <w:tblPr>
        <w:tblW w:w="5000" w:type="pct"/>
        <w:jc w:val="center"/>
        <w:tblLook w:val="04A0" w:firstRow="1" w:lastRow="0" w:firstColumn="1" w:lastColumn="0" w:noHBand="0" w:noVBand="1"/>
      </w:tblPr>
      <w:tblGrid>
        <w:gridCol w:w="3435"/>
        <w:gridCol w:w="1169"/>
        <w:gridCol w:w="1169"/>
        <w:gridCol w:w="1168"/>
        <w:gridCol w:w="1178"/>
        <w:gridCol w:w="1168"/>
      </w:tblGrid>
      <w:tr w:rsidR="007066AD" w:rsidRPr="00770F9D" w14:paraId="1908D577" w14:textId="77777777" w:rsidTr="00AD2E1D">
        <w:trPr>
          <w:trHeight w:val="171"/>
          <w:jc w:val="center"/>
        </w:trPr>
        <w:tc>
          <w:tcPr>
            <w:tcW w:w="1849" w:type="pct"/>
            <w:tcBorders>
              <w:top w:val="single" w:sz="8" w:space="0" w:color="auto"/>
              <w:left w:val="single" w:sz="8" w:space="0" w:color="auto"/>
              <w:bottom w:val="single" w:sz="4" w:space="0" w:color="auto"/>
              <w:right w:val="nil"/>
            </w:tcBorders>
            <w:shd w:val="clear" w:color="auto" w:fill="C6D9F1" w:themeFill="text2" w:themeFillTint="33"/>
            <w:noWrap/>
            <w:vAlign w:val="bottom"/>
            <w:hideMark/>
          </w:tcPr>
          <w:p w14:paraId="3E496957" w14:textId="77777777" w:rsidR="007066AD" w:rsidRPr="00770F9D" w:rsidRDefault="007066AD" w:rsidP="0090730B">
            <w:pPr>
              <w:suppressAutoHyphens/>
              <w:jc w:val="right"/>
              <w:rPr>
                <w:rFonts w:ascii="Garamond" w:eastAsia="Times New Roman" w:hAnsi="Garamond" w:cstheme="majorBidi"/>
                <w:b/>
                <w:bCs/>
                <w:i/>
                <w:iCs/>
                <w:color w:val="0D0D0D" w:themeColor="text1" w:themeTint="F2"/>
                <w:sz w:val="20"/>
                <w:szCs w:val="20"/>
              </w:rPr>
            </w:pPr>
            <w:r w:rsidRPr="00770F9D">
              <w:rPr>
                <w:rFonts w:ascii="Garamond" w:eastAsia="Times New Roman" w:hAnsi="Garamond" w:cstheme="majorBidi"/>
                <w:b/>
                <w:bCs/>
                <w:i/>
                <w:iCs/>
                <w:color w:val="0D0D0D" w:themeColor="text1" w:themeTint="F2"/>
                <w:sz w:val="20"/>
                <w:szCs w:val="20"/>
              </w:rPr>
              <w:t> </w:t>
            </w:r>
          </w:p>
        </w:tc>
        <w:tc>
          <w:tcPr>
            <w:tcW w:w="629" w:type="pct"/>
            <w:tcBorders>
              <w:top w:val="single" w:sz="8" w:space="0" w:color="auto"/>
              <w:left w:val="nil"/>
              <w:bottom w:val="single" w:sz="4" w:space="0" w:color="auto"/>
              <w:right w:val="nil"/>
            </w:tcBorders>
            <w:shd w:val="clear" w:color="auto" w:fill="C6D9F1" w:themeFill="text2" w:themeFillTint="33"/>
            <w:noWrap/>
            <w:vAlign w:val="bottom"/>
            <w:hideMark/>
          </w:tcPr>
          <w:p w14:paraId="215B1496" w14:textId="77777777" w:rsidR="007066AD" w:rsidRPr="00770F9D" w:rsidRDefault="007066AD" w:rsidP="0090730B">
            <w:pPr>
              <w:suppressAutoHyphens/>
              <w:jc w:val="right"/>
              <w:rPr>
                <w:rFonts w:ascii="Garamond" w:eastAsia="Times New Roman" w:hAnsi="Garamond" w:cstheme="majorBidi"/>
                <w:b/>
                <w:bCs/>
                <w:i/>
                <w:iCs/>
                <w:color w:val="0D0D0D" w:themeColor="text1" w:themeTint="F2"/>
                <w:sz w:val="20"/>
                <w:szCs w:val="20"/>
              </w:rPr>
            </w:pPr>
            <w:r w:rsidRPr="00770F9D">
              <w:rPr>
                <w:rFonts w:ascii="Garamond" w:eastAsia="Times New Roman" w:hAnsi="Garamond" w:cstheme="majorBidi"/>
                <w:b/>
                <w:bCs/>
                <w:i/>
                <w:iCs/>
                <w:color w:val="0D0D0D" w:themeColor="text1" w:themeTint="F2"/>
                <w:sz w:val="20"/>
                <w:szCs w:val="20"/>
              </w:rPr>
              <w:t> </w:t>
            </w:r>
          </w:p>
        </w:tc>
        <w:tc>
          <w:tcPr>
            <w:tcW w:w="629" w:type="pct"/>
            <w:tcBorders>
              <w:top w:val="single" w:sz="8" w:space="0" w:color="auto"/>
              <w:left w:val="nil"/>
              <w:bottom w:val="single" w:sz="4" w:space="0" w:color="auto"/>
              <w:right w:val="nil"/>
            </w:tcBorders>
            <w:shd w:val="clear" w:color="auto" w:fill="C6D9F1" w:themeFill="text2" w:themeFillTint="33"/>
            <w:noWrap/>
            <w:vAlign w:val="bottom"/>
            <w:hideMark/>
          </w:tcPr>
          <w:p w14:paraId="3E317A23" w14:textId="4AF87862" w:rsidR="007066AD" w:rsidRPr="00770F9D" w:rsidRDefault="007066AD" w:rsidP="00B72B3D">
            <w:pPr>
              <w:suppressAutoHyphens/>
              <w:jc w:val="right"/>
              <w:rPr>
                <w:rFonts w:ascii="Garamond" w:eastAsia="Times New Roman" w:hAnsi="Garamond" w:cstheme="majorBidi"/>
                <w:b/>
                <w:bCs/>
                <w:i/>
                <w:iCs/>
                <w:color w:val="0D0D0D" w:themeColor="text1" w:themeTint="F2"/>
                <w:sz w:val="20"/>
                <w:szCs w:val="20"/>
              </w:rPr>
            </w:pPr>
            <w:r w:rsidRPr="00770F9D">
              <w:rPr>
                <w:rFonts w:ascii="Garamond" w:eastAsia="Times New Roman" w:hAnsi="Garamond" w:cstheme="majorBidi"/>
                <w:b/>
                <w:bCs/>
                <w:i/>
                <w:iCs/>
                <w:color w:val="0D0D0D" w:themeColor="text1" w:themeTint="F2"/>
                <w:sz w:val="20"/>
                <w:szCs w:val="20"/>
              </w:rPr>
              <w:t xml:space="preserve"> 000/lek </w:t>
            </w:r>
          </w:p>
        </w:tc>
        <w:tc>
          <w:tcPr>
            <w:tcW w:w="629" w:type="pct"/>
            <w:tcBorders>
              <w:top w:val="single" w:sz="8" w:space="0" w:color="auto"/>
              <w:left w:val="nil"/>
              <w:bottom w:val="single" w:sz="4" w:space="0" w:color="auto"/>
              <w:right w:val="nil"/>
            </w:tcBorders>
            <w:shd w:val="clear" w:color="auto" w:fill="C6D9F1" w:themeFill="text2" w:themeFillTint="33"/>
            <w:noWrap/>
            <w:vAlign w:val="bottom"/>
            <w:hideMark/>
          </w:tcPr>
          <w:p w14:paraId="0B275AAC" w14:textId="77777777" w:rsidR="007066AD" w:rsidRPr="00770F9D" w:rsidRDefault="007066AD" w:rsidP="0090730B">
            <w:pPr>
              <w:suppressAutoHyphens/>
              <w:jc w:val="right"/>
              <w:rPr>
                <w:rFonts w:ascii="Garamond" w:eastAsia="Times New Roman" w:hAnsi="Garamond" w:cstheme="majorBidi"/>
                <w:b/>
                <w:bCs/>
                <w:i/>
                <w:iCs/>
                <w:color w:val="0D0D0D" w:themeColor="text1" w:themeTint="F2"/>
                <w:sz w:val="20"/>
                <w:szCs w:val="20"/>
              </w:rPr>
            </w:pPr>
            <w:r w:rsidRPr="00770F9D">
              <w:rPr>
                <w:rFonts w:ascii="Garamond" w:eastAsia="Times New Roman" w:hAnsi="Garamond" w:cstheme="majorBidi"/>
                <w:b/>
                <w:bCs/>
                <w:i/>
                <w:iCs/>
                <w:color w:val="0D0D0D" w:themeColor="text1" w:themeTint="F2"/>
                <w:sz w:val="20"/>
                <w:szCs w:val="20"/>
              </w:rPr>
              <w:t> </w:t>
            </w:r>
          </w:p>
        </w:tc>
        <w:tc>
          <w:tcPr>
            <w:tcW w:w="634" w:type="pct"/>
            <w:tcBorders>
              <w:top w:val="single" w:sz="8" w:space="0" w:color="auto"/>
              <w:left w:val="nil"/>
              <w:bottom w:val="single" w:sz="4" w:space="0" w:color="auto"/>
              <w:right w:val="nil"/>
            </w:tcBorders>
            <w:shd w:val="clear" w:color="auto" w:fill="C6D9F1" w:themeFill="text2" w:themeFillTint="33"/>
            <w:noWrap/>
            <w:vAlign w:val="bottom"/>
            <w:hideMark/>
          </w:tcPr>
          <w:p w14:paraId="7FCE36AC" w14:textId="77777777" w:rsidR="007066AD" w:rsidRPr="00770F9D" w:rsidRDefault="007066AD" w:rsidP="0090730B">
            <w:pPr>
              <w:suppressAutoHyphens/>
              <w:jc w:val="right"/>
              <w:rPr>
                <w:rFonts w:ascii="Garamond" w:eastAsia="Times New Roman" w:hAnsi="Garamond" w:cstheme="majorBidi"/>
                <w:b/>
                <w:bCs/>
                <w:i/>
                <w:iCs/>
                <w:color w:val="0D0D0D" w:themeColor="text1" w:themeTint="F2"/>
                <w:sz w:val="20"/>
                <w:szCs w:val="20"/>
              </w:rPr>
            </w:pPr>
            <w:r w:rsidRPr="00770F9D">
              <w:rPr>
                <w:rFonts w:ascii="Garamond" w:eastAsia="Times New Roman" w:hAnsi="Garamond" w:cstheme="majorBidi"/>
                <w:b/>
                <w:bCs/>
                <w:i/>
                <w:iCs/>
                <w:color w:val="0D0D0D" w:themeColor="text1" w:themeTint="F2"/>
                <w:sz w:val="20"/>
                <w:szCs w:val="20"/>
              </w:rPr>
              <w:t> </w:t>
            </w:r>
          </w:p>
        </w:tc>
        <w:tc>
          <w:tcPr>
            <w:tcW w:w="629" w:type="pct"/>
            <w:tcBorders>
              <w:top w:val="single" w:sz="8" w:space="0" w:color="auto"/>
              <w:left w:val="nil"/>
              <w:bottom w:val="single" w:sz="4" w:space="0" w:color="auto"/>
              <w:right w:val="single" w:sz="8" w:space="0" w:color="auto"/>
            </w:tcBorders>
            <w:shd w:val="clear" w:color="auto" w:fill="C6D9F1" w:themeFill="text2" w:themeFillTint="33"/>
            <w:noWrap/>
            <w:vAlign w:val="bottom"/>
            <w:hideMark/>
          </w:tcPr>
          <w:p w14:paraId="25145B8C" w14:textId="77777777" w:rsidR="007066AD" w:rsidRPr="00770F9D" w:rsidRDefault="007066AD" w:rsidP="0090730B">
            <w:pPr>
              <w:suppressAutoHyphens/>
              <w:jc w:val="right"/>
              <w:rPr>
                <w:rFonts w:ascii="Garamond" w:eastAsia="Times New Roman" w:hAnsi="Garamond" w:cstheme="majorBidi"/>
                <w:b/>
                <w:bCs/>
                <w:i/>
                <w:iCs/>
                <w:color w:val="0D0D0D" w:themeColor="text1" w:themeTint="F2"/>
                <w:sz w:val="20"/>
                <w:szCs w:val="20"/>
              </w:rPr>
            </w:pPr>
            <w:r w:rsidRPr="00770F9D">
              <w:rPr>
                <w:rFonts w:ascii="Garamond" w:eastAsia="Times New Roman" w:hAnsi="Garamond" w:cstheme="majorBidi"/>
                <w:b/>
                <w:bCs/>
                <w:i/>
                <w:iCs/>
                <w:color w:val="0D0D0D" w:themeColor="text1" w:themeTint="F2"/>
                <w:sz w:val="20"/>
                <w:szCs w:val="20"/>
              </w:rPr>
              <w:t> </w:t>
            </w:r>
          </w:p>
        </w:tc>
      </w:tr>
      <w:tr w:rsidR="007066AD" w:rsidRPr="00770F9D" w14:paraId="6950EEF2" w14:textId="77777777" w:rsidTr="00AD2E1D">
        <w:trPr>
          <w:trHeight w:val="171"/>
          <w:jc w:val="center"/>
        </w:trPr>
        <w:tc>
          <w:tcPr>
            <w:tcW w:w="1849" w:type="pct"/>
            <w:tcBorders>
              <w:top w:val="nil"/>
              <w:left w:val="single" w:sz="8" w:space="0" w:color="auto"/>
              <w:bottom w:val="nil"/>
              <w:right w:val="nil"/>
            </w:tcBorders>
            <w:shd w:val="clear" w:color="auto" w:fill="F2F2F2" w:themeFill="background1" w:themeFillShade="F2"/>
            <w:noWrap/>
            <w:vAlign w:val="center"/>
            <w:hideMark/>
          </w:tcPr>
          <w:p w14:paraId="02F1F446" w14:textId="77777777" w:rsidR="007066AD" w:rsidRPr="00770F9D" w:rsidRDefault="007066AD" w:rsidP="00B72B3D">
            <w:pPr>
              <w:suppressAutoHyphens/>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 </w:t>
            </w:r>
          </w:p>
        </w:tc>
        <w:tc>
          <w:tcPr>
            <w:tcW w:w="629" w:type="pct"/>
            <w:tcBorders>
              <w:top w:val="nil"/>
              <w:left w:val="nil"/>
              <w:bottom w:val="nil"/>
              <w:right w:val="nil"/>
            </w:tcBorders>
            <w:shd w:val="clear" w:color="auto" w:fill="F2F2F2" w:themeFill="background1" w:themeFillShade="F2"/>
            <w:noWrap/>
            <w:vAlign w:val="bottom"/>
            <w:hideMark/>
          </w:tcPr>
          <w:p w14:paraId="1734E432" w14:textId="77777777" w:rsidR="007066AD" w:rsidRPr="00770F9D" w:rsidRDefault="007066AD" w:rsidP="0090730B">
            <w:pPr>
              <w:suppressAutoHyphens/>
              <w:jc w:val="center"/>
              <w:rPr>
                <w:rFonts w:ascii="Garamond" w:eastAsia="Times New Roman" w:hAnsi="Garamond" w:cstheme="majorBidi"/>
                <w:b/>
                <w:bCs/>
                <w:color w:val="0D0D0D" w:themeColor="text1" w:themeTint="F2"/>
                <w:sz w:val="20"/>
                <w:szCs w:val="20"/>
              </w:rPr>
            </w:pPr>
            <w:r w:rsidRPr="00770F9D">
              <w:rPr>
                <w:rFonts w:ascii="Garamond" w:eastAsia="Times New Roman" w:hAnsi="Garamond" w:cstheme="majorBidi"/>
                <w:b/>
                <w:bCs/>
                <w:color w:val="0D0D0D" w:themeColor="text1" w:themeTint="F2"/>
                <w:sz w:val="20"/>
                <w:szCs w:val="20"/>
              </w:rPr>
              <w:t>2018</w:t>
            </w:r>
          </w:p>
        </w:tc>
        <w:tc>
          <w:tcPr>
            <w:tcW w:w="629" w:type="pct"/>
            <w:tcBorders>
              <w:top w:val="nil"/>
              <w:left w:val="nil"/>
              <w:bottom w:val="nil"/>
              <w:right w:val="nil"/>
            </w:tcBorders>
            <w:shd w:val="clear" w:color="auto" w:fill="F2F2F2" w:themeFill="background1" w:themeFillShade="F2"/>
            <w:noWrap/>
            <w:vAlign w:val="bottom"/>
            <w:hideMark/>
          </w:tcPr>
          <w:p w14:paraId="6322FF92" w14:textId="77777777" w:rsidR="007066AD" w:rsidRPr="00770F9D" w:rsidRDefault="007066AD" w:rsidP="0090730B">
            <w:pPr>
              <w:suppressAutoHyphens/>
              <w:jc w:val="center"/>
              <w:rPr>
                <w:rFonts w:ascii="Garamond" w:eastAsia="Times New Roman" w:hAnsi="Garamond" w:cstheme="majorBidi"/>
                <w:b/>
                <w:bCs/>
                <w:color w:val="0D0D0D" w:themeColor="text1" w:themeTint="F2"/>
                <w:sz w:val="20"/>
                <w:szCs w:val="20"/>
              </w:rPr>
            </w:pPr>
            <w:r w:rsidRPr="00770F9D">
              <w:rPr>
                <w:rFonts w:ascii="Garamond" w:eastAsia="Times New Roman" w:hAnsi="Garamond" w:cstheme="majorBidi"/>
                <w:b/>
                <w:bCs/>
                <w:color w:val="0D0D0D" w:themeColor="text1" w:themeTint="F2"/>
                <w:sz w:val="20"/>
                <w:szCs w:val="20"/>
              </w:rPr>
              <w:t>2019</w:t>
            </w:r>
          </w:p>
        </w:tc>
        <w:tc>
          <w:tcPr>
            <w:tcW w:w="629" w:type="pct"/>
            <w:tcBorders>
              <w:top w:val="nil"/>
              <w:left w:val="nil"/>
              <w:bottom w:val="nil"/>
              <w:right w:val="nil"/>
            </w:tcBorders>
            <w:shd w:val="clear" w:color="auto" w:fill="F2F2F2" w:themeFill="background1" w:themeFillShade="F2"/>
            <w:noWrap/>
            <w:vAlign w:val="bottom"/>
            <w:hideMark/>
          </w:tcPr>
          <w:p w14:paraId="50B377BA" w14:textId="77777777" w:rsidR="007066AD" w:rsidRPr="00770F9D" w:rsidRDefault="007066AD" w:rsidP="0090730B">
            <w:pPr>
              <w:suppressAutoHyphens/>
              <w:jc w:val="center"/>
              <w:rPr>
                <w:rFonts w:ascii="Garamond" w:eastAsia="Times New Roman" w:hAnsi="Garamond" w:cstheme="majorBidi"/>
                <w:b/>
                <w:bCs/>
                <w:color w:val="0D0D0D" w:themeColor="text1" w:themeTint="F2"/>
                <w:sz w:val="20"/>
                <w:szCs w:val="20"/>
              </w:rPr>
            </w:pPr>
            <w:r w:rsidRPr="00770F9D">
              <w:rPr>
                <w:rFonts w:ascii="Garamond" w:eastAsia="Times New Roman" w:hAnsi="Garamond" w:cstheme="majorBidi"/>
                <w:b/>
                <w:bCs/>
                <w:color w:val="0D0D0D" w:themeColor="text1" w:themeTint="F2"/>
                <w:sz w:val="20"/>
                <w:szCs w:val="20"/>
              </w:rPr>
              <w:t>2020</w:t>
            </w:r>
          </w:p>
        </w:tc>
        <w:tc>
          <w:tcPr>
            <w:tcW w:w="634" w:type="pct"/>
            <w:tcBorders>
              <w:top w:val="nil"/>
              <w:left w:val="nil"/>
              <w:bottom w:val="nil"/>
              <w:right w:val="nil"/>
            </w:tcBorders>
            <w:shd w:val="clear" w:color="auto" w:fill="F2F2F2" w:themeFill="background1" w:themeFillShade="F2"/>
            <w:noWrap/>
            <w:vAlign w:val="bottom"/>
            <w:hideMark/>
          </w:tcPr>
          <w:p w14:paraId="100505CC" w14:textId="77777777" w:rsidR="007066AD" w:rsidRPr="00770F9D" w:rsidRDefault="007066AD" w:rsidP="0090730B">
            <w:pPr>
              <w:suppressAutoHyphens/>
              <w:jc w:val="center"/>
              <w:rPr>
                <w:rFonts w:ascii="Garamond" w:eastAsia="Times New Roman" w:hAnsi="Garamond" w:cstheme="majorBidi"/>
                <w:b/>
                <w:bCs/>
                <w:color w:val="0D0D0D" w:themeColor="text1" w:themeTint="F2"/>
                <w:sz w:val="20"/>
                <w:szCs w:val="20"/>
              </w:rPr>
            </w:pPr>
            <w:r w:rsidRPr="00770F9D">
              <w:rPr>
                <w:rFonts w:ascii="Garamond" w:eastAsia="Times New Roman" w:hAnsi="Garamond" w:cstheme="majorBidi"/>
                <w:b/>
                <w:bCs/>
                <w:color w:val="0D0D0D" w:themeColor="text1" w:themeTint="F2"/>
                <w:sz w:val="20"/>
                <w:szCs w:val="20"/>
              </w:rPr>
              <w:t>2021</w:t>
            </w:r>
          </w:p>
        </w:tc>
        <w:tc>
          <w:tcPr>
            <w:tcW w:w="629" w:type="pct"/>
            <w:tcBorders>
              <w:top w:val="nil"/>
              <w:left w:val="nil"/>
              <w:bottom w:val="nil"/>
              <w:right w:val="single" w:sz="8" w:space="0" w:color="auto"/>
            </w:tcBorders>
            <w:shd w:val="clear" w:color="auto" w:fill="F2F2F2" w:themeFill="background1" w:themeFillShade="F2"/>
            <w:noWrap/>
            <w:vAlign w:val="bottom"/>
            <w:hideMark/>
          </w:tcPr>
          <w:p w14:paraId="2BBC13D0" w14:textId="77777777" w:rsidR="007066AD" w:rsidRPr="00770F9D" w:rsidRDefault="007066AD" w:rsidP="0090730B">
            <w:pPr>
              <w:suppressAutoHyphens/>
              <w:jc w:val="center"/>
              <w:rPr>
                <w:rFonts w:ascii="Garamond" w:eastAsia="Times New Roman" w:hAnsi="Garamond" w:cstheme="majorBidi"/>
                <w:b/>
                <w:bCs/>
                <w:color w:val="0D0D0D" w:themeColor="text1" w:themeTint="F2"/>
                <w:sz w:val="20"/>
                <w:szCs w:val="20"/>
              </w:rPr>
            </w:pPr>
            <w:r w:rsidRPr="00770F9D">
              <w:rPr>
                <w:rFonts w:ascii="Garamond" w:eastAsia="Times New Roman" w:hAnsi="Garamond" w:cstheme="majorBidi"/>
                <w:b/>
                <w:bCs/>
                <w:color w:val="0D0D0D" w:themeColor="text1" w:themeTint="F2"/>
                <w:sz w:val="20"/>
                <w:szCs w:val="20"/>
              </w:rPr>
              <w:t>9M 2022</w:t>
            </w:r>
          </w:p>
        </w:tc>
      </w:tr>
      <w:tr w:rsidR="007066AD" w:rsidRPr="00770F9D" w14:paraId="211C523E" w14:textId="77777777" w:rsidTr="00AD2E1D">
        <w:trPr>
          <w:trHeight w:val="171"/>
          <w:jc w:val="center"/>
        </w:trPr>
        <w:tc>
          <w:tcPr>
            <w:tcW w:w="1849" w:type="pct"/>
            <w:tcBorders>
              <w:top w:val="nil"/>
              <w:left w:val="single" w:sz="8" w:space="0" w:color="auto"/>
              <w:bottom w:val="nil"/>
              <w:right w:val="nil"/>
            </w:tcBorders>
            <w:shd w:val="clear" w:color="auto" w:fill="F2F2F2" w:themeFill="background1" w:themeFillShade="F2"/>
            <w:noWrap/>
            <w:vAlign w:val="center"/>
            <w:hideMark/>
          </w:tcPr>
          <w:p w14:paraId="60EBB8B1" w14:textId="4DCE38D6" w:rsidR="007066AD" w:rsidRPr="00770F9D" w:rsidRDefault="007066AD" w:rsidP="00B72B3D">
            <w:pPr>
              <w:suppressAutoHyphens/>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 xml:space="preserve"> Tatimi </w:t>
            </w:r>
            <w:r w:rsidR="008647A3" w:rsidRPr="00770F9D">
              <w:rPr>
                <w:rFonts w:ascii="Garamond" w:eastAsia="Times New Roman" w:hAnsi="Garamond" w:cstheme="majorBidi"/>
                <w:color w:val="0D0D0D" w:themeColor="text1" w:themeTint="F2"/>
                <w:sz w:val="20"/>
                <w:szCs w:val="20"/>
              </w:rPr>
              <w:t>Vlerës</w:t>
            </w:r>
            <w:r w:rsidRPr="00770F9D">
              <w:rPr>
                <w:rFonts w:ascii="Garamond" w:eastAsia="Times New Roman" w:hAnsi="Garamond" w:cstheme="majorBidi"/>
                <w:color w:val="0D0D0D" w:themeColor="text1" w:themeTint="F2"/>
                <w:sz w:val="20"/>
                <w:szCs w:val="20"/>
              </w:rPr>
              <w:t xml:space="preserve"> se Shtuar (bruto)</w:t>
            </w:r>
          </w:p>
        </w:tc>
        <w:tc>
          <w:tcPr>
            <w:tcW w:w="629" w:type="pct"/>
            <w:tcBorders>
              <w:top w:val="nil"/>
              <w:left w:val="nil"/>
              <w:bottom w:val="nil"/>
              <w:right w:val="nil"/>
            </w:tcBorders>
            <w:shd w:val="clear" w:color="auto" w:fill="F2F2F2" w:themeFill="background1" w:themeFillShade="F2"/>
            <w:noWrap/>
            <w:vAlign w:val="bottom"/>
            <w:hideMark/>
          </w:tcPr>
          <w:p w14:paraId="4E194507" w14:textId="77777777" w:rsidR="007066AD" w:rsidRPr="00770F9D" w:rsidRDefault="007066AD" w:rsidP="00B72B3D">
            <w:pPr>
              <w:suppressAutoHyphens/>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 xml:space="preserve"> 50,903,912 </w:t>
            </w:r>
          </w:p>
        </w:tc>
        <w:tc>
          <w:tcPr>
            <w:tcW w:w="629" w:type="pct"/>
            <w:tcBorders>
              <w:top w:val="nil"/>
              <w:left w:val="nil"/>
              <w:bottom w:val="nil"/>
              <w:right w:val="nil"/>
            </w:tcBorders>
            <w:shd w:val="clear" w:color="auto" w:fill="F2F2F2" w:themeFill="background1" w:themeFillShade="F2"/>
            <w:noWrap/>
            <w:vAlign w:val="bottom"/>
            <w:hideMark/>
          </w:tcPr>
          <w:p w14:paraId="3A79F882" w14:textId="77777777" w:rsidR="007066AD" w:rsidRPr="00770F9D" w:rsidRDefault="007066AD" w:rsidP="00B72B3D">
            <w:pPr>
              <w:suppressAutoHyphens/>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 xml:space="preserve"> 49,456,618 </w:t>
            </w:r>
          </w:p>
        </w:tc>
        <w:tc>
          <w:tcPr>
            <w:tcW w:w="629" w:type="pct"/>
            <w:tcBorders>
              <w:top w:val="nil"/>
              <w:left w:val="nil"/>
              <w:bottom w:val="nil"/>
              <w:right w:val="nil"/>
            </w:tcBorders>
            <w:shd w:val="clear" w:color="auto" w:fill="F2F2F2" w:themeFill="background1" w:themeFillShade="F2"/>
            <w:noWrap/>
            <w:vAlign w:val="bottom"/>
            <w:hideMark/>
          </w:tcPr>
          <w:p w14:paraId="743F5A55" w14:textId="77777777" w:rsidR="007066AD" w:rsidRPr="00770F9D" w:rsidRDefault="007066AD" w:rsidP="00B72B3D">
            <w:pPr>
              <w:suppressAutoHyphens/>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 xml:space="preserve"> 46,174,825 </w:t>
            </w:r>
          </w:p>
        </w:tc>
        <w:tc>
          <w:tcPr>
            <w:tcW w:w="634" w:type="pct"/>
            <w:tcBorders>
              <w:top w:val="nil"/>
              <w:left w:val="nil"/>
              <w:bottom w:val="nil"/>
              <w:right w:val="nil"/>
            </w:tcBorders>
            <w:shd w:val="clear" w:color="auto" w:fill="F2F2F2" w:themeFill="background1" w:themeFillShade="F2"/>
            <w:noWrap/>
            <w:vAlign w:val="bottom"/>
            <w:hideMark/>
          </w:tcPr>
          <w:p w14:paraId="3D79572E" w14:textId="77777777" w:rsidR="007066AD" w:rsidRPr="00770F9D" w:rsidRDefault="007066AD" w:rsidP="00B72B3D">
            <w:pPr>
              <w:suppressAutoHyphens/>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 xml:space="preserve"> 54,461,470 </w:t>
            </w:r>
          </w:p>
        </w:tc>
        <w:tc>
          <w:tcPr>
            <w:tcW w:w="629" w:type="pct"/>
            <w:tcBorders>
              <w:top w:val="nil"/>
              <w:left w:val="nil"/>
              <w:bottom w:val="nil"/>
              <w:right w:val="single" w:sz="8" w:space="0" w:color="auto"/>
            </w:tcBorders>
            <w:shd w:val="clear" w:color="auto" w:fill="F2F2F2" w:themeFill="background1" w:themeFillShade="F2"/>
            <w:noWrap/>
            <w:vAlign w:val="bottom"/>
            <w:hideMark/>
          </w:tcPr>
          <w:p w14:paraId="7312538E" w14:textId="77777777" w:rsidR="007066AD" w:rsidRPr="00770F9D" w:rsidRDefault="007066AD" w:rsidP="00B72B3D">
            <w:pPr>
              <w:suppressAutoHyphens/>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 xml:space="preserve"> 42,262,308 </w:t>
            </w:r>
          </w:p>
        </w:tc>
      </w:tr>
    </w:tbl>
    <w:p w14:paraId="568BDE7A" w14:textId="77777777" w:rsidR="007066AD" w:rsidRPr="00770F9D" w:rsidRDefault="007066AD" w:rsidP="00AD2E1D">
      <w:pPr>
        <w:ind w:firstLine="284"/>
        <w:jc w:val="center"/>
        <w:rPr>
          <w:rFonts w:ascii="Garamond" w:hAnsi="Garamond" w:cstheme="majorBidi"/>
          <w:i/>
          <w:iCs/>
          <w:color w:val="0D0D0D" w:themeColor="text1" w:themeTint="F2"/>
          <w:lang w:eastAsia="zh-CN"/>
        </w:rPr>
      </w:pPr>
      <w:r w:rsidRPr="00770F9D">
        <w:rPr>
          <w:rFonts w:ascii="Garamond" w:hAnsi="Garamond" w:cstheme="majorBidi"/>
          <w:i/>
          <w:iCs/>
          <w:color w:val="0D0D0D" w:themeColor="text1" w:themeTint="F2"/>
          <w:lang w:eastAsia="zh-CN"/>
        </w:rPr>
        <w:t>Burimi: Drejtoria e Kontabilitetit dhe Statistikës, DPT</w:t>
      </w:r>
    </w:p>
    <w:p w14:paraId="2FF4BEE5" w14:textId="77777777" w:rsidR="00AD2E1D" w:rsidRPr="00770F9D" w:rsidRDefault="00AD2E1D" w:rsidP="003F46E1">
      <w:pPr>
        <w:autoSpaceDE w:val="0"/>
        <w:autoSpaceDN w:val="0"/>
        <w:adjustRightInd w:val="0"/>
        <w:ind w:firstLine="284"/>
        <w:jc w:val="both"/>
        <w:rPr>
          <w:rFonts w:ascii="Garamond" w:hAnsi="Garamond" w:cs="Garamond"/>
          <w:color w:val="0D0D0D"/>
          <w:lang w:eastAsia="sq-AL"/>
        </w:rPr>
      </w:pPr>
    </w:p>
    <w:p w14:paraId="4E21179E" w14:textId="719F25B9" w:rsidR="00072546" w:rsidRPr="00770F9D" w:rsidRDefault="00072546" w:rsidP="00AD2E1D">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Nga paraqitja e tabelës së mësipërme, të ardhurat nga TVSH</w:t>
      </w:r>
      <w:r w:rsidR="00316067" w:rsidRPr="00770F9D">
        <w:rPr>
          <w:rFonts w:ascii="Garamond" w:hAnsi="Garamond" w:cs="Garamond"/>
          <w:color w:val="0D0D0D"/>
          <w:lang w:eastAsia="sq-AL"/>
        </w:rPr>
        <w:t>-ja</w:t>
      </w:r>
      <w:r w:rsidRPr="00770F9D">
        <w:rPr>
          <w:rFonts w:ascii="Garamond" w:hAnsi="Garamond" w:cs="Garamond"/>
          <w:color w:val="0D0D0D"/>
          <w:lang w:eastAsia="sq-AL"/>
        </w:rPr>
        <w:t xml:space="preserve"> për 2021</w:t>
      </w:r>
      <w:r w:rsidR="00316067" w:rsidRPr="00770F9D">
        <w:rPr>
          <w:rFonts w:ascii="Garamond" w:hAnsi="Garamond" w:cs="Garamond"/>
          <w:color w:val="0D0D0D"/>
          <w:lang w:eastAsia="sq-AL"/>
        </w:rPr>
        <w:t>-shin</w:t>
      </w:r>
      <w:r w:rsidRPr="00770F9D">
        <w:rPr>
          <w:rFonts w:ascii="Garamond" w:hAnsi="Garamond" w:cs="Garamond"/>
          <w:color w:val="0D0D0D"/>
          <w:lang w:eastAsia="sq-AL"/>
        </w:rPr>
        <w:t xml:space="preserve"> rezultojnë me rritje me 18% krahasuar me vitin 2020.</w:t>
      </w:r>
      <w:r w:rsidR="00AD2E1D" w:rsidRPr="00770F9D">
        <w:rPr>
          <w:rFonts w:ascii="Garamond" w:hAnsi="Garamond" w:cs="Garamond"/>
          <w:color w:val="0D0D0D"/>
          <w:lang w:eastAsia="sq-AL"/>
        </w:rPr>
        <w:t xml:space="preserve"> </w:t>
      </w:r>
      <w:r w:rsidRPr="00770F9D">
        <w:rPr>
          <w:rFonts w:ascii="Garamond" w:hAnsi="Garamond" w:cs="Garamond"/>
          <w:color w:val="0D0D0D"/>
          <w:lang w:eastAsia="sq-AL"/>
        </w:rPr>
        <w:t xml:space="preserve">Për shkak të ndikimit të situatës së </w:t>
      </w:r>
      <w:r w:rsidR="00316067" w:rsidRPr="00770F9D">
        <w:rPr>
          <w:rFonts w:ascii="Garamond" w:hAnsi="Garamond" w:cs="Garamond"/>
          <w:color w:val="0D0D0D"/>
          <w:lang w:eastAsia="sq-AL"/>
        </w:rPr>
        <w:t>COVID</w:t>
      </w:r>
      <w:r w:rsidRPr="00770F9D">
        <w:rPr>
          <w:rFonts w:ascii="Garamond" w:hAnsi="Garamond" w:cs="Garamond"/>
          <w:color w:val="0D0D0D"/>
          <w:lang w:eastAsia="sq-AL"/>
        </w:rPr>
        <w:t>-19 në ekonomi, viti 2020 shënon të ardhurat më të ulëta të grumbulluara nga TVSH</w:t>
      </w:r>
      <w:r w:rsidR="00316067" w:rsidRPr="00770F9D">
        <w:rPr>
          <w:rFonts w:ascii="Garamond" w:hAnsi="Garamond" w:cs="Garamond"/>
          <w:color w:val="0D0D0D"/>
          <w:lang w:eastAsia="sq-AL"/>
        </w:rPr>
        <w:t>-ja</w:t>
      </w:r>
      <w:r w:rsidRPr="00770F9D">
        <w:rPr>
          <w:rFonts w:ascii="Garamond" w:hAnsi="Garamond" w:cs="Garamond"/>
          <w:color w:val="0D0D0D"/>
          <w:lang w:eastAsia="sq-AL"/>
        </w:rPr>
        <w:t>.</w:t>
      </w:r>
    </w:p>
    <w:p w14:paraId="6693E78E" w14:textId="1177A9B2"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Bazuar në një projeksion për nivelin e të ardhurave për TVSH për 12 muaj të 2022</w:t>
      </w:r>
      <w:r w:rsidR="0062676D" w:rsidRPr="00770F9D">
        <w:rPr>
          <w:rFonts w:ascii="Garamond" w:hAnsi="Garamond" w:cs="Garamond"/>
          <w:color w:val="0D0D0D"/>
          <w:lang w:eastAsia="sq-AL"/>
        </w:rPr>
        <w:t>-shit</w:t>
      </w:r>
      <w:r w:rsidRPr="00770F9D">
        <w:rPr>
          <w:rFonts w:ascii="Garamond" w:hAnsi="Garamond" w:cs="Garamond"/>
          <w:color w:val="0D0D0D"/>
          <w:lang w:eastAsia="sq-AL"/>
        </w:rPr>
        <w:t xml:space="preserve">, parashikojmë një rritje me 3% ndaj vitit 2021. </w:t>
      </w:r>
    </w:p>
    <w:p w14:paraId="20029602" w14:textId="310F3495" w:rsidR="00072546" w:rsidRPr="00770F9D" w:rsidRDefault="00072546" w:rsidP="003F46E1">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Të dhënat në di</w:t>
      </w:r>
      <w:r w:rsidR="0062676D" w:rsidRPr="00770F9D">
        <w:rPr>
          <w:rFonts w:ascii="Garamond" w:hAnsi="Garamond" w:cs="Garamond"/>
          <w:color w:val="0D0D0D"/>
          <w:lang w:eastAsia="sq-AL"/>
        </w:rPr>
        <w:t>spozicion janë deri më datë 31.</w:t>
      </w:r>
      <w:r w:rsidRPr="00770F9D">
        <w:rPr>
          <w:rFonts w:ascii="Garamond" w:hAnsi="Garamond" w:cs="Garamond"/>
          <w:color w:val="0D0D0D"/>
          <w:lang w:eastAsia="sq-AL"/>
        </w:rPr>
        <w:t>8.2022</w:t>
      </w:r>
      <w:r w:rsidR="0062676D" w:rsidRPr="00770F9D">
        <w:rPr>
          <w:rFonts w:ascii="Garamond" w:hAnsi="Garamond" w:cs="Garamond"/>
          <w:color w:val="0D0D0D"/>
          <w:lang w:eastAsia="sq-AL"/>
        </w:rPr>
        <w:t>,</w:t>
      </w:r>
      <w:r w:rsidRPr="00770F9D">
        <w:rPr>
          <w:rFonts w:ascii="Garamond" w:hAnsi="Garamond" w:cs="Garamond"/>
          <w:color w:val="0D0D0D"/>
          <w:lang w:eastAsia="sq-AL"/>
        </w:rPr>
        <w:t xml:space="preserve"> si vijon: </w:t>
      </w:r>
    </w:p>
    <w:p w14:paraId="1E418D31" w14:textId="26E80F32" w:rsidR="00072546" w:rsidRPr="00770F9D" w:rsidRDefault="00072546" w:rsidP="003F46E1">
      <w:pPr>
        <w:tabs>
          <w:tab w:val="left" w:pos="560"/>
          <w:tab w:val="left" w:pos="720"/>
        </w:tabs>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1.</w:t>
      </w:r>
      <w:r w:rsidR="00BA4F1A" w:rsidRPr="00770F9D">
        <w:rPr>
          <w:rFonts w:ascii="Garamond" w:hAnsi="Garamond" w:cs="Garamond"/>
          <w:color w:val="0D0D0D"/>
          <w:lang w:eastAsia="sq-AL"/>
        </w:rPr>
        <w:t xml:space="preserve"> </w:t>
      </w:r>
      <w:r w:rsidRPr="00770F9D">
        <w:rPr>
          <w:rFonts w:ascii="Garamond" w:hAnsi="Garamond" w:cs="Garamond"/>
          <w:color w:val="0D0D0D"/>
          <w:lang w:eastAsia="sq-AL"/>
        </w:rPr>
        <w:t>95,012 tatimpagues aktivë të fiskalizuar plotësisht që lëshojnë fatura të fiskalizuara. 540</w:t>
      </w:r>
      <w:r w:rsidR="0062676D" w:rsidRPr="00770F9D">
        <w:rPr>
          <w:rFonts w:ascii="Garamond" w:hAnsi="Garamond" w:cs="Garamond"/>
          <w:color w:val="0D0D0D"/>
          <w:lang w:eastAsia="sq-AL"/>
        </w:rPr>
        <w:t xml:space="preserve"> </w:t>
      </w:r>
      <w:r w:rsidRPr="00770F9D">
        <w:rPr>
          <w:rFonts w:ascii="Garamond" w:hAnsi="Garamond" w:cs="Garamond"/>
          <w:color w:val="0D0D0D"/>
          <w:lang w:eastAsia="sq-AL"/>
        </w:rPr>
        <w:t xml:space="preserve">milionë fatura të fiskalizuara që prej datës 1 </w:t>
      </w:r>
      <w:r w:rsidR="0062676D" w:rsidRPr="00770F9D">
        <w:rPr>
          <w:rFonts w:ascii="Garamond" w:hAnsi="Garamond" w:cs="Garamond"/>
          <w:color w:val="0D0D0D"/>
          <w:lang w:eastAsia="sq-AL"/>
        </w:rPr>
        <w:t xml:space="preserve">janar </w:t>
      </w:r>
      <w:r w:rsidRPr="00770F9D">
        <w:rPr>
          <w:rFonts w:ascii="Garamond" w:hAnsi="Garamond" w:cs="Garamond"/>
          <w:color w:val="0D0D0D"/>
          <w:lang w:eastAsia="sq-AL"/>
        </w:rPr>
        <w:t>2021.</w:t>
      </w:r>
    </w:p>
    <w:p w14:paraId="53D248B2" w14:textId="77C226A1" w:rsidR="00072546" w:rsidRPr="00770F9D" w:rsidRDefault="00072546" w:rsidP="003F46E1">
      <w:pPr>
        <w:tabs>
          <w:tab w:val="left" w:pos="560"/>
          <w:tab w:val="left" w:pos="720"/>
        </w:tabs>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2.</w:t>
      </w:r>
      <w:r w:rsidR="00BA4F1A" w:rsidRPr="00770F9D">
        <w:rPr>
          <w:rFonts w:ascii="Garamond" w:hAnsi="Garamond" w:cs="Garamond"/>
          <w:color w:val="0D0D0D"/>
          <w:lang w:eastAsia="sq-AL"/>
        </w:rPr>
        <w:t xml:space="preserve"> </w:t>
      </w:r>
      <w:r w:rsidRPr="00770F9D">
        <w:rPr>
          <w:rFonts w:ascii="Garamond" w:hAnsi="Garamond" w:cs="Garamond"/>
          <w:color w:val="0D0D0D"/>
          <w:lang w:eastAsia="sq-AL"/>
        </w:rPr>
        <w:t xml:space="preserve">102,243 tatimpagues të pajisur me certifikatën e fiskalizimit. </w:t>
      </w:r>
    </w:p>
    <w:p w14:paraId="453BC1D6" w14:textId="1C9C27C1" w:rsidR="00072546" w:rsidRPr="00770F9D" w:rsidRDefault="00072546" w:rsidP="003F46E1">
      <w:pPr>
        <w:tabs>
          <w:tab w:val="left" w:pos="560"/>
          <w:tab w:val="left" w:pos="720"/>
        </w:tabs>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3.</w:t>
      </w:r>
      <w:r w:rsidR="00BA4F1A" w:rsidRPr="00770F9D">
        <w:rPr>
          <w:rFonts w:ascii="Garamond" w:hAnsi="Garamond" w:cs="Garamond"/>
          <w:color w:val="0D0D0D"/>
          <w:lang w:eastAsia="sq-AL"/>
        </w:rPr>
        <w:t xml:space="preserve"> </w:t>
      </w:r>
      <w:r w:rsidRPr="00770F9D">
        <w:rPr>
          <w:rFonts w:ascii="Garamond" w:hAnsi="Garamond" w:cs="Garamond"/>
          <w:color w:val="0D0D0D"/>
          <w:lang w:eastAsia="sq-AL"/>
        </w:rPr>
        <w:t xml:space="preserve">100% e </w:t>
      </w:r>
      <w:r w:rsidR="0062676D" w:rsidRPr="00770F9D">
        <w:rPr>
          <w:rFonts w:ascii="Garamond" w:hAnsi="Garamond" w:cs="Garamond"/>
          <w:color w:val="0D0D0D"/>
          <w:lang w:eastAsia="sq-AL"/>
        </w:rPr>
        <w:t xml:space="preserve">biznesit të madh </w:t>
      </w:r>
      <w:r w:rsidRPr="00770F9D">
        <w:rPr>
          <w:rFonts w:ascii="Garamond" w:hAnsi="Garamond" w:cs="Garamond"/>
          <w:color w:val="0D0D0D"/>
          <w:lang w:eastAsia="sq-AL"/>
        </w:rPr>
        <w:t xml:space="preserve">(BM) dhe </w:t>
      </w:r>
      <w:r w:rsidR="0062676D" w:rsidRPr="00770F9D">
        <w:rPr>
          <w:rFonts w:ascii="Garamond" w:hAnsi="Garamond" w:cs="Garamond"/>
          <w:color w:val="0D0D0D"/>
          <w:lang w:eastAsia="sq-AL"/>
        </w:rPr>
        <w:t xml:space="preserve">biznesit të </w:t>
      </w:r>
      <w:r w:rsidRPr="00770F9D">
        <w:rPr>
          <w:rFonts w:ascii="Garamond" w:hAnsi="Garamond" w:cs="Garamond"/>
          <w:color w:val="0D0D0D"/>
          <w:lang w:eastAsia="sq-AL"/>
        </w:rPr>
        <w:t>vogël me TVSH (BV me TVSH) aktiv dhe që ushtron aktivitet është fiskalizuar</w:t>
      </w:r>
      <w:r w:rsidR="0062676D" w:rsidRPr="00770F9D">
        <w:rPr>
          <w:rFonts w:ascii="Garamond" w:hAnsi="Garamond" w:cs="Garamond"/>
          <w:color w:val="0D0D0D"/>
          <w:lang w:eastAsia="sq-AL"/>
        </w:rPr>
        <w:t>.</w:t>
      </w:r>
    </w:p>
    <w:p w14:paraId="2087FB2C" w14:textId="4F378C38" w:rsidR="00072546" w:rsidRPr="00770F9D" w:rsidRDefault="00072546" w:rsidP="003F46E1">
      <w:pPr>
        <w:tabs>
          <w:tab w:val="left" w:pos="560"/>
          <w:tab w:val="left" w:pos="720"/>
        </w:tabs>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4.</w:t>
      </w:r>
      <w:r w:rsidR="00BA4F1A" w:rsidRPr="00770F9D">
        <w:rPr>
          <w:rFonts w:ascii="Garamond" w:hAnsi="Garamond" w:cs="Garamond"/>
          <w:color w:val="0D0D0D"/>
          <w:lang w:eastAsia="sq-AL"/>
        </w:rPr>
        <w:t xml:space="preserve"> </w:t>
      </w:r>
      <w:r w:rsidRPr="00770F9D">
        <w:rPr>
          <w:rFonts w:ascii="Garamond" w:hAnsi="Garamond" w:cs="Garamond"/>
          <w:color w:val="0D0D0D"/>
          <w:lang w:eastAsia="sq-AL"/>
        </w:rPr>
        <w:t xml:space="preserve">92% e </w:t>
      </w:r>
      <w:r w:rsidR="0062676D" w:rsidRPr="00770F9D">
        <w:rPr>
          <w:rFonts w:ascii="Garamond" w:hAnsi="Garamond" w:cs="Garamond"/>
          <w:color w:val="0D0D0D"/>
          <w:lang w:eastAsia="sq-AL"/>
        </w:rPr>
        <w:t xml:space="preserve">biznesit të vogël </w:t>
      </w:r>
      <w:r w:rsidRPr="00770F9D">
        <w:rPr>
          <w:rFonts w:ascii="Garamond" w:hAnsi="Garamond" w:cs="Garamond"/>
          <w:color w:val="0D0D0D"/>
          <w:lang w:eastAsia="sq-AL"/>
        </w:rPr>
        <w:t>(BV) aktiv dhe që ushtron aktivitet është fiskalizuar.</w:t>
      </w:r>
    </w:p>
    <w:p w14:paraId="1BBB84F4" w14:textId="6CB51BA0" w:rsidR="00072546" w:rsidRPr="00770F9D" w:rsidRDefault="00072546" w:rsidP="003F46E1">
      <w:pPr>
        <w:tabs>
          <w:tab w:val="left" w:pos="560"/>
          <w:tab w:val="left" w:pos="720"/>
        </w:tabs>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5.</w:t>
      </w:r>
      <w:r w:rsidR="00BA4F1A" w:rsidRPr="00770F9D">
        <w:rPr>
          <w:rFonts w:ascii="Garamond" w:hAnsi="Garamond" w:cs="Garamond"/>
          <w:b/>
          <w:bCs/>
          <w:color w:val="0D0D0D"/>
          <w:lang w:eastAsia="sq-AL"/>
        </w:rPr>
        <w:t xml:space="preserve"> </w:t>
      </w:r>
      <w:r w:rsidRPr="00770F9D">
        <w:rPr>
          <w:rFonts w:ascii="Garamond" w:hAnsi="Garamond" w:cs="Garamond"/>
          <w:color w:val="0D0D0D"/>
          <w:lang w:eastAsia="sq-AL"/>
        </w:rPr>
        <w:t>Mbeten në proces verifikimi edhe 7,089 tatimpagues. Janë penalizuar 310 tatimpagues për mosinstalim të sistemit të fiskalizimit. Nga këto 130 BM, 51 BV me TVSH dhe 129 BV.</w:t>
      </w:r>
    </w:p>
    <w:p w14:paraId="7FFCBA36" w14:textId="60FB99F1" w:rsidR="00072546" w:rsidRPr="00770F9D" w:rsidRDefault="00072546" w:rsidP="00F6736B">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 xml:space="preserve">Administrata tatimore ka </w:t>
      </w:r>
      <w:r w:rsidR="00173A2C" w:rsidRPr="00770F9D">
        <w:rPr>
          <w:rFonts w:ascii="Garamond" w:hAnsi="Garamond" w:cs="Garamond"/>
          <w:color w:val="0D0D0D"/>
          <w:lang w:eastAsia="sq-AL"/>
        </w:rPr>
        <w:t>pasur</w:t>
      </w:r>
      <w:r w:rsidRPr="00770F9D">
        <w:rPr>
          <w:rFonts w:ascii="Garamond" w:hAnsi="Garamond" w:cs="Garamond"/>
          <w:color w:val="0D0D0D"/>
          <w:lang w:eastAsia="sq-AL"/>
        </w:rPr>
        <w:t xml:space="preserve"> në fokus zbatimin e planit sektorial të turizmit, gjatë sezonit turistik. Gjithashtu</w:t>
      </w:r>
      <w:r w:rsidR="005D3C9D" w:rsidRPr="00770F9D">
        <w:rPr>
          <w:rFonts w:ascii="Garamond" w:hAnsi="Garamond" w:cs="Garamond"/>
          <w:color w:val="0D0D0D"/>
          <w:lang w:eastAsia="sq-AL"/>
        </w:rPr>
        <w:t>,</w:t>
      </w:r>
      <w:r w:rsidRPr="00770F9D">
        <w:rPr>
          <w:rFonts w:ascii="Garamond" w:hAnsi="Garamond" w:cs="Garamond"/>
          <w:color w:val="0D0D0D"/>
          <w:lang w:eastAsia="sq-AL"/>
        </w:rPr>
        <w:t xml:space="preserve"> administrata tatimore ka ndërmarrë plane në sektorët</w:t>
      </w:r>
      <w:r w:rsidR="00F6736B" w:rsidRPr="00770F9D">
        <w:rPr>
          <w:rFonts w:ascii="Garamond" w:hAnsi="Garamond" w:cs="Garamond"/>
          <w:color w:val="0D0D0D"/>
          <w:lang w:eastAsia="sq-AL"/>
        </w:rPr>
        <w:t>,</w:t>
      </w:r>
      <w:r w:rsidRPr="00770F9D">
        <w:rPr>
          <w:rFonts w:ascii="Garamond" w:hAnsi="Garamond" w:cs="Garamond"/>
          <w:color w:val="0D0D0D"/>
          <w:lang w:eastAsia="sq-AL"/>
        </w:rPr>
        <w:t xml:space="preserve"> si</w:t>
      </w:r>
      <w:r w:rsidR="00F6736B" w:rsidRPr="00770F9D">
        <w:rPr>
          <w:rFonts w:ascii="Garamond" w:hAnsi="Garamond" w:cs="Garamond"/>
          <w:color w:val="0D0D0D"/>
          <w:lang w:eastAsia="sq-AL"/>
        </w:rPr>
        <w:t>:</w:t>
      </w:r>
      <w:r w:rsidRPr="00770F9D">
        <w:rPr>
          <w:rFonts w:ascii="Garamond" w:hAnsi="Garamond" w:cs="Garamond"/>
          <w:color w:val="0D0D0D"/>
          <w:lang w:eastAsia="sq-AL"/>
        </w:rPr>
        <w:t xml:space="preserve"> ndërtim</w:t>
      </w:r>
      <w:r w:rsidR="00F6736B" w:rsidRPr="00770F9D">
        <w:rPr>
          <w:rFonts w:ascii="Garamond" w:hAnsi="Garamond" w:cs="Garamond"/>
          <w:color w:val="0D0D0D"/>
          <w:lang w:eastAsia="sq-AL"/>
        </w:rPr>
        <w:t>i</w:t>
      </w:r>
      <w:r w:rsidRPr="00770F9D">
        <w:rPr>
          <w:rFonts w:ascii="Garamond" w:hAnsi="Garamond" w:cs="Garamond"/>
          <w:color w:val="0D0D0D"/>
          <w:lang w:eastAsia="sq-AL"/>
        </w:rPr>
        <w:t>, nën</w:t>
      </w:r>
      <w:r w:rsidR="00F6736B" w:rsidRPr="00770F9D">
        <w:rPr>
          <w:rFonts w:ascii="Garamond" w:hAnsi="Garamond" w:cs="Garamond"/>
          <w:color w:val="0D0D0D"/>
          <w:lang w:eastAsia="sq-AL"/>
        </w:rPr>
        <w:t>deklarimi</w:t>
      </w:r>
      <w:r w:rsidRPr="00770F9D">
        <w:rPr>
          <w:rFonts w:ascii="Garamond" w:hAnsi="Garamond" w:cs="Garamond"/>
          <w:color w:val="0D0D0D"/>
          <w:lang w:eastAsia="sq-AL"/>
        </w:rPr>
        <w:t xml:space="preserve"> </w:t>
      </w:r>
      <w:r w:rsidR="00F6736B" w:rsidRPr="00770F9D">
        <w:rPr>
          <w:rFonts w:ascii="Garamond" w:hAnsi="Garamond" w:cs="Garamond"/>
          <w:color w:val="0D0D0D"/>
          <w:lang w:eastAsia="sq-AL"/>
        </w:rPr>
        <w:t>i</w:t>
      </w:r>
      <w:r w:rsidRPr="00770F9D">
        <w:rPr>
          <w:rFonts w:ascii="Garamond" w:hAnsi="Garamond" w:cs="Garamond"/>
          <w:color w:val="0D0D0D"/>
          <w:lang w:eastAsia="sq-AL"/>
        </w:rPr>
        <w:t xml:space="preserve"> pagave, planet për ndryshimin e përgjegjësive në limite të qarkullimit.</w:t>
      </w:r>
    </w:p>
    <w:p w14:paraId="11A316A1" w14:textId="538ADE03" w:rsidR="000A083E" w:rsidRPr="00770F9D" w:rsidRDefault="000A083E" w:rsidP="003F46E1">
      <w:pPr>
        <w:ind w:firstLine="284"/>
        <w:jc w:val="both"/>
        <w:rPr>
          <w:rFonts w:ascii="Garamond" w:hAnsi="Garamond" w:cstheme="majorBidi"/>
          <w:color w:val="0D0D0D" w:themeColor="text1" w:themeTint="F2"/>
        </w:rPr>
      </w:pPr>
      <w:bookmarkStart w:id="8" w:name="_Toc62805575"/>
      <w:r w:rsidRPr="00770F9D">
        <w:rPr>
          <w:rFonts w:ascii="Garamond" w:hAnsi="Garamond" w:cstheme="majorBidi"/>
          <w:color w:val="0D0D0D" w:themeColor="text1" w:themeTint="F2"/>
        </w:rPr>
        <w:t xml:space="preserve">Udhëzimi i </w:t>
      </w:r>
      <w:r w:rsidR="00504076" w:rsidRPr="00770F9D">
        <w:rPr>
          <w:rFonts w:ascii="Garamond" w:hAnsi="Garamond" w:cstheme="majorBidi"/>
          <w:color w:val="0D0D0D" w:themeColor="text1" w:themeTint="F2"/>
        </w:rPr>
        <w:t xml:space="preserve">politikave </w:t>
      </w:r>
      <w:r w:rsidRPr="00770F9D">
        <w:rPr>
          <w:rFonts w:ascii="Garamond" w:hAnsi="Garamond" w:cstheme="majorBidi"/>
          <w:color w:val="0D0D0D" w:themeColor="text1" w:themeTint="F2"/>
        </w:rPr>
        <w:t>5</w:t>
      </w:r>
      <w:bookmarkEnd w:id="8"/>
    </w:p>
    <w:p w14:paraId="38A7D064" w14:textId="77777777" w:rsidR="000A083E" w:rsidRPr="00770F9D" w:rsidRDefault="000A083E" w:rsidP="003F46E1">
      <w:pPr>
        <w:ind w:firstLine="284"/>
        <w:jc w:val="both"/>
        <w:rPr>
          <w:rFonts w:ascii="Garamond" w:hAnsi="Garamond" w:cstheme="majorBidi"/>
          <w:color w:val="0D0D0D" w:themeColor="text1" w:themeTint="F2"/>
        </w:rPr>
      </w:pPr>
      <w:bookmarkStart w:id="9" w:name="_Toc62805576"/>
      <w:r w:rsidRPr="00770F9D">
        <w:rPr>
          <w:rFonts w:ascii="Garamond" w:hAnsi="Garamond" w:cstheme="majorBidi"/>
          <w:color w:val="0D0D0D" w:themeColor="text1" w:themeTint="F2"/>
        </w:rPr>
        <w:t>UP 5.1</w:t>
      </w:r>
    </w:p>
    <w:p w14:paraId="18F2651F" w14:textId="50E43BE4" w:rsidR="00DB3786" w:rsidRPr="00770F9D" w:rsidRDefault="00DB3786" w:rsidP="003F46E1">
      <w:pPr>
        <w:ind w:firstLine="284"/>
        <w:jc w:val="both"/>
        <w:rPr>
          <w:rFonts w:ascii="Garamond" w:eastAsiaTheme="minorHAnsi" w:hAnsi="Garamond" w:cstheme="majorBidi"/>
          <w:b/>
          <w:bCs/>
          <w:color w:val="0D0D0D" w:themeColor="text1" w:themeTint="F2"/>
        </w:rPr>
      </w:pPr>
      <w:r w:rsidRPr="00770F9D">
        <w:rPr>
          <w:rFonts w:ascii="Garamond" w:eastAsiaTheme="minorHAnsi" w:hAnsi="Garamond" w:cstheme="majorBidi"/>
          <w:b/>
          <w:bCs/>
          <w:color w:val="0D0D0D" w:themeColor="text1" w:themeTint="F2"/>
        </w:rPr>
        <w:t xml:space="preserve">Përfundoni, në bashkëpunim me të gjitha ministritë përkatëse, agjencitë e tyre dhe palët e interesuara, një </w:t>
      </w:r>
      <w:r w:rsidR="00414E0C" w:rsidRPr="00770F9D">
        <w:rPr>
          <w:rFonts w:ascii="Garamond" w:eastAsiaTheme="minorHAnsi" w:hAnsi="Garamond" w:cstheme="majorBidi"/>
          <w:b/>
          <w:bCs/>
          <w:color w:val="0D0D0D" w:themeColor="text1" w:themeTint="F2"/>
        </w:rPr>
        <w:t xml:space="preserve">plan zbatues </w:t>
      </w:r>
      <w:r w:rsidRPr="00770F9D">
        <w:rPr>
          <w:rFonts w:ascii="Garamond" w:eastAsiaTheme="minorHAnsi" w:hAnsi="Garamond" w:cstheme="majorBidi"/>
          <w:b/>
          <w:bCs/>
          <w:color w:val="0D0D0D" w:themeColor="text1" w:themeTint="F2"/>
        </w:rPr>
        <w:t xml:space="preserve">të </w:t>
      </w:r>
      <w:r w:rsidR="00414E0C" w:rsidRPr="00770F9D">
        <w:rPr>
          <w:rFonts w:ascii="Garamond" w:eastAsiaTheme="minorHAnsi" w:hAnsi="Garamond" w:cstheme="majorBidi"/>
          <w:b/>
          <w:bCs/>
          <w:color w:val="0D0D0D" w:themeColor="text1" w:themeTint="F2"/>
        </w:rPr>
        <w:t xml:space="preserve">garancisë rinore, </w:t>
      </w:r>
      <w:r w:rsidRPr="00770F9D">
        <w:rPr>
          <w:rFonts w:ascii="Garamond" w:eastAsiaTheme="minorHAnsi" w:hAnsi="Garamond" w:cstheme="majorBidi"/>
          <w:b/>
          <w:bCs/>
          <w:color w:val="0D0D0D" w:themeColor="text1" w:themeTint="F2"/>
        </w:rPr>
        <w:t>miratoni atë dhe filloni zbatimin e tij.</w:t>
      </w:r>
    </w:p>
    <w:p w14:paraId="261E131B" w14:textId="3458E18A" w:rsidR="00116E0D" w:rsidRPr="00770F9D" w:rsidRDefault="00116E0D" w:rsidP="00D713EB">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Kanë filluar përgatitjet për zbatimin e Skemës së Garancisë Rinore bazuar në modelin e BE-së për të ndihmuar të rinjtë 15</w:t>
      </w:r>
      <w:r w:rsidR="008D7DAE" w:rsidRPr="00770F9D">
        <w:rPr>
          <w:rFonts w:ascii="Garamond" w:hAnsi="Garamond" w:cstheme="majorBidi"/>
          <w:color w:val="0D0D0D" w:themeColor="text1" w:themeTint="F2"/>
        </w:rPr>
        <w:t>–</w:t>
      </w:r>
      <w:r w:rsidRPr="00770F9D">
        <w:rPr>
          <w:rFonts w:ascii="Garamond" w:hAnsi="Garamond" w:cstheme="majorBidi"/>
          <w:color w:val="0D0D0D" w:themeColor="text1" w:themeTint="F2"/>
        </w:rPr>
        <w:t>29 vjeç</w:t>
      </w:r>
      <w:r w:rsidR="008D7DAE"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të cilët nuk janë as në punësim arsim apo trajnim (NEET),të integrohen në tregun e punës. Plani i Zbatimit të Skemës së Garancisë Rinore është finalizuar dhe pritet të miratohet së shpejti. AKPA</w:t>
      </w:r>
      <w:r w:rsidR="008D7DAE" w:rsidRPr="00770F9D">
        <w:rPr>
          <w:rFonts w:ascii="Garamond" w:hAnsi="Garamond" w:cstheme="majorBidi"/>
          <w:color w:val="0D0D0D" w:themeColor="text1" w:themeTint="F2"/>
        </w:rPr>
        <w:t>-ja</w:t>
      </w:r>
      <w:r w:rsidRPr="00770F9D">
        <w:rPr>
          <w:rFonts w:ascii="Garamond" w:hAnsi="Garamond" w:cstheme="majorBidi"/>
          <w:color w:val="0D0D0D" w:themeColor="text1" w:themeTint="F2"/>
        </w:rPr>
        <w:t xml:space="preserve"> po përgatit shërbimet e saj të punësimit për pilotimin e kësaj skeme që do të fillojë në vitin 2023. Me asistencën teknike të financuar nga BE</w:t>
      </w:r>
      <w:r w:rsidR="00204916" w:rsidRPr="00770F9D">
        <w:rPr>
          <w:rFonts w:ascii="Garamond" w:hAnsi="Garamond" w:cstheme="majorBidi"/>
          <w:color w:val="0D0D0D" w:themeColor="text1" w:themeTint="F2"/>
        </w:rPr>
        <w:t>-ja</w:t>
      </w:r>
      <w:r w:rsidRPr="00770F9D">
        <w:rPr>
          <w:rFonts w:ascii="Garamond" w:hAnsi="Garamond" w:cstheme="majorBidi"/>
          <w:color w:val="0D0D0D" w:themeColor="text1" w:themeTint="F2"/>
        </w:rPr>
        <w:t>, është finalizuar një hartëzim i NEET</w:t>
      </w:r>
      <w:r w:rsidR="00204916" w:rsidRPr="00770F9D">
        <w:rPr>
          <w:rFonts w:ascii="Garamond" w:hAnsi="Garamond" w:cstheme="majorBidi"/>
          <w:color w:val="0D0D0D" w:themeColor="text1" w:themeTint="F2"/>
        </w:rPr>
        <w:t>-it</w:t>
      </w:r>
      <w:r w:rsidRPr="00770F9D">
        <w:rPr>
          <w:rFonts w:ascii="Garamond" w:hAnsi="Garamond" w:cstheme="majorBidi"/>
          <w:color w:val="0D0D0D" w:themeColor="text1" w:themeTint="F2"/>
        </w:rPr>
        <w:t xml:space="preserve"> dhe një rishikim të kuadrit ligjor. Një grup ndërinstitucional dhe një grup ekspertësh teknikë u ngritën me urdhër të Kryeministrit dhe përgatitën Planin e Zbatimit të Garancisë Rinore. Pak më shumë se 10% e të rinjve NEET</w:t>
      </w:r>
      <w:r w:rsidR="003966AF" w:rsidRPr="00770F9D">
        <w:rPr>
          <w:rFonts w:ascii="Garamond" w:hAnsi="Garamond" w:cstheme="majorBidi"/>
          <w:color w:val="0D0D0D" w:themeColor="text1" w:themeTint="F2"/>
        </w:rPr>
        <w:t>-i</w:t>
      </w:r>
      <w:r w:rsidRPr="00770F9D">
        <w:rPr>
          <w:rFonts w:ascii="Garamond" w:hAnsi="Garamond" w:cstheme="majorBidi"/>
          <w:color w:val="0D0D0D" w:themeColor="text1" w:themeTint="F2"/>
        </w:rPr>
        <w:t xml:space="preserve"> të moshës 15</w:t>
      </w:r>
      <w:r w:rsidR="00D713EB" w:rsidRPr="00770F9D">
        <w:rPr>
          <w:rFonts w:ascii="Garamond" w:hAnsi="Garamond" w:cstheme="majorBidi"/>
          <w:color w:val="0D0D0D" w:themeColor="text1" w:themeTint="F2"/>
        </w:rPr>
        <w:t>–</w:t>
      </w:r>
      <w:r w:rsidRPr="00770F9D">
        <w:rPr>
          <w:rFonts w:ascii="Garamond" w:hAnsi="Garamond" w:cstheme="majorBidi"/>
          <w:color w:val="0D0D0D" w:themeColor="text1" w:themeTint="F2"/>
        </w:rPr>
        <w:t>29 vjeç (18 142 nga 175 209) u regjistruan si punëkërkues në tremujorin e tretë të 2021. Janë planifikuar fonde shtesë të akorduara për pilotimin në Buxhetin e Shtetit për vitin 2023.</w:t>
      </w:r>
    </w:p>
    <w:p w14:paraId="3DFF6F9A" w14:textId="3DB79D78" w:rsidR="00116E0D" w:rsidRPr="00770F9D" w:rsidRDefault="00116E0D" w:rsidP="004C4267">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AKPA</w:t>
      </w:r>
      <w:r w:rsidR="004C4267" w:rsidRPr="00770F9D">
        <w:rPr>
          <w:rFonts w:ascii="Garamond" w:hAnsi="Garamond" w:cstheme="majorBidi"/>
          <w:color w:val="0D0D0D" w:themeColor="text1" w:themeTint="F2"/>
        </w:rPr>
        <w:t>-ja</w:t>
      </w:r>
      <w:r w:rsidRPr="00770F9D">
        <w:rPr>
          <w:rFonts w:ascii="Garamond" w:hAnsi="Garamond" w:cstheme="majorBidi"/>
          <w:color w:val="0D0D0D" w:themeColor="text1" w:themeTint="F2"/>
        </w:rPr>
        <w:t xml:space="preserve"> po punon me qëllim rishikimin e strategjisë së burimeve njerëzore dhe strukturave të zyrave të punësimit për t</w:t>
      </w:r>
      <w:r w:rsidR="004C4267" w:rsidRPr="00770F9D">
        <w:rPr>
          <w:rFonts w:ascii="Garamond" w:hAnsi="Garamond" w:cstheme="majorBidi"/>
          <w:color w:val="0D0D0D" w:themeColor="text1" w:themeTint="F2"/>
        </w:rPr>
        <w:t>’</w:t>
      </w:r>
      <w:r w:rsidRPr="00770F9D">
        <w:rPr>
          <w:rFonts w:ascii="Garamond" w:hAnsi="Garamond" w:cstheme="majorBidi"/>
          <w:color w:val="0D0D0D" w:themeColor="text1" w:themeTint="F2"/>
        </w:rPr>
        <w:t>iu afruar sa më shumë rekomandimit të dhënë. Gjithashtu</w:t>
      </w:r>
      <w:r w:rsidR="004C4267"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parashikohet optimizimi i burimeve njerëzore të zyrave vendore, duke pasur parasysh numrin e punëkërkuesve në secilin rajon. AKPA</w:t>
      </w:r>
      <w:r w:rsidR="004C4267" w:rsidRPr="00770F9D">
        <w:rPr>
          <w:rFonts w:ascii="Garamond" w:hAnsi="Garamond" w:cstheme="majorBidi"/>
          <w:color w:val="0D0D0D" w:themeColor="text1" w:themeTint="F2"/>
        </w:rPr>
        <w:t>-ja</w:t>
      </w:r>
      <w:r w:rsidRPr="00770F9D">
        <w:rPr>
          <w:rFonts w:ascii="Garamond" w:hAnsi="Garamond" w:cstheme="majorBidi"/>
          <w:color w:val="0D0D0D" w:themeColor="text1" w:themeTint="F2"/>
        </w:rPr>
        <w:t xml:space="preserve"> ka bërë</w:t>
      </w:r>
      <w:r w:rsidR="004C4267"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gjithashtu</w:t>
      </w:r>
      <w:r w:rsidR="004C4267"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përmirësime të rëndësishme</w:t>
      </w:r>
      <w:r w:rsidR="004C4267"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në lidhje me ofrimin e shërbimeve </w:t>
      </w:r>
      <w:r w:rsidRPr="00770F9D">
        <w:rPr>
          <w:rFonts w:ascii="Garamond" w:hAnsi="Garamond" w:cstheme="majorBidi"/>
          <w:i/>
          <w:iCs/>
          <w:color w:val="0D0D0D" w:themeColor="text1" w:themeTint="F2"/>
        </w:rPr>
        <w:t>online</w:t>
      </w:r>
      <w:r w:rsidRPr="00770F9D">
        <w:rPr>
          <w:rFonts w:ascii="Garamond" w:hAnsi="Garamond" w:cstheme="majorBidi"/>
          <w:color w:val="0D0D0D" w:themeColor="text1" w:themeTint="F2"/>
        </w:rPr>
        <w:t>. Është vënë në zbatim një portal i ri punësimi, i cili ofron akses në shërbime apo informacion për programet e punësimit, shërbimet e ofruara dhe vendet e lira të punës, i cili mundëson marrjen e një pjese të shërbimeve përmes portalit dhe kjo sjell uljen e vizitave fizike për një pjesë të shërbimeve.</w:t>
      </w:r>
    </w:p>
    <w:p w14:paraId="252EF782" w14:textId="30DD0758" w:rsidR="006B5886" w:rsidRPr="00770F9D" w:rsidRDefault="006B5886" w:rsidP="005C597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Në muajin tetor 2022 u miratua Strategjia Komb</w:t>
      </w:r>
      <w:r w:rsidR="005C5972" w:rsidRPr="00770F9D">
        <w:rPr>
          <w:rFonts w:ascii="Garamond" w:hAnsi="Garamond" w:cstheme="majorBidi"/>
          <w:color w:val="0D0D0D" w:themeColor="text1" w:themeTint="F2"/>
        </w:rPr>
        <w:t>ë</w:t>
      </w:r>
      <w:r w:rsidRPr="00770F9D">
        <w:rPr>
          <w:rFonts w:ascii="Garamond" w:hAnsi="Garamond" w:cstheme="majorBidi"/>
          <w:color w:val="0D0D0D" w:themeColor="text1" w:themeTint="F2"/>
        </w:rPr>
        <w:t>tare e Rinisë dhe Fëmijëve 2022</w:t>
      </w:r>
      <w:r w:rsidR="005C5972"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2029, </w:t>
      </w:r>
      <w:r w:rsidR="00C219CA" w:rsidRPr="00770F9D">
        <w:rPr>
          <w:rFonts w:ascii="Garamond" w:hAnsi="Garamond" w:cstheme="majorBidi"/>
          <w:color w:val="0D0D0D" w:themeColor="text1" w:themeTint="F2"/>
        </w:rPr>
        <w:t>që synon hartimin e politikave rinore kombëtare integruese për adresimin e problemeve të shumta me të cilat përballen të rinj</w:t>
      </w:r>
      <w:r w:rsidR="005F0C0E" w:rsidRPr="00770F9D">
        <w:rPr>
          <w:rFonts w:ascii="Garamond" w:hAnsi="Garamond" w:cstheme="majorBidi"/>
          <w:color w:val="0D0D0D" w:themeColor="text1" w:themeTint="F2"/>
        </w:rPr>
        <w:t>t</w:t>
      </w:r>
      <w:r w:rsidR="00C219CA" w:rsidRPr="00770F9D">
        <w:rPr>
          <w:rFonts w:ascii="Garamond" w:hAnsi="Garamond" w:cstheme="majorBidi"/>
          <w:color w:val="0D0D0D" w:themeColor="text1" w:themeTint="F2"/>
        </w:rPr>
        <w:t>ë shqiptarë.</w:t>
      </w:r>
    </w:p>
    <w:p w14:paraId="58A9A6FE" w14:textId="147628D7" w:rsidR="008455AF" w:rsidRPr="00770F9D" w:rsidRDefault="005F0C0E" w:rsidP="003F46E1">
      <w:pPr>
        <w:ind w:firstLine="284"/>
        <w:jc w:val="both"/>
        <w:rPr>
          <w:rFonts w:ascii="Garamond" w:eastAsiaTheme="minorHAnsi" w:hAnsi="Garamond" w:cstheme="majorBidi"/>
          <w:color w:val="0D0D0D" w:themeColor="text1" w:themeTint="F2"/>
        </w:rPr>
      </w:pPr>
      <w:r w:rsidRPr="00770F9D">
        <w:rPr>
          <w:rFonts w:ascii="Garamond" w:eastAsiaTheme="minorHAnsi" w:hAnsi="Garamond" w:cstheme="majorBidi"/>
          <w:color w:val="0D0D0D" w:themeColor="text1" w:themeTint="F2"/>
        </w:rPr>
        <w:t>EU4Youth</w:t>
      </w:r>
      <w:r w:rsidR="008455AF" w:rsidRPr="00770F9D">
        <w:rPr>
          <w:rFonts w:ascii="Garamond" w:eastAsiaTheme="minorHAnsi" w:hAnsi="Garamond" w:cstheme="majorBidi"/>
          <w:color w:val="0D0D0D" w:themeColor="text1" w:themeTint="F2"/>
        </w:rPr>
        <w:t xml:space="preserve"> synon të mbështesë pjesëmarrjen dhe fuqizimin e të rinjve në jetën politike, ekonomike dhe sociale të Shqipërisë. Do të kontribuojë në pjesëmarrjen politike, ekonomike dhe sociale të të rinjve në shoqëri nëpërmjet rritjes së punësimit cilësor të të rinjve dhe qytetarisë aktive të të rinjve.</w:t>
      </w:r>
    </w:p>
    <w:p w14:paraId="16D16B0A" w14:textId="77777777" w:rsidR="000A083E" w:rsidRPr="00770F9D" w:rsidRDefault="000A083E"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UP 5.2</w:t>
      </w:r>
    </w:p>
    <w:p w14:paraId="7B0416D3" w14:textId="565337BD" w:rsidR="00DB3786" w:rsidRPr="00770F9D" w:rsidRDefault="00DB3786" w:rsidP="003F46E1">
      <w:pPr>
        <w:ind w:firstLine="284"/>
        <w:jc w:val="both"/>
        <w:rPr>
          <w:rFonts w:ascii="Garamond" w:eastAsiaTheme="minorHAnsi" w:hAnsi="Garamond" w:cstheme="majorBidi"/>
          <w:b/>
          <w:bCs/>
          <w:color w:val="0D0D0D" w:themeColor="text1" w:themeTint="F2"/>
        </w:rPr>
      </w:pPr>
      <w:r w:rsidRPr="00770F9D">
        <w:rPr>
          <w:rFonts w:ascii="Garamond" w:eastAsiaTheme="minorHAnsi" w:hAnsi="Garamond" w:cstheme="majorBidi"/>
          <w:b/>
          <w:bCs/>
          <w:color w:val="0D0D0D" w:themeColor="text1" w:themeTint="F2"/>
        </w:rPr>
        <w:t xml:space="preserve">Kryeni analizën rajonale të tregut të punës në të gjitha rajonet, institucionalizoni analizën e nevojave kombëtare për aftësi dhe përdorni këto mjete së bashku me </w:t>
      </w:r>
      <w:r w:rsidR="001E5D1B" w:rsidRPr="00770F9D">
        <w:rPr>
          <w:rFonts w:ascii="Garamond" w:eastAsiaTheme="minorHAnsi" w:hAnsi="Garamond" w:cstheme="majorBidi"/>
          <w:b/>
          <w:bCs/>
          <w:color w:val="0D0D0D" w:themeColor="text1" w:themeTint="F2"/>
        </w:rPr>
        <w:t xml:space="preserve">observatorin e tregut të punës </w:t>
      </w:r>
      <w:r w:rsidRPr="00770F9D">
        <w:rPr>
          <w:rFonts w:ascii="Garamond" w:eastAsiaTheme="minorHAnsi" w:hAnsi="Garamond" w:cstheme="majorBidi"/>
          <w:b/>
          <w:bCs/>
          <w:color w:val="0D0D0D" w:themeColor="text1" w:themeTint="F2"/>
        </w:rPr>
        <w:t>për të përmirësuar rëndësinë e tregut të punës të arsimit dhe trajnimit profesional fillestar dhe të vazhdueshëm për të rinjtë dhe të rriturit dhe për të synuar përdorimin të masave aktive të tregut të punës.</w:t>
      </w:r>
    </w:p>
    <w:p w14:paraId="66ECA5B2" w14:textId="7FEDCC3C" w:rsidR="003C4E4F" w:rsidRPr="00770F9D" w:rsidRDefault="006B5886" w:rsidP="00C750F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Është zhvilluar Observatori i Informacionit të Tregut të Punës, i cili synon të bëhet mekanizmi kryesor për marrjen dhe shpërndarjen e informacionit dhe inteligjencës në tregun e punës. MFE</w:t>
      </w:r>
      <w:r w:rsidR="001E5D1B" w:rsidRPr="00770F9D">
        <w:rPr>
          <w:rFonts w:ascii="Garamond" w:hAnsi="Garamond" w:cstheme="majorBidi"/>
          <w:color w:val="0D0D0D" w:themeColor="text1" w:themeTint="F2"/>
        </w:rPr>
        <w:t>-ja</w:t>
      </w:r>
      <w:r w:rsidRPr="00770F9D">
        <w:rPr>
          <w:rFonts w:ascii="Garamond" w:hAnsi="Garamond" w:cstheme="majorBidi"/>
          <w:color w:val="0D0D0D" w:themeColor="text1" w:themeTint="F2"/>
        </w:rPr>
        <w:t xml:space="preserve"> synon ta zgjerojë këtë tarifë në të gjitha ministritë e tjera</w:t>
      </w:r>
      <w:r w:rsidR="00C750F1"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me qëllim që ta bëjë atë pjesë integrale të vendimmarrjes në të gjitha nivelet. AKSHI gjatë vitit 2021 me mbështetjen e një prej partnerëve (RisiAlbania) nisi kryerjen e analizave rajonale të tregut të punës. Ky proces nisi me qarkun e Elbasanit dhe pritej të shtrihej edhe në qarqe të tjera. Gjatë vitit 2022 po kryhet analiza rajonale e Durrësit si një nga qarqet prioritare me potencial zhvillimi ekonomik. Të dhënat janë duke u mbledhur dhe përpunuar. Njëkohësisht, </w:t>
      </w:r>
      <w:r w:rsidRPr="00770F9D">
        <w:rPr>
          <w:rFonts w:ascii="Garamond" w:hAnsi="Garamond" w:cstheme="majorBidi"/>
          <w:color w:val="000000"/>
        </w:rPr>
        <w:t xml:space="preserve">Agjencia Kombëtare e Shoqërisë së </w:t>
      </w:r>
      <w:hyperlink r:id="rId17" w:history="1">
        <w:r w:rsidRPr="00770F9D">
          <w:rPr>
            <w:rFonts w:ascii="Garamond" w:hAnsi="Garamond" w:cstheme="majorBidi"/>
            <w:color w:val="0D0D0D" w:themeColor="text1" w:themeTint="F2"/>
          </w:rPr>
          <w:t>Informacionit</w:t>
        </w:r>
      </w:hyperlink>
      <w:r w:rsidR="00C219CA" w:rsidRPr="00770F9D">
        <w:rPr>
          <w:rFonts w:ascii="Garamond" w:hAnsi="Garamond" w:cstheme="majorBidi"/>
          <w:color w:val="0D0D0D" w:themeColor="text1" w:themeTint="F2"/>
        </w:rPr>
        <w:t xml:space="preserve"> </w:t>
      </w:r>
      <w:r w:rsidRPr="00770F9D">
        <w:rPr>
          <w:rFonts w:ascii="Garamond" w:hAnsi="Garamond" w:cstheme="majorBidi"/>
          <w:color w:val="000000"/>
        </w:rPr>
        <w:t>(</w:t>
      </w:r>
      <w:r w:rsidRPr="00770F9D">
        <w:rPr>
          <w:rFonts w:ascii="Garamond" w:hAnsi="Garamond" w:cstheme="majorBidi"/>
          <w:color w:val="0D0D0D" w:themeColor="text1" w:themeTint="F2"/>
        </w:rPr>
        <w:t xml:space="preserve">AKSHI), si një nga institucionet kyçe në tregun e punës, po jep një kontribut të rëndësishëm në ndërtimin dhe konsolidimin me të dhëna të </w:t>
      </w:r>
      <w:r w:rsidR="00C750F1" w:rsidRPr="00770F9D">
        <w:rPr>
          <w:rFonts w:ascii="Garamond" w:hAnsi="Garamond" w:cstheme="majorBidi"/>
          <w:color w:val="0D0D0D" w:themeColor="text1" w:themeTint="F2"/>
        </w:rPr>
        <w:t>tregut të punës</w:t>
      </w:r>
      <w:r w:rsidRPr="00770F9D">
        <w:rPr>
          <w:rFonts w:ascii="Garamond" w:hAnsi="Garamond" w:cstheme="majorBidi"/>
          <w:color w:val="0D0D0D" w:themeColor="text1" w:themeTint="F2"/>
        </w:rPr>
        <w:t>. Ministria e Financave dhe Ekonomisë ka hartuar Strategjinë Kombëtare të Punësimit dhe Aftësive 2023</w:t>
      </w:r>
      <w:r w:rsidR="00C750F1" w:rsidRPr="00770F9D">
        <w:rPr>
          <w:rFonts w:ascii="Garamond" w:hAnsi="Garamond" w:cstheme="majorBidi"/>
          <w:color w:val="0D0D0D" w:themeColor="text1" w:themeTint="F2"/>
        </w:rPr>
        <w:t>–</w:t>
      </w:r>
      <w:r w:rsidRPr="00770F9D">
        <w:rPr>
          <w:rFonts w:ascii="Garamond" w:hAnsi="Garamond" w:cstheme="majorBidi"/>
          <w:color w:val="0D0D0D" w:themeColor="text1" w:themeTint="F2"/>
        </w:rPr>
        <w:t>2030</w:t>
      </w:r>
      <w:r w:rsidR="00C750F1"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e cila është në proces miratimi nga Këshilli i Ministrave. Në këtë Strategji është parashikuar përmirësimi i mbledhjes së informacionit të tregut të punës</w:t>
      </w:r>
      <w:r w:rsidR="003C4E4F" w:rsidRPr="00770F9D">
        <w:rPr>
          <w:rFonts w:ascii="Garamond" w:hAnsi="Garamond" w:cstheme="majorBidi"/>
          <w:color w:val="0D0D0D" w:themeColor="text1" w:themeTint="F2"/>
        </w:rPr>
        <w:t>.</w:t>
      </w:r>
    </w:p>
    <w:p w14:paraId="7CEC104E" w14:textId="77777777" w:rsidR="000A083E" w:rsidRPr="00770F9D" w:rsidRDefault="000A083E"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UP 5.3</w:t>
      </w:r>
    </w:p>
    <w:p w14:paraId="073A8DF4" w14:textId="6A294E17" w:rsidR="00DB3786" w:rsidRPr="00770F9D" w:rsidRDefault="00E74E85" w:rsidP="00C750F1">
      <w:pPr>
        <w:ind w:firstLine="284"/>
        <w:jc w:val="both"/>
        <w:rPr>
          <w:rFonts w:ascii="Garamond" w:eastAsiaTheme="minorHAnsi" w:hAnsi="Garamond" w:cstheme="majorBidi"/>
          <w:b/>
          <w:bCs/>
          <w:color w:val="0D0D0D" w:themeColor="text1" w:themeTint="F2"/>
        </w:rPr>
      </w:pPr>
      <w:r w:rsidRPr="00770F9D">
        <w:rPr>
          <w:rFonts w:ascii="Garamond" w:eastAsiaTheme="minorHAnsi" w:hAnsi="Garamond" w:cstheme="majorBidi"/>
          <w:b/>
          <w:bCs/>
          <w:color w:val="0D0D0D" w:themeColor="text1" w:themeTint="F2"/>
        </w:rPr>
        <w:t>I</w:t>
      </w:r>
      <w:r w:rsidR="00DB3786" w:rsidRPr="00770F9D">
        <w:rPr>
          <w:rFonts w:ascii="Garamond" w:eastAsiaTheme="minorHAnsi" w:hAnsi="Garamond" w:cstheme="majorBidi"/>
          <w:b/>
          <w:bCs/>
          <w:color w:val="0D0D0D" w:themeColor="text1" w:themeTint="F2"/>
        </w:rPr>
        <w:t>nkurajo</w:t>
      </w:r>
      <w:r w:rsidRPr="00770F9D">
        <w:rPr>
          <w:rFonts w:ascii="Garamond" w:eastAsiaTheme="minorHAnsi" w:hAnsi="Garamond" w:cstheme="majorBidi"/>
          <w:b/>
          <w:bCs/>
          <w:color w:val="0D0D0D" w:themeColor="text1" w:themeTint="F2"/>
        </w:rPr>
        <w:t>ni</w:t>
      </w:r>
      <w:r w:rsidR="00DB3786" w:rsidRPr="00770F9D">
        <w:rPr>
          <w:rFonts w:ascii="Garamond" w:eastAsiaTheme="minorHAnsi" w:hAnsi="Garamond" w:cstheme="majorBidi"/>
          <w:b/>
          <w:bCs/>
          <w:color w:val="0D0D0D" w:themeColor="text1" w:themeTint="F2"/>
        </w:rPr>
        <w:t xml:space="preserve"> bashkëpunimi</w:t>
      </w:r>
      <w:r w:rsidRPr="00770F9D">
        <w:rPr>
          <w:rFonts w:ascii="Garamond" w:eastAsiaTheme="minorHAnsi" w:hAnsi="Garamond" w:cstheme="majorBidi"/>
          <w:b/>
          <w:bCs/>
          <w:color w:val="0D0D0D" w:themeColor="text1" w:themeTint="F2"/>
        </w:rPr>
        <w:t>n</w:t>
      </w:r>
      <w:r w:rsidR="00DB3786" w:rsidRPr="00770F9D">
        <w:rPr>
          <w:rFonts w:ascii="Garamond" w:eastAsiaTheme="minorHAnsi" w:hAnsi="Garamond" w:cstheme="majorBidi"/>
          <w:b/>
          <w:bCs/>
          <w:color w:val="0D0D0D" w:themeColor="text1" w:themeTint="F2"/>
        </w:rPr>
        <w:t xml:space="preserve"> ndërmjet bizneseve </w:t>
      </w:r>
      <w:r w:rsidRPr="00770F9D">
        <w:rPr>
          <w:rFonts w:ascii="Garamond" w:eastAsiaTheme="minorHAnsi" w:hAnsi="Garamond" w:cstheme="majorBidi"/>
          <w:b/>
          <w:bCs/>
          <w:color w:val="0D0D0D" w:themeColor="text1" w:themeTint="F2"/>
        </w:rPr>
        <w:t>i</w:t>
      </w:r>
      <w:r w:rsidR="00DB3786" w:rsidRPr="00770F9D">
        <w:rPr>
          <w:rFonts w:ascii="Garamond" w:eastAsiaTheme="minorHAnsi" w:hAnsi="Garamond" w:cstheme="majorBidi"/>
          <w:b/>
          <w:bCs/>
          <w:color w:val="0D0D0D" w:themeColor="text1" w:themeTint="F2"/>
        </w:rPr>
        <w:t>novatore dhe akademisë siç parashikohet në Strategjinë për Zhvillimin e Biznesit dhe Investimeve 2021</w:t>
      </w:r>
      <w:r w:rsidR="00C750F1" w:rsidRPr="00770F9D">
        <w:rPr>
          <w:rFonts w:ascii="Garamond" w:hAnsi="Garamond" w:cstheme="majorBidi"/>
          <w:b/>
          <w:bCs/>
          <w:color w:val="0D0D0D" w:themeColor="text1" w:themeTint="F2"/>
        </w:rPr>
        <w:t>–</w:t>
      </w:r>
      <w:r w:rsidR="00DB3786" w:rsidRPr="00770F9D">
        <w:rPr>
          <w:rFonts w:ascii="Garamond" w:eastAsiaTheme="minorHAnsi" w:hAnsi="Garamond" w:cstheme="majorBidi"/>
          <w:b/>
          <w:bCs/>
          <w:color w:val="0D0D0D" w:themeColor="text1" w:themeTint="F2"/>
        </w:rPr>
        <w:t>2027, duke vazhduar rritjen e financimit të shkencës dhe kërkimit dhe duke krijuar kushtet për zhvillimin e programeve të inkubacionit të biznesit.</w:t>
      </w:r>
    </w:p>
    <w:p w14:paraId="6C6488CE" w14:textId="075F0AA4" w:rsidR="00E74E85" w:rsidRPr="00770F9D" w:rsidRDefault="00E74E85" w:rsidP="003F46E1">
      <w:pPr>
        <w:ind w:firstLine="284"/>
        <w:jc w:val="both"/>
        <w:rPr>
          <w:rFonts w:ascii="Garamond" w:eastAsiaTheme="minorHAnsi" w:hAnsi="Garamond" w:cstheme="majorBidi"/>
          <w:color w:val="0D0D0D" w:themeColor="text1" w:themeTint="F2"/>
        </w:rPr>
      </w:pPr>
      <w:r w:rsidRPr="00770F9D">
        <w:rPr>
          <w:rFonts w:ascii="Garamond" w:eastAsiaTheme="minorHAnsi" w:hAnsi="Garamond" w:cstheme="majorBidi"/>
          <w:color w:val="0D0D0D" w:themeColor="text1" w:themeTint="F2"/>
        </w:rPr>
        <w:t xml:space="preserve">Siç parashikohet në BIDS në fushën e </w:t>
      </w:r>
      <w:r w:rsidR="00C750F1" w:rsidRPr="00770F9D">
        <w:rPr>
          <w:rFonts w:ascii="Garamond" w:eastAsiaTheme="minorHAnsi" w:hAnsi="Garamond" w:cstheme="majorBidi"/>
          <w:color w:val="0D0D0D" w:themeColor="text1" w:themeTint="F2"/>
        </w:rPr>
        <w:t xml:space="preserve">ndërhyrjes </w:t>
      </w:r>
      <w:r w:rsidRPr="00770F9D">
        <w:rPr>
          <w:rFonts w:ascii="Garamond" w:eastAsiaTheme="minorHAnsi" w:hAnsi="Garamond" w:cstheme="majorBidi"/>
          <w:color w:val="0D0D0D" w:themeColor="text1" w:themeTint="F2"/>
        </w:rPr>
        <w:t>3: Zhvillimi i kapitalit njerëzor, ka disa masa që synojnë të forcojnë lidhjet midis bizneseve inovative dhe akademisë</w:t>
      </w:r>
      <w:r w:rsidR="005C1BDC" w:rsidRPr="00770F9D">
        <w:rPr>
          <w:rFonts w:ascii="Garamond" w:eastAsiaTheme="minorHAnsi" w:hAnsi="Garamond" w:cstheme="majorBidi"/>
          <w:color w:val="0D0D0D" w:themeColor="text1" w:themeTint="F2"/>
        </w:rPr>
        <w:t>,</w:t>
      </w:r>
      <w:r w:rsidRPr="00770F9D">
        <w:rPr>
          <w:rFonts w:ascii="Garamond" w:eastAsiaTheme="minorHAnsi" w:hAnsi="Garamond" w:cstheme="majorBidi"/>
          <w:color w:val="0D0D0D" w:themeColor="text1" w:themeTint="F2"/>
        </w:rPr>
        <w:t xml:space="preserve"> si:</w:t>
      </w:r>
    </w:p>
    <w:p w14:paraId="67E12565" w14:textId="5B65676F" w:rsidR="00E74E85" w:rsidRPr="00770F9D" w:rsidRDefault="00E74E85" w:rsidP="003F46E1">
      <w:pPr>
        <w:ind w:firstLine="284"/>
        <w:jc w:val="both"/>
        <w:rPr>
          <w:rFonts w:ascii="Garamond" w:eastAsiaTheme="minorHAnsi" w:hAnsi="Garamond" w:cstheme="majorBidi"/>
          <w:color w:val="0D0D0D" w:themeColor="text1" w:themeTint="F2"/>
        </w:rPr>
      </w:pPr>
      <w:r w:rsidRPr="00770F9D">
        <w:rPr>
          <w:rFonts w:ascii="Garamond" w:eastAsiaTheme="minorHAnsi" w:hAnsi="Garamond" w:cstheme="majorBidi"/>
          <w:color w:val="0D0D0D" w:themeColor="text1" w:themeTint="F2"/>
        </w:rPr>
        <w:t>1. Skema bashkëpunuese e mbështetjes për zhvillimin e kapitalit njerëzor, e cila përbëhet nga dy komponentë: Ndihma për SME-të që punësojnë të sapodiplomuarit e talentuar për projekte inovative dhe asistencë për studentët e doktoraturës, për të cilat do të nevojitet një pozicion shtesë i AIDA-s për koordinimin e skemës, e cila</w:t>
      </w:r>
      <w:r w:rsidR="004E2B34" w:rsidRPr="00770F9D">
        <w:rPr>
          <w:rFonts w:ascii="Garamond" w:eastAsiaTheme="minorHAnsi" w:hAnsi="Garamond" w:cstheme="majorBidi"/>
          <w:color w:val="0D0D0D" w:themeColor="text1" w:themeTint="F2"/>
        </w:rPr>
        <w:t>,</w:t>
      </w:r>
      <w:r w:rsidRPr="00770F9D">
        <w:rPr>
          <w:rFonts w:ascii="Garamond" w:eastAsiaTheme="minorHAnsi" w:hAnsi="Garamond" w:cstheme="majorBidi"/>
          <w:color w:val="0D0D0D" w:themeColor="text1" w:themeTint="F2"/>
        </w:rPr>
        <w:t xml:space="preserve"> gjithashtu</w:t>
      </w:r>
      <w:r w:rsidR="003C7C8B" w:rsidRPr="00770F9D">
        <w:rPr>
          <w:rFonts w:ascii="Garamond" w:eastAsiaTheme="minorHAnsi" w:hAnsi="Garamond" w:cstheme="majorBidi"/>
          <w:color w:val="0D0D0D" w:themeColor="text1" w:themeTint="F2"/>
        </w:rPr>
        <w:t>,</w:t>
      </w:r>
      <w:r w:rsidRPr="00770F9D">
        <w:rPr>
          <w:rFonts w:ascii="Garamond" w:eastAsiaTheme="minorHAnsi" w:hAnsi="Garamond" w:cstheme="majorBidi"/>
          <w:color w:val="0D0D0D" w:themeColor="text1" w:themeTint="F2"/>
        </w:rPr>
        <w:t xml:space="preserve"> do të mb</w:t>
      </w:r>
      <w:r w:rsidR="003C7C8B" w:rsidRPr="00770F9D">
        <w:rPr>
          <w:rFonts w:ascii="Garamond" w:eastAsiaTheme="minorHAnsi" w:hAnsi="Garamond" w:cstheme="majorBidi"/>
          <w:color w:val="0D0D0D" w:themeColor="text1" w:themeTint="F2"/>
        </w:rPr>
        <w:t>ështesë</w:t>
      </w:r>
      <w:r w:rsidRPr="00770F9D">
        <w:rPr>
          <w:rFonts w:ascii="Garamond" w:eastAsiaTheme="minorHAnsi" w:hAnsi="Garamond" w:cstheme="majorBidi"/>
          <w:color w:val="0D0D0D" w:themeColor="text1" w:themeTint="F2"/>
        </w:rPr>
        <w:t xml:space="preserve"> zbatimin e skemës së mbështetjes së ndërmarrjeve.</w:t>
      </w:r>
    </w:p>
    <w:p w14:paraId="43647686" w14:textId="77777777" w:rsidR="00E74E85" w:rsidRPr="00770F9D" w:rsidRDefault="00E74E85" w:rsidP="003F46E1">
      <w:pPr>
        <w:ind w:firstLine="284"/>
        <w:jc w:val="both"/>
        <w:rPr>
          <w:rFonts w:ascii="Garamond" w:eastAsiaTheme="minorHAnsi" w:hAnsi="Garamond" w:cstheme="majorBidi"/>
          <w:color w:val="0D0D0D" w:themeColor="text1" w:themeTint="F2"/>
        </w:rPr>
      </w:pPr>
      <w:r w:rsidRPr="00770F9D">
        <w:rPr>
          <w:rFonts w:ascii="Garamond" w:eastAsiaTheme="minorHAnsi" w:hAnsi="Garamond" w:cstheme="majorBidi"/>
          <w:color w:val="0D0D0D" w:themeColor="text1" w:themeTint="F2"/>
        </w:rPr>
        <w:t>2. Programi i zhvillimit të fuqisë punëtore për dhe me NVM-të dhe investitorët, i cili përbëhet nga dy komponentë: Integrimi i zhvillimit të aftësive në shërbimet e kujdesit pasues. Ky program do të koordinohet nga AIDA dhe do të zbatohet në bashkëpunim të ngushtë me ofruesit privatë të trajnimit dhe shoqatat e biznesit. Për të garantuar zbatimin efektiv, AIDA-s do të ketë nevojë për burime dhe kapacitete të përshtatshme. Koordinimi i programit të zhvillimit të fuqisë punëtore do të bëhet nga sektori i trajnimit.</w:t>
      </w:r>
    </w:p>
    <w:p w14:paraId="0023BC90" w14:textId="77777777" w:rsidR="00E74E85" w:rsidRPr="00770F9D" w:rsidRDefault="00E74E85" w:rsidP="003F46E1">
      <w:pPr>
        <w:ind w:firstLine="284"/>
        <w:jc w:val="both"/>
        <w:rPr>
          <w:rFonts w:ascii="Garamond" w:eastAsiaTheme="minorHAnsi" w:hAnsi="Garamond" w:cstheme="majorBidi"/>
          <w:color w:val="0D0D0D" w:themeColor="text1" w:themeTint="F2"/>
        </w:rPr>
      </w:pPr>
      <w:r w:rsidRPr="00770F9D">
        <w:rPr>
          <w:rFonts w:ascii="Garamond" w:eastAsiaTheme="minorHAnsi" w:hAnsi="Garamond" w:cstheme="majorBidi"/>
          <w:color w:val="0D0D0D" w:themeColor="text1" w:themeTint="F2"/>
        </w:rPr>
        <w:t xml:space="preserve">Dorëzimet përmes projektit </w:t>
      </w:r>
      <w:r w:rsidRPr="00770F9D">
        <w:rPr>
          <w:rFonts w:ascii="Garamond" w:eastAsiaTheme="minorHAnsi" w:hAnsi="Garamond" w:cstheme="majorBidi"/>
          <w:i/>
          <w:iCs/>
          <w:color w:val="0D0D0D" w:themeColor="text1" w:themeTint="F2"/>
        </w:rPr>
        <w:t>Proseed</w:t>
      </w:r>
    </w:p>
    <w:p w14:paraId="76059788" w14:textId="59C0EE5F" w:rsidR="00E74E85" w:rsidRPr="00770F9D" w:rsidRDefault="0090730B" w:rsidP="003F46E1">
      <w:pPr>
        <w:ind w:firstLine="284"/>
        <w:jc w:val="both"/>
        <w:rPr>
          <w:rFonts w:ascii="Garamond" w:eastAsiaTheme="minorHAnsi" w:hAnsi="Garamond" w:cstheme="majorBidi"/>
          <w:color w:val="0D0D0D" w:themeColor="text1" w:themeTint="F2"/>
        </w:rPr>
      </w:pPr>
      <w:r w:rsidRPr="00770F9D">
        <w:rPr>
          <w:rFonts w:ascii="Garamond" w:eastAsiaTheme="minorHAnsi" w:hAnsi="Garamond" w:cstheme="majorBidi"/>
          <w:color w:val="0D0D0D" w:themeColor="text1" w:themeTint="F2"/>
        </w:rPr>
        <w:t>-</w:t>
      </w:r>
      <w:r w:rsidR="00E74E85" w:rsidRPr="00770F9D">
        <w:rPr>
          <w:rFonts w:ascii="Garamond" w:eastAsiaTheme="minorHAnsi" w:hAnsi="Garamond" w:cstheme="majorBidi"/>
          <w:color w:val="0D0D0D" w:themeColor="text1" w:themeTint="F2"/>
        </w:rPr>
        <w:t xml:space="preserve"> Connect-IT sjell shërbime TIK, duke përfshirë studentë dhe profesorë, nga Universiteti në Biznes (50).</w:t>
      </w:r>
    </w:p>
    <w:p w14:paraId="4F933797" w14:textId="5BB952D6" w:rsidR="00E74E85" w:rsidRPr="00770F9D" w:rsidRDefault="0090730B" w:rsidP="003F46E1">
      <w:pPr>
        <w:ind w:firstLine="284"/>
        <w:jc w:val="both"/>
        <w:rPr>
          <w:rFonts w:ascii="Garamond" w:eastAsiaTheme="minorHAnsi" w:hAnsi="Garamond" w:cstheme="majorBidi"/>
          <w:color w:val="0D0D0D" w:themeColor="text1" w:themeTint="F2"/>
        </w:rPr>
      </w:pPr>
      <w:r w:rsidRPr="00770F9D">
        <w:rPr>
          <w:rFonts w:ascii="Garamond" w:eastAsiaTheme="minorHAnsi" w:hAnsi="Garamond" w:cstheme="majorBidi"/>
          <w:color w:val="0D0D0D" w:themeColor="text1" w:themeTint="F2"/>
        </w:rPr>
        <w:t>-</w:t>
      </w:r>
      <w:r w:rsidR="00E74E85" w:rsidRPr="00770F9D">
        <w:rPr>
          <w:rFonts w:ascii="Garamond" w:eastAsiaTheme="minorHAnsi" w:hAnsi="Garamond" w:cstheme="majorBidi"/>
          <w:color w:val="0D0D0D" w:themeColor="text1" w:themeTint="F2"/>
        </w:rPr>
        <w:t xml:space="preserve"> Thirrni zgjidhjet e gjelbra dhe/ose </w:t>
      </w:r>
      <w:r w:rsidR="003F4C96" w:rsidRPr="00770F9D">
        <w:rPr>
          <w:rFonts w:ascii="Garamond" w:eastAsiaTheme="minorHAnsi" w:hAnsi="Garamond" w:cstheme="majorBidi"/>
          <w:color w:val="0D0D0D" w:themeColor="text1" w:themeTint="F2"/>
        </w:rPr>
        <w:t>digjital</w:t>
      </w:r>
      <w:r w:rsidR="00E74E85" w:rsidRPr="00770F9D">
        <w:rPr>
          <w:rFonts w:ascii="Garamond" w:eastAsiaTheme="minorHAnsi" w:hAnsi="Garamond" w:cstheme="majorBidi"/>
          <w:color w:val="0D0D0D" w:themeColor="text1" w:themeTint="F2"/>
        </w:rPr>
        <w:t>e për më konkurruese për MSME-të e parashikuara në vitin 2023.</w:t>
      </w:r>
    </w:p>
    <w:p w14:paraId="07D1B813" w14:textId="203E4020" w:rsidR="000A083E" w:rsidRPr="00770F9D" w:rsidRDefault="000A083E"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Udhëzimi i </w:t>
      </w:r>
      <w:r w:rsidR="003C7C8B" w:rsidRPr="00770F9D">
        <w:rPr>
          <w:rFonts w:ascii="Garamond" w:hAnsi="Garamond" w:cstheme="majorBidi"/>
          <w:color w:val="0D0D0D" w:themeColor="text1" w:themeTint="F2"/>
        </w:rPr>
        <w:t xml:space="preserve">politikave </w:t>
      </w:r>
      <w:r w:rsidRPr="00770F9D">
        <w:rPr>
          <w:rFonts w:ascii="Garamond" w:hAnsi="Garamond" w:cstheme="majorBidi"/>
          <w:color w:val="0D0D0D" w:themeColor="text1" w:themeTint="F2"/>
        </w:rPr>
        <w:t>6</w:t>
      </w:r>
      <w:bookmarkEnd w:id="9"/>
    </w:p>
    <w:p w14:paraId="138F5758" w14:textId="77777777" w:rsidR="000A083E" w:rsidRPr="00770F9D" w:rsidRDefault="000A083E"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UP 6.1</w:t>
      </w:r>
    </w:p>
    <w:p w14:paraId="7D168569" w14:textId="7877F10A" w:rsidR="000A083E" w:rsidRPr="00770F9D" w:rsidRDefault="00DB3786" w:rsidP="00FD4D31">
      <w:pPr>
        <w:snapToGrid w:val="0"/>
        <w:ind w:firstLine="284"/>
        <w:jc w:val="both"/>
        <w:rPr>
          <w:rFonts w:ascii="Garamond" w:hAnsi="Garamond" w:cstheme="majorBidi"/>
          <w:b/>
          <w:bCs/>
          <w:color w:val="0D0D0D" w:themeColor="text1" w:themeTint="F2"/>
        </w:rPr>
      </w:pPr>
      <w:r w:rsidRPr="00770F9D">
        <w:rPr>
          <w:rFonts w:ascii="Garamond" w:hAnsi="Garamond" w:cstheme="majorBidi"/>
          <w:b/>
          <w:bCs/>
          <w:color w:val="0D0D0D" w:themeColor="text1" w:themeTint="F2"/>
        </w:rPr>
        <w:t xml:space="preserve">Finalizimi i vlerësimit të përshtatshmërisë së përfitimeve të </w:t>
      </w:r>
      <w:r w:rsidR="00FD4D31" w:rsidRPr="00770F9D">
        <w:rPr>
          <w:rFonts w:ascii="Garamond" w:hAnsi="Garamond" w:cstheme="majorBidi"/>
          <w:b/>
          <w:bCs/>
          <w:color w:val="0D0D0D" w:themeColor="text1" w:themeTint="F2"/>
        </w:rPr>
        <w:t>“</w:t>
      </w:r>
      <w:r w:rsidRPr="00770F9D">
        <w:rPr>
          <w:rFonts w:ascii="Garamond" w:hAnsi="Garamond" w:cstheme="majorBidi"/>
          <w:b/>
          <w:bCs/>
          <w:color w:val="0D0D0D" w:themeColor="text1" w:themeTint="F2"/>
        </w:rPr>
        <w:t>Ndihmës Ekonomike</w:t>
      </w:r>
      <w:r w:rsidR="00FD4D31" w:rsidRPr="00770F9D">
        <w:rPr>
          <w:rFonts w:ascii="Garamond" w:hAnsi="Garamond" w:cstheme="majorBidi"/>
          <w:b/>
          <w:bCs/>
          <w:color w:val="0D0D0D" w:themeColor="text1" w:themeTint="F2"/>
        </w:rPr>
        <w:t>”</w:t>
      </w:r>
      <w:r w:rsidRPr="00770F9D">
        <w:rPr>
          <w:rFonts w:ascii="Garamond" w:hAnsi="Garamond" w:cstheme="majorBidi"/>
          <w:b/>
          <w:bCs/>
          <w:color w:val="0D0D0D" w:themeColor="text1" w:themeTint="F2"/>
        </w:rPr>
        <w:t>, rritja e përshtatshmërisë së tyre që nga viti 2023 dhe krijimi i një mekanizmi për indeksimin e tyre vjetor.</w:t>
      </w:r>
    </w:p>
    <w:p w14:paraId="178E9426" w14:textId="5E616695" w:rsidR="00F26BAE" w:rsidRPr="00770F9D" w:rsidRDefault="005C391A"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Vlerësimi i përshtatshmërisë së përfitimit të ndihmës ekonomike është finalizuar në bashkëpunim me ekspertët e Bankës Botërore. Sipas të dhënave nga </w:t>
      </w:r>
      <w:r w:rsidR="00FD4D31" w:rsidRPr="00770F9D">
        <w:rPr>
          <w:rFonts w:ascii="Garamond" w:hAnsi="Garamond" w:cstheme="majorBidi"/>
          <w:color w:val="0D0D0D" w:themeColor="text1" w:themeTint="F2"/>
        </w:rPr>
        <w:t xml:space="preserve">anketa e të ardhurave </w:t>
      </w:r>
      <w:r w:rsidRPr="00770F9D">
        <w:rPr>
          <w:rFonts w:ascii="Garamond" w:hAnsi="Garamond" w:cstheme="majorBidi"/>
          <w:color w:val="0D0D0D" w:themeColor="text1" w:themeTint="F2"/>
        </w:rPr>
        <w:t xml:space="preserve">dhe </w:t>
      </w:r>
      <w:r w:rsidR="00FD4D31" w:rsidRPr="00770F9D">
        <w:rPr>
          <w:rFonts w:ascii="Garamond" w:hAnsi="Garamond" w:cstheme="majorBidi"/>
          <w:color w:val="0D0D0D" w:themeColor="text1" w:themeTint="F2"/>
        </w:rPr>
        <w:t xml:space="preserve">nivelit të jetesës </w:t>
      </w:r>
      <w:r w:rsidRPr="00770F9D">
        <w:rPr>
          <w:rFonts w:ascii="Garamond" w:hAnsi="Garamond" w:cstheme="majorBidi"/>
          <w:color w:val="0D0D0D" w:themeColor="text1" w:themeTint="F2"/>
        </w:rPr>
        <w:t xml:space="preserve">2020 </w:t>
      </w:r>
      <w:r w:rsidR="00F26BAE" w:rsidRPr="00770F9D">
        <w:rPr>
          <w:rFonts w:ascii="Garamond" w:hAnsi="Garamond" w:cstheme="majorBidi"/>
          <w:color w:val="0D0D0D" w:themeColor="text1" w:themeTint="F2"/>
        </w:rPr>
        <w:t xml:space="preserve">për shpërndarjen e të ardhurave (saktësia e targetimit), skema e ndihmës ekonomike mbulon 81.6% të </w:t>
      </w:r>
      <w:r w:rsidR="00FD4D31" w:rsidRPr="00770F9D">
        <w:rPr>
          <w:rFonts w:ascii="Garamond" w:hAnsi="Garamond" w:cstheme="majorBidi"/>
          <w:color w:val="0D0D0D" w:themeColor="text1" w:themeTint="F2"/>
        </w:rPr>
        <w:t>kuintilit të parë dhe të dytë (</w:t>
      </w:r>
      <w:r w:rsidR="00F26BAE" w:rsidRPr="00770F9D">
        <w:rPr>
          <w:rFonts w:ascii="Garamond" w:hAnsi="Garamond" w:cstheme="majorBidi"/>
          <w:color w:val="0D0D0D" w:themeColor="text1" w:themeTint="F2"/>
        </w:rPr>
        <w:t xml:space="preserve">përkatësisht 61.6% nga kuintili i parë dhe 20.1% nga kuintili i dytë). Gjatë vitit 2022 është rritur masa e përfitimit në muajin </w:t>
      </w:r>
      <w:r w:rsidR="00FD4D31" w:rsidRPr="00770F9D">
        <w:rPr>
          <w:rFonts w:ascii="Garamond" w:hAnsi="Garamond" w:cstheme="majorBidi"/>
          <w:color w:val="0D0D0D" w:themeColor="text1" w:themeTint="F2"/>
        </w:rPr>
        <w:t xml:space="preserve">janar </w:t>
      </w:r>
      <w:r w:rsidR="00F26BAE" w:rsidRPr="00770F9D">
        <w:rPr>
          <w:rFonts w:ascii="Garamond" w:hAnsi="Garamond" w:cstheme="majorBidi"/>
          <w:color w:val="0D0D0D" w:themeColor="text1" w:themeTint="F2"/>
        </w:rPr>
        <w:t xml:space="preserve">dhe në </w:t>
      </w:r>
      <w:r w:rsidR="008B78DA" w:rsidRPr="00770F9D">
        <w:rPr>
          <w:rFonts w:ascii="Garamond" w:hAnsi="Garamond" w:cstheme="majorBidi"/>
          <w:color w:val="0D0D0D" w:themeColor="text1" w:themeTint="F2"/>
        </w:rPr>
        <w:t>shtator</w:t>
      </w:r>
      <w:r w:rsidR="00F26BAE" w:rsidRPr="00770F9D">
        <w:rPr>
          <w:rFonts w:ascii="Garamond" w:hAnsi="Garamond" w:cstheme="majorBidi"/>
          <w:color w:val="0D0D0D" w:themeColor="text1" w:themeTint="F2"/>
        </w:rPr>
        <w:t>. Kjo rritje nuk është e përkohshme, por e qëndrueshme dhe afatgjatë.</w:t>
      </w:r>
    </w:p>
    <w:p w14:paraId="53D6295B" w14:textId="443743FF" w:rsidR="00F26BAE" w:rsidRPr="00770F9D" w:rsidRDefault="00F26BAE" w:rsidP="003F46E1">
      <w:pPr>
        <w:ind w:firstLine="284"/>
        <w:jc w:val="both"/>
        <w:rPr>
          <w:rFonts w:ascii="Garamond" w:hAnsi="Garamond" w:cstheme="majorBidi"/>
        </w:rPr>
      </w:pPr>
      <w:r w:rsidRPr="00770F9D">
        <w:rPr>
          <w:rFonts w:ascii="Garamond" w:hAnsi="Garamond" w:cstheme="majorBidi"/>
        </w:rPr>
        <w:t>Është rritur masa e përfitimit me 20% për rreth 64,000 familje përfituese të skemës së ndihmës ekonomike.</w:t>
      </w:r>
      <w:r w:rsidR="00263132" w:rsidRPr="00770F9D">
        <w:rPr>
          <w:rFonts w:ascii="Garamond" w:hAnsi="Garamond" w:cstheme="majorBidi"/>
        </w:rPr>
        <w:t xml:space="preserve"> </w:t>
      </w:r>
      <w:r w:rsidRPr="00770F9D">
        <w:rPr>
          <w:rFonts w:ascii="Garamond" w:hAnsi="Garamond" w:cstheme="majorBidi"/>
        </w:rPr>
        <w:t xml:space="preserve">Është dyfishuar masa e përfitimit për familje që kanë në përbërje tre dhe më shumë fëmijë, për gratë kryefamiljare me deri në dy fëmijë dhe për individët të moshës mbi 65 vjeç që janë të vetmuar dhe nuk përfitojnë pension pleqërie apo pension social. Gjithashtu është trefishuar masa e përfitimit për kategoritë e jetimëve, viktimave të dhunës dhe të trafikimit. </w:t>
      </w:r>
    </w:p>
    <w:p w14:paraId="59FD60B3" w14:textId="49C6E656" w:rsidR="00F26BAE" w:rsidRPr="00770F9D" w:rsidRDefault="00F26BAE" w:rsidP="003F46E1">
      <w:pPr>
        <w:ind w:firstLine="284"/>
        <w:jc w:val="both"/>
        <w:rPr>
          <w:rFonts w:ascii="Garamond" w:hAnsi="Garamond" w:cstheme="majorBidi"/>
        </w:rPr>
      </w:pPr>
      <w:r w:rsidRPr="00770F9D">
        <w:rPr>
          <w:rFonts w:ascii="Garamond" w:hAnsi="Garamond" w:cstheme="majorBidi"/>
          <w:iCs/>
        </w:rPr>
        <w:t>Për zbutjen e efektev</w:t>
      </w:r>
      <w:r w:rsidR="008B78DA" w:rsidRPr="00770F9D">
        <w:rPr>
          <w:rFonts w:ascii="Garamond" w:hAnsi="Garamond" w:cstheme="majorBidi"/>
          <w:iCs/>
        </w:rPr>
        <w:t>e të ndikuara nga lufta në Ukra</w:t>
      </w:r>
      <w:r w:rsidRPr="00770F9D">
        <w:rPr>
          <w:rFonts w:ascii="Garamond" w:hAnsi="Garamond" w:cstheme="majorBidi"/>
          <w:iCs/>
        </w:rPr>
        <w:t>inë</w:t>
      </w:r>
      <w:r w:rsidRPr="00770F9D">
        <w:rPr>
          <w:rFonts w:ascii="Garamond" w:hAnsi="Garamond" w:cstheme="majorBidi"/>
        </w:rPr>
        <w:t>, familjet përfituese të skemës së ndihmës ekonomike dhe personat me aftësi të kufizuar</w:t>
      </w:r>
      <w:r w:rsidR="008B78DA" w:rsidRPr="00770F9D">
        <w:rPr>
          <w:rFonts w:ascii="Garamond" w:hAnsi="Garamond" w:cstheme="majorBidi"/>
        </w:rPr>
        <w:t>a</w:t>
      </w:r>
      <w:r w:rsidRPr="00770F9D">
        <w:rPr>
          <w:rFonts w:ascii="Garamond" w:hAnsi="Garamond" w:cstheme="majorBidi"/>
        </w:rPr>
        <w:t xml:space="preserve"> përfituan një mbështe</w:t>
      </w:r>
      <w:r w:rsidR="008B78DA" w:rsidRPr="00770F9D">
        <w:rPr>
          <w:rFonts w:ascii="Garamond" w:hAnsi="Garamond" w:cstheme="majorBidi"/>
        </w:rPr>
        <w:t>t</w:t>
      </w:r>
      <w:r w:rsidRPr="00770F9D">
        <w:rPr>
          <w:rFonts w:ascii="Garamond" w:hAnsi="Garamond" w:cstheme="majorBidi"/>
        </w:rPr>
        <w:t xml:space="preserve">je financiare në vlerën 9,000 lekë nga muaji </w:t>
      </w:r>
      <w:r w:rsidR="00050E1C" w:rsidRPr="00770F9D">
        <w:rPr>
          <w:rFonts w:ascii="Garamond" w:hAnsi="Garamond" w:cstheme="majorBidi"/>
        </w:rPr>
        <w:t xml:space="preserve">prill </w:t>
      </w:r>
      <w:r w:rsidRPr="00770F9D">
        <w:rPr>
          <w:rFonts w:ascii="Garamond" w:hAnsi="Garamond" w:cstheme="majorBidi"/>
        </w:rPr>
        <w:t xml:space="preserve">deri në </w:t>
      </w:r>
      <w:r w:rsidR="00050E1C" w:rsidRPr="00770F9D">
        <w:rPr>
          <w:rFonts w:ascii="Garamond" w:hAnsi="Garamond" w:cstheme="majorBidi"/>
        </w:rPr>
        <w:t>qershor</w:t>
      </w:r>
      <w:r w:rsidRPr="00770F9D">
        <w:rPr>
          <w:rFonts w:ascii="Garamond" w:hAnsi="Garamond" w:cstheme="majorBidi"/>
        </w:rPr>
        <w:t>. Nga kjo masë përfituan 64,000 familje përfituese të skemës së ndihmës ekonomike dhe 69,636 persona me aftësi të kufizuar</w:t>
      </w:r>
      <w:r w:rsidR="00050E1C" w:rsidRPr="00770F9D">
        <w:rPr>
          <w:rFonts w:ascii="Garamond" w:hAnsi="Garamond" w:cstheme="majorBidi"/>
        </w:rPr>
        <w:t>a</w:t>
      </w:r>
      <w:r w:rsidRPr="00770F9D">
        <w:rPr>
          <w:rFonts w:ascii="Garamond" w:hAnsi="Garamond" w:cstheme="majorBidi"/>
        </w:rPr>
        <w:t>.</w:t>
      </w:r>
    </w:p>
    <w:p w14:paraId="6873884B" w14:textId="3CC1040A" w:rsidR="00F26BAE" w:rsidRPr="00770F9D" w:rsidRDefault="00F26BAE" w:rsidP="00AE2E30">
      <w:pPr>
        <w:ind w:firstLine="284"/>
        <w:jc w:val="both"/>
        <w:rPr>
          <w:rFonts w:ascii="Garamond" w:hAnsi="Garamond" w:cstheme="majorBidi"/>
          <w:bCs/>
        </w:rPr>
      </w:pPr>
      <w:r w:rsidRPr="00770F9D">
        <w:rPr>
          <w:rFonts w:ascii="Garamond" w:hAnsi="Garamond" w:cstheme="majorBidi"/>
          <w:bCs/>
        </w:rPr>
        <w:t>Për personat me aftësi të kufizuar</w:t>
      </w:r>
      <w:r w:rsidR="00EF5C63" w:rsidRPr="00770F9D">
        <w:rPr>
          <w:rFonts w:ascii="Garamond" w:hAnsi="Garamond" w:cstheme="majorBidi"/>
          <w:bCs/>
        </w:rPr>
        <w:t>a</w:t>
      </w:r>
      <w:r w:rsidRPr="00770F9D">
        <w:rPr>
          <w:rFonts w:ascii="Garamond" w:hAnsi="Garamond" w:cstheme="majorBidi"/>
          <w:bCs/>
        </w:rPr>
        <w:t xml:space="preserve"> u indeksuan pagesat me 7.5%. Gjithashtu</w:t>
      </w:r>
      <w:r w:rsidR="00EF5C63" w:rsidRPr="00770F9D">
        <w:rPr>
          <w:rFonts w:ascii="Garamond" w:hAnsi="Garamond" w:cstheme="majorBidi"/>
          <w:bCs/>
        </w:rPr>
        <w:t>,</w:t>
      </w:r>
      <w:r w:rsidRPr="00770F9D">
        <w:rPr>
          <w:rFonts w:ascii="Garamond" w:hAnsi="Garamond" w:cstheme="majorBidi"/>
          <w:bCs/>
        </w:rPr>
        <w:t xml:space="preserve"> një rritje prej 1000 lekësh është bërë si një mbështetje shtesë për energjinë për kategoritë para</w:t>
      </w:r>
      <w:r w:rsidR="00AE2E30" w:rsidRPr="00770F9D">
        <w:rPr>
          <w:rFonts w:ascii="Garamond" w:hAnsi="Garamond" w:cstheme="majorBidi"/>
          <w:bCs/>
        </w:rPr>
        <w:t>- dhe</w:t>
      </w:r>
      <w:r w:rsidR="00D15162" w:rsidRPr="00770F9D">
        <w:rPr>
          <w:rFonts w:ascii="Garamond" w:hAnsi="Garamond" w:cstheme="majorBidi"/>
          <w:bCs/>
        </w:rPr>
        <w:t xml:space="preserve"> tetraplegjikë dhe të verb</w:t>
      </w:r>
      <w:r w:rsidRPr="00770F9D">
        <w:rPr>
          <w:rFonts w:ascii="Garamond" w:hAnsi="Garamond" w:cstheme="majorBidi"/>
          <w:bCs/>
        </w:rPr>
        <w:t>rit. Nga kjo rritje përfituan 11,411 individë.</w:t>
      </w:r>
    </w:p>
    <w:p w14:paraId="33409A36" w14:textId="73753F00" w:rsidR="00F26BAE" w:rsidRPr="00770F9D" w:rsidRDefault="00F26BAE" w:rsidP="000C66B1">
      <w:pPr>
        <w:ind w:firstLine="284"/>
        <w:jc w:val="both"/>
        <w:rPr>
          <w:rFonts w:ascii="Garamond" w:hAnsi="Garamond" w:cstheme="majorBidi"/>
        </w:rPr>
      </w:pPr>
      <w:r w:rsidRPr="00770F9D">
        <w:rPr>
          <w:rFonts w:ascii="Garamond" w:hAnsi="Garamond" w:cstheme="majorBidi"/>
        </w:rPr>
        <w:t>Për më tepër do të vazhdojmë mbështetjen tonë financiare për çdo familje që sjell në jetë një fëmijë me programin tonë të dedikuar të mbështetjes financiare për foshnjat e porsalindura</w:t>
      </w:r>
      <w:r w:rsidR="000C66B1" w:rsidRPr="00770F9D">
        <w:rPr>
          <w:rFonts w:ascii="Garamond" w:hAnsi="Garamond" w:cstheme="majorBidi"/>
        </w:rPr>
        <w:t xml:space="preserve"> </w:t>
      </w:r>
      <w:r w:rsidR="000C66B1" w:rsidRPr="00770F9D">
        <w:rPr>
          <w:rFonts w:ascii="Garamond" w:hAnsi="Garamond" w:cstheme="majorBidi"/>
          <w:i/>
          <w:iCs/>
        </w:rPr>
        <w:t>(</w:t>
      </w:r>
      <w:r w:rsidRPr="00770F9D">
        <w:rPr>
          <w:rFonts w:ascii="Garamond" w:hAnsi="Garamond" w:cstheme="majorBidi"/>
          <w:i/>
          <w:iCs/>
        </w:rPr>
        <w:t>baby bonus)</w:t>
      </w:r>
      <w:r w:rsidRPr="00770F9D">
        <w:rPr>
          <w:rFonts w:ascii="Garamond" w:hAnsi="Garamond" w:cstheme="majorBidi"/>
        </w:rPr>
        <w:t>, nga i cili që nga fillimi i zbatimit të programit në vitin 2019 kanë përfituar</w:t>
      </w:r>
      <w:r w:rsidR="00263132" w:rsidRPr="00770F9D">
        <w:rPr>
          <w:rFonts w:ascii="Garamond" w:hAnsi="Garamond" w:cstheme="majorBidi"/>
        </w:rPr>
        <w:t xml:space="preserve"> </w:t>
      </w:r>
      <w:r w:rsidRPr="00770F9D">
        <w:rPr>
          <w:rFonts w:ascii="Garamond" w:hAnsi="Garamond" w:cstheme="majorBidi"/>
        </w:rPr>
        <w:t>rreth 150 mijë familje brenda tremujorit të parë të lindjes së foshnj</w:t>
      </w:r>
      <w:r w:rsidR="000C66B1" w:rsidRPr="00770F9D">
        <w:rPr>
          <w:rFonts w:ascii="Garamond" w:hAnsi="Garamond" w:cstheme="majorBidi"/>
        </w:rPr>
        <w:t>ë</w:t>
      </w:r>
      <w:r w:rsidRPr="00770F9D">
        <w:rPr>
          <w:rFonts w:ascii="Garamond" w:hAnsi="Garamond" w:cstheme="majorBidi"/>
        </w:rPr>
        <w:t>s. Programi i mbështetjes financiare për foshnjat e porsalindura është një pagesë universale për çdo familje shqiptare dhe nga programi përfiton edhe çdo i porsalindur shqiptar i lindur jashtë Shqipërisë që është regjistruar brenda vitit të parë të lindjes.</w:t>
      </w:r>
    </w:p>
    <w:p w14:paraId="023EA48E" w14:textId="77777777" w:rsidR="00072546" w:rsidRPr="00770F9D" w:rsidRDefault="00072546" w:rsidP="003F46E1">
      <w:pPr>
        <w:autoSpaceDE w:val="0"/>
        <w:autoSpaceDN w:val="0"/>
        <w:adjustRightInd w:val="0"/>
        <w:ind w:firstLine="284"/>
        <w:jc w:val="both"/>
        <w:rPr>
          <w:rFonts w:ascii="Garamond" w:hAnsi="Garamond" w:cs="Garamond"/>
          <w:color w:val="000000"/>
          <w:lang w:eastAsia="sq-AL"/>
        </w:rPr>
      </w:pPr>
      <w:r w:rsidRPr="00770F9D">
        <w:rPr>
          <w:rFonts w:ascii="Garamond" w:hAnsi="Garamond" w:cs="Garamond"/>
          <w:color w:val="000000"/>
          <w:lang w:eastAsia="sq-AL"/>
        </w:rPr>
        <w:t>Programi parashikon pagesat e mëposhtme:</w:t>
      </w:r>
    </w:p>
    <w:p w14:paraId="383B985B" w14:textId="73FEC5D4" w:rsidR="00072546" w:rsidRPr="00770F9D" w:rsidRDefault="0090730B" w:rsidP="003F46E1">
      <w:pPr>
        <w:autoSpaceDE w:val="0"/>
        <w:autoSpaceDN w:val="0"/>
        <w:adjustRightInd w:val="0"/>
        <w:ind w:firstLine="284"/>
        <w:jc w:val="both"/>
        <w:rPr>
          <w:rFonts w:ascii="Garamond" w:hAnsi="Garamond" w:cs="Garamond"/>
          <w:color w:val="000000"/>
          <w:lang w:eastAsia="sq-AL"/>
        </w:rPr>
      </w:pPr>
      <w:r w:rsidRPr="00770F9D">
        <w:rPr>
          <w:rFonts w:ascii="Garamond" w:hAnsi="Garamond" w:cs="Symbol"/>
          <w:color w:val="000000"/>
          <w:lang w:eastAsia="sq-AL"/>
        </w:rPr>
        <w:t>-</w:t>
      </w:r>
      <w:r w:rsidR="00BA4F1A" w:rsidRPr="00770F9D">
        <w:rPr>
          <w:rFonts w:ascii="Garamond" w:hAnsi="Garamond" w:cs="Symbol"/>
          <w:color w:val="000000"/>
          <w:lang w:eastAsia="sq-AL"/>
        </w:rPr>
        <w:t xml:space="preserve"> </w:t>
      </w:r>
      <w:r w:rsidR="00072546" w:rsidRPr="00770F9D">
        <w:rPr>
          <w:rFonts w:ascii="Garamond" w:hAnsi="Garamond" w:cs="Garamond"/>
          <w:color w:val="000000"/>
          <w:lang w:eastAsia="sq-AL"/>
        </w:rPr>
        <w:t>Për fëmijën e parë</w:t>
      </w:r>
      <w:r w:rsidR="00263132" w:rsidRPr="00770F9D">
        <w:rPr>
          <w:rFonts w:ascii="Garamond" w:hAnsi="Garamond" w:cs="Garamond"/>
          <w:color w:val="000000"/>
          <w:lang w:eastAsia="sq-AL"/>
        </w:rPr>
        <w:t xml:space="preserve"> </w:t>
      </w:r>
      <w:r w:rsidR="00072546" w:rsidRPr="00770F9D">
        <w:rPr>
          <w:rFonts w:ascii="Garamond" w:hAnsi="Garamond" w:cs="Garamond"/>
          <w:color w:val="000000"/>
          <w:lang w:eastAsia="sq-AL"/>
        </w:rPr>
        <w:t>40,000 lekë</w:t>
      </w:r>
      <w:r w:rsidR="000C66B1" w:rsidRPr="00770F9D">
        <w:rPr>
          <w:rFonts w:ascii="Garamond" w:hAnsi="Garamond" w:cs="Garamond"/>
          <w:color w:val="000000"/>
          <w:lang w:eastAsia="sq-AL"/>
        </w:rPr>
        <w:t>;</w:t>
      </w:r>
    </w:p>
    <w:p w14:paraId="61509A73" w14:textId="0FF84656" w:rsidR="00072546" w:rsidRPr="00770F9D" w:rsidRDefault="0090730B" w:rsidP="003F46E1">
      <w:pPr>
        <w:autoSpaceDE w:val="0"/>
        <w:autoSpaceDN w:val="0"/>
        <w:adjustRightInd w:val="0"/>
        <w:ind w:firstLine="284"/>
        <w:jc w:val="both"/>
        <w:rPr>
          <w:rFonts w:ascii="Garamond" w:hAnsi="Garamond" w:cs="Garamond"/>
          <w:color w:val="000000"/>
          <w:lang w:eastAsia="sq-AL"/>
        </w:rPr>
      </w:pPr>
      <w:r w:rsidRPr="00770F9D">
        <w:rPr>
          <w:rFonts w:ascii="Garamond" w:hAnsi="Garamond" w:cs="Symbol"/>
          <w:color w:val="000000"/>
          <w:lang w:eastAsia="sq-AL"/>
        </w:rPr>
        <w:t>-</w:t>
      </w:r>
      <w:r w:rsidR="00BA4F1A" w:rsidRPr="00770F9D">
        <w:rPr>
          <w:rFonts w:ascii="Garamond" w:hAnsi="Garamond" w:cs="Symbol"/>
          <w:color w:val="000000"/>
          <w:lang w:eastAsia="sq-AL"/>
        </w:rPr>
        <w:t xml:space="preserve"> </w:t>
      </w:r>
      <w:r w:rsidR="00072546" w:rsidRPr="00770F9D">
        <w:rPr>
          <w:rFonts w:ascii="Garamond" w:hAnsi="Garamond" w:cs="Garamond"/>
          <w:color w:val="000000"/>
          <w:lang w:eastAsia="sq-AL"/>
        </w:rPr>
        <w:t>Për fëmijën e dytë</w:t>
      </w:r>
      <w:r w:rsidR="00263132" w:rsidRPr="00770F9D">
        <w:rPr>
          <w:rFonts w:ascii="Garamond" w:hAnsi="Garamond" w:cs="Garamond"/>
          <w:color w:val="000000"/>
          <w:lang w:eastAsia="sq-AL"/>
        </w:rPr>
        <w:t xml:space="preserve"> </w:t>
      </w:r>
      <w:r w:rsidR="00072546" w:rsidRPr="00770F9D">
        <w:rPr>
          <w:rFonts w:ascii="Garamond" w:hAnsi="Garamond" w:cs="Garamond"/>
          <w:color w:val="000000"/>
          <w:lang w:eastAsia="sq-AL"/>
        </w:rPr>
        <w:t>80,000 lekë</w:t>
      </w:r>
      <w:r w:rsidR="000C66B1" w:rsidRPr="00770F9D">
        <w:rPr>
          <w:rFonts w:ascii="Garamond" w:hAnsi="Garamond" w:cs="Garamond"/>
          <w:color w:val="000000"/>
          <w:lang w:eastAsia="sq-AL"/>
        </w:rPr>
        <w:t>;</w:t>
      </w:r>
    </w:p>
    <w:p w14:paraId="6C4211E1" w14:textId="42AF0F82" w:rsidR="00072546" w:rsidRPr="00770F9D" w:rsidRDefault="0090730B" w:rsidP="003F46E1">
      <w:pPr>
        <w:autoSpaceDE w:val="0"/>
        <w:autoSpaceDN w:val="0"/>
        <w:adjustRightInd w:val="0"/>
        <w:ind w:firstLine="284"/>
        <w:jc w:val="both"/>
        <w:rPr>
          <w:rFonts w:ascii="Garamond" w:hAnsi="Garamond" w:cs="Garamond"/>
          <w:color w:val="000000"/>
          <w:lang w:eastAsia="sq-AL"/>
        </w:rPr>
      </w:pPr>
      <w:r w:rsidRPr="00770F9D">
        <w:rPr>
          <w:rFonts w:ascii="Garamond" w:hAnsi="Garamond" w:cs="Symbol"/>
          <w:color w:val="000000"/>
          <w:lang w:eastAsia="sq-AL"/>
        </w:rPr>
        <w:t>-</w:t>
      </w:r>
      <w:r w:rsidR="00BA4F1A" w:rsidRPr="00770F9D">
        <w:rPr>
          <w:rFonts w:ascii="Garamond" w:hAnsi="Garamond" w:cs="Symbol"/>
          <w:color w:val="000000"/>
          <w:lang w:eastAsia="sq-AL"/>
        </w:rPr>
        <w:t xml:space="preserve"> </w:t>
      </w:r>
      <w:r w:rsidR="00072546" w:rsidRPr="00770F9D">
        <w:rPr>
          <w:rFonts w:ascii="Garamond" w:hAnsi="Garamond" w:cs="Garamond"/>
          <w:color w:val="000000"/>
          <w:lang w:eastAsia="sq-AL"/>
        </w:rPr>
        <w:t>Për fëmijën e katërt, të pestë dhe më shumë</w:t>
      </w:r>
      <w:r w:rsidR="00263132" w:rsidRPr="00770F9D">
        <w:rPr>
          <w:rFonts w:ascii="Garamond" w:hAnsi="Garamond" w:cs="Garamond"/>
          <w:color w:val="000000"/>
          <w:lang w:eastAsia="sq-AL"/>
        </w:rPr>
        <w:t xml:space="preserve"> </w:t>
      </w:r>
      <w:r w:rsidR="00072546" w:rsidRPr="00770F9D">
        <w:rPr>
          <w:rFonts w:ascii="Garamond" w:hAnsi="Garamond" w:cs="Garamond"/>
          <w:color w:val="000000"/>
          <w:lang w:eastAsia="sq-AL"/>
        </w:rPr>
        <w:t>120,000 lekë</w:t>
      </w:r>
      <w:r w:rsidR="000C66B1" w:rsidRPr="00770F9D">
        <w:rPr>
          <w:rFonts w:ascii="Garamond" w:hAnsi="Garamond" w:cs="Garamond"/>
          <w:color w:val="000000"/>
          <w:lang w:eastAsia="sq-AL"/>
        </w:rPr>
        <w:t>;</w:t>
      </w:r>
    </w:p>
    <w:p w14:paraId="3DB4D85A" w14:textId="50F2C5E4" w:rsidR="00072546" w:rsidRPr="00770F9D" w:rsidRDefault="0090730B" w:rsidP="003F46E1">
      <w:pPr>
        <w:autoSpaceDE w:val="0"/>
        <w:autoSpaceDN w:val="0"/>
        <w:adjustRightInd w:val="0"/>
        <w:ind w:firstLine="284"/>
        <w:jc w:val="both"/>
        <w:rPr>
          <w:rFonts w:ascii="Garamond" w:hAnsi="Garamond" w:cs="Garamond"/>
          <w:color w:val="000000"/>
          <w:lang w:eastAsia="sq-AL"/>
        </w:rPr>
      </w:pPr>
      <w:r w:rsidRPr="00770F9D">
        <w:rPr>
          <w:rFonts w:ascii="Garamond" w:hAnsi="Garamond" w:cs="Symbol"/>
          <w:color w:val="000000"/>
          <w:lang w:eastAsia="sq-AL"/>
        </w:rPr>
        <w:t>-</w:t>
      </w:r>
      <w:r w:rsidR="00BA4F1A" w:rsidRPr="00770F9D">
        <w:rPr>
          <w:rFonts w:ascii="Garamond" w:hAnsi="Garamond" w:cs="Symbol"/>
          <w:color w:val="000000"/>
          <w:lang w:eastAsia="sq-AL"/>
        </w:rPr>
        <w:t xml:space="preserve"> </w:t>
      </w:r>
      <w:r w:rsidR="00072546" w:rsidRPr="00770F9D">
        <w:rPr>
          <w:rFonts w:ascii="Garamond" w:hAnsi="Garamond" w:cs="Garamond"/>
          <w:color w:val="000000"/>
          <w:lang w:eastAsia="sq-AL"/>
        </w:rPr>
        <w:t>Për fëmijët binjakë</w:t>
      </w:r>
      <w:r w:rsidR="00263132" w:rsidRPr="00770F9D">
        <w:rPr>
          <w:rFonts w:ascii="Garamond" w:hAnsi="Garamond" w:cs="Garamond"/>
          <w:color w:val="000000"/>
          <w:lang w:eastAsia="sq-AL"/>
        </w:rPr>
        <w:t xml:space="preserve"> </w:t>
      </w:r>
      <w:r w:rsidR="00072546" w:rsidRPr="00770F9D">
        <w:rPr>
          <w:rFonts w:ascii="Garamond" w:hAnsi="Garamond" w:cs="Garamond"/>
          <w:color w:val="000000"/>
          <w:lang w:eastAsia="sq-AL"/>
        </w:rPr>
        <w:t>80,000 lekë për çdo fëmijë</w:t>
      </w:r>
      <w:r w:rsidR="000C66B1" w:rsidRPr="00770F9D">
        <w:rPr>
          <w:rFonts w:ascii="Garamond" w:hAnsi="Garamond" w:cs="Garamond"/>
          <w:color w:val="000000"/>
          <w:lang w:eastAsia="sq-AL"/>
        </w:rPr>
        <w:t>;</w:t>
      </w:r>
      <w:r w:rsidR="00072546" w:rsidRPr="00770F9D">
        <w:rPr>
          <w:rFonts w:ascii="Garamond" w:hAnsi="Garamond" w:cs="Garamond"/>
          <w:color w:val="000000"/>
          <w:lang w:eastAsia="sq-AL"/>
        </w:rPr>
        <w:t xml:space="preserve"> </w:t>
      </w:r>
    </w:p>
    <w:p w14:paraId="5DDCD906" w14:textId="0C9EA99A" w:rsidR="00072546" w:rsidRPr="00770F9D" w:rsidRDefault="0090730B" w:rsidP="003F46E1">
      <w:pPr>
        <w:autoSpaceDE w:val="0"/>
        <w:autoSpaceDN w:val="0"/>
        <w:adjustRightInd w:val="0"/>
        <w:ind w:firstLine="284"/>
        <w:jc w:val="both"/>
        <w:rPr>
          <w:rFonts w:ascii="Garamond" w:hAnsi="Garamond" w:cs="Garamond"/>
          <w:color w:val="000000"/>
          <w:lang w:eastAsia="sq-AL"/>
        </w:rPr>
      </w:pPr>
      <w:r w:rsidRPr="00770F9D">
        <w:rPr>
          <w:rFonts w:ascii="Garamond" w:hAnsi="Garamond" w:cs="Symbol"/>
          <w:color w:val="000000"/>
          <w:lang w:eastAsia="sq-AL"/>
        </w:rPr>
        <w:t>-</w:t>
      </w:r>
      <w:r w:rsidR="00BA4F1A" w:rsidRPr="00770F9D">
        <w:rPr>
          <w:rFonts w:ascii="Garamond" w:hAnsi="Garamond" w:cs="Symbol"/>
          <w:color w:val="000000"/>
          <w:lang w:eastAsia="sq-AL"/>
        </w:rPr>
        <w:t xml:space="preserve"> </w:t>
      </w:r>
      <w:r w:rsidR="00072546" w:rsidRPr="00770F9D">
        <w:rPr>
          <w:rFonts w:ascii="Garamond" w:hAnsi="Garamond" w:cs="Garamond"/>
          <w:color w:val="000000"/>
          <w:lang w:eastAsia="sq-AL"/>
        </w:rPr>
        <w:t>Për fëmijët trenjakë dhe më shumë</w:t>
      </w:r>
      <w:r w:rsidR="00263132" w:rsidRPr="00770F9D">
        <w:rPr>
          <w:rFonts w:ascii="Garamond" w:hAnsi="Garamond" w:cs="Garamond"/>
          <w:color w:val="000000"/>
          <w:lang w:eastAsia="sq-AL"/>
        </w:rPr>
        <w:t xml:space="preserve"> </w:t>
      </w:r>
      <w:r w:rsidR="00072546" w:rsidRPr="00770F9D">
        <w:rPr>
          <w:rFonts w:ascii="Garamond" w:hAnsi="Garamond" w:cs="Garamond"/>
          <w:color w:val="000000"/>
          <w:lang w:eastAsia="sq-AL"/>
        </w:rPr>
        <w:t>120,000 lekë për çdo fëmijë</w:t>
      </w:r>
      <w:r w:rsidR="000C66B1" w:rsidRPr="00770F9D">
        <w:rPr>
          <w:rFonts w:ascii="Garamond" w:hAnsi="Garamond" w:cs="Garamond"/>
          <w:color w:val="000000"/>
          <w:lang w:eastAsia="sq-AL"/>
        </w:rPr>
        <w:t>.</w:t>
      </w:r>
    </w:p>
    <w:p w14:paraId="7C7E9D55" w14:textId="77777777"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00000"/>
          <w:lang w:eastAsia="sq-AL"/>
        </w:rPr>
        <w:t>Nga 1 janari i vitit 2019 janë mbi 150 mijë familje që kanë marrë përfitimin e mbështetjes financiare për foshnjat e porsalindura.</w:t>
      </w:r>
    </w:p>
    <w:p w14:paraId="5CF17FD0" w14:textId="77777777" w:rsidR="000A083E" w:rsidRPr="00770F9D" w:rsidRDefault="000A083E"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UP 6.2</w:t>
      </w:r>
    </w:p>
    <w:p w14:paraId="37C1470C" w14:textId="58D0AE33" w:rsidR="00DB3786" w:rsidRPr="00770F9D" w:rsidRDefault="005C391A" w:rsidP="00E32FCF">
      <w:pPr>
        <w:snapToGrid w:val="0"/>
        <w:ind w:firstLine="284"/>
        <w:jc w:val="both"/>
        <w:rPr>
          <w:rFonts w:ascii="Garamond" w:hAnsi="Garamond" w:cstheme="majorBidi"/>
          <w:color w:val="0D0D0D" w:themeColor="text1" w:themeTint="F2"/>
        </w:rPr>
      </w:pPr>
      <w:r w:rsidRPr="00770F9D">
        <w:rPr>
          <w:rFonts w:ascii="Garamond" w:hAnsi="Garamond" w:cstheme="majorBidi"/>
          <w:b/>
          <w:bCs/>
          <w:iCs/>
          <w:color w:val="0D0D0D" w:themeColor="text1" w:themeTint="F2"/>
        </w:rPr>
        <w:t>Rritja e Fondit Social për të siguruar mbulimin dhe nj</w:t>
      </w:r>
      <w:r w:rsidR="00E32FCF" w:rsidRPr="00770F9D">
        <w:rPr>
          <w:rFonts w:ascii="Garamond" w:hAnsi="Garamond" w:cstheme="majorBidi"/>
          <w:b/>
          <w:bCs/>
          <w:iCs/>
          <w:color w:val="0D0D0D" w:themeColor="text1" w:themeTint="F2"/>
        </w:rPr>
        <w:t>ë</w:t>
      </w:r>
      <w:r w:rsidRPr="00770F9D">
        <w:rPr>
          <w:rFonts w:ascii="Garamond" w:hAnsi="Garamond" w:cstheme="majorBidi"/>
          <w:b/>
          <w:bCs/>
          <w:iCs/>
          <w:color w:val="0D0D0D" w:themeColor="text1" w:themeTint="F2"/>
        </w:rPr>
        <w:t xml:space="preserve"> mbështetje m</w:t>
      </w:r>
      <w:r w:rsidR="00E32FCF" w:rsidRPr="00770F9D">
        <w:rPr>
          <w:rFonts w:ascii="Garamond" w:hAnsi="Garamond" w:cstheme="majorBidi"/>
          <w:b/>
          <w:bCs/>
          <w:iCs/>
          <w:color w:val="0D0D0D" w:themeColor="text1" w:themeTint="F2"/>
        </w:rPr>
        <w:t>ë</w:t>
      </w:r>
      <w:r w:rsidRPr="00770F9D">
        <w:rPr>
          <w:rFonts w:ascii="Garamond" w:hAnsi="Garamond" w:cstheme="majorBidi"/>
          <w:b/>
          <w:bCs/>
          <w:iCs/>
          <w:color w:val="0D0D0D" w:themeColor="text1" w:themeTint="F2"/>
        </w:rPr>
        <w:t xml:space="preserve"> t</w:t>
      </w:r>
      <w:r w:rsidR="00E32FCF" w:rsidRPr="00770F9D">
        <w:rPr>
          <w:rFonts w:ascii="Garamond" w:hAnsi="Garamond" w:cstheme="majorBidi"/>
          <w:b/>
          <w:bCs/>
          <w:iCs/>
          <w:color w:val="0D0D0D" w:themeColor="text1" w:themeTint="F2"/>
        </w:rPr>
        <w:t>ë</w:t>
      </w:r>
      <w:r w:rsidRPr="00770F9D">
        <w:rPr>
          <w:rFonts w:ascii="Garamond" w:hAnsi="Garamond" w:cstheme="majorBidi"/>
          <w:b/>
          <w:bCs/>
          <w:iCs/>
          <w:color w:val="0D0D0D" w:themeColor="text1" w:themeTint="F2"/>
        </w:rPr>
        <w:t xml:space="preserve"> mir</w:t>
      </w:r>
      <w:r w:rsidR="00E32FCF" w:rsidRPr="00770F9D">
        <w:rPr>
          <w:rFonts w:ascii="Garamond" w:hAnsi="Garamond" w:cstheme="majorBidi"/>
          <w:b/>
          <w:bCs/>
          <w:iCs/>
          <w:color w:val="0D0D0D" w:themeColor="text1" w:themeTint="F2"/>
        </w:rPr>
        <w:t>ë</w:t>
      </w:r>
      <w:r w:rsidRPr="00770F9D">
        <w:rPr>
          <w:rFonts w:ascii="Garamond" w:hAnsi="Garamond" w:cstheme="majorBidi"/>
          <w:b/>
          <w:bCs/>
          <w:iCs/>
          <w:color w:val="0D0D0D" w:themeColor="text1" w:themeTint="F2"/>
        </w:rPr>
        <w:t xml:space="preserve"> për bashkitë me burime të kufizuara financiare, si dhe përmirësim t</w:t>
      </w:r>
      <w:r w:rsidR="00E32FCF" w:rsidRPr="00770F9D">
        <w:rPr>
          <w:rFonts w:ascii="Garamond" w:hAnsi="Garamond" w:cstheme="majorBidi"/>
          <w:b/>
          <w:bCs/>
          <w:iCs/>
          <w:color w:val="0D0D0D" w:themeColor="text1" w:themeTint="F2"/>
        </w:rPr>
        <w:t>ë</w:t>
      </w:r>
      <w:r w:rsidRPr="00770F9D">
        <w:rPr>
          <w:rFonts w:ascii="Garamond" w:hAnsi="Garamond" w:cstheme="majorBidi"/>
          <w:b/>
          <w:bCs/>
          <w:iCs/>
          <w:color w:val="0D0D0D" w:themeColor="text1" w:themeTint="F2"/>
        </w:rPr>
        <w:t xml:space="preserve"> qëndrueshmërisë së shërbimeve sociale të sapokrijuara përmes kontributit të vazhdueshëm përtej vitit të tretë, me kusht që bashkitë të krijojnë një Fond Social Lokal me buxhet të mjaftueshëm</w:t>
      </w:r>
      <w:r w:rsidR="00DB3786" w:rsidRPr="00770F9D">
        <w:rPr>
          <w:rFonts w:ascii="Garamond" w:hAnsi="Garamond" w:cstheme="majorBidi"/>
          <w:color w:val="0D0D0D" w:themeColor="text1" w:themeTint="F2"/>
        </w:rPr>
        <w:t>.</w:t>
      </w:r>
    </w:p>
    <w:p w14:paraId="04962DCF" w14:textId="571A8395" w:rsidR="00F26BAE" w:rsidRPr="00770F9D" w:rsidRDefault="00F26BAE" w:rsidP="00C64083">
      <w:pPr>
        <w:ind w:firstLine="284"/>
        <w:jc w:val="both"/>
        <w:rPr>
          <w:rFonts w:ascii="Garamond" w:hAnsi="Garamond" w:cstheme="majorBidi"/>
          <w:bCs/>
          <w:iCs/>
        </w:rPr>
      </w:pPr>
      <w:r w:rsidRPr="00770F9D">
        <w:rPr>
          <w:rFonts w:ascii="Garamond" w:hAnsi="Garamond" w:cstheme="majorBidi"/>
          <w:bCs/>
          <w:iCs/>
        </w:rPr>
        <w:t>Zbatimi i reformës së shërbimeve të kujdesit social u shoqërua me vënien në funksion të Fondit Social për mbështetjen e krijimit të shërbimeve të përkujdes</w:t>
      </w:r>
      <w:r w:rsidR="00C64083" w:rsidRPr="00770F9D">
        <w:rPr>
          <w:rFonts w:ascii="Garamond" w:hAnsi="Garamond" w:cstheme="majorBidi"/>
          <w:bCs/>
          <w:iCs/>
        </w:rPr>
        <w:t>jes</w:t>
      </w:r>
      <w:r w:rsidRPr="00770F9D">
        <w:rPr>
          <w:rFonts w:ascii="Garamond" w:hAnsi="Garamond" w:cstheme="majorBidi"/>
          <w:bCs/>
          <w:iCs/>
        </w:rPr>
        <w:t xml:space="preserve"> social</w:t>
      </w:r>
      <w:r w:rsidR="00C64083" w:rsidRPr="00770F9D">
        <w:rPr>
          <w:rFonts w:ascii="Garamond" w:hAnsi="Garamond" w:cstheme="majorBidi"/>
          <w:bCs/>
          <w:iCs/>
        </w:rPr>
        <w:t>e</w:t>
      </w:r>
      <w:r w:rsidRPr="00770F9D">
        <w:rPr>
          <w:rFonts w:ascii="Garamond" w:hAnsi="Garamond" w:cstheme="majorBidi"/>
          <w:bCs/>
          <w:iCs/>
        </w:rPr>
        <w:t xml:space="preserve"> në nivel vendor. Nga ana tjetër, në kuadër të FS</w:t>
      </w:r>
      <w:r w:rsidR="0047008E" w:rsidRPr="00770F9D">
        <w:rPr>
          <w:rFonts w:ascii="Garamond" w:hAnsi="Garamond" w:cstheme="majorBidi"/>
          <w:bCs/>
          <w:iCs/>
        </w:rPr>
        <w:t>-së</w:t>
      </w:r>
      <w:r w:rsidRPr="00770F9D">
        <w:rPr>
          <w:rFonts w:ascii="Garamond" w:hAnsi="Garamond" w:cstheme="majorBidi"/>
          <w:bCs/>
          <w:iCs/>
        </w:rPr>
        <w:t xml:space="preserve"> parashikohet të jepet mbështetje financiare edhe për shërbime të specializuara në nivel qarku, bazuar në aplikimet e projekteve të miratuara në Këshillin e </w:t>
      </w:r>
      <w:r w:rsidR="0047008E" w:rsidRPr="00770F9D">
        <w:rPr>
          <w:rFonts w:ascii="Garamond" w:hAnsi="Garamond" w:cstheme="majorBidi"/>
          <w:bCs/>
          <w:iCs/>
        </w:rPr>
        <w:t>qarkut/qarkut</w:t>
      </w:r>
      <w:r w:rsidRPr="00770F9D">
        <w:rPr>
          <w:rFonts w:ascii="Garamond" w:hAnsi="Garamond" w:cstheme="majorBidi"/>
          <w:bCs/>
          <w:iCs/>
        </w:rPr>
        <w:t>.</w:t>
      </w:r>
    </w:p>
    <w:p w14:paraId="10680E3B" w14:textId="64FCD629" w:rsidR="00F26BAE" w:rsidRPr="00770F9D" w:rsidRDefault="00F26BAE" w:rsidP="003F46E1">
      <w:pPr>
        <w:ind w:firstLine="284"/>
        <w:jc w:val="both"/>
        <w:rPr>
          <w:rFonts w:ascii="Garamond" w:hAnsi="Garamond" w:cstheme="majorBidi"/>
          <w:bCs/>
          <w:iCs/>
        </w:rPr>
      </w:pPr>
      <w:r w:rsidRPr="00770F9D">
        <w:rPr>
          <w:rFonts w:ascii="Garamond" w:hAnsi="Garamond" w:cstheme="majorBidi"/>
          <w:bCs/>
          <w:iCs/>
        </w:rPr>
        <w:t xml:space="preserve">Fondi total i disbursuar për pushtetin vendor nga </w:t>
      </w:r>
      <w:r w:rsidR="0047008E" w:rsidRPr="00770F9D">
        <w:rPr>
          <w:rFonts w:ascii="Garamond" w:hAnsi="Garamond" w:cstheme="majorBidi"/>
          <w:bCs/>
          <w:iCs/>
        </w:rPr>
        <w:t xml:space="preserve">fondi social </w:t>
      </w:r>
      <w:r w:rsidRPr="00770F9D">
        <w:rPr>
          <w:rFonts w:ascii="Garamond" w:hAnsi="Garamond" w:cstheme="majorBidi"/>
          <w:bCs/>
          <w:iCs/>
        </w:rPr>
        <w:t>gjatë viteve 2019</w:t>
      </w:r>
      <w:r w:rsidR="0047008E" w:rsidRPr="00770F9D">
        <w:rPr>
          <w:rFonts w:ascii="Garamond" w:hAnsi="Garamond" w:cstheme="majorBidi"/>
          <w:bCs/>
          <w:iCs/>
        </w:rPr>
        <w:t>–</w:t>
      </w:r>
      <w:r w:rsidRPr="00770F9D">
        <w:rPr>
          <w:rFonts w:ascii="Garamond" w:hAnsi="Garamond" w:cstheme="majorBidi"/>
          <w:bCs/>
          <w:iCs/>
        </w:rPr>
        <w:t>2022 është 539 milionë lekë</w:t>
      </w:r>
      <w:r w:rsidR="0047008E" w:rsidRPr="00770F9D">
        <w:rPr>
          <w:rFonts w:ascii="Garamond" w:hAnsi="Garamond" w:cstheme="majorBidi"/>
          <w:bCs/>
          <w:iCs/>
        </w:rPr>
        <w:t>,</w:t>
      </w:r>
      <w:r w:rsidRPr="00770F9D">
        <w:rPr>
          <w:rFonts w:ascii="Garamond" w:hAnsi="Garamond" w:cstheme="majorBidi"/>
          <w:bCs/>
          <w:iCs/>
        </w:rPr>
        <w:t xml:space="preserve"> duke mbështetur ngritjen e 40 shërbimeve të kujdesit social, prej tyre 27 shërbime sociale në nivel bashkie dhe 13 shërbime të specializuara në 6 qarqe, të ofruara shërbime për 10744 përfitues, deri më tani.</w:t>
      </w:r>
    </w:p>
    <w:p w14:paraId="02F6B179" w14:textId="6E6DF5ED" w:rsidR="00F26BAE" w:rsidRPr="00770F9D" w:rsidRDefault="00F26BAE" w:rsidP="00F0044A">
      <w:pPr>
        <w:ind w:firstLine="284"/>
        <w:jc w:val="both"/>
        <w:rPr>
          <w:rFonts w:ascii="Garamond" w:hAnsi="Garamond" w:cstheme="majorBidi"/>
          <w:bCs/>
          <w:iCs/>
        </w:rPr>
      </w:pPr>
      <w:r w:rsidRPr="00770F9D">
        <w:rPr>
          <w:rFonts w:ascii="Garamond" w:hAnsi="Garamond" w:cstheme="majorBidi"/>
          <w:bCs/>
          <w:iCs/>
        </w:rPr>
        <w:t>Gjatë periudhës raportuese, MSHMS</w:t>
      </w:r>
      <w:r w:rsidR="0047008E" w:rsidRPr="00770F9D">
        <w:rPr>
          <w:rFonts w:ascii="Garamond" w:hAnsi="Garamond" w:cstheme="majorBidi"/>
          <w:bCs/>
          <w:iCs/>
        </w:rPr>
        <w:t>-ja</w:t>
      </w:r>
      <w:r w:rsidRPr="00770F9D">
        <w:rPr>
          <w:rFonts w:ascii="Garamond" w:hAnsi="Garamond" w:cstheme="majorBidi"/>
          <w:bCs/>
          <w:iCs/>
        </w:rPr>
        <w:t xml:space="preserve"> ka nisur thirrjen e tretë për aplikime, në </w:t>
      </w:r>
      <w:r w:rsidR="00F0044A" w:rsidRPr="00770F9D">
        <w:rPr>
          <w:rFonts w:ascii="Garamond" w:hAnsi="Garamond" w:cstheme="majorBidi"/>
          <w:bCs/>
          <w:iCs/>
        </w:rPr>
        <w:t xml:space="preserve">tetor </w:t>
      </w:r>
      <w:r w:rsidRPr="00770F9D">
        <w:rPr>
          <w:rFonts w:ascii="Garamond" w:hAnsi="Garamond" w:cstheme="majorBidi"/>
          <w:bCs/>
          <w:iCs/>
        </w:rPr>
        <w:t xml:space="preserve">2021, e publikuar në faqen zyrtare të Ministrisë: </w:t>
      </w:r>
      <w:hyperlink r:id="rId18" w:history="1">
        <w:r w:rsidRPr="00770F9D">
          <w:rPr>
            <w:rStyle w:val="Hyperlink"/>
            <w:rFonts w:ascii="Garamond" w:hAnsi="Garamond" w:cstheme="majorBidi"/>
            <w:bCs/>
            <w:iCs/>
            <w:color w:val="auto"/>
            <w:u w:val="none"/>
          </w:rPr>
          <w:t>http://shendetesia.gov.al/njoftime-2</w:t>
        </w:r>
      </w:hyperlink>
      <w:r w:rsidRPr="00770F9D">
        <w:rPr>
          <w:rFonts w:ascii="Garamond" w:hAnsi="Garamond" w:cstheme="majorBidi"/>
          <w:bCs/>
          <w:iCs/>
        </w:rPr>
        <w:t>, ku kanë aplikuar 35 bashki. Nga k</w:t>
      </w:r>
      <w:r w:rsidR="00F0044A" w:rsidRPr="00770F9D">
        <w:rPr>
          <w:rFonts w:ascii="Garamond" w:hAnsi="Garamond" w:cstheme="majorBidi"/>
          <w:bCs/>
          <w:iCs/>
        </w:rPr>
        <w:t>ë</w:t>
      </w:r>
      <w:r w:rsidRPr="00770F9D">
        <w:rPr>
          <w:rFonts w:ascii="Garamond" w:hAnsi="Garamond" w:cstheme="majorBidi"/>
          <w:bCs/>
          <w:iCs/>
        </w:rPr>
        <w:t>to, 13 bashki janë financuar tashmë gjatë viteve 2020 dhe 2021 dhe janë ngritur 8 shërbime të reja sociale.</w:t>
      </w:r>
    </w:p>
    <w:p w14:paraId="4D031FBC" w14:textId="5D5BDDA9" w:rsidR="00F26BAE" w:rsidRPr="00770F9D" w:rsidRDefault="00F26BAE" w:rsidP="00F0044A">
      <w:pPr>
        <w:ind w:firstLine="284"/>
        <w:jc w:val="both"/>
        <w:rPr>
          <w:rFonts w:ascii="Garamond" w:hAnsi="Garamond" w:cstheme="majorBidi"/>
          <w:bCs/>
          <w:iCs/>
        </w:rPr>
      </w:pPr>
      <w:r w:rsidRPr="00770F9D">
        <w:rPr>
          <w:rFonts w:ascii="Garamond" w:hAnsi="Garamond" w:cstheme="majorBidi"/>
          <w:bCs/>
          <w:iCs/>
        </w:rPr>
        <w:t>Fondi total i disbursuar për pushtetin vendor nga Fondi Social gjatë vitit 2022 është 195 370 037 lekë (duke ngritur 21 shërbime sociale në nivel bashkie: Durrës, Gjirokastër, Lezhë, Berat, Rrogozhinë, Elbasan, Korçë, Vlorë, Librazhd, Belsh, Tiranë, P</w:t>
      </w:r>
      <w:r w:rsidR="00F0044A" w:rsidRPr="00770F9D">
        <w:rPr>
          <w:rFonts w:ascii="Garamond" w:hAnsi="Garamond" w:cstheme="majorBidi"/>
          <w:bCs/>
          <w:iCs/>
        </w:rPr>
        <w:t>ërrenjas</w:t>
      </w:r>
      <w:r w:rsidRPr="00770F9D">
        <w:rPr>
          <w:rFonts w:ascii="Garamond" w:hAnsi="Garamond" w:cstheme="majorBidi"/>
          <w:bCs/>
          <w:iCs/>
        </w:rPr>
        <w:t>, Kukës, Malësi e Madhe, Tepelenë, Patos, Kolonje, Sarandë, Shkodër, Devoll, Delvin</w:t>
      </w:r>
      <w:r w:rsidR="00F0044A" w:rsidRPr="00770F9D">
        <w:rPr>
          <w:rFonts w:ascii="Garamond" w:hAnsi="Garamond" w:cstheme="majorBidi"/>
          <w:bCs/>
          <w:iCs/>
        </w:rPr>
        <w:t>ë</w:t>
      </w:r>
      <w:r w:rsidRPr="00770F9D">
        <w:rPr>
          <w:rFonts w:ascii="Garamond" w:hAnsi="Garamond" w:cstheme="majorBidi"/>
          <w:bCs/>
          <w:iCs/>
        </w:rPr>
        <w:t>, ose me 46% rritje të numrit të shërbimeve krahasuar me vitin 2020 dhe 13 shërbime të specializuara në 6 qarqe: Tiranë, Elbasan, Vlorë, Gjirokastër, Durrës, Berat). Numri i përgjithshëm i përfituesve është 7338 persona në nevojë, duke përfshirë: fëmijë në situatë rreziku, persona me aftësi të kufizuara, të moshuar, viktima trafikimi, viktima të dhunës në familje, familje në nevojë, romë dhe egjiptianë, LGBTI+.</w:t>
      </w:r>
    </w:p>
    <w:p w14:paraId="0BE552A8" w14:textId="77777777" w:rsidR="00F26BAE" w:rsidRPr="00770F9D" w:rsidRDefault="00F26BAE" w:rsidP="003F46E1">
      <w:pPr>
        <w:ind w:firstLine="284"/>
        <w:jc w:val="both"/>
        <w:rPr>
          <w:rFonts w:ascii="Garamond" w:hAnsi="Garamond" w:cstheme="majorBidi"/>
          <w:bCs/>
          <w:iCs/>
        </w:rPr>
      </w:pPr>
      <w:r w:rsidRPr="00770F9D">
        <w:rPr>
          <w:rFonts w:ascii="Garamond" w:hAnsi="Garamond" w:cstheme="majorBidi"/>
          <w:bCs/>
          <w:iCs/>
        </w:rPr>
        <w:t>Gjatë periudhës raportuese, Ministria e Shëndetësisë dhe Mbrojtjes Sociale ka miratuar standarde për 2 tipologji të reja shërbimi: shërbimi i specializuar i kujdesit social celular dhe shërbimi i kujdesit social emergjent të sigurt.</w:t>
      </w:r>
    </w:p>
    <w:p w14:paraId="77A0BBF6" w14:textId="691A5ACC" w:rsidR="00F26BAE" w:rsidRPr="00770F9D" w:rsidRDefault="00F26BAE" w:rsidP="00EB64CA">
      <w:pPr>
        <w:ind w:firstLine="284"/>
        <w:jc w:val="both"/>
        <w:rPr>
          <w:rFonts w:ascii="Garamond" w:hAnsi="Garamond" w:cstheme="majorBidi"/>
          <w:bCs/>
          <w:iCs/>
        </w:rPr>
      </w:pPr>
      <w:r w:rsidRPr="00770F9D">
        <w:rPr>
          <w:rFonts w:ascii="Garamond" w:hAnsi="Garamond" w:cstheme="majorBidi"/>
          <w:bCs/>
          <w:iCs/>
        </w:rPr>
        <w:t>Siç u përmend më lart, masa e financimit të Fondit Social ka ardhur duke u rritur, përkatësisht me 24% në vitin 2022 krahasuar me vitin 2019, dhe pritet të rritet, për tre v</w:t>
      </w:r>
      <w:r w:rsidR="00EB64CA">
        <w:rPr>
          <w:rFonts w:ascii="Garamond" w:hAnsi="Garamond" w:cstheme="majorBidi"/>
          <w:bCs/>
          <w:iCs/>
        </w:rPr>
        <w:t>jetët</w:t>
      </w:r>
      <w:r w:rsidRPr="00770F9D">
        <w:rPr>
          <w:rFonts w:ascii="Garamond" w:hAnsi="Garamond" w:cstheme="majorBidi"/>
          <w:bCs/>
          <w:iCs/>
        </w:rPr>
        <w:t xml:space="preserve"> e ardhsh</w:t>
      </w:r>
      <w:r w:rsidR="00EB64CA">
        <w:rPr>
          <w:rFonts w:ascii="Garamond" w:hAnsi="Garamond" w:cstheme="majorBidi"/>
          <w:bCs/>
          <w:iCs/>
        </w:rPr>
        <w:t>ë</w:t>
      </w:r>
      <w:r w:rsidRPr="00770F9D">
        <w:rPr>
          <w:rFonts w:ascii="Garamond" w:hAnsi="Garamond" w:cstheme="majorBidi"/>
          <w:bCs/>
          <w:iCs/>
        </w:rPr>
        <w:t>m, me 90% krahasuar me vitin 2020.</w:t>
      </w:r>
    </w:p>
    <w:p w14:paraId="26CB8C68" w14:textId="4C4B5EC0" w:rsidR="005C391A" w:rsidRPr="00770F9D" w:rsidRDefault="00F26BAE" w:rsidP="00B17A4E">
      <w:pPr>
        <w:snapToGrid w:val="0"/>
        <w:ind w:firstLine="284"/>
        <w:jc w:val="both"/>
        <w:rPr>
          <w:rFonts w:ascii="Garamond" w:hAnsi="Garamond" w:cstheme="majorBidi"/>
          <w:color w:val="0D0D0D" w:themeColor="text1" w:themeTint="F2"/>
        </w:rPr>
      </w:pPr>
      <w:r w:rsidRPr="00770F9D">
        <w:rPr>
          <w:rFonts w:ascii="Garamond" w:hAnsi="Garamond" w:cstheme="majorBidi"/>
          <w:bCs/>
          <w:iCs/>
        </w:rPr>
        <w:t xml:space="preserve">Konkretisht, në kuadër të </w:t>
      </w:r>
      <w:r w:rsidR="00F0044A" w:rsidRPr="00770F9D">
        <w:rPr>
          <w:rFonts w:ascii="Garamond" w:hAnsi="Garamond" w:cstheme="majorBidi"/>
          <w:bCs/>
          <w:iCs/>
        </w:rPr>
        <w:t xml:space="preserve">buxhetit afatmesëm </w:t>
      </w:r>
      <w:r w:rsidR="003F4C96" w:rsidRPr="00770F9D">
        <w:rPr>
          <w:rFonts w:ascii="Garamond" w:hAnsi="Garamond" w:cstheme="majorBidi"/>
          <w:bCs/>
          <w:iCs/>
        </w:rPr>
        <w:t>2023–2025</w:t>
      </w:r>
      <w:r w:rsidRPr="00770F9D">
        <w:rPr>
          <w:rFonts w:ascii="Garamond" w:hAnsi="Garamond" w:cstheme="majorBidi"/>
          <w:bCs/>
          <w:iCs/>
        </w:rPr>
        <w:t xml:space="preserve">, </w:t>
      </w:r>
      <w:r w:rsidR="00B17A4E" w:rsidRPr="00770F9D">
        <w:rPr>
          <w:rFonts w:ascii="Garamond" w:hAnsi="Garamond" w:cstheme="majorBidi"/>
          <w:bCs/>
          <w:iCs/>
        </w:rPr>
        <w:t>fondi social,</w:t>
      </w:r>
      <w:r w:rsidRPr="00770F9D">
        <w:rPr>
          <w:rFonts w:ascii="Garamond" w:hAnsi="Garamond" w:cstheme="majorBidi"/>
          <w:bCs/>
          <w:iCs/>
        </w:rPr>
        <w:t xml:space="preserve"> në kuadër të Programit të </w:t>
      </w:r>
      <w:r w:rsidR="00B17A4E" w:rsidRPr="00770F9D">
        <w:rPr>
          <w:rFonts w:ascii="Garamond" w:hAnsi="Garamond" w:cstheme="majorBidi"/>
          <w:bCs/>
          <w:iCs/>
        </w:rPr>
        <w:t>kujdesit social</w:t>
      </w:r>
      <w:r w:rsidRPr="00770F9D">
        <w:rPr>
          <w:rFonts w:ascii="Garamond" w:hAnsi="Garamond" w:cstheme="majorBidi"/>
          <w:bCs/>
          <w:iCs/>
        </w:rPr>
        <w:t>, është parashikuar si një seksion i veçantë, 300 milionë lekë për çdo vit, i cili mund të mbulojë, të paktën ngritjen e 10 sh</w:t>
      </w:r>
      <w:r w:rsidR="00B17A4E" w:rsidRPr="00770F9D">
        <w:rPr>
          <w:rFonts w:ascii="Garamond" w:hAnsi="Garamond" w:cstheme="majorBidi"/>
          <w:bCs/>
          <w:iCs/>
        </w:rPr>
        <w:t>ë</w:t>
      </w:r>
      <w:r w:rsidRPr="00770F9D">
        <w:rPr>
          <w:rFonts w:ascii="Garamond" w:hAnsi="Garamond" w:cstheme="majorBidi"/>
          <w:bCs/>
          <w:iCs/>
        </w:rPr>
        <w:t>rbimeve të reja sociale për çdo vit.</w:t>
      </w:r>
    </w:p>
    <w:p w14:paraId="5A42E569" w14:textId="77777777" w:rsidR="000A083E" w:rsidRPr="00770F9D" w:rsidRDefault="000A083E"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UP 6.3</w:t>
      </w:r>
    </w:p>
    <w:p w14:paraId="5367D598" w14:textId="5232FD43" w:rsidR="00DB3786" w:rsidRPr="00770F9D" w:rsidRDefault="005C391A" w:rsidP="003F46E1">
      <w:pPr>
        <w:snapToGrid w:val="0"/>
        <w:ind w:firstLine="284"/>
        <w:jc w:val="both"/>
        <w:rPr>
          <w:rFonts w:ascii="Garamond" w:hAnsi="Garamond" w:cstheme="majorBidi"/>
          <w:color w:val="0D0D0D" w:themeColor="text1" w:themeTint="F2"/>
        </w:rPr>
      </w:pPr>
      <w:r w:rsidRPr="00770F9D">
        <w:rPr>
          <w:rFonts w:ascii="Garamond" w:hAnsi="Garamond" w:cstheme="majorBidi"/>
          <w:b/>
          <w:bCs/>
          <w:iCs/>
          <w:color w:val="0D0D0D" w:themeColor="text1" w:themeTint="F2"/>
        </w:rPr>
        <w:t>Ridizenjoni politikën e rimbursimit për mjekësinë ambulatore për të reduktuar vështirësitë financiare, veçanërisht për personat me aftësi të kufizuara dhe me së</w:t>
      </w:r>
      <w:r w:rsidR="00B17A4E" w:rsidRPr="00770F9D">
        <w:rPr>
          <w:rFonts w:ascii="Garamond" w:hAnsi="Garamond" w:cstheme="majorBidi"/>
          <w:b/>
          <w:bCs/>
          <w:iCs/>
          <w:color w:val="0D0D0D" w:themeColor="text1" w:themeTint="F2"/>
        </w:rPr>
        <w:t>mundje kronike, familjet e varf</w:t>
      </w:r>
      <w:r w:rsidRPr="00770F9D">
        <w:rPr>
          <w:rFonts w:ascii="Garamond" w:hAnsi="Garamond" w:cstheme="majorBidi"/>
          <w:b/>
          <w:bCs/>
          <w:iCs/>
          <w:color w:val="0D0D0D" w:themeColor="text1" w:themeTint="F2"/>
        </w:rPr>
        <w:t>ra, njerëzit në moshën mbi 65 vjeç dhe minoritetet</w:t>
      </w:r>
      <w:r w:rsidR="00DB3786" w:rsidRPr="00770F9D">
        <w:rPr>
          <w:rFonts w:ascii="Garamond" w:hAnsi="Garamond" w:cstheme="majorBidi"/>
          <w:color w:val="0D0D0D" w:themeColor="text1" w:themeTint="F2"/>
        </w:rPr>
        <w:t>.</w:t>
      </w:r>
    </w:p>
    <w:p w14:paraId="34FEA012" w14:textId="2E1E6DD8" w:rsidR="00F26BAE" w:rsidRPr="00770F9D" w:rsidRDefault="00F26BAE" w:rsidP="00B17A4E">
      <w:pPr>
        <w:ind w:firstLine="284"/>
        <w:jc w:val="both"/>
        <w:rPr>
          <w:rFonts w:ascii="Garamond" w:hAnsi="Garamond" w:cstheme="majorBidi"/>
          <w:iCs/>
        </w:rPr>
      </w:pPr>
      <w:r w:rsidRPr="00770F9D">
        <w:rPr>
          <w:rFonts w:ascii="Garamond" w:hAnsi="Garamond" w:cstheme="majorBidi"/>
          <w:iCs/>
        </w:rPr>
        <w:t>Nga viti 2013 e deri më tani është rritur me 25% fondet e dedikuara për rimbursimin e barnave nga lista, duke garantuar jo vetëm një paketë të plotë barnash që ofrohet falas për të gjithë qytetarët tanë me sëmundje kronike,</w:t>
      </w:r>
      <w:r w:rsidR="00263132" w:rsidRPr="00770F9D">
        <w:rPr>
          <w:rFonts w:ascii="Garamond" w:hAnsi="Garamond" w:cstheme="majorBidi"/>
          <w:iCs/>
        </w:rPr>
        <w:t xml:space="preserve"> </w:t>
      </w:r>
      <w:r w:rsidRPr="00770F9D">
        <w:rPr>
          <w:rFonts w:ascii="Garamond" w:hAnsi="Garamond" w:cstheme="majorBidi"/>
          <w:iCs/>
        </w:rPr>
        <w:t>por edhe ne kemi përfshirë në listë,</w:t>
      </w:r>
      <w:r w:rsidR="00263132" w:rsidRPr="00770F9D">
        <w:rPr>
          <w:rFonts w:ascii="Garamond" w:hAnsi="Garamond" w:cstheme="majorBidi"/>
          <w:iCs/>
        </w:rPr>
        <w:t xml:space="preserve"> </w:t>
      </w:r>
      <w:r w:rsidRPr="00770F9D">
        <w:rPr>
          <w:rFonts w:ascii="Garamond" w:hAnsi="Garamond" w:cstheme="majorBidi"/>
          <w:iCs/>
        </w:rPr>
        <w:t>terapi inovative për të cilat 8 v</w:t>
      </w:r>
      <w:r w:rsidR="00B17A4E" w:rsidRPr="00770F9D">
        <w:rPr>
          <w:rFonts w:ascii="Garamond" w:hAnsi="Garamond" w:cstheme="majorBidi"/>
          <w:iCs/>
        </w:rPr>
        <w:t>jet</w:t>
      </w:r>
      <w:r w:rsidRPr="00770F9D">
        <w:rPr>
          <w:rFonts w:ascii="Garamond" w:hAnsi="Garamond" w:cstheme="majorBidi"/>
          <w:iCs/>
        </w:rPr>
        <w:t xml:space="preserve"> më parë qytetarët duhet të paguanin nga buxheti i tyre familjar.</w:t>
      </w:r>
    </w:p>
    <w:p w14:paraId="274FB0BA" w14:textId="77777777" w:rsidR="00F26BAE" w:rsidRPr="00770F9D" w:rsidRDefault="00F26BAE" w:rsidP="003F46E1">
      <w:pPr>
        <w:ind w:firstLine="284"/>
        <w:jc w:val="both"/>
        <w:rPr>
          <w:rFonts w:ascii="Garamond" w:hAnsi="Garamond" w:cstheme="majorBidi"/>
        </w:rPr>
      </w:pPr>
      <w:r w:rsidRPr="00770F9D">
        <w:rPr>
          <w:rFonts w:ascii="Garamond" w:hAnsi="Garamond" w:cstheme="majorBidi"/>
        </w:rPr>
        <w:t>Është trefishuar financimi i barnave për trajtimin e pacientëve me kancer dhe tani garantojmë 100% trajtim falas me barna për pacientët me kancer gjiri dhe kancer malinj të gjakut.</w:t>
      </w:r>
    </w:p>
    <w:p w14:paraId="373B8F69" w14:textId="77777777" w:rsidR="00F26BAE" w:rsidRPr="00770F9D" w:rsidRDefault="00F26BAE" w:rsidP="003F46E1">
      <w:pPr>
        <w:ind w:firstLine="284"/>
        <w:jc w:val="both"/>
        <w:rPr>
          <w:rFonts w:ascii="Garamond" w:hAnsi="Garamond" w:cstheme="majorBidi"/>
        </w:rPr>
      </w:pPr>
      <w:r w:rsidRPr="00770F9D">
        <w:rPr>
          <w:rFonts w:ascii="Garamond" w:hAnsi="Garamond" w:cstheme="majorBidi"/>
        </w:rPr>
        <w:t xml:space="preserve">Për më tepër që nga viti 2014, janë 600 mijë qytetarë të pasiguruar që marrin trajtim mjekësor në të gjitha nivelet e sistemit shëndetësor publik të mbuluar 100% nga buxheti i shtetit. </w:t>
      </w:r>
    </w:p>
    <w:p w14:paraId="02F97FB2" w14:textId="35270A39" w:rsidR="00F26BAE" w:rsidRPr="00770F9D" w:rsidRDefault="00F26BAE" w:rsidP="003F46E1">
      <w:pPr>
        <w:ind w:firstLine="284"/>
        <w:jc w:val="both"/>
        <w:rPr>
          <w:rFonts w:ascii="Garamond" w:hAnsi="Garamond" w:cstheme="majorBidi"/>
        </w:rPr>
      </w:pPr>
      <w:r w:rsidRPr="00770F9D">
        <w:rPr>
          <w:rFonts w:ascii="Garamond" w:hAnsi="Garamond" w:cstheme="majorBidi"/>
        </w:rPr>
        <w:t xml:space="preserve">Rreth 450 mijë pacientë kronikë marrin pa pagesë barin e parë alternativ nga </w:t>
      </w:r>
      <w:r w:rsidR="00723EE0" w:rsidRPr="00770F9D">
        <w:rPr>
          <w:rFonts w:ascii="Garamond" w:hAnsi="Garamond" w:cstheme="majorBidi"/>
        </w:rPr>
        <w:t>lista e barnave të rimbursimit.</w:t>
      </w:r>
    </w:p>
    <w:p w14:paraId="38A48D42" w14:textId="4A8F3A75" w:rsidR="00F26BAE" w:rsidRPr="00770F9D" w:rsidRDefault="00F26BAE" w:rsidP="00B25809">
      <w:pPr>
        <w:ind w:firstLine="284"/>
        <w:jc w:val="both"/>
        <w:rPr>
          <w:rFonts w:ascii="Garamond" w:hAnsi="Garamond" w:cstheme="majorBidi"/>
        </w:rPr>
      </w:pPr>
      <w:r w:rsidRPr="00770F9D">
        <w:rPr>
          <w:rFonts w:ascii="Garamond" w:hAnsi="Garamond" w:cstheme="majorBidi"/>
        </w:rPr>
        <w:t>Kontributet e kujdesit shëndetësor në vitin 2022 arrijnë në 15.7 miliardë lekë dhe projeksioni për tre v</w:t>
      </w:r>
      <w:r w:rsidR="00B25809" w:rsidRPr="00770F9D">
        <w:rPr>
          <w:rFonts w:ascii="Garamond" w:hAnsi="Garamond" w:cstheme="majorBidi"/>
        </w:rPr>
        <w:t>jetët</w:t>
      </w:r>
      <w:r w:rsidRPr="00770F9D">
        <w:rPr>
          <w:rFonts w:ascii="Garamond" w:hAnsi="Garamond" w:cstheme="majorBidi"/>
        </w:rPr>
        <w:t xml:space="preserve"> e ardhsh</w:t>
      </w:r>
      <w:r w:rsidR="00B25809" w:rsidRPr="00770F9D">
        <w:rPr>
          <w:rFonts w:ascii="Garamond" w:hAnsi="Garamond" w:cstheme="majorBidi"/>
        </w:rPr>
        <w:t>ë</w:t>
      </w:r>
      <w:r w:rsidRPr="00770F9D">
        <w:rPr>
          <w:rFonts w:ascii="Garamond" w:hAnsi="Garamond" w:cstheme="majorBidi"/>
        </w:rPr>
        <w:t>m parashikon një rritje progresive vjetore të kontributeve shëndetësore mesatarisht me 8%. Parashikohet që në vitin 2023 kontributet shëndetësore të jenë 17,077 miliardë lekë, në vitin 2024 kontributet shëndetësore do të jenë 16,875 miliardë lekë dhe në vitin 2025 kontributet shëndetësore do të jenë në masën 17,955 miliardë lekë ose një rritje prej 13,9% krahasuar me vitin 2022.</w:t>
      </w:r>
    </w:p>
    <w:p w14:paraId="1BCBDC4C" w14:textId="77777777" w:rsidR="00F26BAE" w:rsidRPr="00770F9D" w:rsidRDefault="00F26BAE" w:rsidP="003F46E1">
      <w:pPr>
        <w:ind w:firstLine="284"/>
        <w:jc w:val="both"/>
        <w:rPr>
          <w:rFonts w:ascii="Garamond" w:hAnsi="Garamond" w:cstheme="majorBidi"/>
        </w:rPr>
      </w:pPr>
      <w:r w:rsidRPr="00770F9D">
        <w:rPr>
          <w:rFonts w:ascii="Garamond" w:hAnsi="Garamond" w:cstheme="majorBidi"/>
        </w:rPr>
        <w:t>Që nga viti 2013 qeveria ka trefishuar buxhetin e dedikuar për trajtimin e sëmundjes së kancerit. Në vitin 2013 buxheti për trajtimin e kancerit ishte 8.7 milionë euro dhe në vitin 2021 buxheti është 22.3 milionë euro.</w:t>
      </w:r>
    </w:p>
    <w:p w14:paraId="7F34AEF8" w14:textId="7D49F0D4" w:rsidR="00F26BAE" w:rsidRPr="00770F9D" w:rsidRDefault="00F26BAE" w:rsidP="003F46E1">
      <w:pPr>
        <w:ind w:firstLine="284"/>
        <w:jc w:val="both"/>
        <w:rPr>
          <w:rFonts w:ascii="Garamond" w:hAnsi="Garamond" w:cstheme="majorBidi"/>
        </w:rPr>
      </w:pPr>
      <w:r w:rsidRPr="00770F9D">
        <w:rPr>
          <w:rFonts w:ascii="Garamond" w:hAnsi="Garamond" w:cstheme="majorBidi"/>
        </w:rPr>
        <w:t xml:space="preserve">Për më tepër që nga viti 2018, përveç procedurës së centralizuar të prokurimit të barnave, Ministria e Shëndetësisë dhe Mbrojtjes Sociale ka garantuar trajtimin e pacientëve me barna të </w:t>
      </w:r>
      <w:r w:rsidR="00017FE7" w:rsidRPr="00770F9D">
        <w:rPr>
          <w:rFonts w:ascii="Garamond" w:hAnsi="Garamond" w:cstheme="majorBidi"/>
        </w:rPr>
        <w:t>certifikuar</w:t>
      </w:r>
      <w:r w:rsidRPr="00770F9D">
        <w:rPr>
          <w:rFonts w:ascii="Garamond" w:hAnsi="Garamond" w:cstheme="majorBidi"/>
        </w:rPr>
        <w:t xml:space="preserve"> për sëmundje specifike përmes instrumentit ligjor të Marrëveshjeve të Posaçme (MEA).</w:t>
      </w:r>
    </w:p>
    <w:p w14:paraId="06E703C6" w14:textId="6B40E9BB" w:rsidR="00F26BAE" w:rsidRPr="00770F9D" w:rsidRDefault="00017FE7" w:rsidP="003F46E1">
      <w:pPr>
        <w:ind w:firstLine="284"/>
        <w:jc w:val="both"/>
        <w:rPr>
          <w:rFonts w:ascii="Garamond" w:hAnsi="Garamond" w:cstheme="majorBidi"/>
        </w:rPr>
      </w:pPr>
      <w:r w:rsidRPr="00770F9D">
        <w:rPr>
          <w:rFonts w:ascii="Garamond" w:hAnsi="Garamond" w:cstheme="majorBidi"/>
        </w:rPr>
        <w:t>Për periudhën 2018</w:t>
      </w:r>
      <w:r w:rsidR="00F26BAE" w:rsidRPr="00770F9D">
        <w:rPr>
          <w:rFonts w:ascii="Garamond" w:hAnsi="Garamond" w:cstheme="majorBidi"/>
        </w:rPr>
        <w:t>–2021 Lista e Barnave të Rimbursimit është pasuruar me</w:t>
      </w:r>
      <w:r w:rsidR="00263132" w:rsidRPr="00770F9D">
        <w:rPr>
          <w:rFonts w:ascii="Garamond" w:hAnsi="Garamond" w:cstheme="majorBidi"/>
        </w:rPr>
        <w:t xml:space="preserve"> </w:t>
      </w:r>
      <w:r w:rsidR="00F26BAE" w:rsidRPr="00770F9D">
        <w:rPr>
          <w:rFonts w:ascii="Garamond" w:hAnsi="Garamond" w:cstheme="majorBidi"/>
        </w:rPr>
        <w:t>barna dhe alternativa të reja, duke garantuar trajtimin e një spektri më të gjerë të grupeve të terapive për pacientët që janë të diagnostikuar me kancer. Sot mund të mbulojmë 100% trajtimin e plotë me linjën e parë dhe të dytë të mjekimit për 43 diagnoza.</w:t>
      </w:r>
    </w:p>
    <w:p w14:paraId="6788658B" w14:textId="57E6D5D3" w:rsidR="00F26BAE" w:rsidRPr="00770F9D" w:rsidRDefault="00F26BAE" w:rsidP="008C433D">
      <w:pPr>
        <w:pStyle w:val="NormalWeb"/>
        <w:spacing w:before="0" w:beforeAutospacing="0" w:after="0" w:afterAutospacing="0"/>
        <w:ind w:firstLine="284"/>
        <w:jc w:val="both"/>
        <w:rPr>
          <w:rFonts w:ascii="Garamond" w:hAnsi="Garamond" w:cstheme="majorBidi"/>
        </w:rPr>
      </w:pPr>
      <w:bookmarkStart w:id="10" w:name="_Hlk126057353"/>
      <w:r w:rsidRPr="00770F9D">
        <w:rPr>
          <w:rFonts w:ascii="Garamond" w:hAnsi="Garamond" w:cstheme="majorBidi"/>
        </w:rPr>
        <w:t xml:space="preserve">Në vitin 2022 u miratua </w:t>
      </w:r>
      <w:r w:rsidR="00017FE7" w:rsidRPr="00770F9D">
        <w:rPr>
          <w:rFonts w:ascii="Garamond" w:hAnsi="Garamond" w:cstheme="majorBidi"/>
        </w:rPr>
        <w:t>ligji për barnat dhe shërbimin far</w:t>
      </w:r>
      <w:r w:rsidRPr="00770F9D">
        <w:rPr>
          <w:rFonts w:ascii="Garamond" w:hAnsi="Garamond" w:cstheme="majorBidi"/>
        </w:rPr>
        <w:t>maceutik i ndryshuar ku dy nga risitë e ligjit janë përfshirja e</w:t>
      </w:r>
      <w:r w:rsidR="00263132" w:rsidRPr="00770F9D">
        <w:rPr>
          <w:rFonts w:ascii="Garamond" w:hAnsi="Garamond" w:cstheme="majorBidi"/>
        </w:rPr>
        <w:t xml:space="preserve"> </w:t>
      </w:r>
      <w:r w:rsidRPr="00770F9D">
        <w:rPr>
          <w:rFonts w:ascii="Garamond" w:hAnsi="Garamond" w:cstheme="majorBidi"/>
        </w:rPr>
        <w:t xml:space="preserve">konceptit të marrëveshjeve të posaçme </w:t>
      </w:r>
      <w:r w:rsidRPr="00770F9D">
        <w:rPr>
          <w:rFonts w:ascii="Garamond" w:hAnsi="Garamond" w:cstheme="majorBidi"/>
          <w:i/>
          <w:iCs/>
        </w:rPr>
        <w:t>(Managed Entry Agreements)</w:t>
      </w:r>
      <w:r w:rsidRPr="00770F9D">
        <w:rPr>
          <w:rFonts w:ascii="Garamond" w:hAnsi="Garamond" w:cstheme="majorBidi"/>
        </w:rPr>
        <w:t xml:space="preserve"> me qëllim ofrimin e një mundësie për të tërhequr kompani farmaceutike të cilat zhvillojnë barna inovatore</w:t>
      </w:r>
      <w:r w:rsidR="00B72A39" w:rsidRPr="00770F9D">
        <w:rPr>
          <w:rFonts w:ascii="Garamond" w:hAnsi="Garamond" w:cstheme="majorBidi"/>
        </w:rPr>
        <w:t>,</w:t>
      </w:r>
      <w:r w:rsidRPr="00770F9D">
        <w:rPr>
          <w:rFonts w:ascii="Garamond" w:hAnsi="Garamond" w:cstheme="majorBidi"/>
        </w:rPr>
        <w:t xml:space="preserve"> duke balancuar kosto-efektivitetin dhe shtimi i konceptit të </w:t>
      </w:r>
      <w:r w:rsidR="00B72A39" w:rsidRPr="00770F9D">
        <w:rPr>
          <w:rFonts w:ascii="Garamond" w:hAnsi="Garamond" w:cstheme="majorBidi"/>
        </w:rPr>
        <w:t xml:space="preserve">mbajtësit të autorizimit të tregtimit lokal, </w:t>
      </w:r>
      <w:r w:rsidRPr="00770F9D">
        <w:rPr>
          <w:rFonts w:ascii="Garamond" w:hAnsi="Garamond" w:cstheme="majorBidi"/>
        </w:rPr>
        <w:t>koncepti i ri që ka lindur si domosdoshmëri e tregut f</w:t>
      </w:r>
      <w:r w:rsidR="00B72A39" w:rsidRPr="00770F9D">
        <w:rPr>
          <w:rFonts w:ascii="Garamond" w:hAnsi="Garamond" w:cstheme="majorBidi"/>
        </w:rPr>
        <w:t>armaceutik dhe ka për qëllim t’</w:t>
      </w:r>
      <w:r w:rsidRPr="00770F9D">
        <w:rPr>
          <w:rFonts w:ascii="Garamond" w:hAnsi="Garamond" w:cstheme="majorBidi"/>
        </w:rPr>
        <w:t xml:space="preserve">u mundësojë kompanive </w:t>
      </w:r>
      <w:r w:rsidR="002A4878" w:rsidRPr="00770F9D">
        <w:rPr>
          <w:rFonts w:ascii="Garamond" w:hAnsi="Garamond" w:cstheme="majorBidi"/>
        </w:rPr>
        <w:t>vendës</w:t>
      </w:r>
      <w:r w:rsidRPr="00770F9D">
        <w:rPr>
          <w:rFonts w:ascii="Garamond" w:hAnsi="Garamond" w:cstheme="majorBidi"/>
        </w:rPr>
        <w:t>e të jenë jo vetëm përfaqësues ligjor i MAH të huaja, por të jenë ata tashmë mbajtësit e tregtimit</w:t>
      </w:r>
      <w:r w:rsidR="0061342E" w:rsidRPr="00770F9D">
        <w:rPr>
          <w:rFonts w:ascii="Garamond" w:hAnsi="Garamond" w:cstheme="majorBidi"/>
        </w:rPr>
        <w:t>, si dhe të sigurojnë</w:t>
      </w:r>
      <w:r w:rsidRPr="00770F9D">
        <w:rPr>
          <w:rFonts w:ascii="Garamond" w:hAnsi="Garamond" w:cstheme="majorBidi"/>
        </w:rPr>
        <w:t xml:space="preserve"> cilësinë</w:t>
      </w:r>
      <w:r w:rsidR="0061342E" w:rsidRPr="00770F9D">
        <w:rPr>
          <w:rFonts w:ascii="Garamond" w:hAnsi="Garamond" w:cstheme="majorBidi"/>
        </w:rPr>
        <w:t xml:space="preserve"> dhe efikasitetin e barnave që </w:t>
      </w:r>
      <w:r w:rsidRPr="00770F9D">
        <w:rPr>
          <w:rFonts w:ascii="Garamond" w:hAnsi="Garamond" w:cstheme="majorBidi"/>
        </w:rPr>
        <w:t>regjistrojnë duke sjell një ulje të kostove që kanë</w:t>
      </w:r>
      <w:r w:rsidR="0061342E" w:rsidRPr="00770F9D">
        <w:rPr>
          <w:rFonts w:ascii="Garamond" w:hAnsi="Garamond" w:cstheme="majorBidi"/>
        </w:rPr>
        <w:t xml:space="preserve"> sot kompanitë e huaja për të r</w:t>
      </w:r>
      <w:r w:rsidRPr="00770F9D">
        <w:rPr>
          <w:rFonts w:ascii="Garamond" w:hAnsi="Garamond" w:cstheme="majorBidi"/>
        </w:rPr>
        <w:t>egjistruar dhe për të hedhur barin në treg</w:t>
      </w:r>
      <w:r w:rsidR="0061342E" w:rsidRPr="00770F9D">
        <w:rPr>
          <w:rFonts w:ascii="Garamond" w:hAnsi="Garamond" w:cstheme="majorBidi"/>
        </w:rPr>
        <w:t>,</w:t>
      </w:r>
      <w:r w:rsidRPr="00770F9D">
        <w:rPr>
          <w:rFonts w:ascii="Garamond" w:hAnsi="Garamond" w:cstheme="majorBidi"/>
        </w:rPr>
        <w:t xml:space="preserve"> që do të përkthehet në një akses më të lartë për barna dhe është një garanci dhe siguri më shumë. Në të njëjtën kohë reduktohen kostot e prodhimit t</w:t>
      </w:r>
      <w:r w:rsidR="008C433D">
        <w:rPr>
          <w:rFonts w:ascii="Garamond" w:hAnsi="Garamond" w:cstheme="majorBidi"/>
        </w:rPr>
        <w:t>ë</w:t>
      </w:r>
      <w:r w:rsidRPr="00770F9D">
        <w:rPr>
          <w:rFonts w:ascii="Garamond" w:hAnsi="Garamond" w:cstheme="majorBidi"/>
        </w:rPr>
        <w:t xml:space="preserve"> barnave, ruajtja e cilësisë dhe çmime më të favorshme dhe rritjen e disponibilitetit të tyre në tregun tonë duke ulur ndjeshëm mungesat në treg. </w:t>
      </w:r>
    </w:p>
    <w:bookmarkEnd w:id="10"/>
    <w:p w14:paraId="76AC828C" w14:textId="4C359B9B" w:rsidR="00F26BAE" w:rsidRPr="00770F9D" w:rsidRDefault="00F26BAE" w:rsidP="00463CC2">
      <w:pPr>
        <w:ind w:firstLine="284"/>
        <w:jc w:val="both"/>
        <w:rPr>
          <w:rFonts w:ascii="Garamond" w:hAnsi="Garamond" w:cstheme="majorBidi"/>
        </w:rPr>
      </w:pPr>
      <w:r w:rsidRPr="00770F9D">
        <w:rPr>
          <w:rFonts w:ascii="Garamond" w:hAnsi="Garamond" w:cstheme="majorBidi"/>
        </w:rPr>
        <w:t>Për herë të parë në vitin 2018 kemi përfshirë në skemën e rimbursimit edhe rimbursimin e pajisjeve mjekësore. Dhe që nga viti 2018 të gjithë fëmijët dhe të rinjtë deri në moshën 25 vjeç përfitojnë falas fishat e diabetit. Në vitin 2022 u mor vendimi për shtimin e fashës së personave që përfitojnë falas fishat e diabetit</w:t>
      </w:r>
      <w:r w:rsidR="00463CC2" w:rsidRPr="00770F9D">
        <w:rPr>
          <w:rFonts w:ascii="Garamond" w:hAnsi="Garamond" w:cstheme="majorBidi"/>
        </w:rPr>
        <w:t>,</w:t>
      </w:r>
      <w:r w:rsidRPr="00770F9D">
        <w:rPr>
          <w:rFonts w:ascii="Garamond" w:hAnsi="Garamond" w:cstheme="majorBidi"/>
        </w:rPr>
        <w:t xml:space="preserve"> duke shtuar edhe grup</w:t>
      </w:r>
      <w:r w:rsidR="008647A3" w:rsidRPr="00770F9D">
        <w:rPr>
          <w:rFonts w:ascii="Garamond" w:hAnsi="Garamond" w:cstheme="majorBidi"/>
        </w:rPr>
        <w:t>-</w:t>
      </w:r>
      <w:r w:rsidRPr="00770F9D">
        <w:rPr>
          <w:rFonts w:ascii="Garamond" w:hAnsi="Garamond" w:cstheme="majorBidi"/>
        </w:rPr>
        <w:t>m</w:t>
      </w:r>
      <w:r w:rsidR="00463CC2" w:rsidRPr="00770F9D">
        <w:rPr>
          <w:rFonts w:ascii="Garamond" w:hAnsi="Garamond" w:cstheme="majorBidi"/>
        </w:rPr>
        <w:t>o</w:t>
      </w:r>
      <w:r w:rsidRPr="00770F9D">
        <w:rPr>
          <w:rFonts w:ascii="Garamond" w:hAnsi="Garamond" w:cstheme="majorBidi"/>
        </w:rPr>
        <w:t>shën +65</w:t>
      </w:r>
      <w:r w:rsidR="008647A3" w:rsidRPr="00770F9D">
        <w:rPr>
          <w:rFonts w:ascii="Garamond" w:hAnsi="Garamond" w:cstheme="majorBidi"/>
        </w:rPr>
        <w:t xml:space="preserve"> </w:t>
      </w:r>
      <w:r w:rsidRPr="00770F9D">
        <w:rPr>
          <w:rFonts w:ascii="Garamond" w:hAnsi="Garamond" w:cstheme="majorBidi"/>
        </w:rPr>
        <w:t>vjeç, zbatimi i kësaj politike fillon në vitin 2023 ku për herë të parë përfshihen në skemën e rimbursimit edhe fishat e diabetit falas për çdo shtetas shqiptar të moshës +65 vjeç.</w:t>
      </w:r>
    </w:p>
    <w:p w14:paraId="09FE4E03" w14:textId="3F9F5909" w:rsidR="00F26BAE" w:rsidRPr="00770F9D" w:rsidRDefault="00F26BAE" w:rsidP="003F46E1">
      <w:pPr>
        <w:ind w:firstLine="284"/>
        <w:jc w:val="both"/>
        <w:rPr>
          <w:rFonts w:ascii="Garamond" w:hAnsi="Garamond" w:cstheme="majorBidi"/>
        </w:rPr>
      </w:pPr>
      <w:r w:rsidRPr="00770F9D">
        <w:rPr>
          <w:rFonts w:ascii="Garamond" w:hAnsi="Garamond" w:cstheme="majorBidi"/>
        </w:rPr>
        <w:t>Në drejtim të përmirësimit të shëndetit të popullatës do të vazhdojmë financimin dhe shtimin e paketave shëndetësore</w:t>
      </w:r>
      <w:r w:rsidR="00463CC2" w:rsidRPr="00770F9D">
        <w:rPr>
          <w:rFonts w:ascii="Garamond" w:hAnsi="Garamond" w:cstheme="majorBidi"/>
        </w:rPr>
        <w:t>,</w:t>
      </w:r>
      <w:r w:rsidRPr="00770F9D">
        <w:rPr>
          <w:rFonts w:ascii="Garamond" w:hAnsi="Garamond" w:cstheme="majorBidi"/>
        </w:rPr>
        <w:t xml:space="preserve"> me synim rritjen e aksesit në trajtime mjekësore dhe ofrimin e më shumë shërbimeve shëndetësore pranë vendbanimit, me fokus të veçantë grupet vulnerabël. Deri në fund të vitit 2024 duke zgjeruar paketat shëndetësore me paketa të dedikuara shëndetësore për rehabilitimi, kujdesin paliativ dhe geriatrik.</w:t>
      </w:r>
    </w:p>
    <w:p w14:paraId="2E752557" w14:textId="16580A2D" w:rsidR="00F26BAE" w:rsidRPr="00770F9D" w:rsidRDefault="00F26BAE" w:rsidP="00946D65">
      <w:pPr>
        <w:ind w:firstLine="284"/>
        <w:jc w:val="both"/>
        <w:rPr>
          <w:rFonts w:ascii="Garamond" w:hAnsi="Garamond" w:cstheme="majorBidi"/>
        </w:rPr>
      </w:pPr>
      <w:r w:rsidRPr="00770F9D">
        <w:rPr>
          <w:rFonts w:ascii="Garamond" w:hAnsi="Garamond" w:cstheme="majorBidi"/>
        </w:rPr>
        <w:t xml:space="preserve">Për të ofruar shërbime të kujdesit shëndetësor për personat me aftësi të kufizuara, të moshuarit dhe pacientët me probleme të rënda të kujdesit shëndetësor, po aplikohet që nga viti 2021 në kujdesin parësor shëndetësor </w:t>
      </w:r>
      <w:r w:rsidR="00E02059" w:rsidRPr="00770F9D">
        <w:rPr>
          <w:rFonts w:ascii="Garamond" w:hAnsi="Garamond" w:cstheme="majorBidi"/>
        </w:rPr>
        <w:t>modelin e kujdesit bazë në shtëpi</w:t>
      </w:r>
      <w:r w:rsidRPr="00770F9D">
        <w:rPr>
          <w:rFonts w:ascii="Garamond" w:hAnsi="Garamond" w:cstheme="majorBidi"/>
        </w:rPr>
        <w:t>. Për më tepër, në vitin 2022 ka nisur zbatimin modeli i s</w:t>
      </w:r>
      <w:r w:rsidR="00946D65" w:rsidRPr="00770F9D">
        <w:rPr>
          <w:rFonts w:ascii="Garamond" w:hAnsi="Garamond" w:cstheme="majorBidi"/>
        </w:rPr>
        <w:t>hërbimeve të integruara socio-</w:t>
      </w:r>
      <w:r w:rsidRPr="00770F9D">
        <w:rPr>
          <w:rFonts w:ascii="Garamond" w:hAnsi="Garamond" w:cstheme="majorBidi"/>
        </w:rPr>
        <w:t>shëndetësore në kujdes parësor me krijimin e 50 qendrave të para socio</w:t>
      </w:r>
      <w:r w:rsidR="00946D65" w:rsidRPr="00770F9D">
        <w:rPr>
          <w:rFonts w:ascii="Garamond" w:hAnsi="Garamond" w:cstheme="majorBidi"/>
        </w:rPr>
        <w:t>-</w:t>
      </w:r>
      <w:r w:rsidRPr="00770F9D">
        <w:rPr>
          <w:rFonts w:ascii="Garamond" w:hAnsi="Garamond" w:cstheme="majorBidi"/>
        </w:rPr>
        <w:t>shëndetësore</w:t>
      </w:r>
      <w:r w:rsidR="00946D65" w:rsidRPr="00770F9D">
        <w:rPr>
          <w:rFonts w:ascii="Garamond" w:hAnsi="Garamond" w:cstheme="majorBidi"/>
        </w:rPr>
        <w:t>,</w:t>
      </w:r>
      <w:r w:rsidRPr="00770F9D">
        <w:rPr>
          <w:rFonts w:ascii="Garamond" w:hAnsi="Garamond" w:cstheme="majorBidi"/>
        </w:rPr>
        <w:t xml:space="preserve"> që ofrojnë shërbime të integruara. 50 psikologë janë punësuar në kujdesin parësor shëndetësor dhe në vitin 2023 do të vijohet me punësimin e 50 punonjësve social</w:t>
      </w:r>
      <w:r w:rsidR="00946D65" w:rsidRPr="00770F9D">
        <w:rPr>
          <w:rFonts w:ascii="Garamond" w:hAnsi="Garamond" w:cstheme="majorBidi"/>
        </w:rPr>
        <w:t>ë</w:t>
      </w:r>
      <w:r w:rsidRPr="00770F9D">
        <w:rPr>
          <w:rFonts w:ascii="Garamond" w:hAnsi="Garamond" w:cstheme="majorBidi"/>
        </w:rPr>
        <w:t>/psikolog</w:t>
      </w:r>
      <w:r w:rsidR="00946D65" w:rsidRPr="00770F9D">
        <w:rPr>
          <w:rFonts w:ascii="Garamond" w:hAnsi="Garamond" w:cstheme="majorBidi"/>
        </w:rPr>
        <w:t>ë</w:t>
      </w:r>
      <w:r w:rsidRPr="00770F9D">
        <w:rPr>
          <w:rFonts w:ascii="Garamond" w:hAnsi="Garamond" w:cstheme="majorBidi"/>
        </w:rPr>
        <w:t xml:space="preserve"> në kujdesin parësor shëndetësor përmes një procesi transparent.</w:t>
      </w:r>
    </w:p>
    <w:p w14:paraId="5BEA0365" w14:textId="23EEFAC1" w:rsidR="00C952E5" w:rsidRPr="00770F9D" w:rsidRDefault="00F26BAE" w:rsidP="003F46E1">
      <w:pPr>
        <w:snapToGrid w:val="0"/>
        <w:ind w:firstLine="284"/>
        <w:jc w:val="both"/>
        <w:rPr>
          <w:rFonts w:ascii="Garamond" w:hAnsi="Garamond" w:cstheme="majorBidi"/>
          <w:color w:val="0D0D0D" w:themeColor="text1" w:themeTint="F2"/>
        </w:rPr>
      </w:pPr>
      <w:r w:rsidRPr="00770F9D">
        <w:rPr>
          <w:rFonts w:ascii="Garamond" w:hAnsi="Garamond" w:cstheme="majorBidi"/>
        </w:rPr>
        <w:t xml:space="preserve">Nga buxheti i shtetit mbulohen plotësisht mbi 85% e nevojave të popullsisë për trajtimin e diagnozave kardiovaskulare dhe </w:t>
      </w:r>
      <w:r w:rsidR="00946D65" w:rsidRPr="00770F9D">
        <w:rPr>
          <w:rFonts w:ascii="Garamond" w:hAnsi="Garamond" w:cstheme="majorBidi"/>
        </w:rPr>
        <w:t xml:space="preserve">të </w:t>
      </w:r>
      <w:r w:rsidRPr="00770F9D">
        <w:rPr>
          <w:rFonts w:ascii="Garamond" w:hAnsi="Garamond" w:cstheme="majorBidi"/>
        </w:rPr>
        <w:t>veshkave dhe synohet rritja e mbulimit me 5%.</w:t>
      </w:r>
    </w:p>
    <w:p w14:paraId="4465D8B3" w14:textId="0676DE29" w:rsidR="00072546" w:rsidRPr="00770F9D" w:rsidRDefault="0090730B" w:rsidP="003F46E1">
      <w:pPr>
        <w:pStyle w:val="Heading1"/>
        <w:ind w:left="0" w:firstLine="284"/>
        <w:jc w:val="both"/>
        <w:rPr>
          <w:rFonts w:ascii="Garamond" w:hAnsi="Garamond"/>
          <w:b w:val="0"/>
          <w:bCs w:val="0"/>
          <w:color w:val="0D0D0D"/>
        </w:rPr>
      </w:pPr>
      <w:bookmarkStart w:id="11" w:name="_Toc484076169"/>
      <w:bookmarkEnd w:id="2"/>
      <w:bookmarkEnd w:id="3"/>
      <w:r w:rsidRPr="00770F9D">
        <w:rPr>
          <w:rFonts w:ascii="Garamond" w:hAnsi="Garamond"/>
          <w:b w:val="0"/>
          <w:bCs w:val="0"/>
          <w:color w:val="0D0D0D"/>
        </w:rPr>
        <w:t>3</w:t>
      </w:r>
      <w:r w:rsidR="00072546" w:rsidRPr="00770F9D">
        <w:rPr>
          <w:rFonts w:ascii="Garamond" w:hAnsi="Garamond"/>
          <w:b w:val="0"/>
          <w:bCs w:val="0"/>
          <w:color w:val="0D0D0D"/>
        </w:rPr>
        <w:t>.</w:t>
      </w:r>
      <w:r w:rsidR="00BA4F1A" w:rsidRPr="00770F9D">
        <w:rPr>
          <w:rFonts w:ascii="Garamond" w:hAnsi="Garamond"/>
          <w:b w:val="0"/>
          <w:bCs w:val="0"/>
          <w:color w:val="0D0D0D"/>
        </w:rPr>
        <w:t xml:space="preserve"> </w:t>
      </w:r>
      <w:r w:rsidR="00072546" w:rsidRPr="00770F9D">
        <w:rPr>
          <w:rFonts w:ascii="Garamond" w:hAnsi="Garamond"/>
          <w:b w:val="0"/>
          <w:bCs w:val="0"/>
          <w:color w:val="0D0D0D"/>
        </w:rPr>
        <w:t>KUADRI MAKROEKONOMIK</w:t>
      </w:r>
    </w:p>
    <w:p w14:paraId="6A237815" w14:textId="32216C7F" w:rsidR="00072546" w:rsidRPr="00770F9D" w:rsidRDefault="0090730B" w:rsidP="003F46E1">
      <w:pPr>
        <w:pStyle w:val="Heading2"/>
        <w:ind w:left="0" w:firstLine="284"/>
        <w:jc w:val="both"/>
        <w:rPr>
          <w:rFonts w:ascii="Garamond" w:hAnsi="Garamond"/>
          <w:b/>
          <w:bCs/>
          <w:color w:val="0D0D0D"/>
        </w:rPr>
      </w:pPr>
      <w:r w:rsidRPr="00770F9D">
        <w:rPr>
          <w:rFonts w:ascii="Garamond" w:hAnsi="Garamond"/>
          <w:b/>
          <w:bCs/>
          <w:color w:val="0D0D0D"/>
        </w:rPr>
        <w:t>3</w:t>
      </w:r>
      <w:r w:rsidR="00072546" w:rsidRPr="00770F9D">
        <w:rPr>
          <w:rFonts w:ascii="Garamond" w:hAnsi="Garamond"/>
          <w:b/>
          <w:bCs/>
          <w:color w:val="0D0D0D"/>
        </w:rPr>
        <w:t>.1.</w:t>
      </w:r>
      <w:r w:rsidR="00BA4F1A" w:rsidRPr="00770F9D">
        <w:rPr>
          <w:rFonts w:ascii="Garamond" w:hAnsi="Garamond"/>
          <w:b/>
          <w:bCs/>
          <w:color w:val="0D0D0D"/>
        </w:rPr>
        <w:t xml:space="preserve"> </w:t>
      </w:r>
      <w:r w:rsidR="00072546" w:rsidRPr="00770F9D">
        <w:rPr>
          <w:rFonts w:ascii="Garamond" w:hAnsi="Garamond"/>
          <w:b/>
          <w:bCs/>
          <w:color w:val="0D0D0D"/>
        </w:rPr>
        <w:t>Zhvillimet e fundit ekonomike</w:t>
      </w:r>
    </w:p>
    <w:p w14:paraId="6DC2B7C2" w14:textId="7301ED5E" w:rsidR="00072546" w:rsidRPr="00770F9D" w:rsidRDefault="00072546" w:rsidP="003F46E1">
      <w:pPr>
        <w:ind w:firstLine="284"/>
        <w:jc w:val="both"/>
        <w:rPr>
          <w:rFonts w:ascii="Garamond" w:hAnsi="Garamond"/>
          <w:color w:val="0D0D0D"/>
        </w:rPr>
      </w:pPr>
      <w:r w:rsidRPr="00770F9D">
        <w:rPr>
          <w:rFonts w:ascii="Garamond" w:hAnsi="Garamond"/>
          <w:color w:val="0D0D0D"/>
        </w:rPr>
        <w:t>Ekonomia shqiptare ka vazhduar të zgjeruar përgjatë gjysmës së parë të vitit 2022, pas rimëkëmbjes nga pandemia gjatë vitit të kaluar. Rritja vjetore shënon 4.2%, por e shpërndarë në mënyrë të pabarabartë mes dy tremujorëve. Viti nisi me një rritje të fortë prej 6.5% në 2022T1 e cila ishte me bazë të gjerë. Si kërkesa e brendshme ashtu edhe ajo e huaj, gjeneruan kontribute të larta. Rritja ekonomike zbriti në 2.2% në 2022T2, kryesisht si pasojë e kontributit negativ nga Ndërtimi. Kjo ndodhi pas pothuaj dy vitesh me norma të larta rritjeje në këtë sektor. Arsyet lidhen me rënien e shpenzimeve kapitale publike dhe një ngadalësim në ndërtimin rezidencial. Gjithashtu, kontribute negative erdhën edhe nga prodhimi i “Energjisë”</w:t>
      </w:r>
      <w:r w:rsidR="00134C82" w:rsidRPr="00770F9D">
        <w:rPr>
          <w:rFonts w:ascii="Garamond" w:hAnsi="Garamond"/>
          <w:color w:val="0D0D0D"/>
        </w:rPr>
        <w:t>,</w:t>
      </w:r>
      <w:r w:rsidRPr="00770F9D">
        <w:rPr>
          <w:rFonts w:ascii="Garamond" w:hAnsi="Garamond"/>
          <w:color w:val="0D0D0D"/>
        </w:rPr>
        <w:t xml:space="preserve"> si pasojë e kushteve jo të favorshme atmosferike. </w:t>
      </w:r>
    </w:p>
    <w:p w14:paraId="2E59AE8A" w14:textId="7F97A775" w:rsidR="00441957" w:rsidRPr="00770F9D" w:rsidRDefault="00E5354E" w:rsidP="00E5354E">
      <w:pPr>
        <w:autoSpaceDE w:val="0"/>
        <w:autoSpaceDN w:val="0"/>
        <w:adjustRightInd w:val="0"/>
        <w:jc w:val="center"/>
        <w:rPr>
          <w:rFonts w:ascii="Garamond" w:hAnsi="Garamond" w:cstheme="majorBidi"/>
          <w:color w:val="0D0D0D" w:themeColor="text1" w:themeTint="F2"/>
        </w:rPr>
      </w:pPr>
      <w:r w:rsidRPr="00770F9D">
        <w:rPr>
          <w:rFonts w:ascii="Garamond" w:hAnsi="Garamond" w:cstheme="majorBidi"/>
          <w:b/>
          <w:bCs/>
          <w:noProof/>
          <w:color w:val="0D0D0D" w:themeColor="text1" w:themeTint="F2"/>
          <w:sz w:val="20"/>
          <w:szCs w:val="20"/>
          <w:lang w:eastAsia="sq-AL"/>
        </w:rPr>
        <w:drawing>
          <wp:anchor distT="0" distB="0" distL="114300" distR="114300" simplePos="0" relativeHeight="251658252" behindDoc="1" locked="0" layoutInCell="1" allowOverlap="1" wp14:anchorId="5B49B776" wp14:editId="79C37383">
            <wp:simplePos x="0" y="0"/>
            <wp:positionH relativeFrom="column">
              <wp:posOffset>-132080</wp:posOffset>
            </wp:positionH>
            <wp:positionV relativeFrom="paragraph">
              <wp:posOffset>166370</wp:posOffset>
            </wp:positionV>
            <wp:extent cx="6012815" cy="1857375"/>
            <wp:effectExtent l="0" t="0" r="6985" b="9525"/>
            <wp:wrapTopAndBottom/>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12815" cy="1857375"/>
                    </a:xfrm>
                    <a:prstGeom prst="rect">
                      <a:avLst/>
                    </a:prstGeom>
                    <a:noFill/>
                  </pic:spPr>
                </pic:pic>
              </a:graphicData>
            </a:graphic>
            <wp14:sizeRelH relativeFrom="page">
              <wp14:pctWidth>0</wp14:pctWidth>
            </wp14:sizeRelH>
            <wp14:sizeRelV relativeFrom="page">
              <wp14:pctHeight>0</wp14:pctHeight>
            </wp14:sizeRelV>
          </wp:anchor>
        </w:drawing>
      </w:r>
      <w:r w:rsidR="00441957" w:rsidRPr="00770F9D">
        <w:rPr>
          <w:rFonts w:ascii="Garamond" w:hAnsi="Garamond" w:cstheme="majorBidi"/>
          <w:b/>
          <w:bCs/>
          <w:color w:val="0D0D0D" w:themeColor="text1" w:themeTint="F2"/>
          <w:sz w:val="20"/>
          <w:szCs w:val="20"/>
        </w:rPr>
        <w:t>Grafik 3.1.1:</w:t>
      </w:r>
      <w:r w:rsidR="00441957" w:rsidRPr="00770F9D">
        <w:rPr>
          <w:rFonts w:ascii="Garamond" w:hAnsi="Garamond" w:cstheme="majorBidi"/>
          <w:color w:val="0D0D0D" w:themeColor="text1" w:themeTint="F2"/>
          <w:sz w:val="20"/>
          <w:szCs w:val="20"/>
        </w:rPr>
        <w:t xml:space="preserve"> Rritja reale e PBB-së gjatë periudhës 2010–2022-GJ1</w:t>
      </w:r>
    </w:p>
    <w:p w14:paraId="3B7D162A" w14:textId="7DD8C201" w:rsidR="009D5D31" w:rsidRPr="00770F9D" w:rsidRDefault="009D5D31" w:rsidP="00B5530D">
      <w:pPr>
        <w:autoSpaceDE w:val="0"/>
        <w:autoSpaceDN w:val="0"/>
        <w:adjustRightInd w:val="0"/>
        <w:ind w:firstLine="284"/>
        <w:jc w:val="cente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Burimi: INSTAT</w:t>
      </w:r>
      <w:r w:rsidR="00E14122" w:rsidRPr="00770F9D">
        <w:rPr>
          <w:rFonts w:ascii="Garamond" w:hAnsi="Garamond" w:cstheme="majorBidi"/>
          <w:color w:val="0D0D0D" w:themeColor="text1" w:themeTint="F2"/>
          <w:sz w:val="20"/>
          <w:szCs w:val="20"/>
        </w:rPr>
        <w:t>:</w:t>
      </w:r>
      <w:r w:rsidRPr="00770F9D">
        <w:rPr>
          <w:rFonts w:ascii="Garamond" w:hAnsi="Garamond" w:cstheme="majorBidi"/>
          <w:color w:val="0D0D0D" w:themeColor="text1" w:themeTint="F2"/>
          <w:sz w:val="20"/>
          <w:szCs w:val="20"/>
        </w:rPr>
        <w:t xml:space="preserve"> *</w:t>
      </w:r>
      <w:r w:rsidR="00441957" w:rsidRPr="00770F9D">
        <w:rPr>
          <w:rFonts w:ascii="Garamond" w:hAnsi="Garamond" w:cstheme="majorBidi"/>
          <w:color w:val="0D0D0D" w:themeColor="text1" w:themeTint="F2"/>
          <w:sz w:val="20"/>
          <w:szCs w:val="20"/>
        </w:rPr>
        <w:t xml:space="preserve">Të </w:t>
      </w:r>
      <w:r w:rsidRPr="00770F9D">
        <w:rPr>
          <w:rFonts w:ascii="Garamond" w:hAnsi="Garamond" w:cstheme="majorBidi"/>
          <w:color w:val="0D0D0D" w:themeColor="text1" w:themeTint="F2"/>
          <w:sz w:val="20"/>
          <w:szCs w:val="20"/>
        </w:rPr>
        <w:t>dhëna gjys</w:t>
      </w:r>
      <w:r w:rsidR="008647A3" w:rsidRPr="00770F9D">
        <w:rPr>
          <w:rFonts w:ascii="Garamond" w:hAnsi="Garamond" w:cstheme="majorBidi"/>
          <w:color w:val="0D0D0D" w:themeColor="text1" w:themeTint="F2"/>
          <w:sz w:val="20"/>
          <w:szCs w:val="20"/>
        </w:rPr>
        <w:t>më</w:t>
      </w:r>
      <w:r w:rsidRPr="00770F9D">
        <w:rPr>
          <w:rFonts w:ascii="Garamond" w:hAnsi="Garamond" w:cstheme="majorBidi"/>
          <w:color w:val="0D0D0D" w:themeColor="text1" w:themeTint="F2"/>
          <w:sz w:val="20"/>
          <w:szCs w:val="20"/>
        </w:rPr>
        <w:t>përfundimtare **</w:t>
      </w:r>
      <w:r w:rsidR="00441957" w:rsidRPr="00770F9D">
        <w:rPr>
          <w:rFonts w:ascii="Garamond" w:hAnsi="Garamond" w:cstheme="majorBidi"/>
          <w:color w:val="0D0D0D" w:themeColor="text1" w:themeTint="F2"/>
          <w:sz w:val="20"/>
          <w:szCs w:val="20"/>
        </w:rPr>
        <w:t xml:space="preserve">Të </w:t>
      </w:r>
      <w:r w:rsidRPr="00770F9D">
        <w:rPr>
          <w:rFonts w:ascii="Garamond" w:hAnsi="Garamond" w:cstheme="majorBidi"/>
          <w:color w:val="0D0D0D" w:themeColor="text1" w:themeTint="F2"/>
          <w:sz w:val="20"/>
          <w:szCs w:val="20"/>
        </w:rPr>
        <w:t>dhëna paraprake</w:t>
      </w:r>
    </w:p>
    <w:p w14:paraId="48C82438" w14:textId="77777777" w:rsidR="009D5D31" w:rsidRPr="00770F9D" w:rsidRDefault="009D5D31" w:rsidP="005674F2">
      <w:pPr>
        <w:ind w:firstLine="284"/>
        <w:jc w:val="both"/>
        <w:rPr>
          <w:rFonts w:ascii="Garamond" w:hAnsi="Garamond" w:cstheme="majorBidi"/>
          <w:color w:val="0D0D0D" w:themeColor="text1" w:themeTint="F2"/>
          <w:sz w:val="20"/>
          <w:szCs w:val="20"/>
        </w:rPr>
      </w:pPr>
    </w:p>
    <w:p w14:paraId="412265D0" w14:textId="322932CD" w:rsidR="009D5D31" w:rsidRPr="00770F9D" w:rsidRDefault="009D5D31" w:rsidP="005674F2">
      <w:pPr>
        <w:ind w:firstLine="284"/>
        <w:jc w:val="both"/>
        <w:rPr>
          <w:rFonts w:ascii="Garamond" w:hAnsi="Garamond" w:cstheme="majorBidi"/>
          <w:color w:val="0D0D0D" w:themeColor="text1" w:themeTint="F2"/>
        </w:rPr>
      </w:pPr>
      <w:r w:rsidRPr="00770F9D">
        <w:rPr>
          <w:rFonts w:ascii="Garamond" w:hAnsi="Garamond" w:cstheme="majorBidi"/>
          <w:i/>
          <w:color w:val="0D0D0D" w:themeColor="text1" w:themeTint="F2"/>
        </w:rPr>
        <w:t xml:space="preserve">Shërbimet </w:t>
      </w:r>
      <w:r w:rsidRPr="00770F9D">
        <w:rPr>
          <w:rFonts w:ascii="Garamond" w:hAnsi="Garamond" w:cstheme="majorBidi"/>
          <w:color w:val="0D0D0D" w:themeColor="text1" w:themeTint="F2"/>
        </w:rPr>
        <w:t xml:space="preserve">ofruan kontributet kryesore në rritje gjatë gjysmës së parë të vitit 2022, me mesatarisht rreth 2.8 </w:t>
      </w:r>
      <w:r w:rsidR="00EE365D" w:rsidRPr="00770F9D">
        <w:rPr>
          <w:rFonts w:ascii="Garamond" w:hAnsi="Garamond" w:cstheme="majorBidi"/>
          <w:color w:val="0D0D0D" w:themeColor="text1" w:themeTint="F2"/>
        </w:rPr>
        <w:t>pikë përqindjeje</w:t>
      </w:r>
      <w:r w:rsidRPr="00770F9D">
        <w:rPr>
          <w:rFonts w:ascii="Garamond" w:hAnsi="Garamond" w:cstheme="majorBidi"/>
          <w:color w:val="0D0D0D" w:themeColor="text1" w:themeTint="F2"/>
        </w:rPr>
        <w:t xml:space="preserve">. Kontributet kanë </w:t>
      </w:r>
      <w:r w:rsidR="008647A3" w:rsidRPr="00770F9D">
        <w:rPr>
          <w:rFonts w:ascii="Garamond" w:hAnsi="Garamond" w:cstheme="majorBidi"/>
          <w:color w:val="0D0D0D" w:themeColor="text1" w:themeTint="F2"/>
        </w:rPr>
        <w:t>qëndruar</w:t>
      </w:r>
      <w:r w:rsidRPr="00770F9D">
        <w:rPr>
          <w:rFonts w:ascii="Garamond" w:hAnsi="Garamond" w:cstheme="majorBidi"/>
          <w:color w:val="0D0D0D" w:themeColor="text1" w:themeTint="F2"/>
        </w:rPr>
        <w:t xml:space="preserve"> relativisht konstante mes dy tremujorëve. Rritja është nxitur kryesisht nga dega “Akomodim dhe shërbime ushqimore”</w:t>
      </w:r>
      <w:r w:rsidR="00B3112A"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pasojë e sezonit mjaft të mirë turistik. Treguesit e turizmi</w:t>
      </w:r>
      <w:r w:rsidR="00B3112A" w:rsidRPr="00770F9D">
        <w:rPr>
          <w:rFonts w:ascii="Garamond" w:hAnsi="Garamond" w:cstheme="majorBidi"/>
          <w:color w:val="0D0D0D" w:themeColor="text1" w:themeTint="F2"/>
        </w:rPr>
        <w:t>t kanë tejkaluar nivelet e para</w:t>
      </w:r>
      <w:r w:rsidRPr="00770F9D">
        <w:rPr>
          <w:rFonts w:ascii="Garamond" w:hAnsi="Garamond" w:cstheme="majorBidi"/>
          <w:color w:val="0D0D0D" w:themeColor="text1" w:themeTint="F2"/>
        </w:rPr>
        <w:t xml:space="preserve">pandemisë. </w:t>
      </w:r>
      <w:r w:rsidRPr="00770F9D">
        <w:rPr>
          <w:rFonts w:ascii="Garamond" w:hAnsi="Garamond" w:cstheme="majorBidi"/>
          <w:iCs/>
          <w:color w:val="0D0D0D" w:themeColor="text1" w:themeTint="F2"/>
        </w:rPr>
        <w:t>Sektori prodhues është ai që ka hasur vështirësi gjatë gjysmës së parë të vitit. Pas një kontributi prej 2.5</w:t>
      </w:r>
      <w:r w:rsidRPr="00770F9D">
        <w:rPr>
          <w:rFonts w:ascii="Garamond" w:hAnsi="Garamond" w:cstheme="majorBidi"/>
          <w:color w:val="0D0D0D" w:themeColor="text1" w:themeTint="F2"/>
        </w:rPr>
        <w:t xml:space="preserve"> pikësh </w:t>
      </w:r>
      <w:r w:rsidR="00B3112A" w:rsidRPr="00770F9D">
        <w:rPr>
          <w:rFonts w:ascii="Garamond" w:hAnsi="Garamond" w:cstheme="majorBidi"/>
          <w:color w:val="0D0D0D" w:themeColor="text1" w:themeTint="F2"/>
        </w:rPr>
        <w:t>për</w:t>
      </w:r>
      <w:r w:rsidR="00623F19" w:rsidRPr="00770F9D">
        <w:rPr>
          <w:rFonts w:ascii="Garamond" w:hAnsi="Garamond" w:cstheme="majorBidi"/>
          <w:color w:val="0D0D0D" w:themeColor="text1" w:themeTint="F2"/>
        </w:rPr>
        <w:t>qind</w:t>
      </w:r>
      <w:r w:rsidRPr="00770F9D">
        <w:rPr>
          <w:rFonts w:ascii="Garamond" w:hAnsi="Garamond" w:cstheme="majorBidi"/>
          <w:color w:val="0D0D0D" w:themeColor="text1" w:themeTint="F2"/>
        </w:rPr>
        <w:t>je</w:t>
      </w:r>
      <w:r w:rsidR="00B3112A" w:rsidRPr="00770F9D">
        <w:rPr>
          <w:rFonts w:ascii="Garamond" w:hAnsi="Garamond" w:cstheme="majorBidi"/>
          <w:color w:val="0D0D0D" w:themeColor="text1" w:themeTint="F2"/>
        </w:rPr>
        <w:t>je</w:t>
      </w:r>
      <w:r w:rsidRPr="00770F9D">
        <w:rPr>
          <w:rFonts w:ascii="Garamond" w:hAnsi="Garamond" w:cstheme="majorBidi"/>
          <w:color w:val="0D0D0D" w:themeColor="text1" w:themeTint="F2"/>
        </w:rPr>
        <w:t xml:space="preserve"> gjatë tremujorit të parë, kontributet ranë në -0.6 </w:t>
      </w:r>
      <w:r w:rsidR="00EE365D" w:rsidRPr="00770F9D">
        <w:rPr>
          <w:rFonts w:ascii="Garamond" w:hAnsi="Garamond" w:cstheme="majorBidi"/>
          <w:color w:val="0D0D0D" w:themeColor="text1" w:themeTint="F2"/>
        </w:rPr>
        <w:t>pikë përqindjeje</w:t>
      </w:r>
      <w:r w:rsidRPr="00770F9D">
        <w:rPr>
          <w:rFonts w:ascii="Garamond" w:hAnsi="Garamond" w:cstheme="majorBidi"/>
          <w:color w:val="0D0D0D" w:themeColor="text1" w:themeTint="F2"/>
        </w:rPr>
        <w:t xml:space="preserve"> në tremujorin e dytë. Kjo lidhet kryesisht me aktivitetin në ndërtim. Kontribute negative buruan</w:t>
      </w:r>
      <w:r w:rsidR="008A0FEE"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gjithashtu</w:t>
      </w:r>
      <w:r w:rsidR="008A0FEE"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nga “Industria nxjerrëse” dhe “Energjia”. Nga ana tjetër, ndikime pozitive erdhën nga “Bujqësia” dhe “Industria përpunuese”.</w:t>
      </w:r>
    </w:p>
    <w:p w14:paraId="5FA8C4DC" w14:textId="77777777" w:rsidR="009D5D31" w:rsidRPr="00770F9D" w:rsidRDefault="009D5D31" w:rsidP="005674F2">
      <w:pPr>
        <w:ind w:firstLine="284"/>
        <w:jc w:val="both"/>
        <w:rPr>
          <w:rFonts w:ascii="Garamond" w:hAnsi="Garamond" w:cstheme="majorBidi"/>
          <w:color w:val="0D0D0D" w:themeColor="text1" w:themeTint="F2"/>
        </w:rPr>
      </w:pPr>
    </w:p>
    <w:p w14:paraId="035BFFDE" w14:textId="77777777" w:rsidR="00E14122" w:rsidRPr="00770F9D" w:rsidRDefault="00E14122" w:rsidP="008647A3">
      <w:pPr>
        <w:autoSpaceDE w:val="0"/>
        <w:autoSpaceDN w:val="0"/>
        <w:adjustRightInd w:val="0"/>
        <w:ind w:firstLine="284"/>
        <w:jc w:val="center"/>
        <w:rPr>
          <w:rFonts w:ascii="Garamond" w:hAnsi="Garamond" w:cstheme="majorBidi"/>
          <w:b/>
          <w:bCs/>
          <w:i/>
          <w:iCs/>
          <w:color w:val="0D0D0D" w:themeColor="text1" w:themeTint="F2"/>
        </w:rPr>
      </w:pPr>
    </w:p>
    <w:p w14:paraId="68952621" w14:textId="69984259" w:rsidR="009D5D31" w:rsidRPr="00770F9D" w:rsidRDefault="00B5530D" w:rsidP="008647A3">
      <w:pPr>
        <w:autoSpaceDE w:val="0"/>
        <w:autoSpaceDN w:val="0"/>
        <w:adjustRightInd w:val="0"/>
        <w:ind w:firstLine="284"/>
        <w:jc w:val="center"/>
        <w:rPr>
          <w:rFonts w:ascii="Garamond" w:hAnsi="Garamond" w:cstheme="majorBidi"/>
          <w:i/>
          <w:iCs/>
          <w:color w:val="0D0D0D" w:themeColor="text1" w:themeTint="F2"/>
        </w:rPr>
      </w:pPr>
      <w:r w:rsidRPr="00770F9D">
        <w:rPr>
          <w:rFonts w:ascii="Garamond" w:hAnsi="Garamond" w:cstheme="majorBidi"/>
          <w:noProof/>
          <w:color w:val="0D0D0D" w:themeColor="text1" w:themeTint="F2"/>
          <w:sz w:val="20"/>
          <w:szCs w:val="20"/>
          <w:lang w:eastAsia="sq-AL"/>
        </w:rPr>
        <w:drawing>
          <wp:anchor distT="0" distB="0" distL="114300" distR="114300" simplePos="0" relativeHeight="251658254" behindDoc="0" locked="0" layoutInCell="1" allowOverlap="1" wp14:anchorId="2E4A6007" wp14:editId="7EC70241">
            <wp:simplePos x="0" y="0"/>
            <wp:positionH relativeFrom="column">
              <wp:posOffset>-132080</wp:posOffset>
            </wp:positionH>
            <wp:positionV relativeFrom="paragraph">
              <wp:posOffset>241300</wp:posOffset>
            </wp:positionV>
            <wp:extent cx="5955030" cy="2089150"/>
            <wp:effectExtent l="0" t="0" r="7620" b="6350"/>
            <wp:wrapTopAndBottom/>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55030" cy="2089150"/>
                    </a:xfrm>
                    <a:prstGeom prst="rect">
                      <a:avLst/>
                    </a:prstGeom>
                    <a:noFill/>
                  </pic:spPr>
                </pic:pic>
              </a:graphicData>
            </a:graphic>
            <wp14:sizeRelH relativeFrom="page">
              <wp14:pctWidth>0</wp14:pctWidth>
            </wp14:sizeRelH>
            <wp14:sizeRelV relativeFrom="page">
              <wp14:pctHeight>0</wp14:pctHeight>
            </wp14:sizeRelV>
          </wp:anchor>
        </w:drawing>
      </w:r>
      <w:r w:rsidR="009D5D31" w:rsidRPr="00770F9D">
        <w:rPr>
          <w:rFonts w:ascii="Garamond" w:hAnsi="Garamond" w:cstheme="majorBidi"/>
          <w:b/>
          <w:bCs/>
          <w:i/>
          <w:iCs/>
          <w:color w:val="0D0D0D" w:themeColor="text1" w:themeTint="F2"/>
          <w:sz w:val="20"/>
          <w:szCs w:val="20"/>
        </w:rPr>
        <w:t>Grafik 3.1.2:</w:t>
      </w:r>
      <w:r w:rsidR="009D5D31" w:rsidRPr="00770F9D">
        <w:rPr>
          <w:rFonts w:ascii="Garamond" w:hAnsi="Garamond" w:cstheme="majorBidi"/>
          <w:i/>
          <w:iCs/>
          <w:color w:val="0D0D0D" w:themeColor="text1" w:themeTint="F2"/>
          <w:sz w:val="20"/>
          <w:szCs w:val="20"/>
        </w:rPr>
        <w:t xml:space="preserve"> Rritja reale e PBB-së nga kahu i prodhimit</w:t>
      </w:r>
    </w:p>
    <w:p w14:paraId="2A66BABF" w14:textId="6FE00642" w:rsidR="009D5D31" w:rsidRPr="00770F9D" w:rsidRDefault="00E14122" w:rsidP="00B5530D">
      <w:pPr>
        <w:autoSpaceDE w:val="0"/>
        <w:autoSpaceDN w:val="0"/>
        <w:adjustRightInd w:val="0"/>
        <w:ind w:firstLine="284"/>
        <w:jc w:val="cente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Burimi: INSTAT:</w:t>
      </w:r>
      <w:r w:rsidR="009D5D31" w:rsidRPr="00770F9D">
        <w:rPr>
          <w:rFonts w:ascii="Garamond" w:hAnsi="Garamond" w:cstheme="majorBidi"/>
          <w:color w:val="0D0D0D" w:themeColor="text1" w:themeTint="F2"/>
          <w:sz w:val="20"/>
          <w:szCs w:val="20"/>
        </w:rPr>
        <w:t xml:space="preserve"> *</w:t>
      </w:r>
      <w:r w:rsidRPr="00770F9D">
        <w:rPr>
          <w:rFonts w:ascii="Garamond" w:hAnsi="Garamond" w:cstheme="majorBidi"/>
          <w:color w:val="0D0D0D" w:themeColor="text1" w:themeTint="F2"/>
          <w:sz w:val="20"/>
          <w:szCs w:val="20"/>
        </w:rPr>
        <w:t xml:space="preserve">Të </w:t>
      </w:r>
      <w:r w:rsidR="009D5D31" w:rsidRPr="00770F9D">
        <w:rPr>
          <w:rFonts w:ascii="Garamond" w:hAnsi="Garamond" w:cstheme="majorBidi"/>
          <w:color w:val="0D0D0D" w:themeColor="text1" w:themeTint="F2"/>
          <w:sz w:val="20"/>
          <w:szCs w:val="20"/>
        </w:rPr>
        <w:t>dhëna gjysm</w:t>
      </w:r>
      <w:r w:rsidRPr="00770F9D">
        <w:rPr>
          <w:rFonts w:ascii="Garamond" w:hAnsi="Garamond" w:cstheme="majorBidi"/>
          <w:color w:val="0D0D0D" w:themeColor="text1" w:themeTint="F2"/>
          <w:sz w:val="20"/>
          <w:szCs w:val="20"/>
        </w:rPr>
        <w:t>ë</w:t>
      </w:r>
      <w:r w:rsidR="009D5D31" w:rsidRPr="00770F9D">
        <w:rPr>
          <w:rFonts w:ascii="Garamond" w:hAnsi="Garamond" w:cstheme="majorBidi"/>
          <w:color w:val="0D0D0D" w:themeColor="text1" w:themeTint="F2"/>
          <w:sz w:val="20"/>
          <w:szCs w:val="20"/>
        </w:rPr>
        <w:t>përfundimtare **</w:t>
      </w:r>
      <w:r w:rsidRPr="00770F9D">
        <w:rPr>
          <w:rFonts w:ascii="Garamond" w:hAnsi="Garamond" w:cstheme="majorBidi"/>
          <w:color w:val="0D0D0D" w:themeColor="text1" w:themeTint="F2"/>
          <w:sz w:val="20"/>
          <w:szCs w:val="20"/>
        </w:rPr>
        <w:t xml:space="preserve">Të </w:t>
      </w:r>
      <w:r w:rsidR="009D5D31" w:rsidRPr="00770F9D">
        <w:rPr>
          <w:rFonts w:ascii="Garamond" w:hAnsi="Garamond" w:cstheme="majorBidi"/>
          <w:color w:val="0D0D0D" w:themeColor="text1" w:themeTint="F2"/>
          <w:sz w:val="20"/>
          <w:szCs w:val="20"/>
        </w:rPr>
        <w:t>dhëna paraprake</w:t>
      </w:r>
    </w:p>
    <w:p w14:paraId="10C648D4" w14:textId="77777777" w:rsidR="008647A3" w:rsidRPr="00770F9D" w:rsidRDefault="008647A3" w:rsidP="008647A3">
      <w:pPr>
        <w:ind w:firstLine="284"/>
        <w:jc w:val="center"/>
        <w:rPr>
          <w:rFonts w:ascii="Garamond" w:hAnsi="Garamond" w:cstheme="majorBidi"/>
          <w:b/>
          <w:bCs/>
          <w:i/>
          <w:iCs/>
          <w:color w:val="0D0D0D" w:themeColor="text1" w:themeTint="F2"/>
        </w:rPr>
      </w:pPr>
    </w:p>
    <w:p w14:paraId="089AE74F" w14:textId="0041FDA5" w:rsidR="009D5D31" w:rsidRPr="00770F9D" w:rsidRDefault="009D5D31" w:rsidP="008647A3">
      <w:pPr>
        <w:ind w:firstLine="284"/>
        <w:jc w:val="center"/>
        <w:rPr>
          <w:rFonts w:ascii="Garamond" w:hAnsi="Garamond" w:cstheme="majorBidi"/>
          <w:i/>
          <w:iCs/>
          <w:color w:val="0D0D0D" w:themeColor="text1" w:themeTint="F2"/>
          <w:sz w:val="20"/>
          <w:szCs w:val="20"/>
        </w:rPr>
      </w:pPr>
      <w:r w:rsidRPr="00770F9D">
        <w:rPr>
          <w:rFonts w:ascii="Garamond" w:hAnsi="Garamond" w:cstheme="majorBidi"/>
          <w:b/>
          <w:bCs/>
          <w:i/>
          <w:iCs/>
          <w:color w:val="0D0D0D" w:themeColor="text1" w:themeTint="F2"/>
          <w:sz w:val="20"/>
          <w:szCs w:val="20"/>
        </w:rPr>
        <w:t>Tabelë 3.1.1:</w:t>
      </w:r>
      <w:r w:rsidRPr="00770F9D">
        <w:rPr>
          <w:rFonts w:ascii="Garamond" w:hAnsi="Garamond" w:cstheme="majorBidi"/>
          <w:i/>
          <w:iCs/>
          <w:color w:val="0D0D0D" w:themeColor="text1" w:themeTint="F2"/>
          <w:sz w:val="20"/>
          <w:szCs w:val="20"/>
        </w:rPr>
        <w:t xml:space="preserve"> Kontributet në PBB nga kahu i prodhimit dhe </w:t>
      </w:r>
      <w:r w:rsidR="00B5530D" w:rsidRPr="00770F9D">
        <w:rPr>
          <w:rFonts w:ascii="Garamond" w:hAnsi="Garamond" w:cstheme="majorBidi"/>
          <w:i/>
          <w:iCs/>
          <w:color w:val="0D0D0D" w:themeColor="text1" w:themeTint="F2"/>
          <w:sz w:val="20"/>
          <w:szCs w:val="20"/>
        </w:rPr>
        <w:t xml:space="preserve">i </w:t>
      </w:r>
      <w:r w:rsidRPr="00770F9D">
        <w:rPr>
          <w:rFonts w:ascii="Garamond" w:hAnsi="Garamond" w:cstheme="majorBidi"/>
          <w:i/>
          <w:iCs/>
          <w:color w:val="0D0D0D" w:themeColor="text1" w:themeTint="F2"/>
          <w:sz w:val="20"/>
          <w:szCs w:val="20"/>
        </w:rPr>
        <w:t>kërkesës agregate, frekuencë tremujore</w:t>
      </w:r>
    </w:p>
    <w:tbl>
      <w:tblPr>
        <w:tblStyle w:val="TableGrid"/>
        <w:tblW w:w="9743" w:type="dxa"/>
        <w:jc w:val="center"/>
        <w:tblLook w:val="04A0" w:firstRow="1" w:lastRow="0" w:firstColumn="1" w:lastColumn="0" w:noHBand="0" w:noVBand="1"/>
      </w:tblPr>
      <w:tblGrid>
        <w:gridCol w:w="4070"/>
        <w:gridCol w:w="979"/>
        <w:gridCol w:w="918"/>
        <w:gridCol w:w="917"/>
        <w:gridCol w:w="922"/>
        <w:gridCol w:w="917"/>
        <w:gridCol w:w="1020"/>
      </w:tblGrid>
      <w:tr w:rsidR="009D5D31" w:rsidRPr="00770F9D" w14:paraId="39D7FA45" w14:textId="77777777" w:rsidTr="00B5530D">
        <w:trPr>
          <w:trHeight w:val="255"/>
          <w:jc w:val="center"/>
        </w:trPr>
        <w:tc>
          <w:tcPr>
            <w:tcW w:w="4070" w:type="dxa"/>
            <w:vMerge w:val="restart"/>
          </w:tcPr>
          <w:p w14:paraId="0C624B04" w14:textId="7EAC4B06" w:rsidR="009D5D31" w:rsidRPr="00770F9D" w:rsidRDefault="009D5D31" w:rsidP="00B5530D">
            <w:pPr>
              <w:widowControl/>
              <w:jc w:val="center"/>
              <w:rPr>
                <w:rFonts w:ascii="Garamond" w:hAnsi="Garamond" w:cstheme="majorBidi"/>
                <w:color w:val="0D0D0D" w:themeColor="text1" w:themeTint="F2"/>
                <w:sz w:val="20"/>
                <w:szCs w:val="20"/>
              </w:rPr>
            </w:pPr>
            <w:r w:rsidRPr="00770F9D">
              <w:rPr>
                <w:rFonts w:ascii="Garamond" w:hAnsi="Garamond" w:cstheme="majorBidi"/>
                <w:b/>
                <w:color w:val="0D0D0D" w:themeColor="text1" w:themeTint="F2"/>
                <w:sz w:val="20"/>
                <w:szCs w:val="20"/>
              </w:rPr>
              <w:t xml:space="preserve">Kontribut në rritjen e PBB-së (në </w:t>
            </w:r>
            <w:r w:rsidR="00EE365D" w:rsidRPr="00770F9D">
              <w:rPr>
                <w:rFonts w:ascii="Garamond" w:hAnsi="Garamond" w:cstheme="majorBidi"/>
                <w:b/>
                <w:color w:val="0D0D0D" w:themeColor="text1" w:themeTint="F2"/>
                <w:sz w:val="20"/>
                <w:szCs w:val="20"/>
              </w:rPr>
              <w:t>pikë përqindjeje</w:t>
            </w:r>
            <w:r w:rsidRPr="00770F9D">
              <w:rPr>
                <w:rFonts w:ascii="Garamond" w:hAnsi="Garamond" w:cstheme="majorBidi"/>
                <w:b/>
                <w:color w:val="0D0D0D" w:themeColor="text1" w:themeTint="F2"/>
                <w:sz w:val="20"/>
                <w:szCs w:val="20"/>
              </w:rPr>
              <w:t>)</w:t>
            </w:r>
          </w:p>
        </w:tc>
        <w:tc>
          <w:tcPr>
            <w:tcW w:w="3736" w:type="dxa"/>
            <w:gridSpan w:val="4"/>
          </w:tcPr>
          <w:p w14:paraId="31E4A22F" w14:textId="77777777" w:rsidR="009D5D31" w:rsidRPr="00770F9D" w:rsidRDefault="009D5D31" w:rsidP="00B5530D">
            <w:pPr>
              <w:widowControl/>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2021**</w:t>
            </w:r>
          </w:p>
        </w:tc>
        <w:tc>
          <w:tcPr>
            <w:tcW w:w="1937" w:type="dxa"/>
            <w:gridSpan w:val="2"/>
          </w:tcPr>
          <w:p w14:paraId="2B2EB4B9" w14:textId="77777777" w:rsidR="009D5D31" w:rsidRPr="00770F9D" w:rsidRDefault="009D5D31" w:rsidP="00B5530D">
            <w:pPr>
              <w:widowControl/>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2022**</w:t>
            </w:r>
          </w:p>
        </w:tc>
      </w:tr>
      <w:tr w:rsidR="009D5D31" w:rsidRPr="00770F9D" w14:paraId="7CAE7CAE" w14:textId="77777777" w:rsidTr="00B5530D">
        <w:trPr>
          <w:trHeight w:val="291"/>
          <w:jc w:val="center"/>
        </w:trPr>
        <w:tc>
          <w:tcPr>
            <w:tcW w:w="4070" w:type="dxa"/>
            <w:vMerge/>
          </w:tcPr>
          <w:p w14:paraId="2DA8F379" w14:textId="77777777" w:rsidR="009D5D31" w:rsidRPr="00770F9D" w:rsidRDefault="009D5D31" w:rsidP="00B5530D">
            <w:pPr>
              <w:widowControl/>
              <w:jc w:val="center"/>
              <w:rPr>
                <w:rFonts w:ascii="Garamond" w:hAnsi="Garamond" w:cstheme="majorBidi"/>
                <w:color w:val="0D0D0D" w:themeColor="text1" w:themeTint="F2"/>
                <w:sz w:val="20"/>
                <w:szCs w:val="20"/>
              </w:rPr>
            </w:pPr>
          </w:p>
        </w:tc>
        <w:tc>
          <w:tcPr>
            <w:tcW w:w="979" w:type="dxa"/>
          </w:tcPr>
          <w:p w14:paraId="45912A98" w14:textId="77777777" w:rsidR="009D5D31" w:rsidRPr="00770F9D" w:rsidRDefault="009D5D31" w:rsidP="00B5530D">
            <w:pPr>
              <w:widowControl/>
              <w:jc w:val="cente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T1</w:t>
            </w:r>
          </w:p>
        </w:tc>
        <w:tc>
          <w:tcPr>
            <w:tcW w:w="918" w:type="dxa"/>
          </w:tcPr>
          <w:p w14:paraId="6D1BE78D" w14:textId="77777777" w:rsidR="009D5D31" w:rsidRPr="00770F9D" w:rsidRDefault="009D5D31" w:rsidP="00B5530D">
            <w:pPr>
              <w:widowControl/>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T2</w:t>
            </w:r>
          </w:p>
        </w:tc>
        <w:tc>
          <w:tcPr>
            <w:tcW w:w="917" w:type="dxa"/>
          </w:tcPr>
          <w:p w14:paraId="628F005C" w14:textId="77777777" w:rsidR="009D5D31" w:rsidRPr="00770F9D" w:rsidRDefault="009D5D31" w:rsidP="00B5530D">
            <w:pPr>
              <w:widowControl/>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T3</w:t>
            </w:r>
          </w:p>
        </w:tc>
        <w:tc>
          <w:tcPr>
            <w:tcW w:w="922" w:type="dxa"/>
          </w:tcPr>
          <w:p w14:paraId="230DB83E" w14:textId="77777777" w:rsidR="009D5D31" w:rsidRPr="00770F9D" w:rsidRDefault="009D5D31" w:rsidP="00B5530D">
            <w:pPr>
              <w:widowControl/>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T4</w:t>
            </w:r>
          </w:p>
        </w:tc>
        <w:tc>
          <w:tcPr>
            <w:tcW w:w="917" w:type="dxa"/>
          </w:tcPr>
          <w:p w14:paraId="6061EECC" w14:textId="77777777" w:rsidR="009D5D31" w:rsidRPr="00770F9D" w:rsidRDefault="009D5D31" w:rsidP="00B5530D">
            <w:pPr>
              <w:widowControl/>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T1</w:t>
            </w:r>
          </w:p>
        </w:tc>
        <w:tc>
          <w:tcPr>
            <w:tcW w:w="1020" w:type="dxa"/>
          </w:tcPr>
          <w:p w14:paraId="281304DE" w14:textId="77777777" w:rsidR="009D5D31" w:rsidRPr="00770F9D" w:rsidRDefault="009D5D31" w:rsidP="00B5530D">
            <w:pPr>
              <w:widowControl/>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T2</w:t>
            </w:r>
          </w:p>
        </w:tc>
      </w:tr>
      <w:tr w:rsidR="009D5D31" w:rsidRPr="00770F9D" w14:paraId="7F447BE8" w14:textId="77777777" w:rsidTr="00B5530D">
        <w:trPr>
          <w:trHeight w:val="255"/>
          <w:jc w:val="center"/>
        </w:trPr>
        <w:tc>
          <w:tcPr>
            <w:tcW w:w="9743" w:type="dxa"/>
            <w:gridSpan w:val="7"/>
          </w:tcPr>
          <w:p w14:paraId="4CF21CB7" w14:textId="1DF794E5" w:rsidR="009D5D31" w:rsidRPr="00770F9D" w:rsidRDefault="00B5530D" w:rsidP="003A3F5E">
            <w:pPr>
              <w:widowControl/>
              <w:jc w:val="both"/>
              <w:rPr>
                <w:rFonts w:ascii="Garamond" w:hAnsi="Garamond" w:cstheme="majorBidi"/>
                <w:b/>
                <w:i/>
                <w:color w:val="0D0D0D" w:themeColor="text1" w:themeTint="F2"/>
                <w:sz w:val="20"/>
                <w:szCs w:val="20"/>
              </w:rPr>
            </w:pPr>
            <w:r w:rsidRPr="00770F9D">
              <w:rPr>
                <w:rFonts w:ascii="Garamond" w:hAnsi="Garamond" w:cstheme="majorBidi"/>
                <w:b/>
                <w:i/>
                <w:color w:val="0D0D0D" w:themeColor="text1" w:themeTint="F2"/>
                <w:sz w:val="20"/>
                <w:szCs w:val="20"/>
              </w:rPr>
              <w:t xml:space="preserve">Sipas </w:t>
            </w:r>
            <w:r w:rsidR="009D5D31" w:rsidRPr="00770F9D">
              <w:rPr>
                <w:rFonts w:ascii="Garamond" w:hAnsi="Garamond" w:cstheme="majorBidi"/>
                <w:b/>
                <w:i/>
                <w:color w:val="0D0D0D" w:themeColor="text1" w:themeTint="F2"/>
                <w:sz w:val="20"/>
                <w:szCs w:val="20"/>
              </w:rPr>
              <w:t>sektorëve:</w:t>
            </w:r>
          </w:p>
        </w:tc>
      </w:tr>
      <w:tr w:rsidR="009D5D31" w:rsidRPr="00770F9D" w14:paraId="7FCAF7F4" w14:textId="77777777" w:rsidTr="00B5530D">
        <w:trPr>
          <w:trHeight w:val="274"/>
          <w:jc w:val="center"/>
        </w:trPr>
        <w:tc>
          <w:tcPr>
            <w:tcW w:w="4070" w:type="dxa"/>
          </w:tcPr>
          <w:p w14:paraId="015274E9" w14:textId="77777777" w:rsidR="009D5D31" w:rsidRPr="00770F9D" w:rsidRDefault="009D5D31" w:rsidP="003A3F5E">
            <w:pPr>
              <w:widowControl/>
              <w:jc w:val="both"/>
              <w:rPr>
                <w:rFonts w:ascii="Garamond" w:hAnsi="Garamond" w:cstheme="majorBidi"/>
                <w:i/>
                <w:color w:val="0D0D0D" w:themeColor="text1" w:themeTint="F2"/>
                <w:sz w:val="20"/>
                <w:szCs w:val="20"/>
              </w:rPr>
            </w:pPr>
            <w:r w:rsidRPr="00770F9D">
              <w:rPr>
                <w:rFonts w:ascii="Garamond" w:hAnsi="Garamond" w:cstheme="majorBidi"/>
                <w:i/>
                <w:color w:val="0D0D0D" w:themeColor="text1" w:themeTint="F2"/>
                <w:sz w:val="20"/>
                <w:szCs w:val="20"/>
              </w:rPr>
              <w:t>Bujqësi, pyje, peshkim</w:t>
            </w:r>
          </w:p>
        </w:tc>
        <w:tc>
          <w:tcPr>
            <w:tcW w:w="979" w:type="dxa"/>
            <w:vAlign w:val="center"/>
          </w:tcPr>
          <w:p w14:paraId="535BCB69"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0.0</w:t>
            </w:r>
          </w:p>
        </w:tc>
        <w:tc>
          <w:tcPr>
            <w:tcW w:w="918" w:type="dxa"/>
            <w:vAlign w:val="center"/>
          </w:tcPr>
          <w:p w14:paraId="039760E7"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-0.2</w:t>
            </w:r>
          </w:p>
        </w:tc>
        <w:tc>
          <w:tcPr>
            <w:tcW w:w="917" w:type="dxa"/>
            <w:vAlign w:val="center"/>
          </w:tcPr>
          <w:p w14:paraId="616D301E"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0.0</w:t>
            </w:r>
          </w:p>
        </w:tc>
        <w:tc>
          <w:tcPr>
            <w:tcW w:w="922" w:type="dxa"/>
            <w:vAlign w:val="center"/>
          </w:tcPr>
          <w:p w14:paraId="34DBE390"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0.3</w:t>
            </w:r>
          </w:p>
        </w:tc>
        <w:tc>
          <w:tcPr>
            <w:tcW w:w="917" w:type="dxa"/>
            <w:vAlign w:val="center"/>
          </w:tcPr>
          <w:p w14:paraId="72B5DE08"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0.0</w:t>
            </w:r>
          </w:p>
        </w:tc>
        <w:tc>
          <w:tcPr>
            <w:tcW w:w="1020" w:type="dxa"/>
            <w:vAlign w:val="center"/>
          </w:tcPr>
          <w:p w14:paraId="4613C720"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0.3</w:t>
            </w:r>
          </w:p>
        </w:tc>
      </w:tr>
      <w:tr w:rsidR="009D5D31" w:rsidRPr="00770F9D" w14:paraId="096837D3" w14:textId="77777777" w:rsidTr="00B5530D">
        <w:trPr>
          <w:trHeight w:val="255"/>
          <w:jc w:val="center"/>
        </w:trPr>
        <w:tc>
          <w:tcPr>
            <w:tcW w:w="4070" w:type="dxa"/>
          </w:tcPr>
          <w:p w14:paraId="289749F9" w14:textId="77777777" w:rsidR="009D5D31" w:rsidRPr="00770F9D" w:rsidRDefault="009D5D31" w:rsidP="003A3F5E">
            <w:pPr>
              <w:widowControl/>
              <w:jc w:val="both"/>
              <w:rPr>
                <w:rFonts w:ascii="Garamond" w:hAnsi="Garamond" w:cstheme="majorBidi"/>
                <w:i/>
                <w:color w:val="0D0D0D" w:themeColor="text1" w:themeTint="F2"/>
                <w:sz w:val="20"/>
                <w:szCs w:val="20"/>
              </w:rPr>
            </w:pPr>
            <w:r w:rsidRPr="00770F9D">
              <w:rPr>
                <w:rFonts w:ascii="Garamond" w:hAnsi="Garamond" w:cstheme="majorBidi"/>
                <w:i/>
                <w:color w:val="0D0D0D" w:themeColor="text1" w:themeTint="F2"/>
                <w:sz w:val="20"/>
                <w:szCs w:val="20"/>
              </w:rPr>
              <w:t>Industri, energji dhe ujë</w:t>
            </w:r>
          </w:p>
        </w:tc>
        <w:tc>
          <w:tcPr>
            <w:tcW w:w="979" w:type="dxa"/>
            <w:vAlign w:val="center"/>
          </w:tcPr>
          <w:p w14:paraId="4EFD9286"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-0.9</w:t>
            </w:r>
          </w:p>
        </w:tc>
        <w:tc>
          <w:tcPr>
            <w:tcW w:w="918" w:type="dxa"/>
            <w:vAlign w:val="center"/>
          </w:tcPr>
          <w:p w14:paraId="70EAF9F1"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-1.9</w:t>
            </w:r>
          </w:p>
        </w:tc>
        <w:tc>
          <w:tcPr>
            <w:tcW w:w="917" w:type="dxa"/>
            <w:vAlign w:val="center"/>
          </w:tcPr>
          <w:p w14:paraId="01837589"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-0.5</w:t>
            </w:r>
          </w:p>
        </w:tc>
        <w:tc>
          <w:tcPr>
            <w:tcW w:w="922" w:type="dxa"/>
            <w:vAlign w:val="center"/>
          </w:tcPr>
          <w:p w14:paraId="2B40BA4C"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0.0</w:t>
            </w:r>
          </w:p>
        </w:tc>
        <w:tc>
          <w:tcPr>
            <w:tcW w:w="917" w:type="dxa"/>
            <w:vAlign w:val="center"/>
          </w:tcPr>
          <w:p w14:paraId="6D37D1EB"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2.6</w:t>
            </w:r>
          </w:p>
        </w:tc>
        <w:tc>
          <w:tcPr>
            <w:tcW w:w="1020" w:type="dxa"/>
            <w:vAlign w:val="center"/>
          </w:tcPr>
          <w:p w14:paraId="117D27B0"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4.2</w:t>
            </w:r>
          </w:p>
        </w:tc>
      </w:tr>
      <w:tr w:rsidR="009D5D31" w:rsidRPr="00770F9D" w14:paraId="3E94D0CA" w14:textId="77777777" w:rsidTr="00B5530D">
        <w:trPr>
          <w:trHeight w:val="255"/>
          <w:jc w:val="center"/>
        </w:trPr>
        <w:tc>
          <w:tcPr>
            <w:tcW w:w="4070" w:type="dxa"/>
          </w:tcPr>
          <w:p w14:paraId="7E32458F" w14:textId="77777777" w:rsidR="009D5D31" w:rsidRPr="00770F9D" w:rsidRDefault="009D5D31" w:rsidP="003A3F5E">
            <w:pPr>
              <w:widowControl/>
              <w:jc w:val="both"/>
              <w:rPr>
                <w:rFonts w:ascii="Garamond" w:hAnsi="Garamond" w:cstheme="majorBidi"/>
                <w:i/>
                <w:color w:val="0D0D0D" w:themeColor="text1" w:themeTint="F2"/>
                <w:sz w:val="20"/>
                <w:szCs w:val="20"/>
              </w:rPr>
            </w:pPr>
            <w:r w:rsidRPr="00770F9D">
              <w:rPr>
                <w:rFonts w:ascii="Garamond" w:hAnsi="Garamond" w:cstheme="majorBidi"/>
                <w:i/>
                <w:color w:val="0D0D0D" w:themeColor="text1" w:themeTint="F2"/>
                <w:sz w:val="20"/>
                <w:szCs w:val="20"/>
              </w:rPr>
              <w:t>Ndërtim</w:t>
            </w:r>
          </w:p>
        </w:tc>
        <w:tc>
          <w:tcPr>
            <w:tcW w:w="979" w:type="dxa"/>
            <w:vAlign w:val="center"/>
          </w:tcPr>
          <w:p w14:paraId="69A369B8"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1.9</w:t>
            </w:r>
          </w:p>
        </w:tc>
        <w:tc>
          <w:tcPr>
            <w:tcW w:w="918" w:type="dxa"/>
            <w:vAlign w:val="center"/>
          </w:tcPr>
          <w:p w14:paraId="3D1BB1E7"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3.7</w:t>
            </w:r>
          </w:p>
        </w:tc>
        <w:tc>
          <w:tcPr>
            <w:tcW w:w="917" w:type="dxa"/>
            <w:vAlign w:val="center"/>
          </w:tcPr>
          <w:p w14:paraId="6A84C0A2"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0.6</w:t>
            </w:r>
          </w:p>
        </w:tc>
        <w:tc>
          <w:tcPr>
            <w:tcW w:w="922" w:type="dxa"/>
            <w:vAlign w:val="center"/>
          </w:tcPr>
          <w:p w14:paraId="01DEFF44"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0.0</w:t>
            </w:r>
          </w:p>
        </w:tc>
        <w:tc>
          <w:tcPr>
            <w:tcW w:w="917" w:type="dxa"/>
            <w:vAlign w:val="center"/>
          </w:tcPr>
          <w:p w14:paraId="62F38335"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0.5</w:t>
            </w:r>
          </w:p>
        </w:tc>
        <w:tc>
          <w:tcPr>
            <w:tcW w:w="1020" w:type="dxa"/>
            <w:vAlign w:val="center"/>
          </w:tcPr>
          <w:p w14:paraId="32FD683E"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-0.4</w:t>
            </w:r>
          </w:p>
        </w:tc>
      </w:tr>
      <w:tr w:rsidR="009D5D31" w:rsidRPr="00770F9D" w14:paraId="2352D038" w14:textId="77777777" w:rsidTr="00B5530D">
        <w:trPr>
          <w:trHeight w:val="274"/>
          <w:jc w:val="center"/>
        </w:trPr>
        <w:tc>
          <w:tcPr>
            <w:tcW w:w="4070" w:type="dxa"/>
          </w:tcPr>
          <w:p w14:paraId="6E1AAD0C" w14:textId="77777777" w:rsidR="009D5D31" w:rsidRPr="00770F9D" w:rsidRDefault="009D5D31" w:rsidP="003A3F5E">
            <w:pPr>
              <w:widowControl/>
              <w:jc w:val="both"/>
              <w:rPr>
                <w:rFonts w:ascii="Garamond" w:hAnsi="Garamond" w:cstheme="majorBidi"/>
                <w:i/>
                <w:color w:val="0D0D0D" w:themeColor="text1" w:themeTint="F2"/>
                <w:sz w:val="20"/>
                <w:szCs w:val="20"/>
              </w:rPr>
            </w:pPr>
            <w:r w:rsidRPr="00770F9D">
              <w:rPr>
                <w:rFonts w:ascii="Garamond" w:hAnsi="Garamond" w:cstheme="majorBidi"/>
                <w:i/>
                <w:color w:val="0D0D0D" w:themeColor="text1" w:themeTint="F2"/>
                <w:sz w:val="20"/>
                <w:szCs w:val="20"/>
              </w:rPr>
              <w:t>Shërbime</w:t>
            </w:r>
          </w:p>
        </w:tc>
        <w:tc>
          <w:tcPr>
            <w:tcW w:w="979" w:type="dxa"/>
            <w:vAlign w:val="center"/>
          </w:tcPr>
          <w:p w14:paraId="106D9322"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1.5</w:t>
            </w:r>
          </w:p>
        </w:tc>
        <w:tc>
          <w:tcPr>
            <w:tcW w:w="918" w:type="dxa"/>
            <w:vAlign w:val="center"/>
          </w:tcPr>
          <w:p w14:paraId="56B236DF"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9.1</w:t>
            </w:r>
          </w:p>
        </w:tc>
        <w:tc>
          <w:tcPr>
            <w:tcW w:w="917" w:type="dxa"/>
            <w:vAlign w:val="center"/>
          </w:tcPr>
          <w:p w14:paraId="0DEFF9B5"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4.4</w:t>
            </w:r>
          </w:p>
        </w:tc>
        <w:tc>
          <w:tcPr>
            <w:tcW w:w="922" w:type="dxa"/>
            <w:vAlign w:val="center"/>
          </w:tcPr>
          <w:p w14:paraId="4A4B4F6C"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2.1</w:t>
            </w:r>
          </w:p>
        </w:tc>
        <w:tc>
          <w:tcPr>
            <w:tcW w:w="917" w:type="dxa"/>
            <w:vAlign w:val="center"/>
          </w:tcPr>
          <w:p w14:paraId="4632C4B1"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3.1</w:t>
            </w:r>
          </w:p>
        </w:tc>
        <w:tc>
          <w:tcPr>
            <w:tcW w:w="1020" w:type="dxa"/>
            <w:vAlign w:val="center"/>
          </w:tcPr>
          <w:p w14:paraId="24B087B4"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2.6</w:t>
            </w:r>
          </w:p>
        </w:tc>
      </w:tr>
      <w:tr w:rsidR="009D5D31" w:rsidRPr="00770F9D" w14:paraId="2C517356" w14:textId="77777777" w:rsidTr="00B5530D">
        <w:trPr>
          <w:trHeight w:val="255"/>
          <w:jc w:val="center"/>
        </w:trPr>
        <w:tc>
          <w:tcPr>
            <w:tcW w:w="4070" w:type="dxa"/>
          </w:tcPr>
          <w:p w14:paraId="3B0AC74A" w14:textId="77777777" w:rsidR="009D5D31" w:rsidRPr="00770F9D" w:rsidRDefault="009D5D31" w:rsidP="003A3F5E">
            <w:pPr>
              <w:widowControl/>
              <w:jc w:val="both"/>
              <w:rPr>
                <w:rFonts w:ascii="Garamond" w:hAnsi="Garamond" w:cstheme="majorBidi"/>
                <w:i/>
                <w:color w:val="0D0D0D" w:themeColor="text1" w:themeTint="F2"/>
                <w:sz w:val="20"/>
                <w:szCs w:val="20"/>
              </w:rPr>
            </w:pPr>
            <w:r w:rsidRPr="00770F9D">
              <w:rPr>
                <w:rFonts w:ascii="Garamond" w:hAnsi="Garamond" w:cstheme="majorBidi"/>
                <w:i/>
                <w:color w:val="0D0D0D" w:themeColor="text1" w:themeTint="F2"/>
                <w:sz w:val="20"/>
                <w:szCs w:val="20"/>
              </w:rPr>
              <w:t>Taksa minus subvencione mbi produktet</w:t>
            </w:r>
          </w:p>
        </w:tc>
        <w:tc>
          <w:tcPr>
            <w:tcW w:w="979" w:type="dxa"/>
            <w:vAlign w:val="center"/>
          </w:tcPr>
          <w:p w14:paraId="278C3EA5"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-0.6</w:t>
            </w:r>
          </w:p>
        </w:tc>
        <w:tc>
          <w:tcPr>
            <w:tcW w:w="918" w:type="dxa"/>
            <w:vAlign w:val="center"/>
          </w:tcPr>
          <w:p w14:paraId="4A4C14D6"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1.7</w:t>
            </w:r>
          </w:p>
        </w:tc>
        <w:tc>
          <w:tcPr>
            <w:tcW w:w="917" w:type="dxa"/>
            <w:vAlign w:val="center"/>
          </w:tcPr>
          <w:p w14:paraId="63C827DD"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1.3</w:t>
            </w:r>
          </w:p>
        </w:tc>
        <w:tc>
          <w:tcPr>
            <w:tcW w:w="922" w:type="dxa"/>
            <w:vAlign w:val="center"/>
          </w:tcPr>
          <w:p w14:paraId="10AE2620"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1.4</w:t>
            </w:r>
          </w:p>
        </w:tc>
        <w:tc>
          <w:tcPr>
            <w:tcW w:w="917" w:type="dxa"/>
            <w:vAlign w:val="center"/>
          </w:tcPr>
          <w:p w14:paraId="03F94F21"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0.9</w:t>
            </w:r>
          </w:p>
        </w:tc>
        <w:tc>
          <w:tcPr>
            <w:tcW w:w="1020" w:type="dxa"/>
            <w:vAlign w:val="center"/>
          </w:tcPr>
          <w:p w14:paraId="0E5D4CA1"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0.3</w:t>
            </w:r>
          </w:p>
        </w:tc>
      </w:tr>
      <w:tr w:rsidR="009D5D31" w:rsidRPr="00770F9D" w14:paraId="7A2F0091" w14:textId="77777777" w:rsidTr="00B5530D">
        <w:trPr>
          <w:trHeight w:val="274"/>
          <w:jc w:val="center"/>
        </w:trPr>
        <w:tc>
          <w:tcPr>
            <w:tcW w:w="4070" w:type="dxa"/>
          </w:tcPr>
          <w:p w14:paraId="4BC28295" w14:textId="77777777" w:rsidR="009D5D31" w:rsidRPr="00770F9D" w:rsidRDefault="009D5D31" w:rsidP="003A3F5E">
            <w:pPr>
              <w:widowControl/>
              <w:jc w:val="both"/>
              <w:rPr>
                <w:rFonts w:ascii="Garamond" w:hAnsi="Garamond" w:cstheme="majorBidi"/>
                <w:b/>
                <w:color w:val="0D0D0D" w:themeColor="text1" w:themeTint="F2"/>
                <w:sz w:val="20"/>
                <w:szCs w:val="20"/>
              </w:rPr>
            </w:pPr>
            <w:r w:rsidRPr="00770F9D">
              <w:rPr>
                <w:rFonts w:ascii="Garamond" w:hAnsi="Garamond" w:cstheme="majorBidi"/>
                <w:b/>
                <w:color w:val="0D0D0D" w:themeColor="text1" w:themeTint="F2"/>
                <w:sz w:val="20"/>
                <w:szCs w:val="20"/>
              </w:rPr>
              <w:t>Rritja reale e PBB-së (vjetore në %)</w:t>
            </w:r>
          </w:p>
        </w:tc>
        <w:tc>
          <w:tcPr>
            <w:tcW w:w="979" w:type="dxa"/>
            <w:vAlign w:val="center"/>
          </w:tcPr>
          <w:p w14:paraId="00186DE4"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4.2</w:t>
            </w:r>
          </w:p>
        </w:tc>
        <w:tc>
          <w:tcPr>
            <w:tcW w:w="918" w:type="dxa"/>
            <w:vAlign w:val="center"/>
          </w:tcPr>
          <w:p w14:paraId="443C7C8D"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17.6</w:t>
            </w:r>
          </w:p>
        </w:tc>
        <w:tc>
          <w:tcPr>
            <w:tcW w:w="917" w:type="dxa"/>
            <w:vAlign w:val="center"/>
          </w:tcPr>
          <w:p w14:paraId="5F82F3F4"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6.8</w:t>
            </w:r>
          </w:p>
        </w:tc>
        <w:tc>
          <w:tcPr>
            <w:tcW w:w="922" w:type="dxa"/>
            <w:vAlign w:val="center"/>
          </w:tcPr>
          <w:p w14:paraId="3DD5D11A"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5.5</w:t>
            </w:r>
          </w:p>
        </w:tc>
        <w:tc>
          <w:tcPr>
            <w:tcW w:w="917" w:type="dxa"/>
            <w:vAlign w:val="center"/>
          </w:tcPr>
          <w:p w14:paraId="4EC396C8"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6.5</w:t>
            </w:r>
          </w:p>
        </w:tc>
        <w:tc>
          <w:tcPr>
            <w:tcW w:w="1020" w:type="dxa"/>
            <w:vAlign w:val="center"/>
          </w:tcPr>
          <w:p w14:paraId="407C434F"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2.2</w:t>
            </w:r>
          </w:p>
        </w:tc>
      </w:tr>
      <w:tr w:rsidR="009D5D31" w:rsidRPr="00770F9D" w14:paraId="3FB3E278" w14:textId="77777777" w:rsidTr="00B5530D">
        <w:trPr>
          <w:trHeight w:val="274"/>
          <w:jc w:val="center"/>
        </w:trPr>
        <w:tc>
          <w:tcPr>
            <w:tcW w:w="9743" w:type="dxa"/>
            <w:gridSpan w:val="7"/>
          </w:tcPr>
          <w:p w14:paraId="7835B6D4" w14:textId="31FB73F9" w:rsidR="009D5D31" w:rsidRPr="00770F9D" w:rsidRDefault="00B5530D" w:rsidP="003A3F5E">
            <w:pPr>
              <w:widowControl/>
              <w:jc w:val="both"/>
              <w:rPr>
                <w:rFonts w:ascii="Garamond" w:hAnsi="Garamond" w:cstheme="majorBidi"/>
                <w:b/>
                <w:i/>
                <w:color w:val="0D0D0D" w:themeColor="text1" w:themeTint="F2"/>
                <w:sz w:val="20"/>
                <w:szCs w:val="20"/>
              </w:rPr>
            </w:pPr>
            <w:r w:rsidRPr="00770F9D">
              <w:rPr>
                <w:rFonts w:ascii="Garamond" w:hAnsi="Garamond" w:cstheme="majorBidi"/>
                <w:b/>
                <w:i/>
                <w:color w:val="0D0D0D" w:themeColor="text1" w:themeTint="F2"/>
                <w:sz w:val="20"/>
                <w:szCs w:val="20"/>
              </w:rPr>
              <w:t xml:space="preserve">Sipas </w:t>
            </w:r>
            <w:r w:rsidR="009D5D31" w:rsidRPr="00770F9D">
              <w:rPr>
                <w:rFonts w:ascii="Garamond" w:hAnsi="Garamond" w:cstheme="majorBidi"/>
                <w:b/>
                <w:i/>
                <w:color w:val="0D0D0D" w:themeColor="text1" w:themeTint="F2"/>
                <w:sz w:val="20"/>
                <w:szCs w:val="20"/>
              </w:rPr>
              <w:t>shpenzimeve:</w:t>
            </w:r>
          </w:p>
        </w:tc>
      </w:tr>
      <w:tr w:rsidR="009D5D31" w:rsidRPr="00770F9D" w14:paraId="6A6B74F4" w14:textId="77777777" w:rsidTr="00B5530D">
        <w:trPr>
          <w:trHeight w:val="255"/>
          <w:jc w:val="center"/>
        </w:trPr>
        <w:tc>
          <w:tcPr>
            <w:tcW w:w="4070" w:type="dxa"/>
          </w:tcPr>
          <w:p w14:paraId="7303EE62" w14:textId="59F2121A"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xml:space="preserve">Konsum </w:t>
            </w:r>
            <w:r w:rsidR="00B5530D" w:rsidRPr="00770F9D">
              <w:rPr>
                <w:rFonts w:ascii="Garamond" w:hAnsi="Garamond" w:cstheme="majorBidi"/>
                <w:color w:val="0D0D0D" w:themeColor="text1" w:themeTint="F2"/>
                <w:sz w:val="20"/>
                <w:szCs w:val="20"/>
              </w:rPr>
              <w:t>privat</w:t>
            </w:r>
          </w:p>
        </w:tc>
        <w:tc>
          <w:tcPr>
            <w:tcW w:w="979" w:type="dxa"/>
            <w:vAlign w:val="center"/>
          </w:tcPr>
          <w:p w14:paraId="78DD08CE"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-2.1</w:t>
            </w:r>
          </w:p>
        </w:tc>
        <w:tc>
          <w:tcPr>
            <w:tcW w:w="918" w:type="dxa"/>
            <w:vAlign w:val="center"/>
          </w:tcPr>
          <w:p w14:paraId="52A7B38E"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7.4</w:t>
            </w:r>
          </w:p>
        </w:tc>
        <w:tc>
          <w:tcPr>
            <w:tcW w:w="917" w:type="dxa"/>
            <w:vAlign w:val="center"/>
          </w:tcPr>
          <w:p w14:paraId="06A03E02"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4.1</w:t>
            </w:r>
          </w:p>
        </w:tc>
        <w:tc>
          <w:tcPr>
            <w:tcW w:w="922" w:type="dxa"/>
            <w:vAlign w:val="center"/>
          </w:tcPr>
          <w:p w14:paraId="4C778A06"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4.2</w:t>
            </w:r>
          </w:p>
        </w:tc>
        <w:tc>
          <w:tcPr>
            <w:tcW w:w="917" w:type="dxa"/>
            <w:vAlign w:val="center"/>
          </w:tcPr>
          <w:p w14:paraId="20F6E3F8"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7.0</w:t>
            </w:r>
          </w:p>
        </w:tc>
        <w:tc>
          <w:tcPr>
            <w:tcW w:w="1020" w:type="dxa"/>
            <w:vAlign w:val="center"/>
          </w:tcPr>
          <w:p w14:paraId="3A946820"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6.7</w:t>
            </w:r>
          </w:p>
        </w:tc>
      </w:tr>
      <w:tr w:rsidR="009D5D31" w:rsidRPr="00770F9D" w14:paraId="7EEC183F" w14:textId="77777777" w:rsidTr="00B5530D">
        <w:trPr>
          <w:trHeight w:val="255"/>
          <w:jc w:val="center"/>
        </w:trPr>
        <w:tc>
          <w:tcPr>
            <w:tcW w:w="4070" w:type="dxa"/>
          </w:tcPr>
          <w:p w14:paraId="3772B2F8" w14:textId="073212D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xml:space="preserve">Konsum </w:t>
            </w:r>
            <w:r w:rsidR="00B5530D" w:rsidRPr="00770F9D">
              <w:rPr>
                <w:rFonts w:ascii="Garamond" w:hAnsi="Garamond" w:cstheme="majorBidi"/>
                <w:color w:val="0D0D0D" w:themeColor="text1" w:themeTint="F2"/>
                <w:sz w:val="20"/>
                <w:szCs w:val="20"/>
              </w:rPr>
              <w:t>publik</w:t>
            </w:r>
          </w:p>
        </w:tc>
        <w:tc>
          <w:tcPr>
            <w:tcW w:w="979" w:type="dxa"/>
            <w:vAlign w:val="center"/>
          </w:tcPr>
          <w:p w14:paraId="4648B760"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0.9</w:t>
            </w:r>
          </w:p>
        </w:tc>
        <w:tc>
          <w:tcPr>
            <w:tcW w:w="918" w:type="dxa"/>
            <w:vAlign w:val="center"/>
          </w:tcPr>
          <w:p w14:paraId="6EAFAB33"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1.5</w:t>
            </w:r>
          </w:p>
        </w:tc>
        <w:tc>
          <w:tcPr>
            <w:tcW w:w="917" w:type="dxa"/>
            <w:vAlign w:val="center"/>
          </w:tcPr>
          <w:p w14:paraId="6447AEBF"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0.7</w:t>
            </w:r>
          </w:p>
        </w:tc>
        <w:tc>
          <w:tcPr>
            <w:tcW w:w="922" w:type="dxa"/>
            <w:vAlign w:val="center"/>
          </w:tcPr>
          <w:p w14:paraId="2D07D2E5"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0.8</w:t>
            </w:r>
          </w:p>
        </w:tc>
        <w:tc>
          <w:tcPr>
            <w:tcW w:w="917" w:type="dxa"/>
            <w:vAlign w:val="center"/>
          </w:tcPr>
          <w:p w14:paraId="2032582F"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-0.6</w:t>
            </w:r>
          </w:p>
        </w:tc>
        <w:tc>
          <w:tcPr>
            <w:tcW w:w="1020" w:type="dxa"/>
            <w:vAlign w:val="center"/>
          </w:tcPr>
          <w:p w14:paraId="466DD75E"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-1.0</w:t>
            </w:r>
          </w:p>
        </w:tc>
      </w:tr>
      <w:tr w:rsidR="009D5D31" w:rsidRPr="00770F9D" w14:paraId="3554181D" w14:textId="77777777" w:rsidTr="00B5530D">
        <w:trPr>
          <w:trHeight w:val="274"/>
          <w:jc w:val="center"/>
        </w:trPr>
        <w:tc>
          <w:tcPr>
            <w:tcW w:w="4070" w:type="dxa"/>
          </w:tcPr>
          <w:p w14:paraId="426B26B1"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Investime</w:t>
            </w:r>
          </w:p>
        </w:tc>
        <w:tc>
          <w:tcPr>
            <w:tcW w:w="979" w:type="dxa"/>
            <w:vAlign w:val="center"/>
          </w:tcPr>
          <w:p w14:paraId="23B82D3E"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4.0</w:t>
            </w:r>
          </w:p>
        </w:tc>
        <w:tc>
          <w:tcPr>
            <w:tcW w:w="918" w:type="dxa"/>
            <w:vAlign w:val="center"/>
          </w:tcPr>
          <w:p w14:paraId="6BAC6E4D"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8.7</w:t>
            </w:r>
          </w:p>
        </w:tc>
        <w:tc>
          <w:tcPr>
            <w:tcW w:w="917" w:type="dxa"/>
            <w:vAlign w:val="center"/>
          </w:tcPr>
          <w:p w14:paraId="51106473"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1.1</w:t>
            </w:r>
          </w:p>
        </w:tc>
        <w:tc>
          <w:tcPr>
            <w:tcW w:w="922" w:type="dxa"/>
            <w:vAlign w:val="center"/>
          </w:tcPr>
          <w:p w14:paraId="7CEA7FF1"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4.7</w:t>
            </w:r>
          </w:p>
        </w:tc>
        <w:tc>
          <w:tcPr>
            <w:tcW w:w="917" w:type="dxa"/>
            <w:vAlign w:val="center"/>
          </w:tcPr>
          <w:p w14:paraId="4B3B3D88"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3.3</w:t>
            </w:r>
          </w:p>
        </w:tc>
        <w:tc>
          <w:tcPr>
            <w:tcW w:w="1020" w:type="dxa"/>
            <w:vAlign w:val="center"/>
          </w:tcPr>
          <w:p w14:paraId="3AB46359"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-1.8</w:t>
            </w:r>
          </w:p>
        </w:tc>
      </w:tr>
      <w:tr w:rsidR="009D5D31" w:rsidRPr="00770F9D" w14:paraId="38A9637F" w14:textId="77777777" w:rsidTr="00B5530D">
        <w:trPr>
          <w:trHeight w:val="255"/>
          <w:jc w:val="center"/>
        </w:trPr>
        <w:tc>
          <w:tcPr>
            <w:tcW w:w="4070" w:type="dxa"/>
          </w:tcPr>
          <w:p w14:paraId="762DCEA6"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Eksporte neto</w:t>
            </w:r>
          </w:p>
        </w:tc>
        <w:tc>
          <w:tcPr>
            <w:tcW w:w="979" w:type="dxa"/>
            <w:vAlign w:val="center"/>
          </w:tcPr>
          <w:p w14:paraId="565DA665"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-2.9</w:t>
            </w:r>
          </w:p>
        </w:tc>
        <w:tc>
          <w:tcPr>
            <w:tcW w:w="918" w:type="dxa"/>
            <w:vAlign w:val="center"/>
          </w:tcPr>
          <w:p w14:paraId="61C566B4"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3.3</w:t>
            </w:r>
          </w:p>
        </w:tc>
        <w:tc>
          <w:tcPr>
            <w:tcW w:w="917" w:type="dxa"/>
            <w:vAlign w:val="center"/>
          </w:tcPr>
          <w:p w14:paraId="6D01E473"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2.1</w:t>
            </w:r>
          </w:p>
        </w:tc>
        <w:tc>
          <w:tcPr>
            <w:tcW w:w="922" w:type="dxa"/>
            <w:vAlign w:val="center"/>
          </w:tcPr>
          <w:p w14:paraId="7CA6008B"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-7.2</w:t>
            </w:r>
          </w:p>
        </w:tc>
        <w:tc>
          <w:tcPr>
            <w:tcW w:w="917" w:type="dxa"/>
            <w:vAlign w:val="center"/>
          </w:tcPr>
          <w:p w14:paraId="076FBC93"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-0.4</w:t>
            </w:r>
          </w:p>
        </w:tc>
        <w:tc>
          <w:tcPr>
            <w:tcW w:w="1020" w:type="dxa"/>
            <w:vAlign w:val="center"/>
          </w:tcPr>
          <w:p w14:paraId="64A2126A"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-4.2</w:t>
            </w:r>
          </w:p>
        </w:tc>
      </w:tr>
      <w:tr w:rsidR="009D5D31" w:rsidRPr="00770F9D" w14:paraId="24F549C1" w14:textId="77777777" w:rsidTr="00B5530D">
        <w:trPr>
          <w:trHeight w:val="274"/>
          <w:jc w:val="center"/>
        </w:trPr>
        <w:tc>
          <w:tcPr>
            <w:tcW w:w="4070" w:type="dxa"/>
          </w:tcPr>
          <w:p w14:paraId="555AC3B2"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Inventarë dhe mospërputhje statistikore</w:t>
            </w:r>
          </w:p>
        </w:tc>
        <w:tc>
          <w:tcPr>
            <w:tcW w:w="979" w:type="dxa"/>
            <w:vAlign w:val="center"/>
          </w:tcPr>
          <w:p w14:paraId="16126539"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4.3</w:t>
            </w:r>
          </w:p>
        </w:tc>
        <w:tc>
          <w:tcPr>
            <w:tcW w:w="918" w:type="dxa"/>
            <w:vAlign w:val="center"/>
          </w:tcPr>
          <w:p w14:paraId="5AC20237"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-3.2</w:t>
            </w:r>
          </w:p>
        </w:tc>
        <w:tc>
          <w:tcPr>
            <w:tcW w:w="917" w:type="dxa"/>
            <w:vAlign w:val="center"/>
          </w:tcPr>
          <w:p w14:paraId="5FDBCEE5"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-1.3</w:t>
            </w:r>
          </w:p>
        </w:tc>
        <w:tc>
          <w:tcPr>
            <w:tcW w:w="922" w:type="dxa"/>
            <w:vAlign w:val="center"/>
          </w:tcPr>
          <w:p w14:paraId="0E9D1C02"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3.0</w:t>
            </w:r>
          </w:p>
        </w:tc>
        <w:tc>
          <w:tcPr>
            <w:tcW w:w="917" w:type="dxa"/>
            <w:vAlign w:val="center"/>
          </w:tcPr>
          <w:p w14:paraId="3C483305"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-2.8</w:t>
            </w:r>
          </w:p>
        </w:tc>
        <w:tc>
          <w:tcPr>
            <w:tcW w:w="1020" w:type="dxa"/>
            <w:vAlign w:val="center"/>
          </w:tcPr>
          <w:p w14:paraId="38DA2CCB"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2.4</w:t>
            </w:r>
          </w:p>
        </w:tc>
      </w:tr>
      <w:tr w:rsidR="009D5D31" w:rsidRPr="00770F9D" w14:paraId="031FF18A" w14:textId="77777777" w:rsidTr="00B5530D">
        <w:trPr>
          <w:trHeight w:val="255"/>
          <w:jc w:val="center"/>
        </w:trPr>
        <w:tc>
          <w:tcPr>
            <w:tcW w:w="4070" w:type="dxa"/>
          </w:tcPr>
          <w:p w14:paraId="711B3B11" w14:textId="77777777" w:rsidR="009D5D31" w:rsidRPr="00770F9D" w:rsidRDefault="009D5D31" w:rsidP="003A3F5E">
            <w:pPr>
              <w:widowControl/>
              <w:jc w:val="both"/>
              <w:rPr>
                <w:rFonts w:ascii="Garamond" w:hAnsi="Garamond" w:cstheme="majorBidi"/>
                <w:b/>
                <w:color w:val="0D0D0D" w:themeColor="text1" w:themeTint="F2"/>
                <w:sz w:val="20"/>
                <w:szCs w:val="20"/>
              </w:rPr>
            </w:pPr>
            <w:r w:rsidRPr="00770F9D">
              <w:rPr>
                <w:rFonts w:ascii="Garamond" w:hAnsi="Garamond" w:cstheme="majorBidi"/>
                <w:b/>
                <w:color w:val="0D0D0D" w:themeColor="text1" w:themeTint="F2"/>
                <w:sz w:val="20"/>
                <w:szCs w:val="20"/>
              </w:rPr>
              <w:t>Rritja reale e PBB-së (vjetore në %)</w:t>
            </w:r>
          </w:p>
        </w:tc>
        <w:tc>
          <w:tcPr>
            <w:tcW w:w="979" w:type="dxa"/>
            <w:vAlign w:val="center"/>
          </w:tcPr>
          <w:p w14:paraId="3CB5DFBB"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4.2</w:t>
            </w:r>
          </w:p>
        </w:tc>
        <w:tc>
          <w:tcPr>
            <w:tcW w:w="918" w:type="dxa"/>
            <w:vAlign w:val="center"/>
          </w:tcPr>
          <w:p w14:paraId="2854D9C8"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17.6</w:t>
            </w:r>
          </w:p>
        </w:tc>
        <w:tc>
          <w:tcPr>
            <w:tcW w:w="917" w:type="dxa"/>
            <w:vAlign w:val="center"/>
          </w:tcPr>
          <w:p w14:paraId="5A33A71F"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6.8</w:t>
            </w:r>
          </w:p>
        </w:tc>
        <w:tc>
          <w:tcPr>
            <w:tcW w:w="922" w:type="dxa"/>
            <w:vAlign w:val="center"/>
          </w:tcPr>
          <w:p w14:paraId="0A9F2575"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5.5</w:t>
            </w:r>
          </w:p>
        </w:tc>
        <w:tc>
          <w:tcPr>
            <w:tcW w:w="917" w:type="dxa"/>
            <w:vAlign w:val="center"/>
          </w:tcPr>
          <w:p w14:paraId="166CC123"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6.5</w:t>
            </w:r>
          </w:p>
        </w:tc>
        <w:tc>
          <w:tcPr>
            <w:tcW w:w="1020" w:type="dxa"/>
            <w:vAlign w:val="center"/>
          </w:tcPr>
          <w:p w14:paraId="653A2811" w14:textId="77777777" w:rsidR="009D5D31" w:rsidRPr="00770F9D" w:rsidRDefault="009D5D31" w:rsidP="003A3F5E">
            <w:pPr>
              <w:widowControl/>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2.2</w:t>
            </w:r>
          </w:p>
        </w:tc>
      </w:tr>
    </w:tbl>
    <w:p w14:paraId="7B81FB0B" w14:textId="109E1857" w:rsidR="009D5D31" w:rsidRPr="00770F9D" w:rsidRDefault="009D5D31" w:rsidP="00B5530D">
      <w:pPr>
        <w:autoSpaceDE w:val="0"/>
        <w:autoSpaceDN w:val="0"/>
        <w:adjustRightInd w:val="0"/>
        <w:ind w:firstLine="284"/>
        <w:jc w:val="cente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Burimi: INSTAT</w:t>
      </w:r>
      <w:r w:rsidR="00B5530D" w:rsidRPr="00770F9D">
        <w:rPr>
          <w:rFonts w:ascii="Garamond" w:hAnsi="Garamond" w:cstheme="majorBidi"/>
          <w:color w:val="0D0D0D" w:themeColor="text1" w:themeTint="F2"/>
          <w:sz w:val="20"/>
          <w:szCs w:val="20"/>
        </w:rPr>
        <w:t>:</w:t>
      </w:r>
      <w:r w:rsidRPr="00770F9D">
        <w:rPr>
          <w:rFonts w:ascii="Garamond" w:hAnsi="Garamond" w:cstheme="majorBidi"/>
          <w:color w:val="0D0D0D" w:themeColor="text1" w:themeTint="F2"/>
          <w:sz w:val="20"/>
          <w:szCs w:val="20"/>
        </w:rPr>
        <w:t xml:space="preserve"> *</w:t>
      </w:r>
      <w:r w:rsidR="00B5530D" w:rsidRPr="00770F9D">
        <w:rPr>
          <w:rFonts w:ascii="Garamond" w:hAnsi="Garamond" w:cstheme="majorBidi"/>
          <w:color w:val="0D0D0D" w:themeColor="text1" w:themeTint="F2"/>
          <w:sz w:val="20"/>
          <w:szCs w:val="20"/>
        </w:rPr>
        <w:t xml:space="preserve">Të </w:t>
      </w:r>
      <w:r w:rsidRPr="00770F9D">
        <w:rPr>
          <w:rFonts w:ascii="Garamond" w:hAnsi="Garamond" w:cstheme="majorBidi"/>
          <w:color w:val="0D0D0D" w:themeColor="text1" w:themeTint="F2"/>
          <w:sz w:val="20"/>
          <w:szCs w:val="20"/>
        </w:rPr>
        <w:t>dhëna gjysm</w:t>
      </w:r>
      <w:r w:rsidR="00B5530D" w:rsidRPr="00770F9D">
        <w:rPr>
          <w:rFonts w:ascii="Garamond" w:hAnsi="Garamond" w:cstheme="majorBidi"/>
          <w:color w:val="0D0D0D" w:themeColor="text1" w:themeTint="F2"/>
          <w:sz w:val="20"/>
          <w:szCs w:val="20"/>
        </w:rPr>
        <w:t>ëpërfundimtare</w:t>
      </w:r>
      <w:r w:rsidRPr="00770F9D">
        <w:rPr>
          <w:rFonts w:ascii="Garamond" w:hAnsi="Garamond" w:cstheme="majorBidi"/>
          <w:color w:val="0D0D0D" w:themeColor="text1" w:themeTint="F2"/>
          <w:sz w:val="20"/>
          <w:szCs w:val="20"/>
        </w:rPr>
        <w:t xml:space="preserve"> **</w:t>
      </w:r>
      <w:r w:rsidR="00B5530D" w:rsidRPr="00770F9D">
        <w:rPr>
          <w:rFonts w:ascii="Garamond" w:hAnsi="Garamond" w:cstheme="majorBidi"/>
          <w:color w:val="0D0D0D" w:themeColor="text1" w:themeTint="F2"/>
          <w:sz w:val="20"/>
          <w:szCs w:val="20"/>
        </w:rPr>
        <w:t>Të dhëna paraprak</w:t>
      </w:r>
    </w:p>
    <w:p w14:paraId="1C1879A8" w14:textId="77777777" w:rsidR="00B5530D" w:rsidRPr="00770F9D" w:rsidRDefault="00B5530D" w:rsidP="005674F2">
      <w:pPr>
        <w:ind w:firstLine="284"/>
        <w:jc w:val="both"/>
        <w:rPr>
          <w:rFonts w:ascii="Garamond" w:hAnsi="Garamond" w:cstheme="majorBidi"/>
          <w:color w:val="0D0D0D" w:themeColor="text1" w:themeTint="F2"/>
        </w:rPr>
      </w:pPr>
    </w:p>
    <w:p w14:paraId="76EBEDA2" w14:textId="36B3C91B" w:rsidR="009D5D31" w:rsidRPr="00770F9D" w:rsidRDefault="009D5D31" w:rsidP="00100D3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Kërkesa e brendshme u rrit në terma vjetorë me 5.9% gjatë gjysmës së par</w:t>
      </w:r>
      <w:r w:rsidR="00100D32" w:rsidRPr="00770F9D">
        <w:rPr>
          <w:rFonts w:ascii="Garamond" w:hAnsi="Garamond" w:cstheme="majorBidi"/>
          <w:color w:val="0D0D0D" w:themeColor="text1" w:themeTint="F2"/>
        </w:rPr>
        <w:t>ë</w:t>
      </w:r>
      <w:r w:rsidRPr="00770F9D">
        <w:rPr>
          <w:rFonts w:ascii="Garamond" w:hAnsi="Garamond" w:cstheme="majorBidi"/>
          <w:color w:val="0D0D0D" w:themeColor="text1" w:themeTint="F2"/>
        </w:rPr>
        <w:t xml:space="preserve"> të vitit 2022. Përsëri, normat e rritjes janë të ndryshme nga një tremujor në tjetrin. Në 2022T1, rritja shënoi 8.8%, por ra në 3.6% gjatë tremujorit të dytë. Kjo lidhet kryesisht me ecurinë e </w:t>
      </w:r>
      <w:r w:rsidR="00100D32" w:rsidRPr="00770F9D">
        <w:rPr>
          <w:rFonts w:ascii="Garamond" w:hAnsi="Garamond" w:cstheme="majorBidi"/>
          <w:color w:val="0D0D0D" w:themeColor="text1" w:themeTint="F2"/>
        </w:rPr>
        <w:t>investimeve</w:t>
      </w:r>
      <w:r w:rsidRPr="00770F9D">
        <w:rPr>
          <w:rFonts w:ascii="Garamond" w:hAnsi="Garamond" w:cstheme="majorBidi"/>
          <w:color w:val="0D0D0D" w:themeColor="text1" w:themeTint="F2"/>
        </w:rPr>
        <w:t xml:space="preserve">. Pasi u rritën me 16.6% në 2022T1, investimet u tkurrën me 6.7% në 2022T2, duke reflektuar ecurinë e sektorit të ndërtimit (investimet në ndërtim përbëjnë peshën kryesore në total). Kontributi i investimeve në rritje ra në -1.8 </w:t>
      </w:r>
      <w:r w:rsidR="00EE365D" w:rsidRPr="00770F9D">
        <w:rPr>
          <w:rFonts w:ascii="Garamond" w:hAnsi="Garamond" w:cstheme="majorBidi"/>
          <w:color w:val="0D0D0D" w:themeColor="text1" w:themeTint="F2"/>
        </w:rPr>
        <w:t>pikë përqindjeje</w:t>
      </w:r>
      <w:r w:rsidRPr="00770F9D">
        <w:rPr>
          <w:rFonts w:ascii="Garamond" w:hAnsi="Garamond" w:cstheme="majorBidi"/>
          <w:color w:val="0D0D0D" w:themeColor="text1" w:themeTint="F2"/>
        </w:rPr>
        <w:t xml:space="preserve"> nga 3.3 </w:t>
      </w:r>
      <w:r w:rsidR="00EE365D" w:rsidRPr="00770F9D">
        <w:rPr>
          <w:rFonts w:ascii="Garamond" w:hAnsi="Garamond" w:cstheme="majorBidi"/>
          <w:color w:val="0D0D0D" w:themeColor="text1" w:themeTint="F2"/>
        </w:rPr>
        <w:t>pikë përqindjeje</w:t>
      </w:r>
      <w:r w:rsidRPr="00770F9D">
        <w:rPr>
          <w:rFonts w:ascii="Garamond" w:hAnsi="Garamond" w:cstheme="majorBidi"/>
          <w:color w:val="0D0D0D" w:themeColor="text1" w:themeTint="F2"/>
        </w:rPr>
        <w:t xml:space="preserve"> në 2022T1. Kontribute negative erdhën edhe nga Konsumi Publik përgjatë gjithë gjysmës së parë të vitit. Rënia vjetore shënon 6.9% me një kontribut -0.8 </w:t>
      </w:r>
      <w:r w:rsidR="00EE365D" w:rsidRPr="00770F9D">
        <w:rPr>
          <w:rFonts w:ascii="Garamond" w:hAnsi="Garamond" w:cstheme="majorBidi"/>
          <w:color w:val="0D0D0D" w:themeColor="text1" w:themeTint="F2"/>
        </w:rPr>
        <w:t>pikë përqindjeje</w:t>
      </w:r>
      <w:r w:rsidRPr="00770F9D">
        <w:rPr>
          <w:rFonts w:ascii="Garamond" w:hAnsi="Garamond" w:cstheme="majorBidi"/>
          <w:color w:val="0D0D0D" w:themeColor="text1" w:themeTint="F2"/>
        </w:rPr>
        <w:t xml:space="preserve">. Nga ana tjetër, Konsumi i Popullatës ka shfaqur rritje të lartë dhe të qëndrueshme duke u rritur në terma vjetorë me 9.1% gjatë gjysmës së parë të vitit, me një kontribut 7.0 </w:t>
      </w:r>
      <w:r w:rsidR="00EE365D" w:rsidRPr="00770F9D">
        <w:rPr>
          <w:rFonts w:ascii="Garamond" w:hAnsi="Garamond" w:cstheme="majorBidi"/>
          <w:color w:val="0D0D0D" w:themeColor="text1" w:themeTint="F2"/>
        </w:rPr>
        <w:t>pikë përqindjeje</w:t>
      </w:r>
      <w:r w:rsidRPr="00770F9D">
        <w:rPr>
          <w:rFonts w:ascii="Garamond" w:hAnsi="Garamond" w:cstheme="majorBidi"/>
          <w:color w:val="0D0D0D" w:themeColor="text1" w:themeTint="F2"/>
        </w:rPr>
        <w:t xml:space="preserve">. Së fundi, eksportet neto kanë dhënë një kontribut negativ i cili ka ardhur në thellim gjatë 2022T2. Deficiti është zgjeruar në terma realë vjetorë me 21.5% në 2021-GJ1 dhe 41.3% në 2022T2. Megjithëse të dhënat </w:t>
      </w:r>
      <w:r w:rsidR="00275A79" w:rsidRPr="00770F9D">
        <w:rPr>
          <w:rFonts w:ascii="Garamond" w:hAnsi="Garamond" w:cstheme="majorBidi"/>
          <w:color w:val="0D0D0D" w:themeColor="text1" w:themeTint="F2"/>
        </w:rPr>
        <w:t>nga bilanci i pagesa</w:t>
      </w:r>
      <w:r w:rsidRPr="00770F9D">
        <w:rPr>
          <w:rFonts w:ascii="Garamond" w:hAnsi="Garamond" w:cstheme="majorBidi"/>
          <w:color w:val="0D0D0D" w:themeColor="text1" w:themeTint="F2"/>
        </w:rPr>
        <w:t>ve dhe nga PBB-ja dëshmojnë për ngushtim të deficitit tregtar në terma nominalë, deflatorët më të lartë të eksportit krahasuar me importin, kanë përmbysur ecurinë kur flitet për terma realë.</w:t>
      </w:r>
    </w:p>
    <w:p w14:paraId="0211A697" w14:textId="77777777" w:rsidR="00485B0B" w:rsidRPr="00770F9D" w:rsidRDefault="00485B0B" w:rsidP="005674F2">
      <w:pPr>
        <w:ind w:firstLine="284"/>
        <w:jc w:val="both"/>
        <w:rPr>
          <w:rFonts w:ascii="Garamond" w:hAnsi="Garamond" w:cstheme="majorBidi"/>
          <w:color w:val="0D0D0D" w:themeColor="text1" w:themeTint="F2"/>
        </w:rPr>
      </w:pPr>
    </w:p>
    <w:p w14:paraId="5D65CCC5" w14:textId="693A1298" w:rsidR="009D5D31" w:rsidRPr="00770F9D" w:rsidRDefault="00A256CE" w:rsidP="00485B0B">
      <w:pPr>
        <w:ind w:firstLine="284"/>
        <w:jc w:val="center"/>
        <w:rPr>
          <w:rFonts w:ascii="Garamond" w:hAnsi="Garamond" w:cstheme="majorBidi"/>
          <w:i/>
          <w:iCs/>
          <w:color w:val="0D0D0D" w:themeColor="text1" w:themeTint="F2"/>
          <w:sz w:val="20"/>
          <w:szCs w:val="20"/>
        </w:rPr>
      </w:pPr>
      <w:r w:rsidRPr="00770F9D">
        <w:rPr>
          <w:rFonts w:ascii="Garamond" w:hAnsi="Garamond" w:cstheme="majorBidi"/>
          <w:noProof/>
          <w:color w:val="0D0D0D" w:themeColor="text1" w:themeTint="F2"/>
          <w:sz w:val="20"/>
          <w:szCs w:val="20"/>
          <w:lang w:eastAsia="sq-AL"/>
        </w:rPr>
        <w:drawing>
          <wp:anchor distT="0" distB="0" distL="114300" distR="114300" simplePos="0" relativeHeight="251658255" behindDoc="0" locked="0" layoutInCell="1" allowOverlap="1" wp14:anchorId="18B07DE8" wp14:editId="33AE75A5">
            <wp:simplePos x="0" y="0"/>
            <wp:positionH relativeFrom="column">
              <wp:posOffset>-151130</wp:posOffset>
            </wp:positionH>
            <wp:positionV relativeFrom="paragraph">
              <wp:posOffset>179070</wp:posOffset>
            </wp:positionV>
            <wp:extent cx="6038215" cy="2419350"/>
            <wp:effectExtent l="0" t="0" r="635" b="0"/>
            <wp:wrapTopAndBottom/>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038215" cy="2419350"/>
                    </a:xfrm>
                    <a:prstGeom prst="rect">
                      <a:avLst/>
                    </a:prstGeom>
                    <a:noFill/>
                  </pic:spPr>
                </pic:pic>
              </a:graphicData>
            </a:graphic>
            <wp14:sizeRelH relativeFrom="page">
              <wp14:pctWidth>0</wp14:pctWidth>
            </wp14:sizeRelH>
            <wp14:sizeRelV relativeFrom="page">
              <wp14:pctHeight>0</wp14:pctHeight>
            </wp14:sizeRelV>
          </wp:anchor>
        </w:drawing>
      </w:r>
      <w:r w:rsidR="009D5D31" w:rsidRPr="00770F9D">
        <w:rPr>
          <w:rFonts w:ascii="Garamond" w:hAnsi="Garamond" w:cstheme="majorBidi"/>
          <w:b/>
          <w:bCs/>
          <w:i/>
          <w:iCs/>
          <w:color w:val="0D0D0D" w:themeColor="text1" w:themeTint="F2"/>
          <w:sz w:val="20"/>
          <w:szCs w:val="20"/>
        </w:rPr>
        <w:t>Grafik 3.1.3:</w:t>
      </w:r>
      <w:r w:rsidR="009D5D31" w:rsidRPr="00770F9D">
        <w:rPr>
          <w:rFonts w:ascii="Garamond" w:hAnsi="Garamond" w:cstheme="majorBidi"/>
          <w:i/>
          <w:iCs/>
          <w:color w:val="0D0D0D" w:themeColor="text1" w:themeTint="F2"/>
          <w:sz w:val="20"/>
          <w:szCs w:val="20"/>
        </w:rPr>
        <w:t xml:space="preserve"> Rritja reale e PBB-së nga kahu i shpenzimeve</w:t>
      </w:r>
    </w:p>
    <w:p w14:paraId="7585A68B" w14:textId="4F685839" w:rsidR="009D5D31" w:rsidRPr="00770F9D" w:rsidRDefault="009D5D31" w:rsidP="009B6363">
      <w:pPr>
        <w:autoSpaceDE w:val="0"/>
        <w:autoSpaceDN w:val="0"/>
        <w:adjustRightInd w:val="0"/>
        <w:ind w:firstLine="284"/>
        <w:jc w:val="cente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Burimi: INSTAT</w:t>
      </w:r>
      <w:r w:rsidR="009B6363" w:rsidRPr="00770F9D">
        <w:rPr>
          <w:rFonts w:ascii="Garamond" w:hAnsi="Garamond" w:cstheme="majorBidi"/>
          <w:color w:val="0D0D0D" w:themeColor="text1" w:themeTint="F2"/>
          <w:sz w:val="20"/>
          <w:szCs w:val="20"/>
        </w:rPr>
        <w:t>:</w:t>
      </w:r>
      <w:r w:rsidRPr="00770F9D">
        <w:rPr>
          <w:rFonts w:ascii="Garamond" w:hAnsi="Garamond" w:cstheme="majorBidi"/>
          <w:color w:val="0D0D0D" w:themeColor="text1" w:themeTint="F2"/>
          <w:sz w:val="20"/>
          <w:szCs w:val="20"/>
        </w:rPr>
        <w:t>*të dhëna gjysm</w:t>
      </w:r>
      <w:r w:rsidR="004E3B8A" w:rsidRPr="00770F9D">
        <w:rPr>
          <w:rFonts w:ascii="Garamond" w:hAnsi="Garamond" w:cstheme="majorBidi"/>
          <w:color w:val="0D0D0D" w:themeColor="text1" w:themeTint="F2"/>
          <w:sz w:val="20"/>
          <w:szCs w:val="20"/>
        </w:rPr>
        <w:t>ë</w:t>
      </w:r>
      <w:r w:rsidR="009B6363" w:rsidRPr="00770F9D">
        <w:rPr>
          <w:rFonts w:ascii="Garamond" w:hAnsi="Garamond" w:cstheme="majorBidi"/>
          <w:color w:val="0D0D0D" w:themeColor="text1" w:themeTint="F2"/>
          <w:sz w:val="20"/>
          <w:szCs w:val="20"/>
        </w:rPr>
        <w:t>përfundimtare</w:t>
      </w:r>
      <w:r w:rsidRPr="00770F9D">
        <w:rPr>
          <w:rFonts w:ascii="Garamond" w:hAnsi="Garamond" w:cstheme="majorBidi"/>
          <w:color w:val="0D0D0D" w:themeColor="text1" w:themeTint="F2"/>
          <w:sz w:val="20"/>
          <w:szCs w:val="20"/>
        </w:rPr>
        <w:t xml:space="preserve"> **</w:t>
      </w:r>
      <w:r w:rsidR="009B6363" w:rsidRPr="00770F9D">
        <w:rPr>
          <w:rFonts w:ascii="Garamond" w:hAnsi="Garamond" w:cstheme="majorBidi"/>
          <w:color w:val="0D0D0D" w:themeColor="text1" w:themeTint="F2"/>
          <w:sz w:val="20"/>
          <w:szCs w:val="20"/>
        </w:rPr>
        <w:t>Të dhëna paraprake</w:t>
      </w:r>
    </w:p>
    <w:p w14:paraId="60AD7720" w14:textId="77777777" w:rsidR="00A256CE" w:rsidRPr="00770F9D" w:rsidRDefault="00A256CE" w:rsidP="009B6363">
      <w:pPr>
        <w:autoSpaceDE w:val="0"/>
        <w:autoSpaceDN w:val="0"/>
        <w:adjustRightInd w:val="0"/>
        <w:ind w:firstLine="284"/>
        <w:jc w:val="center"/>
        <w:rPr>
          <w:rFonts w:ascii="Garamond" w:hAnsi="Garamond" w:cstheme="majorBidi"/>
          <w:color w:val="0D0D0D" w:themeColor="text1" w:themeTint="F2"/>
        </w:rPr>
      </w:pPr>
    </w:p>
    <w:p w14:paraId="461C6D92" w14:textId="7BB45295" w:rsidR="009D5D31" w:rsidRPr="00770F9D" w:rsidRDefault="009D5D31" w:rsidP="000A4FEE">
      <w:pPr>
        <w:ind w:firstLine="284"/>
        <w:jc w:val="both"/>
        <w:rPr>
          <w:rFonts w:ascii="Garamond" w:hAnsi="Garamond" w:cstheme="majorBidi"/>
          <w:color w:val="0D0D0D" w:themeColor="text1" w:themeTint="F2"/>
        </w:rPr>
      </w:pPr>
      <w:r w:rsidRPr="00770F9D">
        <w:rPr>
          <w:rFonts w:ascii="Garamond" w:hAnsi="Garamond" w:cstheme="majorBidi"/>
          <w:i/>
          <w:color w:val="0D0D0D" w:themeColor="text1" w:themeTint="F2"/>
        </w:rPr>
        <w:t>Gjatë vitit 2022, treguesit e tregut të punës</w:t>
      </w:r>
      <w:r w:rsidRPr="00770F9D">
        <w:rPr>
          <w:rFonts w:ascii="Garamond" w:hAnsi="Garamond" w:cstheme="majorBidi"/>
          <w:color w:val="0D0D0D" w:themeColor="text1" w:themeTint="F2"/>
        </w:rPr>
        <w:t xml:space="preserve"> janë përmirësuar ndjeshëm. Në vitin 2021, tregu i punës reagoi ngadalë në periudhën post-pandemi. Por, ka arritur të </w:t>
      </w:r>
      <w:r w:rsidR="000A4FEE" w:rsidRPr="00770F9D">
        <w:rPr>
          <w:rFonts w:ascii="Garamond" w:hAnsi="Garamond" w:cstheme="majorBidi"/>
          <w:color w:val="0D0D0D" w:themeColor="text1" w:themeTint="F2"/>
        </w:rPr>
        <w:t>rikuperojë</w:t>
      </w:r>
      <w:r w:rsidRPr="00770F9D">
        <w:rPr>
          <w:rFonts w:ascii="Garamond" w:hAnsi="Garamond" w:cstheme="majorBidi"/>
          <w:color w:val="0D0D0D" w:themeColor="text1" w:themeTint="F2"/>
        </w:rPr>
        <w:t xml:space="preserve"> gjatë gjysmës së parë të vitit 2022. Punësimi është rritur me 3.7% gjatë kësaj periudhe nga niveli 0.5% në vitin 2021. Kontributet pozitive janë me bazë të gjerë dhe përfshijnë edhe sektorin e Bujqësisë, e cila shfaqi tkurrje në punësim përgjatë vitit 2021. Në 2022T2, numri i të punësuarve është rritur përherë</w:t>
      </w:r>
      <w:r w:rsidR="002E7FBF" w:rsidRPr="00770F9D">
        <w:rPr>
          <w:rFonts w:ascii="Garamond" w:hAnsi="Garamond" w:cstheme="majorBidi"/>
          <w:color w:val="0D0D0D" w:themeColor="text1" w:themeTint="F2"/>
        </w:rPr>
        <w:t xml:space="preserve"> të parë përtej nivelit të para</w:t>
      </w:r>
      <w:r w:rsidRPr="00770F9D">
        <w:rPr>
          <w:rFonts w:ascii="Garamond" w:hAnsi="Garamond" w:cstheme="majorBidi"/>
          <w:color w:val="0D0D0D" w:themeColor="text1" w:themeTint="F2"/>
        </w:rPr>
        <w:t>pandemisë (2019T4). Në të njëjtën kohë, norma e papunë</w:t>
      </w:r>
      <w:r w:rsidR="001103FE" w:rsidRPr="00770F9D">
        <w:rPr>
          <w:rFonts w:ascii="Garamond" w:hAnsi="Garamond" w:cstheme="majorBidi"/>
          <w:color w:val="0D0D0D" w:themeColor="text1" w:themeTint="F2"/>
        </w:rPr>
        <w:t>sisë ka rënë nën nivelin e para</w:t>
      </w:r>
      <w:r w:rsidRPr="00770F9D">
        <w:rPr>
          <w:rFonts w:ascii="Garamond" w:hAnsi="Garamond" w:cstheme="majorBidi"/>
          <w:color w:val="0D0D0D" w:themeColor="text1" w:themeTint="F2"/>
        </w:rPr>
        <w:t xml:space="preserve">pandemisë. Norma e papunësisë shënonte 11.1%, niveli më i ulët i regjistruar. </w:t>
      </w:r>
    </w:p>
    <w:p w14:paraId="7C29B9C6" w14:textId="7C57A335" w:rsidR="009D5D31" w:rsidRPr="00770F9D" w:rsidRDefault="009D5D31" w:rsidP="005674F2">
      <w:pPr>
        <w:ind w:firstLine="284"/>
        <w:jc w:val="both"/>
        <w:rPr>
          <w:rFonts w:ascii="Garamond" w:hAnsi="Garamond" w:cstheme="majorBidi"/>
          <w:color w:val="0D0D0D" w:themeColor="text1" w:themeTint="F2"/>
        </w:rPr>
      </w:pPr>
      <w:r w:rsidRPr="00770F9D">
        <w:rPr>
          <w:rFonts w:ascii="Garamond" w:hAnsi="Garamond" w:cstheme="majorBidi"/>
          <w:i/>
          <w:color w:val="0D0D0D" w:themeColor="text1" w:themeTint="F2"/>
        </w:rPr>
        <w:t xml:space="preserve">Zhvillimet pozitive në tregun e punës janë pasqyruar në rritje të pagave. </w:t>
      </w:r>
      <w:r w:rsidRPr="00770F9D">
        <w:rPr>
          <w:rFonts w:ascii="Garamond" w:hAnsi="Garamond" w:cstheme="majorBidi"/>
          <w:color w:val="0D0D0D" w:themeColor="text1" w:themeTint="F2"/>
        </w:rPr>
        <w:t>Paga mesatare është rritur me 6.4% në 2022-GJ1, në nivele të ngjashme me vitin 2021 (6.3%). Rritja ka qenë veçanërisht e lartë për pagat në sektorin privat, të cilat u rritën me 11.2%. Përtej efekteve nga rritja e pagës minimale dhe formalizimit në deklarimin e pagave, vlerësohet prania e ndikimeve pozitive nga zhvillimet në tregun e punës. Kontributet pozitive kanë ardhur nga pothuaj të gjithë sektorët. Nga ana tjetër, normat më të larta të inflacionit kanë ndikuar ecurinë e pagës reale. Rritja e pagës reale shënoi 0.8% për gjithë ekonominë dhe 5.7% për sektorin privat.</w:t>
      </w:r>
    </w:p>
    <w:p w14:paraId="066BB36E" w14:textId="77777777" w:rsidR="001103FE" w:rsidRPr="00770F9D" w:rsidRDefault="001103FE" w:rsidP="001103FE">
      <w:pPr>
        <w:ind w:firstLine="284"/>
        <w:jc w:val="center"/>
        <w:rPr>
          <w:rFonts w:ascii="Garamond" w:hAnsi="Garamond" w:cstheme="majorBidi"/>
          <w:b/>
          <w:bCs/>
          <w:i/>
          <w:iCs/>
          <w:color w:val="0D0D0D" w:themeColor="text1" w:themeTint="F2"/>
        </w:rPr>
      </w:pPr>
    </w:p>
    <w:p w14:paraId="21887A7B" w14:textId="5B4928C3" w:rsidR="009D5D31" w:rsidRPr="00770F9D" w:rsidRDefault="001103FE" w:rsidP="001103FE">
      <w:pPr>
        <w:ind w:firstLine="284"/>
        <w:jc w:val="center"/>
        <w:rPr>
          <w:rFonts w:ascii="Garamond" w:hAnsi="Garamond" w:cstheme="majorBidi"/>
          <w:i/>
          <w:iCs/>
          <w:color w:val="0D0D0D" w:themeColor="text1" w:themeTint="F2"/>
          <w:sz w:val="20"/>
          <w:szCs w:val="20"/>
        </w:rPr>
      </w:pPr>
      <w:r w:rsidRPr="00770F9D">
        <w:rPr>
          <w:rFonts w:ascii="Garamond" w:hAnsi="Garamond" w:cstheme="majorBidi"/>
          <w:b/>
          <w:bCs/>
          <w:i/>
          <w:iCs/>
          <w:noProof/>
          <w:color w:val="0D0D0D" w:themeColor="text1" w:themeTint="F2"/>
          <w:sz w:val="20"/>
          <w:szCs w:val="20"/>
          <w:lang w:eastAsia="sq-AL"/>
        </w:rPr>
        <mc:AlternateContent>
          <mc:Choice Requires="wpg">
            <w:drawing>
              <wp:anchor distT="0" distB="0" distL="114300" distR="114300" simplePos="0" relativeHeight="251658257" behindDoc="0" locked="0" layoutInCell="1" allowOverlap="1" wp14:anchorId="5D51B8AE" wp14:editId="3440ADE2">
                <wp:simplePos x="0" y="0"/>
                <wp:positionH relativeFrom="column">
                  <wp:posOffset>203835</wp:posOffset>
                </wp:positionH>
                <wp:positionV relativeFrom="paragraph">
                  <wp:posOffset>215265</wp:posOffset>
                </wp:positionV>
                <wp:extent cx="5559425" cy="2332990"/>
                <wp:effectExtent l="0" t="0" r="3175" b="0"/>
                <wp:wrapTopAndBottom/>
                <wp:docPr id="55" name="Group 55"/>
                <wp:cNvGraphicFramePr/>
                <a:graphic xmlns:a="http://schemas.openxmlformats.org/drawingml/2006/main">
                  <a:graphicData uri="http://schemas.microsoft.com/office/word/2010/wordprocessingGroup">
                    <wpg:wgp>
                      <wpg:cNvGrpSpPr/>
                      <wpg:grpSpPr>
                        <a:xfrm>
                          <a:off x="0" y="0"/>
                          <a:ext cx="5559425" cy="2332990"/>
                          <a:chOff x="0" y="0"/>
                          <a:chExt cx="5652974" cy="2470175"/>
                        </a:xfrm>
                      </wpg:grpSpPr>
                      <pic:pic xmlns:pic="http://schemas.openxmlformats.org/drawingml/2006/picture">
                        <pic:nvPicPr>
                          <pic:cNvPr id="74" name="Picture 74"/>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14630"/>
                            <a:ext cx="2744470" cy="2455545"/>
                          </a:xfrm>
                          <a:prstGeom prst="rect">
                            <a:avLst/>
                          </a:prstGeom>
                          <a:noFill/>
                        </pic:spPr>
                      </pic:pic>
                      <pic:pic xmlns:pic="http://schemas.openxmlformats.org/drawingml/2006/picture">
                        <pic:nvPicPr>
                          <pic:cNvPr id="75" name="Picture 75"/>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2860244" y="0"/>
                            <a:ext cx="2792730" cy="2462530"/>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id="Group 55" o:spid="_x0000_s1026" style="position:absolute;margin-left:16.05pt;margin-top:16.95pt;width:437.75pt;height:183.7pt;z-index:251658257;mso-width-relative:margin;mso-height-relative:margin" coordsize="56529,24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4" o:spid="_x0000_s1027" type="#_x0000_t75" style="position:absolute;top:146;width:27444;height:245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TqBrEAAAA2wAAAA8AAABkcnMvZG93bnJldi54bWxEj9FqwkAURN8L/sNyBd/qRhFbUlepEUWk&#10;Fpr4AZfsNYnN3g27q6Z/3xUKfRxm5gyzWPWmFTdyvrGsYDJOQBCXVjdcKTgV2+dXED4ga2wtk4If&#10;8rBaDp4WmGp75y+65aESEcI+RQV1CF0qpS9rMujHtiOO3tk6gyFKV0nt8B7hppXTJJlLgw3HhRo7&#10;ymoqv/OrUTDrdx/Z52W3zqeHwh03lJWnolFqNOzf30AE6sN/+K+91wpeZvD4En+AXP4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pTqBrEAAAA2wAAAA8AAAAAAAAAAAAAAAAA&#10;nwIAAGRycy9kb3ducmV2LnhtbFBLBQYAAAAABAAEAPcAAACQAwAAAAA=&#10;">
                  <v:imagedata r:id="rId24" o:title=""/>
                  <v:path arrowok="t"/>
                </v:shape>
                <v:shape id="Picture 75" o:spid="_x0000_s1028" type="#_x0000_t75" style="position:absolute;left:28602;width:27927;height:246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jX9kbCAAAA2wAAAA8AAABkcnMvZG93bnJldi54bWxEj9FqwkAURN8L/sNyBd/qRsFWoqtIpFDf&#10;UvUDLtnrJpi9G7NrEv16t1Do4zAzZ5j1drC16Kj1lWMFs2kCgrhwumKj4Hz6el+C8AFZY+2YFDzI&#10;w3Yzeltjql3PP9QdgxERwj5FBWUITSqlL0qy6KeuIY7exbUWQ5StkbrFPsJtLedJ8iEtVhwXSmwo&#10;K6m4Hu9WwfU+P9js5vNnn+P+0RmT4SFXajIedisQgYbwH/5rf2sFnwv4/RJ/gNy8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I1/ZGwgAAANsAAAAPAAAAAAAAAAAAAAAAAJ8C&#10;AABkcnMvZG93bnJldi54bWxQSwUGAAAAAAQABAD3AAAAjgMAAAAA&#10;">
                  <v:imagedata r:id="rId25" o:title=""/>
                  <v:path arrowok="t"/>
                </v:shape>
                <w10:wrap type="topAndBottom"/>
              </v:group>
            </w:pict>
          </mc:Fallback>
        </mc:AlternateContent>
      </w:r>
      <w:r w:rsidR="009D5D31" w:rsidRPr="00770F9D">
        <w:rPr>
          <w:rFonts w:ascii="Garamond" w:hAnsi="Garamond" w:cstheme="majorBidi"/>
          <w:b/>
          <w:bCs/>
          <w:i/>
          <w:iCs/>
          <w:color w:val="0D0D0D" w:themeColor="text1" w:themeTint="F2"/>
          <w:sz w:val="20"/>
          <w:szCs w:val="20"/>
        </w:rPr>
        <w:t>Grafik 3.1.4:</w:t>
      </w:r>
      <w:r w:rsidR="009D5D31" w:rsidRPr="00770F9D">
        <w:rPr>
          <w:rFonts w:ascii="Garamond" w:hAnsi="Garamond" w:cstheme="majorBidi"/>
          <w:i/>
          <w:iCs/>
          <w:color w:val="0D0D0D" w:themeColor="text1" w:themeTint="F2"/>
          <w:sz w:val="20"/>
          <w:szCs w:val="20"/>
        </w:rPr>
        <w:t xml:space="preserve"> Treguesit e tregut të punës</w:t>
      </w:r>
    </w:p>
    <w:p w14:paraId="33EC94EF" w14:textId="0AB4BD82" w:rsidR="009D5D31" w:rsidRPr="00770F9D" w:rsidRDefault="009D5D31" w:rsidP="008647A3">
      <w:pPr>
        <w:autoSpaceDE w:val="0"/>
        <w:autoSpaceDN w:val="0"/>
        <w:adjustRightInd w:val="0"/>
        <w:ind w:firstLine="284"/>
        <w:jc w:val="cente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Burimi: INSTAT</w:t>
      </w:r>
    </w:p>
    <w:p w14:paraId="161A6440" w14:textId="77777777" w:rsidR="009D5D31" w:rsidRPr="00770F9D" w:rsidRDefault="009D5D31" w:rsidP="005674F2">
      <w:pPr>
        <w:autoSpaceDE w:val="0"/>
        <w:autoSpaceDN w:val="0"/>
        <w:adjustRightInd w:val="0"/>
        <w:ind w:firstLine="284"/>
        <w:jc w:val="both"/>
        <w:rPr>
          <w:rFonts w:ascii="Garamond" w:hAnsi="Garamond" w:cstheme="majorBidi"/>
          <w:color w:val="0D0D0D" w:themeColor="text1" w:themeTint="F2"/>
        </w:rPr>
      </w:pPr>
    </w:p>
    <w:p w14:paraId="0D84B369" w14:textId="2CE74ED6" w:rsidR="009D5D31" w:rsidRPr="00770F9D" w:rsidRDefault="009D5D31" w:rsidP="00197816">
      <w:pPr>
        <w:ind w:firstLine="284"/>
        <w:jc w:val="both"/>
        <w:rPr>
          <w:rFonts w:ascii="Garamond" w:hAnsi="Garamond" w:cstheme="majorBidi"/>
          <w:color w:val="0D0D0D" w:themeColor="text1" w:themeTint="F2"/>
        </w:rPr>
      </w:pPr>
      <w:r w:rsidRPr="00770F9D">
        <w:rPr>
          <w:rFonts w:ascii="Garamond" w:hAnsi="Garamond" w:cstheme="majorBidi"/>
          <w:i/>
          <w:color w:val="0D0D0D" w:themeColor="text1" w:themeTint="F2"/>
        </w:rPr>
        <w:t xml:space="preserve">Kostot e </w:t>
      </w:r>
      <w:r w:rsidR="00D56862" w:rsidRPr="00770F9D">
        <w:rPr>
          <w:rFonts w:ascii="Garamond" w:hAnsi="Garamond" w:cstheme="majorBidi"/>
          <w:i/>
          <w:color w:val="0D0D0D" w:themeColor="text1" w:themeTint="F2"/>
        </w:rPr>
        <w:t>punës për njësi</w:t>
      </w:r>
      <w:r w:rsidRPr="00770F9D">
        <w:rPr>
          <w:rFonts w:ascii="Garamond" w:hAnsi="Garamond" w:cstheme="majorBidi"/>
          <w:i/>
          <w:iCs/>
          <w:color w:val="0D0D0D" w:themeColor="text1" w:themeTint="F2"/>
          <w:vertAlign w:val="superscript"/>
        </w:rPr>
        <w:footnoteReference w:id="3"/>
      </w:r>
      <w:r w:rsidRPr="00770F9D">
        <w:rPr>
          <w:rFonts w:ascii="Garamond" w:hAnsi="Garamond" w:cstheme="majorBidi"/>
          <w:color w:val="0D0D0D" w:themeColor="text1" w:themeTint="F2"/>
        </w:rPr>
        <w:t xml:space="preserve"> janë rritur lehtësisht (0.8% në terma vjetorë) gjatë gjysmës së parë të vitit 2022, pas rënies që përjetuan vitin e mëparshëm. Gjatë vitit 2021, rritja e produktivitetit të punës pati impakt më të lartë se sa rritja e pagës. Kjo pasi PBB-ja u r</w:t>
      </w:r>
      <w:r w:rsidR="00197816" w:rsidRPr="00770F9D">
        <w:rPr>
          <w:rFonts w:ascii="Garamond" w:hAnsi="Garamond" w:cstheme="majorBidi"/>
          <w:color w:val="0D0D0D" w:themeColor="text1" w:themeTint="F2"/>
        </w:rPr>
        <w:t>i</w:t>
      </w:r>
      <w:r w:rsidRPr="00770F9D">
        <w:rPr>
          <w:rFonts w:ascii="Garamond" w:hAnsi="Garamond" w:cstheme="majorBidi"/>
          <w:color w:val="0D0D0D" w:themeColor="text1" w:themeTint="F2"/>
        </w:rPr>
        <w:t>kuperua shpejt</w:t>
      </w:r>
      <w:r w:rsidR="00197816"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ndërkohë që punësimi ishte më i ngadaltë. Gjatë këtij viti, punësimi po r</w:t>
      </w:r>
      <w:r w:rsidR="00197816" w:rsidRPr="00770F9D">
        <w:rPr>
          <w:rFonts w:ascii="Garamond" w:hAnsi="Garamond" w:cstheme="majorBidi"/>
          <w:color w:val="0D0D0D" w:themeColor="text1" w:themeTint="F2"/>
        </w:rPr>
        <w:t>i</w:t>
      </w:r>
      <w:r w:rsidRPr="00770F9D">
        <w:rPr>
          <w:rFonts w:ascii="Garamond" w:hAnsi="Garamond" w:cstheme="majorBidi"/>
          <w:color w:val="0D0D0D" w:themeColor="text1" w:themeTint="F2"/>
        </w:rPr>
        <w:t>kuperon ndaj PBB-së, ndërkohë që rritja e pagës është përshpejtuar. Si rezultat, kontributi nga paga rezulton më i lartë, ndërkohë që ndikimet e kundërta nga produktiviteti i punës janë ngadalësuar.</w:t>
      </w:r>
    </w:p>
    <w:p w14:paraId="4ED4A8BC" w14:textId="6C9B5270" w:rsidR="009D5D31" w:rsidRPr="00770F9D" w:rsidRDefault="009D5D31" w:rsidP="005674F2">
      <w:pPr>
        <w:autoSpaceDE w:val="0"/>
        <w:autoSpaceDN w:val="0"/>
        <w:adjustRightInd w:val="0"/>
        <w:ind w:firstLine="284"/>
        <w:jc w:val="both"/>
        <w:rPr>
          <w:rFonts w:ascii="Garamond" w:hAnsi="Garamond" w:cstheme="majorBidi"/>
          <w:color w:val="0D0D0D" w:themeColor="text1" w:themeTint="F2"/>
        </w:rPr>
      </w:pPr>
      <w:r w:rsidRPr="00770F9D">
        <w:rPr>
          <w:rFonts w:ascii="Garamond" w:hAnsi="Garamond" w:cstheme="majorBidi"/>
          <w:i/>
          <w:color w:val="0D0D0D" w:themeColor="text1" w:themeTint="F2"/>
        </w:rPr>
        <w:t xml:space="preserve">Deficiti i llogarisë korrente </w:t>
      </w:r>
      <w:r w:rsidRPr="00770F9D">
        <w:rPr>
          <w:rFonts w:ascii="Garamond" w:hAnsi="Garamond" w:cstheme="majorBidi"/>
          <w:color w:val="0D0D0D" w:themeColor="text1" w:themeTint="F2"/>
        </w:rPr>
        <w:t>u ngushtua me 9.9% në terma vjetorë gjatë gjysmës së parë të vitit 2022, duke pasqyruar efektet nga flukset në rritje të turizmit dhe remitancave. Deficiti tregtar në mallra është përkeqësuar si pasojë e efektit më të fortë importues. Si eksportet ashtu edhe importet, bartin ndikime nga rritja e çmimeve.</w:t>
      </w:r>
      <w:r w:rsidR="00C952E5" w:rsidRPr="00770F9D">
        <w:rPr>
          <w:rFonts w:ascii="Garamond" w:hAnsi="Garamond" w:cstheme="majorBidi"/>
          <w:color w:val="0D0D0D" w:themeColor="text1" w:themeTint="F2"/>
        </w:rPr>
        <w:t xml:space="preserve"> </w:t>
      </w:r>
    </w:p>
    <w:p w14:paraId="4F1EEC64" w14:textId="2014D59F" w:rsidR="009D5D31" w:rsidRPr="00770F9D" w:rsidRDefault="009D5D31" w:rsidP="005674F2">
      <w:pPr>
        <w:ind w:firstLine="284"/>
        <w:jc w:val="both"/>
        <w:rPr>
          <w:rFonts w:ascii="Garamond" w:hAnsi="Garamond" w:cstheme="majorBidi"/>
          <w:color w:val="0D0D0D" w:themeColor="text1" w:themeTint="F2"/>
        </w:rPr>
      </w:pPr>
      <w:r w:rsidRPr="00770F9D">
        <w:rPr>
          <w:rFonts w:ascii="Garamond" w:hAnsi="Garamond" w:cstheme="majorBidi"/>
          <w:i/>
          <w:color w:val="0D0D0D" w:themeColor="text1" w:themeTint="F2"/>
        </w:rPr>
        <w:t>Stoku i borxhit të jashtëm bruto</w:t>
      </w:r>
      <w:r w:rsidRPr="00770F9D">
        <w:rPr>
          <w:rFonts w:ascii="Garamond" w:hAnsi="Garamond" w:cstheme="majorBidi"/>
          <w:color w:val="0D0D0D" w:themeColor="text1" w:themeTint="F2"/>
        </w:rPr>
        <w:t xml:space="preserve"> të Shqipërisë zbriti në 51.9% ndaj PBB-së nominale në tremujorin e dytë të vitit 2021, nga niveli 60.8% një vit më parë. Kjo lidhet ekskluzivisht me rritjen e PBB-së nominale</w:t>
      </w:r>
      <w:r w:rsidR="00907C62"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pasi stoku i borxhit është zgjeruar me 16.0% në terma vjetorë. Rritja e stokut lidhet me emetimin e Eurobondit në tremujorin e fundit të vitit 2021.</w:t>
      </w:r>
    </w:p>
    <w:p w14:paraId="1FBED30B" w14:textId="08C046A4" w:rsidR="009D5D31" w:rsidRPr="00770F9D" w:rsidRDefault="009D5D31" w:rsidP="00EB64CA">
      <w:pPr>
        <w:ind w:firstLine="284"/>
        <w:jc w:val="both"/>
        <w:rPr>
          <w:rFonts w:ascii="Garamond" w:hAnsi="Garamond" w:cstheme="majorBidi"/>
          <w:color w:val="0D0D0D" w:themeColor="text1" w:themeTint="F2"/>
        </w:rPr>
      </w:pPr>
      <w:r w:rsidRPr="00770F9D">
        <w:rPr>
          <w:rFonts w:ascii="Garamond" w:hAnsi="Garamond" w:cstheme="majorBidi"/>
          <w:i/>
          <w:color w:val="0D0D0D" w:themeColor="text1" w:themeTint="F2"/>
        </w:rPr>
        <w:t xml:space="preserve">Tregu valutor </w:t>
      </w:r>
      <w:r w:rsidRPr="00770F9D">
        <w:rPr>
          <w:rFonts w:ascii="Garamond" w:hAnsi="Garamond" w:cstheme="majorBidi"/>
          <w:color w:val="0D0D0D" w:themeColor="text1" w:themeTint="F2"/>
        </w:rPr>
        <w:t>ka operuar nën kushte tregtimi dhe parametra rreziku normal</w:t>
      </w:r>
      <w:r w:rsidR="00907C62" w:rsidRPr="00770F9D">
        <w:rPr>
          <w:rFonts w:ascii="Garamond" w:hAnsi="Garamond" w:cstheme="majorBidi"/>
          <w:color w:val="0D0D0D" w:themeColor="text1" w:themeTint="F2"/>
        </w:rPr>
        <w:t>ë</w:t>
      </w:r>
      <w:r w:rsidRPr="00770F9D">
        <w:rPr>
          <w:rFonts w:ascii="Garamond" w:hAnsi="Garamond" w:cstheme="majorBidi"/>
          <w:color w:val="0D0D0D" w:themeColor="text1" w:themeTint="F2"/>
        </w:rPr>
        <w:t xml:space="preserve">, në reflektim të kushteve të ofertë-kërkesës në treg. Pas qëndrueshmërisë që ka shfaqur në tremujorin e parë të vitit 2022, leku është mbiçmuar kundrejt euros në muajt që kanë pasuar. Mbiçmimi i lekut e kishte pikënisjen në fundin e prillit dhe kulmoi në tremujorin e tretë, ku një euro u këmbye mesatarisht me 117.1 lekë. Ky nivel është rreth 3.8% më i ulët se një vit më parë. Mbiçmimi i lekut përgjatë tremujorit të tretë të këtij viti ka dalë përtej sjelljes sezonale, në reflektim të një suficiti të lartë të shërbimeve. Me rigjallërimin e turizmit në 2022, flukset valutore nga jashtë janë rritur ndjeshëm krahasuar me 2021, pothuajse me rreth 50% për gjashtëmujorin e parë të vitit. Për më tepër, flukset neto nga IHD kanë shfaqur ecuri të mirë këtë vit, ku norma vjetore e rritjes së tyre u përshpejtua në 28%, nga 11% </w:t>
      </w:r>
      <w:r w:rsidR="00EB64CA">
        <w:rPr>
          <w:rFonts w:ascii="Garamond" w:hAnsi="Garamond" w:cstheme="majorBidi"/>
          <w:color w:val="0D0D0D" w:themeColor="text1" w:themeTint="F2"/>
        </w:rPr>
        <w:t>më</w:t>
      </w:r>
      <w:r w:rsidRPr="00770F9D">
        <w:rPr>
          <w:rFonts w:ascii="Garamond" w:hAnsi="Garamond" w:cstheme="majorBidi"/>
          <w:color w:val="0D0D0D" w:themeColor="text1" w:themeTint="F2"/>
        </w:rPr>
        <w:t xml:space="preserve"> 2021. </w:t>
      </w:r>
    </w:p>
    <w:p w14:paraId="4D342779" w14:textId="17C4DB62" w:rsidR="009D5D31" w:rsidRPr="00770F9D" w:rsidRDefault="009D5D31" w:rsidP="0060244F">
      <w:pPr>
        <w:ind w:firstLine="284"/>
        <w:jc w:val="both"/>
        <w:rPr>
          <w:rFonts w:ascii="Garamond" w:hAnsi="Garamond" w:cstheme="majorBidi"/>
          <w:i/>
          <w:color w:val="0D0D0D" w:themeColor="text1" w:themeTint="F2"/>
        </w:rPr>
      </w:pPr>
      <w:r w:rsidRPr="00770F9D">
        <w:rPr>
          <w:rFonts w:ascii="Garamond" w:hAnsi="Garamond" w:cstheme="majorBidi"/>
          <w:i/>
          <w:color w:val="0D0D0D" w:themeColor="text1" w:themeTint="F2"/>
        </w:rPr>
        <w:t xml:space="preserve">Inflacioni mesatar për 9-mujorin e parë të vitit 2022, shënoi 6.3%, </w:t>
      </w:r>
      <w:r w:rsidRPr="00770F9D">
        <w:rPr>
          <w:rFonts w:ascii="Garamond" w:hAnsi="Garamond" w:cstheme="majorBidi"/>
          <w:color w:val="0D0D0D" w:themeColor="text1" w:themeTint="F2"/>
        </w:rPr>
        <w:t xml:space="preserve">me një rritje prej 4.6 pikësh </w:t>
      </w:r>
      <w:r w:rsidR="00623F19" w:rsidRPr="00770F9D">
        <w:rPr>
          <w:rFonts w:ascii="Garamond" w:hAnsi="Garamond" w:cstheme="majorBidi"/>
          <w:color w:val="0D0D0D" w:themeColor="text1" w:themeTint="F2"/>
        </w:rPr>
        <w:t>përqind</w:t>
      </w:r>
      <w:r w:rsidRPr="00770F9D">
        <w:rPr>
          <w:rFonts w:ascii="Garamond" w:hAnsi="Garamond" w:cstheme="majorBidi"/>
          <w:color w:val="0D0D0D" w:themeColor="text1" w:themeTint="F2"/>
        </w:rPr>
        <w:t>je</w:t>
      </w:r>
      <w:r w:rsidR="00907C62" w:rsidRPr="00770F9D">
        <w:rPr>
          <w:rFonts w:ascii="Garamond" w:hAnsi="Garamond" w:cstheme="majorBidi"/>
          <w:color w:val="0D0D0D" w:themeColor="text1" w:themeTint="F2"/>
        </w:rPr>
        <w:t>je</w:t>
      </w:r>
      <w:r w:rsidRPr="00770F9D">
        <w:rPr>
          <w:rFonts w:ascii="Garamond" w:hAnsi="Garamond" w:cstheme="majorBidi"/>
          <w:color w:val="0D0D0D" w:themeColor="text1" w:themeTint="F2"/>
        </w:rPr>
        <w:t xml:space="preserve"> krahasuar me të njëjtën periudhë të vitit 2021. Inflacioni arriti në 8.1% në muajin shtator, vlera më e lartë e regjistruar në njëzet v</w:t>
      </w:r>
      <w:r w:rsidR="0060244F" w:rsidRPr="00770F9D">
        <w:rPr>
          <w:rFonts w:ascii="Garamond" w:hAnsi="Garamond" w:cstheme="majorBidi"/>
          <w:color w:val="0D0D0D" w:themeColor="text1" w:themeTint="F2"/>
        </w:rPr>
        <w:t>jetët</w:t>
      </w:r>
      <w:r w:rsidRPr="00770F9D">
        <w:rPr>
          <w:rFonts w:ascii="Garamond" w:hAnsi="Garamond" w:cstheme="majorBidi"/>
          <w:color w:val="0D0D0D" w:themeColor="text1" w:themeTint="F2"/>
        </w:rPr>
        <w:t xml:space="preserve"> e fundit. Tensionet gjeopolitike dhe përshkallëzimi i krizës në Ukrainë, rritën çmimet e naftës, gazit, energjisë, lëndëve të para dhe ushqimeve në nivelet më të larta historike</w:t>
      </w:r>
      <w:r w:rsidR="001A2A2F"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duke u përkthyer në presione të forta inflacioniste nga mjedisi i jashtëm. Në të njëjtën kohë, presione të shtuara të brendshme kanë ardhur si pasojë e rimëkëmbjes së kërkesës agregate në periudhën postpandemike, kushteve të shtrënguara në tregun e punës dhe pritjeve më të larta inflacioniste. Si rezultat, prej muajit mars 2022, jo vetëm inflacioni i përgjithshëm, por edhe matjet e inflacionit bazë kanë regjistruar vlera të larta historike duke ndjekur një trajektore të qartë rritëse.</w:t>
      </w:r>
    </w:p>
    <w:p w14:paraId="45CB3906" w14:textId="7A4FE32E" w:rsidR="009D5D31" w:rsidRPr="00770F9D" w:rsidRDefault="009D5D31"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Përshpejtimi i inflacionit erdhi kryesisht si pasojë e rritjes së çmimeve të ushqimeve dhe mallrave energjetikë. Dy kategoritë kanë përbërë rreth 80% të inflacionit (prej muajit mars), duke pasqyruar presionet në rritje nga tregjet ndërkombëtare</w:t>
      </w:r>
      <w:r w:rsidR="00FD3893"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pasojë e vështirësive në zinxhirët e prodhimit/furnizimit. Rritja e inflacionit gjatë periudhës janar</w:t>
      </w:r>
      <w:r w:rsidR="0081508F"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shtator 2022, ka ardhur kryesisht nga mallrat energjetikë - të lidhur me çmimet e naftës – dhe nga kategoria e ushqimeve të përpunuara, artikujt e të cilës kanë përmbajtje të lartë importuese si në terma të produktit final ashtu edhe në terma të produktit të ndërmjetëm. Kontributi nga ushqimet e përpunuara në inflacionin e përgjithshëm, u rrit nga 0.9 </w:t>
      </w:r>
      <w:r w:rsidR="00EE365D" w:rsidRPr="00770F9D">
        <w:rPr>
          <w:rFonts w:ascii="Garamond" w:hAnsi="Garamond" w:cstheme="majorBidi"/>
          <w:color w:val="0D0D0D" w:themeColor="text1" w:themeTint="F2"/>
        </w:rPr>
        <w:t>pikë përqindjeje</w:t>
      </w:r>
      <w:r w:rsidRPr="00770F9D">
        <w:rPr>
          <w:rFonts w:ascii="Garamond" w:hAnsi="Garamond" w:cstheme="majorBidi"/>
          <w:color w:val="0D0D0D" w:themeColor="text1" w:themeTint="F2"/>
        </w:rPr>
        <w:t xml:space="preserve"> në tremujorin e fundit të vitit 2021, në 3.5 </w:t>
      </w:r>
      <w:r w:rsidR="00EE365D" w:rsidRPr="00770F9D">
        <w:rPr>
          <w:rFonts w:ascii="Garamond" w:hAnsi="Garamond" w:cstheme="majorBidi"/>
          <w:color w:val="0D0D0D" w:themeColor="text1" w:themeTint="F2"/>
        </w:rPr>
        <w:t>pikë përqindjeje</w:t>
      </w:r>
      <w:r w:rsidRPr="00770F9D">
        <w:rPr>
          <w:rFonts w:ascii="Garamond" w:hAnsi="Garamond" w:cstheme="majorBidi"/>
          <w:color w:val="0D0D0D" w:themeColor="text1" w:themeTint="F2"/>
        </w:rPr>
        <w:t xml:space="preserve"> në tremujorin e tretë të vitit 2022. Gjatë së njëjtës periudhë, kontributi nga mallrat energjetikë është rritur nga 0.6 </w:t>
      </w:r>
      <w:r w:rsidR="00EE365D" w:rsidRPr="00770F9D">
        <w:rPr>
          <w:rFonts w:ascii="Garamond" w:hAnsi="Garamond" w:cstheme="majorBidi"/>
          <w:color w:val="0D0D0D" w:themeColor="text1" w:themeTint="F2"/>
        </w:rPr>
        <w:t>pikë përqindjeje</w:t>
      </w:r>
      <w:r w:rsidRPr="00770F9D">
        <w:rPr>
          <w:rFonts w:ascii="Garamond" w:hAnsi="Garamond" w:cstheme="majorBidi"/>
          <w:color w:val="0D0D0D" w:themeColor="text1" w:themeTint="F2"/>
        </w:rPr>
        <w:t xml:space="preserve"> në 1.5 </w:t>
      </w:r>
      <w:r w:rsidR="00EE365D" w:rsidRPr="00770F9D">
        <w:rPr>
          <w:rFonts w:ascii="Garamond" w:hAnsi="Garamond" w:cstheme="majorBidi"/>
          <w:color w:val="0D0D0D" w:themeColor="text1" w:themeTint="F2"/>
        </w:rPr>
        <w:t>pikë përqindjeje</w:t>
      </w:r>
      <w:r w:rsidRPr="00770F9D">
        <w:rPr>
          <w:rFonts w:ascii="Garamond" w:hAnsi="Garamond" w:cstheme="majorBidi"/>
          <w:color w:val="0D0D0D" w:themeColor="text1" w:themeTint="F2"/>
        </w:rPr>
        <w:t xml:space="preserve"> respektivisht. </w:t>
      </w:r>
    </w:p>
    <w:p w14:paraId="5636D23B" w14:textId="76811CA3" w:rsidR="009D5D31" w:rsidRPr="00770F9D" w:rsidRDefault="009D5D31"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Inflacioni bazë ishte</w:t>
      </w:r>
      <w:r w:rsidR="00D16ABF"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gjithashtu</w:t>
      </w:r>
      <w:r w:rsidR="00D16ABF"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veçanërisht i lartë gjatë tremujorit të dytë dhe të tretë të vitit 2022. Për 9-mujorin e parë të vitit 2022, inflacioni bazë në terma vjetorë ishte 5.8% krahasuar me 1.7% në vitin 2021. Gjithashtu, inflacioni bazë neto</w:t>
      </w:r>
      <w:r w:rsidRPr="00770F9D">
        <w:rPr>
          <w:rFonts w:ascii="Garamond" w:hAnsi="Garamond" w:cstheme="majorBidi"/>
          <w:color w:val="0D0D0D" w:themeColor="text1" w:themeTint="F2"/>
          <w:vertAlign w:val="superscript"/>
        </w:rPr>
        <w:footnoteReference w:id="4"/>
      </w:r>
      <w:r w:rsidRPr="00770F9D">
        <w:rPr>
          <w:rFonts w:ascii="Garamond" w:hAnsi="Garamond" w:cstheme="majorBidi"/>
          <w:color w:val="0D0D0D" w:themeColor="text1" w:themeTint="F2"/>
        </w:rPr>
        <w:t xml:space="preserve"> dhe inflacioni i brendshëm shfaqën ecuri të ngjashme. Inflacioni bazë neto arriti 3.3% në tremujorin e tretë 2022, krahasuar me nivelin 1% në vitin 2021. Inflacioni i brendshëm shë</w:t>
      </w:r>
      <w:r w:rsidR="00631B24" w:rsidRPr="00770F9D">
        <w:rPr>
          <w:rFonts w:ascii="Garamond" w:hAnsi="Garamond" w:cstheme="majorBidi"/>
          <w:color w:val="0D0D0D" w:themeColor="text1" w:themeTint="F2"/>
        </w:rPr>
        <w:t>n</w:t>
      </w:r>
      <w:r w:rsidRPr="00770F9D">
        <w:rPr>
          <w:rFonts w:ascii="Garamond" w:hAnsi="Garamond" w:cstheme="majorBidi"/>
          <w:color w:val="0D0D0D" w:themeColor="text1" w:themeTint="F2"/>
        </w:rPr>
        <w:t xml:space="preserve">oi 5.6% krahasuar me 1.4% për vitin e kaluar. Zhvillimet e mësipërme dëshmojnë se edhe komponentë më të qëndrueshëm të inflacionit, të cilët përfshijnë shërbime, strehim dhe mallra konsumi afatgjatë, kanë përjetuar rritje çmimesh veçanërisht gjatë periudhës qershor-shtator 2022. Kontributi më i lartë nga shërbimet lidhet me aktivitetin turistik në vend dhe vjen nga paketat turistike, shërbimet e transportit, hotelet, restorantet dhe baret. Si rezultat, gjatë 9-mujorit të parë të vitit 2022, ka ndodhur një zgjerim gradual i kontributeve të inflacionit të brendshëm dhe inflacionit bazë në inflacionin e përgjithshëm në nivelet mesatare 50% dhe 59%, respektivisht. </w:t>
      </w:r>
    </w:p>
    <w:p w14:paraId="01060D1C" w14:textId="77777777" w:rsidR="009D5D31" w:rsidRPr="00770F9D" w:rsidRDefault="009D5D31"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Faktorët e ofertës, të lidhur kryesisht me mjedisin e huaj, pritet të vazhdojnë të ushtrojnë presion të lartë në inflacionin e vendit. Ndërkohë, ndikimet nga rritja e pagave, pritjet inflacioniste dhe përmirësimet në tregun e punës vlerësohet të jenë të moderuara, përfshirë këtu edhe efektet nga normalizimi i politikës monetare. Parashikimet mbartin një nivel të lartë pasigurie të lidhur me rritjen ekonomike dhe inflacionin në botë.</w:t>
      </w:r>
    </w:p>
    <w:p w14:paraId="60318984" w14:textId="437EEDDF" w:rsidR="009D5D31" w:rsidRPr="00770F9D" w:rsidRDefault="009D5D31" w:rsidP="005674F2">
      <w:pPr>
        <w:ind w:firstLine="284"/>
        <w:jc w:val="both"/>
        <w:rPr>
          <w:rFonts w:ascii="Garamond" w:hAnsi="Garamond" w:cstheme="majorBidi"/>
          <w:color w:val="0D0D0D" w:themeColor="text1" w:themeTint="F2"/>
        </w:rPr>
      </w:pPr>
    </w:p>
    <w:p w14:paraId="67757C72" w14:textId="16972519" w:rsidR="009D5D31" w:rsidRPr="00770F9D" w:rsidRDefault="00E53265" w:rsidP="00E53265">
      <w:pPr>
        <w:ind w:firstLine="284"/>
        <w:jc w:val="center"/>
        <w:rPr>
          <w:rFonts w:ascii="Garamond" w:hAnsi="Garamond" w:cstheme="majorBidi"/>
          <w:i/>
          <w:iCs/>
          <w:color w:val="0D0D0D" w:themeColor="text1" w:themeTint="F2"/>
        </w:rPr>
      </w:pPr>
      <w:r w:rsidRPr="00770F9D">
        <w:rPr>
          <w:rFonts w:ascii="Garamond" w:hAnsi="Garamond" w:cstheme="majorBidi"/>
          <w:noProof/>
          <w:color w:val="0D0D0D" w:themeColor="text1" w:themeTint="F2"/>
          <w:sz w:val="20"/>
          <w:szCs w:val="20"/>
          <w:lang w:eastAsia="sq-AL"/>
        </w:rPr>
        <w:drawing>
          <wp:anchor distT="0" distB="0" distL="114300" distR="114300" simplePos="0" relativeHeight="251658259" behindDoc="0" locked="0" layoutInCell="1" allowOverlap="1" wp14:anchorId="35676773" wp14:editId="44F97208">
            <wp:simplePos x="0" y="0"/>
            <wp:positionH relativeFrom="column">
              <wp:posOffset>-176530</wp:posOffset>
            </wp:positionH>
            <wp:positionV relativeFrom="paragraph">
              <wp:posOffset>261620</wp:posOffset>
            </wp:positionV>
            <wp:extent cx="6082665" cy="2209800"/>
            <wp:effectExtent l="0" t="0" r="0" b="0"/>
            <wp:wrapTopAndBottom/>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82665" cy="2209800"/>
                    </a:xfrm>
                    <a:prstGeom prst="rect">
                      <a:avLst/>
                    </a:prstGeom>
                    <a:noFill/>
                  </pic:spPr>
                </pic:pic>
              </a:graphicData>
            </a:graphic>
            <wp14:sizeRelH relativeFrom="page">
              <wp14:pctWidth>0</wp14:pctWidth>
            </wp14:sizeRelH>
            <wp14:sizeRelV relativeFrom="page">
              <wp14:pctHeight>0</wp14:pctHeight>
            </wp14:sizeRelV>
          </wp:anchor>
        </w:drawing>
      </w:r>
      <w:r w:rsidR="009D5D31" w:rsidRPr="00770F9D">
        <w:rPr>
          <w:rFonts w:ascii="Garamond" w:hAnsi="Garamond" w:cstheme="majorBidi"/>
          <w:b/>
          <w:bCs/>
          <w:i/>
          <w:iCs/>
          <w:color w:val="0D0D0D" w:themeColor="text1" w:themeTint="F2"/>
          <w:sz w:val="20"/>
          <w:szCs w:val="20"/>
        </w:rPr>
        <w:t>Grafik 3.1.5:</w:t>
      </w:r>
      <w:r w:rsidR="009D5D31" w:rsidRPr="00770F9D">
        <w:rPr>
          <w:rFonts w:ascii="Garamond" w:hAnsi="Garamond" w:cstheme="majorBidi"/>
          <w:i/>
          <w:iCs/>
          <w:color w:val="0D0D0D" w:themeColor="text1" w:themeTint="F2"/>
          <w:sz w:val="20"/>
          <w:szCs w:val="20"/>
        </w:rPr>
        <w:t xml:space="preserve"> Inflacioni sipas IÇK-së dhe kontributet nga kategoritë kryesore</w:t>
      </w:r>
    </w:p>
    <w:p w14:paraId="659077E0" w14:textId="73FC50AF" w:rsidR="009D5D31" w:rsidRPr="00770F9D" w:rsidRDefault="009D5D31" w:rsidP="00E53265">
      <w:pPr>
        <w:autoSpaceDE w:val="0"/>
        <w:autoSpaceDN w:val="0"/>
        <w:adjustRightInd w:val="0"/>
        <w:ind w:firstLine="284"/>
        <w:jc w:val="cente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Burimi: INSTAT dhe ll</w:t>
      </w:r>
      <w:r w:rsidR="00E53265" w:rsidRPr="00770F9D">
        <w:rPr>
          <w:rFonts w:ascii="Garamond" w:hAnsi="Garamond" w:cstheme="majorBidi"/>
          <w:color w:val="0D0D0D" w:themeColor="text1" w:themeTint="F2"/>
          <w:sz w:val="20"/>
          <w:szCs w:val="20"/>
        </w:rPr>
        <w:t>ogaritje nga Banka e Shqipërisë</w:t>
      </w:r>
    </w:p>
    <w:p w14:paraId="31B049C7" w14:textId="77777777" w:rsidR="00E53265" w:rsidRPr="00770F9D" w:rsidRDefault="00E53265" w:rsidP="00E53265">
      <w:pPr>
        <w:autoSpaceDE w:val="0"/>
        <w:autoSpaceDN w:val="0"/>
        <w:adjustRightInd w:val="0"/>
        <w:ind w:firstLine="284"/>
        <w:jc w:val="center"/>
        <w:rPr>
          <w:rFonts w:ascii="Garamond" w:hAnsi="Garamond" w:cstheme="majorBidi"/>
          <w:color w:val="0D0D0D" w:themeColor="text1" w:themeTint="F2"/>
        </w:rPr>
      </w:pPr>
    </w:p>
    <w:p w14:paraId="0E97F818" w14:textId="3B7D0BB0" w:rsidR="009D5D31" w:rsidRPr="00770F9D" w:rsidRDefault="009D5D31" w:rsidP="006B3B5E">
      <w:pPr>
        <w:ind w:firstLine="284"/>
        <w:jc w:val="both"/>
        <w:rPr>
          <w:rFonts w:ascii="Garamond" w:hAnsi="Garamond" w:cstheme="majorBidi"/>
          <w:color w:val="0D0D0D" w:themeColor="text1" w:themeTint="F2"/>
        </w:rPr>
      </w:pPr>
      <w:r w:rsidRPr="00770F9D">
        <w:rPr>
          <w:rFonts w:ascii="Garamond" w:hAnsi="Garamond" w:cstheme="majorBidi"/>
          <w:i/>
          <w:color w:val="0D0D0D" w:themeColor="text1" w:themeTint="F2"/>
        </w:rPr>
        <w:t xml:space="preserve">Tregjet financiare </w:t>
      </w:r>
      <w:r w:rsidRPr="00770F9D">
        <w:rPr>
          <w:rFonts w:ascii="Garamond" w:hAnsi="Garamond" w:cstheme="majorBidi"/>
          <w:color w:val="0D0D0D" w:themeColor="text1" w:themeTint="F2"/>
        </w:rPr>
        <w:t>shfaqin kushtet e mira të likuiditeti dhe mbeten të qëndrueshme. Sistemi bankar ka kapacitet për të reaguar dhe për të përthithur problematikat e realitetit të ri makroekonomik. Rritja e shpejtë e inflacionit ka shkaktuar luhatshmëri në tregun primar përgjatë tremujorit të dytë dhe të tretë të vitit, duke reflektuar pasigurinë e përkohshme për inflacionin në të ardhmen</w:t>
      </w:r>
      <w:r w:rsidR="006B3B5E"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dhe pritshmëritë për një tërheqje më agresive të stimulit monetar nga çfarë pritej në fillim të vitit. Për pasojë, normat e interesit të letrave me vlerë kanë qenë të luhatshme dhe diferencat e tyre nga norma bazë është rritur. Kështu në fillim të tetori</w:t>
      </w:r>
      <w:r w:rsidR="006B3B5E" w:rsidRPr="00770F9D">
        <w:rPr>
          <w:rFonts w:ascii="Garamond" w:hAnsi="Garamond" w:cstheme="majorBidi"/>
          <w:color w:val="0D0D0D" w:themeColor="text1" w:themeTint="F2"/>
        </w:rPr>
        <w:t>t, interesi i BTH 12-m ishte tek</w:t>
      </w:r>
      <w:r w:rsidRPr="00770F9D">
        <w:rPr>
          <w:rFonts w:ascii="Garamond" w:hAnsi="Garamond" w:cstheme="majorBidi"/>
          <w:color w:val="0D0D0D" w:themeColor="text1" w:themeTint="F2"/>
        </w:rPr>
        <w:t xml:space="preserve"> 4.7%, pothuajse 3pp më lart nga niveli mesatar i tre v</w:t>
      </w:r>
      <w:r w:rsidR="006B3B5E" w:rsidRPr="00770F9D">
        <w:rPr>
          <w:rFonts w:ascii="Garamond" w:hAnsi="Garamond" w:cstheme="majorBidi"/>
          <w:color w:val="0D0D0D" w:themeColor="text1" w:themeTint="F2"/>
        </w:rPr>
        <w:t>jetëve</w:t>
      </w:r>
      <w:r w:rsidRPr="00770F9D">
        <w:rPr>
          <w:rFonts w:ascii="Garamond" w:hAnsi="Garamond" w:cstheme="majorBidi"/>
          <w:color w:val="0D0D0D" w:themeColor="text1" w:themeTint="F2"/>
        </w:rPr>
        <w:t xml:space="preserve"> më të fundit. Një rritje të ngjashme janë vërejtur edhe në maturitet e tjera.</w:t>
      </w:r>
    </w:p>
    <w:p w14:paraId="0CD3CB44" w14:textId="1B102D71" w:rsidR="009D5D31" w:rsidRPr="00770F9D" w:rsidRDefault="009D5D31"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Nga ana tjetër,</w:t>
      </w:r>
      <w:r w:rsidRPr="00770F9D">
        <w:rPr>
          <w:rFonts w:ascii="Garamond" w:hAnsi="Garamond" w:cstheme="majorBidi"/>
          <w:i/>
          <w:color w:val="0D0D0D" w:themeColor="text1" w:themeTint="F2"/>
        </w:rPr>
        <w:t xml:space="preserve"> normat e interesit të kredive dhe depozitave </w:t>
      </w:r>
      <w:r w:rsidRPr="00770F9D">
        <w:rPr>
          <w:rFonts w:ascii="Garamond" w:hAnsi="Garamond" w:cstheme="majorBidi"/>
          <w:color w:val="0D0D0D" w:themeColor="text1" w:themeTint="F2"/>
        </w:rPr>
        <w:t xml:space="preserve">tregojnë për një tejçim më të ngadaltë të rritjeve të normës bazë, në linjë me kohëvonesat e transmetimit të politikës monetare në ekonomi. Tejçimi është më </w:t>
      </w:r>
      <w:r w:rsidR="00616DFE" w:rsidRPr="00770F9D">
        <w:rPr>
          <w:rFonts w:ascii="Garamond" w:hAnsi="Garamond" w:cstheme="majorBidi"/>
          <w:color w:val="0D0D0D" w:themeColor="text1" w:themeTint="F2"/>
        </w:rPr>
        <w:t xml:space="preserve">i dukshëm te </w:t>
      </w:r>
      <w:r w:rsidRPr="00770F9D">
        <w:rPr>
          <w:rFonts w:ascii="Garamond" w:hAnsi="Garamond" w:cstheme="majorBidi"/>
          <w:color w:val="0D0D0D" w:themeColor="text1" w:themeTint="F2"/>
        </w:rPr>
        <w:t>normat e interesat të kredive për individë, të cilat janë rritur në 7.4% në tremujorin e tretë të vitit, krahasuar me nivelin mesatar prej 6.1% të 2021</w:t>
      </w:r>
      <w:r w:rsidR="00616DFE" w:rsidRPr="00770F9D">
        <w:rPr>
          <w:rFonts w:ascii="Garamond" w:hAnsi="Garamond" w:cstheme="majorBidi"/>
          <w:color w:val="0D0D0D" w:themeColor="text1" w:themeTint="F2"/>
        </w:rPr>
        <w:t>-shit</w:t>
      </w:r>
      <w:r w:rsidRPr="00770F9D">
        <w:rPr>
          <w:rFonts w:ascii="Garamond" w:hAnsi="Garamond" w:cstheme="majorBidi"/>
          <w:color w:val="0D0D0D" w:themeColor="text1" w:themeTint="F2"/>
        </w:rPr>
        <w:t>. Normat e interesat të kredisë së bizneseve shfaqin një sjellje më të fragmentizuar ndërkohë; normat e interesit të kredisë janë rritur kryesisht për kreditë e vogla, ndërsa ato për kreditë e mëdha duke më të ngurta. Në terma mesatarë, ato janë rritur në 5.9% në tremujorin e tretë të vitit nga 5.5% në 2020</w:t>
      </w:r>
      <w:r w:rsidR="006C1C6A" w:rsidRPr="00770F9D">
        <w:rPr>
          <w:rFonts w:ascii="Garamond" w:hAnsi="Garamond" w:cstheme="majorBidi"/>
          <w:color w:val="0D0D0D" w:themeColor="text1" w:themeTint="F2"/>
        </w:rPr>
        <w:t>–</w:t>
      </w:r>
      <w:r w:rsidRPr="00770F9D">
        <w:rPr>
          <w:rFonts w:ascii="Garamond" w:hAnsi="Garamond" w:cstheme="majorBidi"/>
          <w:color w:val="0D0D0D" w:themeColor="text1" w:themeTint="F2"/>
        </w:rPr>
        <w:t>2021. Këto nivele të normave të interesat janë të konsideruara akoma të ulëta dhe nxitëse për kërkesën për kredi..</w:t>
      </w:r>
    </w:p>
    <w:p w14:paraId="3FB8C71A" w14:textId="47A017B0" w:rsidR="009D5D31" w:rsidRPr="00770F9D" w:rsidRDefault="009D5D31" w:rsidP="006C1C6A">
      <w:pPr>
        <w:shd w:val="clear" w:color="auto" w:fill="FFFFFF" w:themeFill="background1"/>
        <w:ind w:firstLine="284"/>
        <w:jc w:val="both"/>
        <w:rPr>
          <w:rFonts w:ascii="Garamond" w:hAnsi="Garamond" w:cstheme="majorBidi"/>
          <w:color w:val="0D0D0D" w:themeColor="text1" w:themeTint="F2"/>
        </w:rPr>
      </w:pPr>
      <w:r w:rsidRPr="00770F9D">
        <w:rPr>
          <w:rFonts w:ascii="Garamond" w:hAnsi="Garamond" w:cstheme="majorBidi"/>
          <w:i/>
          <w:color w:val="0D0D0D" w:themeColor="text1" w:themeTint="F2"/>
        </w:rPr>
        <w:t xml:space="preserve">Rritja e kredisë për sektorin privat </w:t>
      </w:r>
      <w:r w:rsidRPr="00770F9D">
        <w:rPr>
          <w:rFonts w:ascii="Garamond" w:hAnsi="Garamond" w:cstheme="majorBidi"/>
          <w:color w:val="0D0D0D" w:themeColor="text1" w:themeTint="F2"/>
        </w:rPr>
        <w:t xml:space="preserve">u përshpejtua në vitin 2022, në mesatarisht 12.4% deri në gusht, me një mbështetje të gjerë në të gjitha segmentet. Zgjerimi i kredisë totale u diktua nga kredia në valutë, e cila u rrit me 18% në gusht. Rritja e kredisë në valutë ka reflektuar kërkesën e lartë në financimin e inventarëve e kapitalit qarkullues, si pasojë e shtimit të kostove nga rritja e çmimeve, dhe në financimin e kredive </w:t>
      </w:r>
      <w:r w:rsidR="00E20011" w:rsidRPr="00770F9D">
        <w:rPr>
          <w:rFonts w:ascii="Garamond" w:hAnsi="Garamond" w:cstheme="majorBidi"/>
          <w:color w:val="0D0D0D" w:themeColor="text1" w:themeTint="F2"/>
        </w:rPr>
        <w:t>hipotekare</w:t>
      </w:r>
      <w:r w:rsidRPr="00770F9D">
        <w:rPr>
          <w:rFonts w:ascii="Garamond" w:hAnsi="Garamond" w:cstheme="majorBidi"/>
          <w:color w:val="0D0D0D" w:themeColor="text1" w:themeTint="F2"/>
        </w:rPr>
        <w:t>. Zgjerimi i kredidhënies në valutë është mbështetur nga likuiditeti i bollshëm i bankave në monedhë të huaj, në reflektim të flukseve të larta hyrëse valutore, kombinuar edhe me normat më të ulëta të interesit mbi kreditë në valutë. Nga ana tjetër, kredia në lekë është rritur me ritme të qëndrueshme, në rreth 9.5% në terma vjetor</w:t>
      </w:r>
      <w:r w:rsidR="006C1C6A" w:rsidRPr="00770F9D">
        <w:rPr>
          <w:rFonts w:ascii="Garamond" w:hAnsi="Garamond" w:cstheme="majorBidi"/>
          <w:color w:val="0D0D0D" w:themeColor="text1" w:themeTint="F2"/>
        </w:rPr>
        <w:t>ë</w:t>
      </w:r>
      <w:r w:rsidRPr="00770F9D">
        <w:rPr>
          <w:rFonts w:ascii="Garamond" w:hAnsi="Garamond" w:cstheme="majorBidi"/>
          <w:color w:val="0D0D0D" w:themeColor="text1" w:themeTint="F2"/>
        </w:rPr>
        <w:t xml:space="preserve">, e cila qëndron rreth 2 </w:t>
      </w:r>
      <w:r w:rsidR="00EE365D" w:rsidRPr="00770F9D">
        <w:rPr>
          <w:rFonts w:ascii="Garamond" w:hAnsi="Garamond" w:cstheme="majorBidi"/>
          <w:color w:val="0D0D0D" w:themeColor="text1" w:themeTint="F2"/>
        </w:rPr>
        <w:t>pikë përqindjeje</w:t>
      </w:r>
      <w:r w:rsidRPr="00770F9D">
        <w:rPr>
          <w:rFonts w:ascii="Garamond" w:hAnsi="Garamond" w:cstheme="majorBidi"/>
          <w:color w:val="0D0D0D" w:themeColor="text1" w:themeTint="F2"/>
        </w:rPr>
        <w:t xml:space="preserve"> nën normën e shënuar përgjatë vitit 2021.</w:t>
      </w:r>
      <w:r w:rsidR="006C1C6A"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Ngadalësimi i kredisë në lekë lidhet me mbarimin e skemave të garancisë sovrane, e një likuiditeti relativisht më të rrallë krahasuar me atë në valutë dhe rritjes më të shpejtë të normave të interesit të kredisë në lekë.</w:t>
      </w:r>
    </w:p>
    <w:p w14:paraId="5397BCEF" w14:textId="77777777" w:rsidR="00B63792" w:rsidRPr="00770F9D" w:rsidRDefault="00B63792" w:rsidP="00B63792">
      <w:pPr>
        <w:shd w:val="clear" w:color="auto" w:fill="FFFFFF" w:themeFill="background1"/>
        <w:jc w:val="center"/>
        <w:rPr>
          <w:rFonts w:ascii="Garamond" w:hAnsi="Garamond" w:cstheme="majorBidi"/>
          <w:b/>
          <w:bCs/>
          <w:i/>
          <w:color w:val="0D0D0D" w:themeColor="text1" w:themeTint="F2"/>
          <w:sz w:val="20"/>
          <w:szCs w:val="20"/>
        </w:rPr>
      </w:pPr>
    </w:p>
    <w:p w14:paraId="21D35FDD" w14:textId="77777777" w:rsidR="00B63792" w:rsidRPr="00770F9D" w:rsidRDefault="00B63792" w:rsidP="00B63792">
      <w:pPr>
        <w:shd w:val="clear" w:color="auto" w:fill="FFFFFF" w:themeFill="background1"/>
        <w:jc w:val="center"/>
        <w:rPr>
          <w:rFonts w:ascii="Garamond" w:hAnsi="Garamond" w:cstheme="majorBidi"/>
          <w:b/>
          <w:bCs/>
          <w:i/>
          <w:color w:val="0D0D0D" w:themeColor="text1" w:themeTint="F2"/>
          <w:sz w:val="20"/>
          <w:szCs w:val="20"/>
        </w:rPr>
      </w:pPr>
    </w:p>
    <w:p w14:paraId="45270BED" w14:textId="77777777" w:rsidR="00B63792" w:rsidRPr="00770F9D" w:rsidRDefault="00B63792" w:rsidP="00B63792">
      <w:pPr>
        <w:shd w:val="clear" w:color="auto" w:fill="FFFFFF" w:themeFill="background1"/>
        <w:jc w:val="center"/>
        <w:rPr>
          <w:rFonts w:ascii="Garamond" w:hAnsi="Garamond" w:cstheme="majorBidi"/>
          <w:b/>
          <w:bCs/>
          <w:i/>
          <w:color w:val="0D0D0D" w:themeColor="text1" w:themeTint="F2"/>
          <w:sz w:val="20"/>
          <w:szCs w:val="20"/>
        </w:rPr>
      </w:pPr>
    </w:p>
    <w:p w14:paraId="7C6B7F76" w14:textId="77777777" w:rsidR="00B63792" w:rsidRPr="00770F9D" w:rsidRDefault="00B63792" w:rsidP="00B63792">
      <w:pPr>
        <w:shd w:val="clear" w:color="auto" w:fill="FFFFFF" w:themeFill="background1"/>
        <w:jc w:val="center"/>
        <w:rPr>
          <w:rFonts w:ascii="Garamond" w:hAnsi="Garamond" w:cstheme="majorBidi"/>
          <w:b/>
          <w:bCs/>
          <w:i/>
          <w:color w:val="0D0D0D" w:themeColor="text1" w:themeTint="F2"/>
          <w:sz w:val="20"/>
          <w:szCs w:val="20"/>
        </w:rPr>
      </w:pPr>
    </w:p>
    <w:p w14:paraId="502DDBBC" w14:textId="77777777" w:rsidR="00B63792" w:rsidRPr="00770F9D" w:rsidRDefault="00B63792" w:rsidP="00B63792">
      <w:pPr>
        <w:shd w:val="clear" w:color="auto" w:fill="FFFFFF" w:themeFill="background1"/>
        <w:jc w:val="center"/>
        <w:rPr>
          <w:rFonts w:ascii="Garamond" w:hAnsi="Garamond" w:cstheme="majorBidi"/>
          <w:b/>
          <w:bCs/>
          <w:i/>
          <w:color w:val="0D0D0D" w:themeColor="text1" w:themeTint="F2"/>
          <w:sz w:val="20"/>
          <w:szCs w:val="20"/>
        </w:rPr>
      </w:pPr>
    </w:p>
    <w:p w14:paraId="45843AC1" w14:textId="77777777" w:rsidR="00B63792" w:rsidRPr="00770F9D" w:rsidRDefault="00B63792" w:rsidP="00B63792">
      <w:pPr>
        <w:shd w:val="clear" w:color="auto" w:fill="FFFFFF" w:themeFill="background1"/>
        <w:jc w:val="center"/>
        <w:rPr>
          <w:rFonts w:ascii="Garamond" w:hAnsi="Garamond" w:cstheme="majorBidi"/>
          <w:b/>
          <w:bCs/>
          <w:i/>
          <w:color w:val="0D0D0D" w:themeColor="text1" w:themeTint="F2"/>
          <w:sz w:val="20"/>
          <w:szCs w:val="20"/>
        </w:rPr>
      </w:pPr>
    </w:p>
    <w:p w14:paraId="51886783" w14:textId="1FDACEF9" w:rsidR="00B63792" w:rsidRPr="00770F9D" w:rsidRDefault="00013287" w:rsidP="00B63792">
      <w:pPr>
        <w:shd w:val="clear" w:color="auto" w:fill="FFFFFF" w:themeFill="background1"/>
        <w:jc w:val="center"/>
        <w:rPr>
          <w:rFonts w:ascii="Garamond" w:hAnsi="Garamond" w:cstheme="majorBidi"/>
          <w:color w:val="0D0D0D" w:themeColor="text1" w:themeTint="F2"/>
        </w:rPr>
      </w:pPr>
      <w:r w:rsidRPr="00770F9D">
        <w:rPr>
          <w:rFonts w:ascii="Garamond" w:hAnsi="Garamond" w:cstheme="majorBidi"/>
          <w:noProof/>
          <w:color w:val="0D0D0D" w:themeColor="text1" w:themeTint="F2"/>
          <w:sz w:val="20"/>
          <w:szCs w:val="20"/>
          <w:lang w:eastAsia="sq-AL"/>
        </w:rPr>
        <w:drawing>
          <wp:anchor distT="0" distB="0" distL="114300" distR="114300" simplePos="0" relativeHeight="251658265" behindDoc="0" locked="0" layoutInCell="1" allowOverlap="1" wp14:anchorId="3940A945" wp14:editId="0CEC5669">
            <wp:simplePos x="0" y="0"/>
            <wp:positionH relativeFrom="column">
              <wp:posOffset>147320</wp:posOffset>
            </wp:positionH>
            <wp:positionV relativeFrom="paragraph">
              <wp:posOffset>204470</wp:posOffset>
            </wp:positionV>
            <wp:extent cx="5731510" cy="1885529"/>
            <wp:effectExtent l="0" t="0" r="2540" b="635"/>
            <wp:wrapTopAndBottom/>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1510" cy="1885529"/>
                    </a:xfrm>
                    <a:prstGeom prst="rect">
                      <a:avLst/>
                    </a:prstGeom>
                    <a:noFill/>
                    <a:ln>
                      <a:noFill/>
                    </a:ln>
                  </pic:spPr>
                </pic:pic>
              </a:graphicData>
            </a:graphic>
            <wp14:sizeRelH relativeFrom="page">
              <wp14:pctWidth>0</wp14:pctWidth>
            </wp14:sizeRelH>
            <wp14:sizeRelV relativeFrom="page">
              <wp14:pctHeight>0</wp14:pctHeight>
            </wp14:sizeRelV>
          </wp:anchor>
        </w:drawing>
      </w:r>
      <w:r w:rsidR="00B63792" w:rsidRPr="00770F9D">
        <w:rPr>
          <w:rFonts w:ascii="Garamond" w:hAnsi="Garamond" w:cstheme="majorBidi"/>
          <w:b/>
          <w:bCs/>
          <w:i/>
          <w:color w:val="0D0D0D" w:themeColor="text1" w:themeTint="F2"/>
          <w:sz w:val="20"/>
          <w:szCs w:val="20"/>
        </w:rPr>
        <w:t>Grafik 3.1.6:</w:t>
      </w:r>
      <w:r w:rsidR="00B63792" w:rsidRPr="00770F9D">
        <w:rPr>
          <w:rFonts w:ascii="Garamond" w:hAnsi="Garamond" w:cstheme="majorBidi"/>
          <w:i/>
          <w:color w:val="0D0D0D" w:themeColor="text1" w:themeTint="F2"/>
          <w:sz w:val="20"/>
          <w:szCs w:val="20"/>
        </w:rPr>
        <w:t xml:space="preserve"> Zhvillimet monetare</w:t>
      </w:r>
    </w:p>
    <w:p w14:paraId="093F2AE7" w14:textId="77777777" w:rsidR="009D5D31" w:rsidRPr="00770F9D" w:rsidRDefault="009D5D31" w:rsidP="006C1C6A">
      <w:pPr>
        <w:ind w:firstLine="284"/>
        <w:jc w:val="cente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Burimi: Banka e Shqipërisë</w:t>
      </w:r>
    </w:p>
    <w:p w14:paraId="575D859B" w14:textId="77777777" w:rsidR="009D5D31" w:rsidRPr="00770F9D" w:rsidRDefault="009D5D31" w:rsidP="005674F2">
      <w:pPr>
        <w:ind w:firstLine="284"/>
        <w:jc w:val="both"/>
        <w:rPr>
          <w:rFonts w:ascii="Garamond" w:hAnsi="Garamond" w:cstheme="majorBidi"/>
          <w:color w:val="0D0D0D" w:themeColor="text1" w:themeTint="F2"/>
        </w:rPr>
      </w:pPr>
    </w:p>
    <w:p w14:paraId="39DB7329" w14:textId="03EB4D83" w:rsidR="009D5D31" w:rsidRPr="00770F9D" w:rsidRDefault="009D5D31" w:rsidP="00C25D11">
      <w:pPr>
        <w:ind w:firstLine="284"/>
        <w:jc w:val="both"/>
        <w:rPr>
          <w:rFonts w:ascii="Garamond" w:hAnsi="Garamond" w:cstheme="majorBidi"/>
          <w:b/>
          <w:color w:val="0D0D0D" w:themeColor="text1" w:themeTint="F2"/>
        </w:rPr>
      </w:pPr>
      <w:r w:rsidRPr="00770F9D">
        <w:rPr>
          <w:rFonts w:ascii="Garamond" w:hAnsi="Garamond" w:cstheme="majorBidi"/>
          <w:i/>
          <w:color w:val="0D0D0D" w:themeColor="text1" w:themeTint="F2"/>
        </w:rPr>
        <w:t xml:space="preserve">Rritja vjetore e depozitave bankare </w:t>
      </w:r>
      <w:r w:rsidRPr="00770F9D">
        <w:rPr>
          <w:rFonts w:ascii="Garamond" w:hAnsi="Garamond" w:cstheme="majorBidi"/>
          <w:color w:val="0D0D0D" w:themeColor="text1" w:themeTint="F2"/>
        </w:rPr>
        <w:t>ka mbetur e qëndrueshme, rreth 10.5%. Ngadalësimi në rritjen e depozitave në lekë është kompensuar nga rritja e fortë e depozitave në valutë. Kjo e fundit tregoi një rritje të fortë, veçanërisht në muajin gusht me 29 mld, rritja më e lartë në 5 v</w:t>
      </w:r>
      <w:r w:rsidR="00C25D11" w:rsidRPr="00770F9D">
        <w:rPr>
          <w:rFonts w:ascii="Garamond" w:hAnsi="Garamond" w:cstheme="majorBidi"/>
          <w:color w:val="0D0D0D" w:themeColor="text1" w:themeTint="F2"/>
        </w:rPr>
        <w:t>jetët</w:t>
      </w:r>
      <w:r w:rsidRPr="00770F9D">
        <w:rPr>
          <w:rFonts w:ascii="Garamond" w:hAnsi="Garamond" w:cstheme="majorBidi"/>
          <w:color w:val="0D0D0D" w:themeColor="text1" w:themeTint="F2"/>
        </w:rPr>
        <w:t xml:space="preserve"> e fundit. Këto zhvillime kanë reflektuar një sezon të mirë turistik, nivele të larta të IHD-ve, së bashku me një zhvendosje të investimit të kursimeve të individëve në depozita bankare. Rritja e depozitave në lekë është ngadalësuar, me një rritje vjetore që arriti në 3.4% në gusht, krahasuar me 7.1% në dhjetor të 2021. Zgjerimi i avashtë i tyre reflekton nivelet e ulëta të shpenzimeve qeveritare në ekonomi. Është e rëndësishme që të përmendët se rritjet e normave të interesave, së fundmi, po mbështesin zhvendosjen e kursimeve drejt depozitave me afat, veçanërisht në ato mbi dy vjet maturitet.</w:t>
      </w:r>
    </w:p>
    <w:p w14:paraId="7F8D5F43" w14:textId="19B90997" w:rsidR="009D5D31" w:rsidRPr="00770F9D" w:rsidRDefault="0027139F" w:rsidP="0027139F">
      <w:pPr>
        <w:pStyle w:val="Heading2"/>
        <w:snapToGrid w:val="0"/>
        <w:ind w:left="0" w:firstLine="284"/>
        <w:jc w:val="both"/>
        <w:rPr>
          <w:rFonts w:ascii="Garamond" w:hAnsi="Garamond" w:cstheme="majorBidi"/>
          <w:b/>
          <w:color w:val="0D0D0D" w:themeColor="text1" w:themeTint="F2"/>
        </w:rPr>
      </w:pPr>
      <w:bookmarkStart w:id="12" w:name="_Toc30661214"/>
      <w:bookmarkStart w:id="13" w:name="_Toc30416389"/>
      <w:bookmarkStart w:id="14" w:name="_Toc126050942"/>
      <w:r w:rsidRPr="00770F9D">
        <w:rPr>
          <w:rFonts w:ascii="Garamond" w:hAnsi="Garamond" w:cstheme="majorBidi"/>
          <w:b/>
          <w:color w:val="0D0D0D" w:themeColor="text1" w:themeTint="F2"/>
        </w:rPr>
        <w:t xml:space="preserve">3.2 </w:t>
      </w:r>
      <w:r w:rsidR="009D5D31" w:rsidRPr="00770F9D">
        <w:rPr>
          <w:rFonts w:ascii="Garamond" w:hAnsi="Garamond" w:cstheme="majorBidi"/>
          <w:b/>
          <w:color w:val="0D0D0D" w:themeColor="text1" w:themeTint="F2"/>
        </w:rPr>
        <w:t>Skenari makroekonomik afatmesëm</w:t>
      </w:r>
      <w:bookmarkEnd w:id="11"/>
      <w:bookmarkEnd w:id="12"/>
      <w:bookmarkEnd w:id="13"/>
      <w:bookmarkEnd w:id="14"/>
    </w:p>
    <w:p w14:paraId="6D8C7B42" w14:textId="77777777" w:rsidR="009D5D31" w:rsidRPr="00770F9D" w:rsidRDefault="009D5D31" w:rsidP="0027139F">
      <w:pPr>
        <w:snapToGrid w:val="0"/>
        <w:ind w:firstLine="284"/>
        <w:jc w:val="both"/>
        <w:rPr>
          <w:rFonts w:ascii="Garamond" w:hAnsi="Garamond" w:cstheme="majorBidi"/>
          <w:b/>
          <w:color w:val="0D0D0D" w:themeColor="text1" w:themeTint="F2"/>
        </w:rPr>
      </w:pPr>
      <w:r w:rsidRPr="00770F9D">
        <w:rPr>
          <w:rFonts w:ascii="Garamond" w:hAnsi="Garamond" w:cstheme="majorBidi"/>
          <w:b/>
          <w:i/>
          <w:color w:val="0D0D0D" w:themeColor="text1" w:themeTint="F2"/>
        </w:rPr>
        <w:t>Sektori real</w:t>
      </w:r>
    </w:p>
    <w:p w14:paraId="41617ECC" w14:textId="71C53DF3" w:rsidR="009D5D31" w:rsidRPr="00770F9D" w:rsidRDefault="009D5D31" w:rsidP="00B326A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Ekonomia shqiptare ka rezistuar relativisht mirë goditjeve të shumta që nga viti 2019. Ritmi i rritjes ekonomike gjatë viteve të fundit, deri përpara goditjeve të tërmetit në nëntor 2019 dhe nga pandemia e </w:t>
      </w:r>
      <w:r w:rsidR="00E20011" w:rsidRPr="00770F9D">
        <w:rPr>
          <w:rFonts w:ascii="Garamond" w:hAnsi="Garamond" w:cstheme="majorBidi"/>
          <w:color w:val="0D0D0D" w:themeColor="text1" w:themeTint="F2"/>
        </w:rPr>
        <w:t>COVID</w:t>
      </w:r>
      <w:r w:rsidRPr="00770F9D">
        <w:rPr>
          <w:rFonts w:ascii="Garamond" w:hAnsi="Garamond" w:cstheme="majorBidi"/>
          <w:color w:val="0D0D0D" w:themeColor="text1" w:themeTint="F2"/>
        </w:rPr>
        <w:t>-19, ka treguar një trend pozitiv zhvillimi që është pasqyruar në një sërë parametrash makroekonomikë në vend. Performanca e vitit 2020 ka qenë, në aspektin ekonomik dhe të financave publike, një ndër vitet më të vështir</w:t>
      </w:r>
      <w:r w:rsidR="00B326A1" w:rsidRPr="00770F9D">
        <w:rPr>
          <w:rFonts w:ascii="Garamond" w:hAnsi="Garamond" w:cstheme="majorBidi"/>
          <w:color w:val="0D0D0D" w:themeColor="text1" w:themeTint="F2"/>
        </w:rPr>
        <w:t>a</w:t>
      </w:r>
      <w:r w:rsidRPr="00770F9D">
        <w:rPr>
          <w:rFonts w:ascii="Garamond" w:hAnsi="Garamond" w:cstheme="majorBidi"/>
          <w:color w:val="0D0D0D" w:themeColor="text1" w:themeTint="F2"/>
        </w:rPr>
        <w:t xml:space="preserve"> në tr</w:t>
      </w:r>
      <w:r w:rsidR="00B326A1" w:rsidRPr="00770F9D">
        <w:rPr>
          <w:rFonts w:ascii="Garamond" w:hAnsi="Garamond" w:cstheme="majorBidi"/>
          <w:color w:val="0D0D0D" w:themeColor="text1" w:themeTint="F2"/>
        </w:rPr>
        <w:t>i</w:t>
      </w:r>
      <w:r w:rsidRPr="00770F9D">
        <w:rPr>
          <w:rFonts w:ascii="Garamond" w:hAnsi="Garamond" w:cstheme="majorBidi"/>
          <w:color w:val="0D0D0D" w:themeColor="text1" w:themeTint="F2"/>
        </w:rPr>
        <w:t xml:space="preserve"> dekada. Sidoqoftë, me</w:t>
      </w:r>
      <w:r w:rsidR="00E20011"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gjithë ndikimin e rëndë që të dy goditjet kanë pasur për ekonominë e vendit, në saj</w:t>
      </w:r>
      <w:r w:rsidR="00B326A1" w:rsidRPr="00770F9D">
        <w:rPr>
          <w:rFonts w:ascii="Garamond" w:hAnsi="Garamond" w:cstheme="majorBidi"/>
          <w:color w:val="0D0D0D" w:themeColor="text1" w:themeTint="F2"/>
        </w:rPr>
        <w:t>e</w:t>
      </w:r>
      <w:r w:rsidRPr="00770F9D">
        <w:rPr>
          <w:rFonts w:ascii="Garamond" w:hAnsi="Garamond" w:cstheme="majorBidi"/>
          <w:color w:val="0D0D0D" w:themeColor="text1" w:themeTint="F2"/>
        </w:rPr>
        <w:t xml:space="preserve"> të përgjigjeve relativisht të mira të politikave fiskale e monetare ndërthur me masat e duhura rregullatore të ndërmarra, të dhënat statistikore dëshmojnë se situata e përgjithshme në mbyllje të vitit 2020 ishte konsiderueshëm më pak e rëndë nga sa pritej në fillim të pandemisë. Në vijim, përgjatë vitit 2021 rimarrja e ritmit të ekonomisë </w:t>
      </w:r>
      <w:r w:rsidR="00E20011" w:rsidRPr="00770F9D">
        <w:rPr>
          <w:rFonts w:ascii="Garamond" w:hAnsi="Garamond" w:cstheme="majorBidi"/>
          <w:color w:val="0D0D0D" w:themeColor="text1" w:themeTint="F2"/>
        </w:rPr>
        <w:t>ishte</w:t>
      </w:r>
      <w:r w:rsidRPr="00770F9D">
        <w:rPr>
          <w:rFonts w:ascii="Garamond" w:hAnsi="Garamond" w:cstheme="majorBidi"/>
          <w:color w:val="0D0D0D" w:themeColor="text1" w:themeTint="F2"/>
        </w:rPr>
        <w:t xml:space="preserve"> konsiderueshëm më e shpejtë se</w:t>
      </w:r>
      <w:r w:rsidR="006C004B"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 xml:space="preserve">sa pritshmëritë fillestare, ku ndikim kryesor ka pasur rimëkëmbja e fortë e turizmit, sektori i ndërtimi dhe prodhimi i energjisë elektrike. </w:t>
      </w:r>
    </w:p>
    <w:p w14:paraId="3F9E6F9A" w14:textId="449B0431" w:rsidR="009D5D31" w:rsidRPr="00770F9D" w:rsidRDefault="009D5D31"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Ekonomia e vendit ka vijuar ritmin pozitiv të rritjes edhe përgjatë vitit 2022, pavarësisht goditjes më të fundit të jashtme që rezultoi nga lufta në Ukrainë, e cila reflekton një pakësim të ofertës globale të disa mallrave bazë</w:t>
      </w:r>
      <w:r w:rsidR="00DB0162"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duke shkaktuar një rritje të fortë të inflacionit si dhe një shtrëngim të fortë të kushteve financiare. Sërish deri më tani, fondamentet kryesore ekonomike dhe financiare dhe stabiliteti i përgjithshëm makroekonomik i vendit ka rezistuar relativisht mjaft mirë ndaj të gjitha këtyre goditjeve. </w:t>
      </w:r>
    </w:p>
    <w:p w14:paraId="085C7518" w14:textId="57BA3BF9" w:rsidR="009D5D31" w:rsidRPr="00770F9D" w:rsidRDefault="009D5D31"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Pas recesionit të fortë në vitin 2020, në normën prej -3.5 </w:t>
      </w:r>
      <w:r w:rsidR="00DB0162" w:rsidRPr="00770F9D">
        <w:rPr>
          <w:rFonts w:ascii="Garamond" w:hAnsi="Garamond" w:cstheme="majorBidi"/>
          <w:color w:val="0D0D0D" w:themeColor="text1" w:themeTint="F2"/>
        </w:rPr>
        <w:t>përqindësh</w:t>
      </w:r>
      <w:r w:rsidRPr="00770F9D">
        <w:rPr>
          <w:rFonts w:ascii="Garamond" w:hAnsi="Garamond" w:cstheme="majorBidi"/>
          <w:color w:val="0D0D0D" w:themeColor="text1" w:themeTint="F2"/>
        </w:rPr>
        <w:t>, ekonomia është rikuperuar fuqishëm në vitin 2021, në normën 8.5 për</w:t>
      </w:r>
      <w:r w:rsidR="00E20011"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qind dhe parashikohet të vijojë trendin pozitiv në periudhën afatmesme. Përgjatë nëntë muajve së parë të vitit 2022, ekonomia shqiptare shfaqi shenja inkurajuese</w:t>
      </w:r>
      <w:r w:rsidR="00235CF2"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duke treguar një stabilizim të aktivitetit ekonomik. Produkti i Brendshëm Bruto (PBB) për nëntëmujorin e parë të vitit 2022 ka shënuar rritje prej rreth 4.23 </w:t>
      </w:r>
      <w:r w:rsidR="00DB0162" w:rsidRPr="00770F9D">
        <w:rPr>
          <w:rFonts w:ascii="Garamond" w:hAnsi="Garamond" w:cstheme="majorBidi"/>
          <w:color w:val="0D0D0D" w:themeColor="text1" w:themeTint="F2"/>
        </w:rPr>
        <w:t>përqindësh</w:t>
      </w:r>
      <w:r w:rsidRPr="00770F9D">
        <w:rPr>
          <w:rFonts w:ascii="Garamond" w:hAnsi="Garamond" w:cstheme="majorBidi"/>
          <w:color w:val="0D0D0D" w:themeColor="text1" w:themeTint="F2"/>
        </w:rPr>
        <w:t xml:space="preserve"> krahasuar me të njëjtën periudhë të një viti më</w:t>
      </w:r>
      <w:r w:rsidR="00E20011"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parë, sipas vlerësimit më të fundit të disponueshëm nga INSTAT</w:t>
      </w:r>
      <w:r w:rsidR="00235CF2" w:rsidRPr="00770F9D">
        <w:rPr>
          <w:rFonts w:ascii="Garamond" w:hAnsi="Garamond" w:cstheme="majorBidi"/>
          <w:color w:val="0D0D0D" w:themeColor="text1" w:themeTint="F2"/>
        </w:rPr>
        <w:t>-i</w:t>
      </w:r>
      <w:r w:rsidRPr="00770F9D">
        <w:rPr>
          <w:rFonts w:ascii="Garamond" w:hAnsi="Garamond" w:cstheme="majorBidi"/>
          <w:color w:val="0D0D0D" w:themeColor="text1" w:themeTint="F2"/>
        </w:rPr>
        <w:t xml:space="preserve">. Ky rikuperim mbështetet në një gamë të gjerë faktorësh dhe është prezent në thuajse të gjithë sektorët e ekonomisë. </w:t>
      </w:r>
    </w:p>
    <w:p w14:paraId="772FE0A1" w14:textId="28EDF1C7" w:rsidR="009D5D31" w:rsidRPr="00770F9D" w:rsidRDefault="009D5D31" w:rsidP="000133DD">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Sipas optikës së kërkesës agregate, në nëntëmujorin e parë të vitit 2022 vlerësohet se thuajse të gjithë komponentët e kërkesës agregate kanë shënuar rritje</w:t>
      </w:r>
      <w:r w:rsidR="000133DD"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duke reflektuar kështu stabilizimin e aktivitetit ekonomik. Rritja përgjatë nëntëmujorit të parë të vitit 2022 u gjenerua kryesisht nga kërkesa e brendshme, si nga konsumi privat</w:t>
      </w:r>
      <w:r w:rsidR="000133DD"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ashtu edhe nga investimet. Ndërkohë</w:t>
      </w:r>
      <w:r w:rsidR="000133DD"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kërkesa e huaj neto vlerësohet të ketë pasur një kontribut më të pakët, pasi kontributi i lartë pozitiv prej rritjes së eksporteve të mallrave dhe shërbimeve u kund</w:t>
      </w:r>
      <w:r w:rsidR="000133DD" w:rsidRPr="00770F9D">
        <w:rPr>
          <w:rFonts w:ascii="Garamond" w:hAnsi="Garamond" w:cstheme="majorBidi"/>
          <w:color w:val="0D0D0D" w:themeColor="text1" w:themeTint="F2"/>
        </w:rPr>
        <w:t>ë</w:t>
      </w:r>
      <w:r w:rsidRPr="00770F9D">
        <w:rPr>
          <w:rFonts w:ascii="Garamond" w:hAnsi="Garamond" w:cstheme="majorBidi"/>
          <w:color w:val="0D0D0D" w:themeColor="text1" w:themeTint="F2"/>
        </w:rPr>
        <w:t>rpeshua nga kontributi negativ i rritjes importeve.</w:t>
      </w:r>
    </w:p>
    <w:p w14:paraId="05F0A859" w14:textId="4745D923" w:rsidR="009D5D31" w:rsidRPr="00770F9D" w:rsidRDefault="009D5D31" w:rsidP="00A04EA3">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Në këtë kontekst, konsumi final total, i cili përbën peshën më të madhe në ekonomi ka pa</w:t>
      </w:r>
      <w:r w:rsidR="00A04EA3" w:rsidRPr="00770F9D">
        <w:rPr>
          <w:rFonts w:ascii="Garamond" w:hAnsi="Garamond" w:cstheme="majorBidi"/>
          <w:color w:val="0D0D0D" w:themeColor="text1" w:themeTint="F2"/>
        </w:rPr>
        <w:t>s</w:t>
      </w:r>
      <w:r w:rsidRPr="00770F9D">
        <w:rPr>
          <w:rFonts w:ascii="Garamond" w:hAnsi="Garamond" w:cstheme="majorBidi"/>
          <w:color w:val="0D0D0D" w:themeColor="text1" w:themeTint="F2"/>
        </w:rPr>
        <w:t>ur një rritje me rreth 4.8 për</w:t>
      </w:r>
      <w:r w:rsidR="00A04EA3"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qind në terma real</w:t>
      </w:r>
      <w:r w:rsidR="00030EBE" w:rsidRPr="00770F9D">
        <w:rPr>
          <w:rFonts w:ascii="Garamond" w:hAnsi="Garamond" w:cstheme="majorBidi"/>
          <w:color w:val="0D0D0D" w:themeColor="text1" w:themeTint="F2"/>
        </w:rPr>
        <w:t>ë</w:t>
      </w:r>
      <w:r w:rsidRPr="00770F9D">
        <w:rPr>
          <w:rFonts w:ascii="Garamond" w:hAnsi="Garamond" w:cstheme="majorBidi"/>
          <w:color w:val="0D0D0D" w:themeColor="text1" w:themeTint="F2"/>
        </w:rPr>
        <w:t xml:space="preserve"> vjetorë gjatë vitit 2021 dhe konsumi privat është rritur me rreth 4.4 për</w:t>
      </w:r>
      <w:r w:rsidR="00A04EA3"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 xml:space="preserve">qind. Ndërkohë, për nëntëmujorin e parë të vitit 2022, konsumi final total </w:t>
      </w:r>
      <w:r w:rsidR="00A84445" w:rsidRPr="00770F9D">
        <w:rPr>
          <w:rFonts w:ascii="Garamond" w:hAnsi="Garamond" w:cstheme="majorBidi"/>
          <w:color w:val="0D0D0D" w:themeColor="text1" w:themeTint="F2"/>
        </w:rPr>
        <w:t>sh</w:t>
      </w:r>
      <w:r w:rsidR="00A84445" w:rsidRPr="00770F9D">
        <w:rPr>
          <w:rFonts w:ascii="Garamond" w:eastAsia="Arial Narrow" w:hAnsi="Garamond" w:cstheme="majorBidi"/>
          <w:color w:val="0D0D0D" w:themeColor="text1" w:themeTint="F2"/>
        </w:rPr>
        <w:t>ënoi</w:t>
      </w:r>
      <w:r w:rsidRPr="00770F9D">
        <w:rPr>
          <w:rFonts w:ascii="Garamond" w:hAnsi="Garamond" w:cstheme="majorBidi"/>
          <w:color w:val="0D0D0D" w:themeColor="text1" w:themeTint="F2"/>
        </w:rPr>
        <w:t xml:space="preserve"> rritje prej 6.46 </w:t>
      </w:r>
      <w:r w:rsidR="00DB0162" w:rsidRPr="00770F9D">
        <w:rPr>
          <w:rFonts w:ascii="Garamond" w:hAnsi="Garamond" w:cstheme="majorBidi"/>
          <w:color w:val="0D0D0D" w:themeColor="text1" w:themeTint="F2"/>
        </w:rPr>
        <w:t>përqindësh</w:t>
      </w:r>
      <w:r w:rsidRPr="00770F9D">
        <w:rPr>
          <w:rFonts w:ascii="Garamond" w:hAnsi="Garamond" w:cstheme="majorBidi"/>
          <w:color w:val="0D0D0D" w:themeColor="text1" w:themeTint="F2"/>
        </w:rPr>
        <w:t xml:space="preserve">, ndërsa konsumi privat shënoi rritje prej 8.38 </w:t>
      </w:r>
      <w:r w:rsidR="00030EBE" w:rsidRPr="00770F9D">
        <w:rPr>
          <w:rFonts w:ascii="Garamond" w:hAnsi="Garamond" w:cstheme="majorBidi"/>
          <w:color w:val="0D0D0D" w:themeColor="text1" w:themeTint="F2"/>
        </w:rPr>
        <w:t>për</w:t>
      </w:r>
      <w:r w:rsidR="00623F19" w:rsidRPr="00770F9D">
        <w:rPr>
          <w:rFonts w:ascii="Garamond" w:hAnsi="Garamond" w:cstheme="majorBidi"/>
          <w:color w:val="0D0D0D" w:themeColor="text1" w:themeTint="F2"/>
        </w:rPr>
        <w:t>qind</w:t>
      </w:r>
      <w:r w:rsidR="00030EBE" w:rsidRPr="00770F9D">
        <w:rPr>
          <w:rFonts w:ascii="Garamond" w:hAnsi="Garamond" w:cstheme="majorBidi"/>
          <w:color w:val="0D0D0D" w:themeColor="text1" w:themeTint="F2"/>
        </w:rPr>
        <w:t>ësh</w:t>
      </w:r>
      <w:r w:rsidRPr="00770F9D">
        <w:rPr>
          <w:rFonts w:ascii="Garamond" w:hAnsi="Garamond" w:cstheme="majorBidi"/>
          <w:color w:val="0D0D0D" w:themeColor="text1" w:themeTint="F2"/>
        </w:rPr>
        <w:t xml:space="preserve"> krahasuar me të njëjtën periudhë të një viti më parë. Formimi i </w:t>
      </w:r>
      <w:r w:rsidR="00280960" w:rsidRPr="00770F9D">
        <w:rPr>
          <w:rFonts w:ascii="Garamond" w:hAnsi="Garamond" w:cstheme="majorBidi"/>
          <w:color w:val="0D0D0D" w:themeColor="text1" w:themeTint="F2"/>
        </w:rPr>
        <w:t xml:space="preserve">kapitalit fiks bruto </w:t>
      </w:r>
      <w:r w:rsidRPr="00770F9D">
        <w:rPr>
          <w:rFonts w:ascii="Garamond" w:hAnsi="Garamond" w:cstheme="majorBidi"/>
          <w:color w:val="0D0D0D" w:themeColor="text1" w:themeTint="F2"/>
        </w:rPr>
        <w:t xml:space="preserve">(investimet totale), pas një rritje të fortë me rreth 20.25 </w:t>
      </w:r>
      <w:r w:rsidR="00DB0162" w:rsidRPr="00770F9D">
        <w:rPr>
          <w:rFonts w:ascii="Garamond" w:hAnsi="Garamond" w:cstheme="majorBidi"/>
          <w:color w:val="0D0D0D" w:themeColor="text1" w:themeTint="F2"/>
        </w:rPr>
        <w:t>përqindësh</w:t>
      </w:r>
      <w:r w:rsidRPr="00770F9D">
        <w:rPr>
          <w:rFonts w:ascii="Garamond" w:hAnsi="Garamond" w:cstheme="majorBidi"/>
          <w:color w:val="0D0D0D" w:themeColor="text1" w:themeTint="F2"/>
        </w:rPr>
        <w:t xml:space="preserve"> në terma real</w:t>
      </w:r>
      <w:r w:rsidR="00A04EA3" w:rsidRPr="00770F9D">
        <w:rPr>
          <w:rFonts w:ascii="Garamond" w:hAnsi="Garamond" w:cstheme="majorBidi"/>
          <w:color w:val="0D0D0D" w:themeColor="text1" w:themeTint="F2"/>
        </w:rPr>
        <w:t>ë</w:t>
      </w:r>
      <w:r w:rsidRPr="00770F9D">
        <w:rPr>
          <w:rFonts w:ascii="Garamond" w:hAnsi="Garamond" w:cstheme="majorBidi"/>
          <w:color w:val="0D0D0D" w:themeColor="text1" w:themeTint="F2"/>
        </w:rPr>
        <w:t xml:space="preserve"> vjetor</w:t>
      </w:r>
      <w:r w:rsidR="00A04EA3" w:rsidRPr="00770F9D">
        <w:rPr>
          <w:rFonts w:ascii="Garamond" w:hAnsi="Garamond" w:cstheme="majorBidi"/>
          <w:color w:val="0D0D0D" w:themeColor="text1" w:themeTint="F2"/>
        </w:rPr>
        <w:t>ë</w:t>
      </w:r>
      <w:r w:rsidRPr="00770F9D">
        <w:rPr>
          <w:rFonts w:ascii="Garamond" w:hAnsi="Garamond" w:cstheme="majorBidi"/>
          <w:color w:val="0D0D0D" w:themeColor="text1" w:themeTint="F2"/>
        </w:rPr>
        <w:t xml:space="preserve"> përgjatë vitit 2021, ndërsa për nëntëmujorin e parë të vitit 2022 shënoi rritje më të moderuar prej 4.62 </w:t>
      </w:r>
      <w:r w:rsidR="00DB0162" w:rsidRPr="00770F9D">
        <w:rPr>
          <w:rFonts w:ascii="Garamond" w:hAnsi="Garamond" w:cstheme="majorBidi"/>
          <w:color w:val="0D0D0D" w:themeColor="text1" w:themeTint="F2"/>
        </w:rPr>
        <w:t>përqindësh</w:t>
      </w:r>
      <w:r w:rsidRPr="00770F9D">
        <w:rPr>
          <w:rFonts w:ascii="Garamond" w:hAnsi="Garamond" w:cstheme="majorBidi"/>
          <w:color w:val="0D0D0D" w:themeColor="text1" w:themeTint="F2"/>
        </w:rPr>
        <w:t>.</w:t>
      </w:r>
    </w:p>
    <w:p w14:paraId="7D410E64" w14:textId="2AB6412E" w:rsidR="009D5D31" w:rsidRPr="00770F9D" w:rsidRDefault="009D5D31"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Rritja ekonomike parashikohet në 3.7 për</w:t>
      </w:r>
      <w:r w:rsidR="00A04EA3"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 xml:space="preserve">qind për vitin 2022 dhe parashikohet të vijojë të qëndrojë afër nivelit prej 3.4 </w:t>
      </w:r>
      <w:r w:rsidR="00DB0162" w:rsidRPr="00770F9D">
        <w:rPr>
          <w:rFonts w:ascii="Garamond" w:hAnsi="Garamond" w:cstheme="majorBidi"/>
          <w:color w:val="0D0D0D" w:themeColor="text1" w:themeTint="F2"/>
        </w:rPr>
        <w:t>përqindësh</w:t>
      </w:r>
      <w:r w:rsidRPr="00770F9D">
        <w:rPr>
          <w:rFonts w:ascii="Garamond" w:hAnsi="Garamond" w:cstheme="majorBidi"/>
          <w:color w:val="0D0D0D" w:themeColor="text1" w:themeTint="F2"/>
        </w:rPr>
        <w:t xml:space="preserve"> përgjatë periudhës afatmesme. Për vitin 2023 parashikohet që rritja ekonomike të ngadalësohet në 2.6 për</w:t>
      </w:r>
      <w:r w:rsidR="00A04EA3"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 xml:space="preserve">qind, e ndikuar nga zhvillimet dhe pritshmëritë për ekonominë globale dhe </w:t>
      </w:r>
      <w:r w:rsidR="00A84445" w:rsidRPr="00770F9D">
        <w:rPr>
          <w:rFonts w:ascii="Garamond" w:hAnsi="Garamond" w:cstheme="majorBidi"/>
          <w:color w:val="0D0D0D" w:themeColor="text1" w:themeTint="F2"/>
        </w:rPr>
        <w:t>veç</w:t>
      </w:r>
      <w:r w:rsidRPr="00770F9D">
        <w:rPr>
          <w:rFonts w:ascii="Garamond" w:hAnsi="Garamond" w:cstheme="majorBidi"/>
          <w:color w:val="0D0D0D" w:themeColor="text1" w:themeTint="F2"/>
        </w:rPr>
        <w:t xml:space="preserve">anërisht atë të Bashkimit Evropian. </w:t>
      </w:r>
    </w:p>
    <w:p w14:paraId="6AB0D916" w14:textId="0F8D6409" w:rsidR="009D5D31" w:rsidRPr="00770F9D" w:rsidRDefault="009D5D31" w:rsidP="00280960">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Gjatë periudhës afatmesme rritja pritet të gjenerohet kryesisht nga kërkesa e brendshme, si nga konsumi privat</w:t>
      </w:r>
      <w:r w:rsidR="00280960"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ashtu edhe nga investimet. Gjithashtu edhe kërkesa e jashtme neto pritet të ketë efekt neto pozitiv. Eksportet si të mallrave ashtu edhe të shërbimeve (veçanërisht turizmi) pritet të kenë një ecuri të mirë, por njëkohësisht pritet që edhe importet të kenë po ashtu një rritje (në reflektim të rritjes së kërkesës agregate, veçanërisht investimeve), e për rrjedhojë kontributi neto i kërkesës së huaj në afatmesëm pritet të jetë sërish pozitiv, por më i moderuar se ai i kërkesës së brendshme. </w:t>
      </w:r>
    </w:p>
    <w:p w14:paraId="1D850925" w14:textId="6DB69A0F" w:rsidR="009D5D31" w:rsidRPr="00770F9D" w:rsidRDefault="009D5D31"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Specifikisht, konsumi final total </w:t>
      </w:r>
      <w:r w:rsidR="00DA2D8B" w:rsidRPr="00770F9D">
        <w:rPr>
          <w:rFonts w:ascii="Garamond" w:hAnsi="Garamond" w:cstheme="majorBidi"/>
          <w:color w:val="0D0D0D" w:themeColor="text1" w:themeTint="F2"/>
        </w:rPr>
        <w:t>për periudhën afatmesme (2023–</w:t>
      </w:r>
      <w:r w:rsidRPr="00770F9D">
        <w:rPr>
          <w:rFonts w:ascii="Garamond" w:hAnsi="Garamond" w:cstheme="majorBidi"/>
          <w:color w:val="0D0D0D" w:themeColor="text1" w:themeTint="F2"/>
        </w:rPr>
        <w:t xml:space="preserve">2025) parashikohet të rritet në </w:t>
      </w:r>
      <w:r w:rsidR="00DA2D8B" w:rsidRPr="00770F9D">
        <w:rPr>
          <w:rFonts w:ascii="Garamond" w:hAnsi="Garamond" w:cstheme="majorBidi"/>
          <w:color w:val="0D0D0D" w:themeColor="text1" w:themeTint="F2"/>
        </w:rPr>
        <w:t xml:space="preserve">terma realë </w:t>
      </w:r>
      <w:r w:rsidRPr="00770F9D">
        <w:rPr>
          <w:rFonts w:ascii="Garamond" w:hAnsi="Garamond" w:cstheme="majorBidi"/>
          <w:color w:val="0D0D0D" w:themeColor="text1" w:themeTint="F2"/>
        </w:rPr>
        <w:t>me mesatarisht rreth 2.4 për</w:t>
      </w:r>
      <w:r w:rsidR="00A04EA3"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 xml:space="preserve">qind në vit, duke kontribuar me mesatarisht rreth 2.1 </w:t>
      </w:r>
      <w:r w:rsidR="00EE365D" w:rsidRPr="00770F9D">
        <w:rPr>
          <w:rFonts w:ascii="Garamond" w:hAnsi="Garamond" w:cstheme="majorBidi"/>
          <w:color w:val="0D0D0D" w:themeColor="text1" w:themeTint="F2"/>
        </w:rPr>
        <w:t>pikë përqindjeje</w:t>
      </w:r>
      <w:r w:rsidRPr="00770F9D">
        <w:rPr>
          <w:rFonts w:ascii="Garamond" w:hAnsi="Garamond" w:cstheme="majorBidi"/>
          <w:color w:val="0D0D0D" w:themeColor="text1" w:themeTint="F2"/>
        </w:rPr>
        <w:t xml:space="preserve"> në vit në rritjen e PBB. Ndërsa investimet totale në ekonomi parashikohen të rriten në </w:t>
      </w:r>
      <w:r w:rsidR="00DA2D8B" w:rsidRPr="00770F9D">
        <w:rPr>
          <w:rFonts w:ascii="Garamond" w:hAnsi="Garamond" w:cstheme="majorBidi"/>
          <w:color w:val="0D0D0D" w:themeColor="text1" w:themeTint="F2"/>
        </w:rPr>
        <w:t xml:space="preserve">terma realë </w:t>
      </w:r>
      <w:r w:rsidRPr="00770F9D">
        <w:rPr>
          <w:rFonts w:ascii="Garamond" w:hAnsi="Garamond" w:cstheme="majorBidi"/>
          <w:color w:val="0D0D0D" w:themeColor="text1" w:themeTint="F2"/>
        </w:rPr>
        <w:t>me rreth 3.2 për</w:t>
      </w:r>
      <w:r w:rsidR="00A04EA3"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 xml:space="preserve">qind në vitet </w:t>
      </w:r>
      <w:r w:rsidR="003F4C96" w:rsidRPr="00770F9D">
        <w:rPr>
          <w:rFonts w:ascii="Garamond" w:hAnsi="Garamond" w:cstheme="majorBidi"/>
          <w:color w:val="0D0D0D" w:themeColor="text1" w:themeTint="F2"/>
        </w:rPr>
        <w:t>2023–2025</w:t>
      </w:r>
      <w:r w:rsidRPr="00770F9D">
        <w:rPr>
          <w:rFonts w:ascii="Garamond" w:hAnsi="Garamond" w:cstheme="majorBidi"/>
          <w:color w:val="0D0D0D" w:themeColor="text1" w:themeTint="F2"/>
        </w:rPr>
        <w:t xml:space="preserve">, me një kontribut mesatar në rritjen totale prej rreth 0.7 </w:t>
      </w:r>
      <w:r w:rsidR="00EE365D" w:rsidRPr="00770F9D">
        <w:rPr>
          <w:rFonts w:ascii="Garamond" w:hAnsi="Garamond" w:cstheme="majorBidi"/>
          <w:color w:val="0D0D0D" w:themeColor="text1" w:themeTint="F2"/>
        </w:rPr>
        <w:t>pikë përqindjeje</w:t>
      </w:r>
      <w:r w:rsidRPr="00770F9D">
        <w:rPr>
          <w:rFonts w:ascii="Garamond" w:hAnsi="Garamond" w:cstheme="majorBidi"/>
          <w:color w:val="0D0D0D" w:themeColor="text1" w:themeTint="F2"/>
        </w:rPr>
        <w:t xml:space="preserve"> në vit.</w:t>
      </w:r>
    </w:p>
    <w:p w14:paraId="13BC965A" w14:textId="5640B83F" w:rsidR="009D5D31" w:rsidRPr="00770F9D" w:rsidRDefault="009D5D31"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Zhvillimet në tregtinë e jashtme të mallrave kanë shfaqur rritje të ndjeshme në terma vjetorë, si në eksporte ashtu edhe në importe. Vazhdimi i prirjes rritëse që nga tremujorët e mëparshëm dhe fakti që vlerat kanë pësuar një rritje të ndjeshme, janë tregues për rikuperimin e tregtisë së jashtme të mallrave në nivel të përgjithshëm. Eksportet e mallrave dhe shërbimeve për periudhën njëmbëdhjetëmujore të vitit 2022 shënuan rritje prej +32,6% krahasuar me një vit më parë. Ndërsa importet e mallrave dhe shërbimeve për nëntëmujorin 2022 shënuan rritje prej +20,1 krahasuar me një vit më parë. Deficiti tregtar për periudhën janar</w:t>
      </w:r>
      <w:r w:rsidR="002D1D42" w:rsidRPr="00770F9D">
        <w:rPr>
          <w:rFonts w:ascii="Garamond" w:hAnsi="Garamond" w:cstheme="majorBidi"/>
          <w:color w:val="0D0D0D" w:themeColor="text1" w:themeTint="F2"/>
        </w:rPr>
        <w:t>–</w:t>
      </w:r>
      <w:r w:rsidRPr="00770F9D">
        <w:rPr>
          <w:rFonts w:ascii="Garamond" w:hAnsi="Garamond" w:cstheme="majorBidi"/>
          <w:color w:val="0D0D0D" w:themeColor="text1" w:themeTint="F2"/>
        </w:rPr>
        <w:t>nëntor 2022 është rritur me 8.8% krahasuar me të njëjtën periudhë të një viti më parë. Norma e mbulimit të eksporteve me importe për këtë periudhë është 52.2%.</w:t>
      </w:r>
    </w:p>
    <w:p w14:paraId="44E0C03B" w14:textId="4E9CBBF5" w:rsidR="009D5D31" w:rsidRPr="00770F9D" w:rsidRDefault="009D5D31"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Eksportet e mallrave dhe shërbimeve për periudhën </w:t>
      </w:r>
      <w:r w:rsidR="003F4C96" w:rsidRPr="00770F9D">
        <w:rPr>
          <w:rFonts w:ascii="Garamond" w:hAnsi="Garamond" w:cstheme="majorBidi"/>
          <w:color w:val="0D0D0D" w:themeColor="text1" w:themeTint="F2"/>
        </w:rPr>
        <w:t>2023–2025</w:t>
      </w:r>
      <w:r w:rsidRPr="00770F9D">
        <w:rPr>
          <w:rFonts w:ascii="Garamond" w:hAnsi="Garamond" w:cstheme="majorBidi"/>
          <w:color w:val="0D0D0D" w:themeColor="text1" w:themeTint="F2"/>
        </w:rPr>
        <w:t>, parashikohen të rriten me mesatarisht rreth 4.3 për</w:t>
      </w:r>
      <w:r w:rsidR="00A04EA3"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qind në vit në terma real</w:t>
      </w:r>
      <w:r w:rsidR="00BC7567" w:rsidRPr="00770F9D">
        <w:rPr>
          <w:rFonts w:ascii="Garamond" w:hAnsi="Garamond" w:cstheme="majorBidi"/>
          <w:color w:val="0D0D0D" w:themeColor="text1" w:themeTint="F2"/>
        </w:rPr>
        <w:t>ë</w:t>
      </w:r>
      <w:r w:rsidRPr="00770F9D">
        <w:rPr>
          <w:rFonts w:ascii="Garamond" w:hAnsi="Garamond" w:cstheme="majorBidi"/>
          <w:color w:val="0D0D0D" w:themeColor="text1" w:themeTint="F2"/>
        </w:rPr>
        <w:t xml:space="preserve">, me një kontribut mesatar pozitiv prej rreth 1.8 </w:t>
      </w:r>
      <w:r w:rsidR="00EE365D" w:rsidRPr="00770F9D">
        <w:rPr>
          <w:rFonts w:ascii="Garamond" w:hAnsi="Garamond" w:cstheme="majorBidi"/>
          <w:color w:val="0D0D0D" w:themeColor="text1" w:themeTint="F2"/>
        </w:rPr>
        <w:t>pikë përqindjeje</w:t>
      </w:r>
      <w:r w:rsidRPr="00770F9D">
        <w:rPr>
          <w:rFonts w:ascii="Garamond" w:hAnsi="Garamond" w:cstheme="majorBidi"/>
          <w:color w:val="0D0D0D" w:themeColor="text1" w:themeTint="F2"/>
        </w:rPr>
        <w:t xml:space="preserve"> në vit në rritjen e PBB. Ndërsa importet e mallrave dhe shërbimeve për këtë periudhë afatmesme parashikohen të zgjerohen me mesatarisht rreth 2.2 për</w:t>
      </w:r>
      <w:r w:rsidR="00A04EA3"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 xml:space="preserve">qind në vit me një kontribut mesatar negativ në rritjen e PBB me rreth 1.1 </w:t>
      </w:r>
      <w:r w:rsidR="00EE365D" w:rsidRPr="00770F9D">
        <w:rPr>
          <w:rFonts w:ascii="Garamond" w:hAnsi="Garamond" w:cstheme="majorBidi"/>
          <w:color w:val="0D0D0D" w:themeColor="text1" w:themeTint="F2"/>
        </w:rPr>
        <w:t>pikë përqindjeje</w:t>
      </w:r>
      <w:r w:rsidRPr="00770F9D">
        <w:rPr>
          <w:rFonts w:ascii="Garamond" w:hAnsi="Garamond" w:cstheme="majorBidi"/>
          <w:color w:val="0D0D0D" w:themeColor="text1" w:themeTint="F2"/>
        </w:rPr>
        <w:t xml:space="preserve"> në vit. Rrjedhimisht, në terma neto kërkesa e huaj parashikohet të ketë një kontribut pozitiv në rritjen totale të PBB me mesatarisht rreth 0.6 </w:t>
      </w:r>
      <w:r w:rsidR="00EE365D" w:rsidRPr="00770F9D">
        <w:rPr>
          <w:rFonts w:ascii="Garamond" w:hAnsi="Garamond" w:cstheme="majorBidi"/>
          <w:color w:val="0D0D0D" w:themeColor="text1" w:themeTint="F2"/>
        </w:rPr>
        <w:t>pikë përqindjeje</w:t>
      </w:r>
      <w:r w:rsidRPr="00770F9D">
        <w:rPr>
          <w:rFonts w:ascii="Garamond" w:hAnsi="Garamond" w:cstheme="majorBidi"/>
          <w:color w:val="0D0D0D" w:themeColor="text1" w:themeTint="F2"/>
        </w:rPr>
        <w:t xml:space="preserve"> në vit.</w:t>
      </w:r>
    </w:p>
    <w:p w14:paraId="0F0C2BC8" w14:textId="77777777" w:rsidR="00251388" w:rsidRDefault="00251388" w:rsidP="005674F2">
      <w:pPr>
        <w:ind w:firstLine="284"/>
        <w:jc w:val="both"/>
        <w:rPr>
          <w:rFonts w:ascii="Garamond" w:hAnsi="Garamond" w:cstheme="majorBidi"/>
          <w:color w:val="0D0D0D" w:themeColor="text1" w:themeTint="F2"/>
        </w:rPr>
      </w:pPr>
    </w:p>
    <w:p w14:paraId="3AE52A78" w14:textId="77777777" w:rsidR="000F4E5B" w:rsidRDefault="000F4E5B" w:rsidP="005674F2">
      <w:pPr>
        <w:ind w:firstLine="284"/>
        <w:jc w:val="both"/>
        <w:rPr>
          <w:rFonts w:ascii="Garamond" w:hAnsi="Garamond" w:cstheme="majorBidi"/>
          <w:color w:val="0D0D0D" w:themeColor="text1" w:themeTint="F2"/>
        </w:rPr>
      </w:pPr>
    </w:p>
    <w:p w14:paraId="049B0FA5" w14:textId="77777777" w:rsidR="000F4E5B" w:rsidRDefault="000F4E5B" w:rsidP="005674F2">
      <w:pPr>
        <w:ind w:firstLine="284"/>
        <w:jc w:val="both"/>
        <w:rPr>
          <w:rFonts w:ascii="Garamond" w:hAnsi="Garamond" w:cstheme="majorBidi"/>
          <w:color w:val="0D0D0D" w:themeColor="text1" w:themeTint="F2"/>
        </w:rPr>
      </w:pPr>
    </w:p>
    <w:p w14:paraId="4BB3DC72" w14:textId="77777777" w:rsidR="000F4E5B" w:rsidRPr="00770F9D" w:rsidRDefault="000F4E5B" w:rsidP="005674F2">
      <w:pPr>
        <w:ind w:firstLine="284"/>
        <w:jc w:val="both"/>
        <w:rPr>
          <w:rFonts w:ascii="Garamond" w:hAnsi="Garamond" w:cstheme="majorBidi"/>
          <w:color w:val="0D0D0D" w:themeColor="text1" w:themeTint="F2"/>
        </w:rPr>
      </w:pPr>
    </w:p>
    <w:tbl>
      <w:tblPr>
        <w:tblStyle w:val="TableGrid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4505"/>
      </w:tblGrid>
      <w:tr w:rsidR="00251388" w:rsidRPr="00770F9D" w14:paraId="067C3299" w14:textId="77777777" w:rsidTr="008577C0">
        <w:trPr>
          <w:jc w:val="center"/>
        </w:trPr>
        <w:tc>
          <w:tcPr>
            <w:tcW w:w="4505" w:type="dxa"/>
            <w:vAlign w:val="center"/>
          </w:tcPr>
          <w:p w14:paraId="4432ED20" w14:textId="77777777" w:rsidR="00251388" w:rsidRPr="00770F9D" w:rsidRDefault="00251388" w:rsidP="008577C0">
            <w:pPr>
              <w:jc w:val="center"/>
              <w:rPr>
                <w:rFonts w:ascii="Garamond" w:hAnsi="Garamond" w:cstheme="majorBidi"/>
                <w:i/>
                <w:iCs/>
                <w:color w:val="0D0D0D" w:themeColor="text1" w:themeTint="F2"/>
                <w:sz w:val="20"/>
                <w:szCs w:val="20"/>
              </w:rPr>
            </w:pPr>
            <w:r w:rsidRPr="00770F9D">
              <w:rPr>
                <w:rFonts w:ascii="Garamond" w:hAnsi="Garamond" w:cstheme="majorBidi"/>
                <w:b/>
                <w:bCs/>
                <w:i/>
                <w:iCs/>
                <w:color w:val="0D0D0D" w:themeColor="text1" w:themeTint="F2"/>
                <w:sz w:val="20"/>
                <w:szCs w:val="20"/>
              </w:rPr>
              <w:t>Grafiku 3.2.1:</w:t>
            </w:r>
            <w:r w:rsidRPr="00770F9D">
              <w:rPr>
                <w:rFonts w:ascii="Garamond" w:hAnsi="Garamond" w:cstheme="majorBidi"/>
                <w:i/>
                <w:iCs/>
                <w:color w:val="0D0D0D" w:themeColor="text1" w:themeTint="F2"/>
                <w:sz w:val="20"/>
                <w:szCs w:val="20"/>
              </w:rPr>
              <w:t xml:space="preserve"> Rritja reale (në %)</w:t>
            </w:r>
          </w:p>
        </w:tc>
        <w:tc>
          <w:tcPr>
            <w:tcW w:w="4505" w:type="dxa"/>
            <w:vAlign w:val="center"/>
          </w:tcPr>
          <w:p w14:paraId="70BFBB2A" w14:textId="77777777" w:rsidR="00251388" w:rsidRPr="00770F9D" w:rsidRDefault="00251388" w:rsidP="008577C0">
            <w:pPr>
              <w:jc w:val="center"/>
              <w:rPr>
                <w:rFonts w:ascii="Garamond" w:hAnsi="Garamond" w:cstheme="majorBidi"/>
                <w:i/>
                <w:iCs/>
                <w:color w:val="0D0D0D" w:themeColor="text1" w:themeTint="F2"/>
                <w:sz w:val="20"/>
                <w:szCs w:val="20"/>
              </w:rPr>
            </w:pPr>
            <w:r w:rsidRPr="00770F9D">
              <w:rPr>
                <w:rFonts w:ascii="Garamond" w:hAnsi="Garamond" w:cstheme="majorBidi"/>
                <w:b/>
                <w:bCs/>
                <w:i/>
                <w:iCs/>
                <w:color w:val="0D0D0D" w:themeColor="text1" w:themeTint="F2"/>
                <w:sz w:val="20"/>
                <w:szCs w:val="20"/>
              </w:rPr>
              <w:t>Grafiku 3.2.2:</w:t>
            </w:r>
            <w:r w:rsidRPr="00770F9D">
              <w:rPr>
                <w:rFonts w:ascii="Garamond" w:hAnsi="Garamond" w:cstheme="majorBidi"/>
                <w:i/>
                <w:iCs/>
                <w:color w:val="0D0D0D" w:themeColor="text1" w:themeTint="F2"/>
                <w:sz w:val="20"/>
                <w:szCs w:val="20"/>
              </w:rPr>
              <w:t xml:space="preserve"> Kontributet në rritje (në p.p.) sipas komponentëve të kërkesës</w:t>
            </w:r>
          </w:p>
        </w:tc>
      </w:tr>
    </w:tbl>
    <w:p w14:paraId="6A11A046" w14:textId="1A205B1F" w:rsidR="00A04EA3" w:rsidRPr="00770F9D" w:rsidRDefault="00BC7567" w:rsidP="005674F2">
      <w:pPr>
        <w:ind w:firstLine="284"/>
        <w:jc w:val="both"/>
        <w:rPr>
          <w:rFonts w:ascii="Garamond" w:hAnsi="Garamond" w:cstheme="majorBidi"/>
          <w:color w:val="0D0D0D" w:themeColor="text1" w:themeTint="F2"/>
        </w:rPr>
      </w:pPr>
      <w:r w:rsidRPr="00770F9D">
        <w:rPr>
          <w:rFonts w:ascii="Garamond" w:hAnsi="Garamond" w:cstheme="majorBidi"/>
          <w:noProof/>
          <w:color w:val="0D0D0D" w:themeColor="text1" w:themeTint="F2"/>
          <w:lang w:eastAsia="sq-AL"/>
        </w:rPr>
        <w:drawing>
          <wp:inline distT="0" distB="0" distL="0" distR="0" wp14:anchorId="2702F38E" wp14:editId="23557FD0">
            <wp:extent cx="5915025" cy="223837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15025" cy="2238375"/>
                    </a:xfrm>
                    <a:prstGeom prst="rect">
                      <a:avLst/>
                    </a:prstGeom>
                    <a:noFill/>
                    <a:ln>
                      <a:noFill/>
                    </a:ln>
                  </pic:spPr>
                </pic:pic>
              </a:graphicData>
            </a:graphic>
          </wp:inline>
        </w:drawing>
      </w:r>
    </w:p>
    <w:p w14:paraId="33FF5420" w14:textId="288C73BF" w:rsidR="009D5D31" w:rsidRPr="00770F9D" w:rsidRDefault="009D5D31" w:rsidP="00A04EA3">
      <w:pPr>
        <w:ind w:firstLine="284"/>
        <w:jc w:val="cente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Burimi: INSTAT</w:t>
      </w:r>
      <w:r w:rsidR="00F40B8C" w:rsidRPr="00770F9D">
        <w:rPr>
          <w:rFonts w:ascii="Garamond" w:hAnsi="Garamond" w:cstheme="majorBidi"/>
          <w:color w:val="0D0D0D" w:themeColor="text1" w:themeTint="F2"/>
          <w:sz w:val="20"/>
          <w:szCs w:val="20"/>
        </w:rPr>
        <w:t>-i</w:t>
      </w:r>
      <w:r w:rsidRPr="00770F9D">
        <w:rPr>
          <w:rFonts w:ascii="Garamond" w:hAnsi="Garamond" w:cstheme="majorBidi"/>
          <w:color w:val="0D0D0D" w:themeColor="text1" w:themeTint="F2"/>
          <w:sz w:val="20"/>
          <w:szCs w:val="20"/>
        </w:rPr>
        <w:t>, Ministria e Financave dhe Ekonomisë</w:t>
      </w:r>
    </w:p>
    <w:p w14:paraId="6F66C924" w14:textId="77777777" w:rsidR="005277AE" w:rsidRPr="00770F9D" w:rsidRDefault="005277AE" w:rsidP="005277AE">
      <w:pPr>
        <w:ind w:firstLine="284"/>
        <w:jc w:val="center"/>
        <w:rPr>
          <w:rFonts w:ascii="Garamond" w:hAnsi="Garamond" w:cstheme="majorBidi"/>
          <w:b/>
          <w:bCs/>
          <w:i/>
          <w:iCs/>
          <w:color w:val="0D0D0D" w:themeColor="text1" w:themeTint="F2"/>
        </w:rPr>
      </w:pPr>
    </w:p>
    <w:p w14:paraId="7F761093" w14:textId="3F6378C0" w:rsidR="005277AE" w:rsidRPr="00770F9D" w:rsidRDefault="008B3B99" w:rsidP="005277AE">
      <w:pPr>
        <w:ind w:firstLine="284"/>
        <w:jc w:val="center"/>
        <w:rPr>
          <w:rFonts w:ascii="Garamond" w:hAnsi="Garamond" w:cstheme="majorBidi"/>
          <w:i/>
          <w:iCs/>
          <w:color w:val="0D0D0D" w:themeColor="text1" w:themeTint="F2"/>
          <w:sz w:val="20"/>
          <w:szCs w:val="20"/>
        </w:rPr>
      </w:pPr>
      <w:r w:rsidRPr="00770F9D">
        <w:rPr>
          <w:rFonts w:ascii="Garamond" w:hAnsi="Garamond" w:cstheme="majorBidi"/>
          <w:i/>
          <w:iCs/>
          <w:noProof/>
          <w:color w:val="0D0D0D" w:themeColor="text1" w:themeTint="F2"/>
          <w:sz w:val="20"/>
          <w:szCs w:val="20"/>
          <w:lang w:eastAsia="sq-AL"/>
        </w:rPr>
        <w:drawing>
          <wp:anchor distT="0" distB="0" distL="114300" distR="114300" simplePos="0" relativeHeight="251658260" behindDoc="0" locked="0" layoutInCell="1" allowOverlap="1" wp14:anchorId="7AD1D231" wp14:editId="309877F2">
            <wp:simplePos x="0" y="0"/>
            <wp:positionH relativeFrom="column">
              <wp:posOffset>350520</wp:posOffset>
            </wp:positionH>
            <wp:positionV relativeFrom="paragraph">
              <wp:posOffset>213995</wp:posOffset>
            </wp:positionV>
            <wp:extent cx="5419725" cy="3101340"/>
            <wp:effectExtent l="0" t="0" r="9525" b="381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19725" cy="3101340"/>
                    </a:xfrm>
                    <a:prstGeom prst="rect">
                      <a:avLst/>
                    </a:prstGeom>
                    <a:noFill/>
                    <a:ln>
                      <a:noFill/>
                    </a:ln>
                  </pic:spPr>
                </pic:pic>
              </a:graphicData>
            </a:graphic>
            <wp14:sizeRelH relativeFrom="page">
              <wp14:pctWidth>0</wp14:pctWidth>
            </wp14:sizeRelH>
            <wp14:sizeRelV relativeFrom="page">
              <wp14:pctHeight>0</wp14:pctHeight>
            </wp14:sizeRelV>
          </wp:anchor>
        </w:drawing>
      </w:r>
      <w:r w:rsidR="005277AE" w:rsidRPr="00770F9D">
        <w:rPr>
          <w:rFonts w:ascii="Garamond" w:hAnsi="Garamond" w:cstheme="majorBidi"/>
          <w:b/>
          <w:bCs/>
          <w:i/>
          <w:iCs/>
          <w:color w:val="0D0D0D" w:themeColor="text1" w:themeTint="F2"/>
          <w:sz w:val="20"/>
          <w:szCs w:val="20"/>
        </w:rPr>
        <w:t>Tabelë 3.2.1:</w:t>
      </w:r>
      <w:r w:rsidR="005277AE" w:rsidRPr="00770F9D">
        <w:rPr>
          <w:rFonts w:ascii="Garamond" w:hAnsi="Garamond" w:cstheme="majorBidi"/>
          <w:i/>
          <w:iCs/>
          <w:color w:val="0D0D0D" w:themeColor="text1" w:themeTint="F2"/>
          <w:sz w:val="20"/>
          <w:szCs w:val="20"/>
        </w:rPr>
        <w:t xml:space="preserve"> Rritja reale (në të majtë, në %) dhe kontributet në rritje (në të djathtë, në p.p.) sipas komponentëve të kërkesës</w:t>
      </w:r>
    </w:p>
    <w:p w14:paraId="40539545" w14:textId="17655ECC" w:rsidR="009D5D31" w:rsidRPr="00770F9D" w:rsidRDefault="009D5D31" w:rsidP="005277AE">
      <w:pPr>
        <w:ind w:firstLine="284"/>
        <w:jc w:val="cente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Burimi: INSTAT</w:t>
      </w:r>
      <w:r w:rsidR="005277AE" w:rsidRPr="00770F9D">
        <w:rPr>
          <w:rFonts w:ascii="Garamond" w:hAnsi="Garamond" w:cstheme="majorBidi"/>
          <w:color w:val="0D0D0D" w:themeColor="text1" w:themeTint="F2"/>
          <w:sz w:val="20"/>
          <w:szCs w:val="20"/>
        </w:rPr>
        <w:t>-i</w:t>
      </w:r>
      <w:r w:rsidRPr="00770F9D">
        <w:rPr>
          <w:rFonts w:ascii="Garamond" w:hAnsi="Garamond" w:cstheme="majorBidi"/>
          <w:color w:val="0D0D0D" w:themeColor="text1" w:themeTint="F2"/>
          <w:sz w:val="20"/>
          <w:szCs w:val="20"/>
        </w:rPr>
        <w:t>, Ministria e Financave dhe Ekonomisë</w:t>
      </w:r>
    </w:p>
    <w:p w14:paraId="61924252" w14:textId="22F67603" w:rsidR="009D5D31" w:rsidRPr="00770F9D" w:rsidRDefault="009D5D31" w:rsidP="005674F2">
      <w:pPr>
        <w:ind w:firstLine="284"/>
        <w:jc w:val="both"/>
        <w:rPr>
          <w:rFonts w:ascii="Garamond" w:hAnsi="Garamond" w:cstheme="majorBidi"/>
          <w:color w:val="0D0D0D" w:themeColor="text1" w:themeTint="F2"/>
        </w:rPr>
      </w:pPr>
    </w:p>
    <w:p w14:paraId="43071DDA" w14:textId="5D5DD76C" w:rsidR="009D5D31" w:rsidRPr="00770F9D" w:rsidRDefault="008B3B99" w:rsidP="005674F2">
      <w:pPr>
        <w:ind w:firstLine="284"/>
        <w:jc w:val="both"/>
        <w:rPr>
          <w:rFonts w:ascii="Garamond" w:hAnsi="Garamond" w:cstheme="majorBidi"/>
          <w:color w:val="0D0D0D" w:themeColor="text1" w:themeTint="F2"/>
        </w:rPr>
      </w:pPr>
      <w:r w:rsidRPr="00770F9D">
        <w:rPr>
          <w:rFonts w:ascii="Garamond" w:hAnsi="Garamond" w:cstheme="majorBidi"/>
          <w:noProof/>
          <w:color w:val="0D0D0D" w:themeColor="text1" w:themeTint="F2"/>
          <w:lang w:eastAsia="sq-AL"/>
        </w:rPr>
        <w:drawing>
          <wp:anchor distT="0" distB="0" distL="114300" distR="114300" simplePos="0" relativeHeight="251658248" behindDoc="0" locked="0" layoutInCell="1" allowOverlap="1" wp14:anchorId="724DCCBE" wp14:editId="6D4BEDFA">
            <wp:simplePos x="0" y="0"/>
            <wp:positionH relativeFrom="column">
              <wp:posOffset>-45720</wp:posOffset>
            </wp:positionH>
            <wp:positionV relativeFrom="paragraph">
              <wp:posOffset>1608455</wp:posOffset>
            </wp:positionV>
            <wp:extent cx="5915025" cy="2238375"/>
            <wp:effectExtent l="0" t="0" r="9525" b="952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15025" cy="2238375"/>
                    </a:xfrm>
                    <a:prstGeom prst="rect">
                      <a:avLst/>
                    </a:prstGeom>
                    <a:noFill/>
                    <a:ln>
                      <a:noFill/>
                    </a:ln>
                  </pic:spPr>
                </pic:pic>
              </a:graphicData>
            </a:graphic>
            <wp14:sizeRelH relativeFrom="page">
              <wp14:pctWidth>0</wp14:pctWidth>
            </wp14:sizeRelH>
            <wp14:sizeRelV relativeFrom="page">
              <wp14:pctHeight>0</wp14:pctHeight>
            </wp14:sizeRelV>
          </wp:anchor>
        </w:drawing>
      </w:r>
      <w:r w:rsidR="009D5D31" w:rsidRPr="00770F9D">
        <w:rPr>
          <w:rFonts w:ascii="Garamond" w:hAnsi="Garamond" w:cstheme="majorBidi"/>
          <w:color w:val="0D0D0D" w:themeColor="text1" w:themeTint="F2"/>
        </w:rPr>
        <w:t xml:space="preserve">Nga pikëpamja e ofertës agregate pritet që të gjithë sektorët kryesorë të vazhdojnë rreth të njëjtit trend të mesatares së tyre historike, pasi efektet e goditjeve do të zbehen. Specifikisht, bujqësia pritet të rritet mesatarisht me 2.5% në vit në </w:t>
      </w:r>
      <w:r w:rsidR="00DA2D8B" w:rsidRPr="00770F9D">
        <w:rPr>
          <w:rFonts w:ascii="Garamond" w:hAnsi="Garamond" w:cstheme="majorBidi"/>
          <w:color w:val="0D0D0D" w:themeColor="text1" w:themeTint="F2"/>
        </w:rPr>
        <w:t xml:space="preserve">terma realë </w:t>
      </w:r>
      <w:r w:rsidR="009D5D31" w:rsidRPr="00770F9D">
        <w:rPr>
          <w:rFonts w:ascii="Garamond" w:hAnsi="Garamond" w:cstheme="majorBidi"/>
          <w:color w:val="0D0D0D" w:themeColor="text1" w:themeTint="F2"/>
        </w:rPr>
        <w:t xml:space="preserve">përgjatë periudhës </w:t>
      </w:r>
      <w:r w:rsidR="003F4C96" w:rsidRPr="00770F9D">
        <w:rPr>
          <w:rFonts w:ascii="Garamond" w:hAnsi="Garamond" w:cstheme="majorBidi"/>
          <w:color w:val="0D0D0D" w:themeColor="text1" w:themeTint="F2"/>
        </w:rPr>
        <w:t>2023–2025</w:t>
      </w:r>
      <w:r w:rsidR="009D5D31" w:rsidRPr="00770F9D">
        <w:rPr>
          <w:rFonts w:ascii="Garamond" w:hAnsi="Garamond" w:cstheme="majorBidi"/>
          <w:color w:val="0D0D0D" w:themeColor="text1" w:themeTint="F2"/>
        </w:rPr>
        <w:t xml:space="preserve">, me një kontribut mesatar prej 0.4 </w:t>
      </w:r>
      <w:r w:rsidR="00EE365D" w:rsidRPr="00770F9D">
        <w:rPr>
          <w:rFonts w:ascii="Garamond" w:hAnsi="Garamond" w:cstheme="majorBidi"/>
          <w:color w:val="0D0D0D" w:themeColor="text1" w:themeTint="F2"/>
        </w:rPr>
        <w:t>pikë përqindjeje</w:t>
      </w:r>
      <w:r w:rsidR="009D5D31" w:rsidRPr="00770F9D">
        <w:rPr>
          <w:rFonts w:ascii="Garamond" w:hAnsi="Garamond" w:cstheme="majorBidi"/>
          <w:color w:val="0D0D0D" w:themeColor="text1" w:themeTint="F2"/>
        </w:rPr>
        <w:t xml:space="preserve"> në vit; </w:t>
      </w:r>
      <w:r w:rsidR="005277AE" w:rsidRPr="00770F9D">
        <w:rPr>
          <w:rFonts w:ascii="Garamond" w:hAnsi="Garamond" w:cstheme="majorBidi"/>
          <w:color w:val="0D0D0D" w:themeColor="text1" w:themeTint="F2"/>
        </w:rPr>
        <w:t xml:space="preserve">industria </w:t>
      </w:r>
      <w:r w:rsidR="009D5D31" w:rsidRPr="00770F9D">
        <w:rPr>
          <w:rFonts w:ascii="Garamond" w:hAnsi="Garamond" w:cstheme="majorBidi"/>
          <w:color w:val="0D0D0D" w:themeColor="text1" w:themeTint="F2"/>
        </w:rPr>
        <w:t xml:space="preserve">me një mesatare vjetore prej 3.8%, me një kontribut mesatar prej 0.5 </w:t>
      </w:r>
      <w:r w:rsidR="00EE365D" w:rsidRPr="00770F9D">
        <w:rPr>
          <w:rFonts w:ascii="Garamond" w:hAnsi="Garamond" w:cstheme="majorBidi"/>
          <w:color w:val="0D0D0D" w:themeColor="text1" w:themeTint="F2"/>
        </w:rPr>
        <w:t>pikë përqindjeje</w:t>
      </w:r>
      <w:r w:rsidR="009D5D31" w:rsidRPr="00770F9D">
        <w:rPr>
          <w:rFonts w:ascii="Garamond" w:hAnsi="Garamond" w:cstheme="majorBidi"/>
          <w:color w:val="0D0D0D" w:themeColor="text1" w:themeTint="F2"/>
        </w:rPr>
        <w:t xml:space="preserve"> në vit; Ndërtimi me 2.3%, me një kontribut mesatar prej 0.2 </w:t>
      </w:r>
      <w:r w:rsidR="00EE365D" w:rsidRPr="00770F9D">
        <w:rPr>
          <w:rFonts w:ascii="Garamond" w:hAnsi="Garamond" w:cstheme="majorBidi"/>
          <w:color w:val="0D0D0D" w:themeColor="text1" w:themeTint="F2"/>
        </w:rPr>
        <w:t>pikë përqindjeje</w:t>
      </w:r>
      <w:r w:rsidR="009D5D31" w:rsidRPr="00770F9D">
        <w:rPr>
          <w:rFonts w:ascii="Garamond" w:hAnsi="Garamond" w:cstheme="majorBidi"/>
          <w:color w:val="0D0D0D" w:themeColor="text1" w:themeTint="F2"/>
        </w:rPr>
        <w:t xml:space="preserve"> në vit dhe Shërbimet me një mesatare 3.9% në vit, me kontributin më të lartë në rritje në sajë të peshës së tyre, me një mesatare prej 1.8 </w:t>
      </w:r>
      <w:r w:rsidR="00EE365D" w:rsidRPr="00770F9D">
        <w:rPr>
          <w:rFonts w:ascii="Garamond" w:hAnsi="Garamond" w:cstheme="majorBidi"/>
          <w:color w:val="0D0D0D" w:themeColor="text1" w:themeTint="F2"/>
        </w:rPr>
        <w:t>pikë përqindjeje</w:t>
      </w:r>
      <w:r w:rsidR="009D5D31" w:rsidRPr="00770F9D">
        <w:rPr>
          <w:rFonts w:ascii="Garamond" w:hAnsi="Garamond" w:cstheme="majorBidi"/>
          <w:color w:val="0D0D0D" w:themeColor="text1" w:themeTint="F2"/>
        </w:rPr>
        <w:t xml:space="preserve"> në vit. </w:t>
      </w: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2"/>
        <w:gridCol w:w="4645"/>
      </w:tblGrid>
      <w:tr w:rsidR="009D5D31" w:rsidRPr="00770F9D" w14:paraId="6691E33F" w14:textId="77777777" w:rsidTr="00756ABA">
        <w:trPr>
          <w:trHeight w:val="616"/>
        </w:trPr>
        <w:tc>
          <w:tcPr>
            <w:tcW w:w="4685" w:type="dxa"/>
            <w:vAlign w:val="center"/>
          </w:tcPr>
          <w:p w14:paraId="423CEAF5" w14:textId="77777777" w:rsidR="009D5D31" w:rsidRPr="00770F9D" w:rsidRDefault="009D5D31" w:rsidP="00756ABA">
            <w:pPr>
              <w:jc w:val="center"/>
              <w:rPr>
                <w:rFonts w:ascii="Garamond" w:hAnsi="Garamond" w:cstheme="majorBidi"/>
                <w:i/>
                <w:iCs/>
                <w:color w:val="0D0D0D" w:themeColor="text1" w:themeTint="F2"/>
                <w:sz w:val="20"/>
                <w:szCs w:val="20"/>
              </w:rPr>
            </w:pPr>
            <w:r w:rsidRPr="00770F9D">
              <w:rPr>
                <w:rFonts w:ascii="Garamond" w:hAnsi="Garamond" w:cstheme="majorBidi"/>
                <w:b/>
                <w:bCs/>
                <w:i/>
                <w:iCs/>
                <w:color w:val="0D0D0D" w:themeColor="text1" w:themeTint="F2"/>
                <w:sz w:val="20"/>
                <w:szCs w:val="20"/>
              </w:rPr>
              <w:t>Grafiku 3.2.3:</w:t>
            </w:r>
            <w:r w:rsidRPr="00770F9D">
              <w:rPr>
                <w:rFonts w:ascii="Garamond" w:hAnsi="Garamond" w:cstheme="majorBidi"/>
                <w:i/>
                <w:iCs/>
                <w:color w:val="0D0D0D" w:themeColor="text1" w:themeTint="F2"/>
                <w:sz w:val="20"/>
                <w:szCs w:val="20"/>
              </w:rPr>
              <w:t xml:space="preserve"> Rritja reale (në %)</w:t>
            </w:r>
          </w:p>
        </w:tc>
        <w:tc>
          <w:tcPr>
            <w:tcW w:w="4685" w:type="dxa"/>
            <w:vAlign w:val="center"/>
          </w:tcPr>
          <w:p w14:paraId="360E885B" w14:textId="77777777" w:rsidR="009D5D31" w:rsidRPr="00770F9D" w:rsidRDefault="009D5D31" w:rsidP="00756ABA">
            <w:pPr>
              <w:jc w:val="center"/>
              <w:rPr>
                <w:rFonts w:ascii="Garamond" w:hAnsi="Garamond" w:cstheme="majorBidi"/>
                <w:i/>
                <w:iCs/>
                <w:color w:val="0D0D0D" w:themeColor="text1" w:themeTint="F2"/>
                <w:sz w:val="20"/>
                <w:szCs w:val="20"/>
              </w:rPr>
            </w:pPr>
            <w:r w:rsidRPr="00770F9D">
              <w:rPr>
                <w:rFonts w:ascii="Garamond" w:hAnsi="Garamond" w:cstheme="majorBidi"/>
                <w:b/>
                <w:bCs/>
                <w:i/>
                <w:iCs/>
                <w:color w:val="0D0D0D" w:themeColor="text1" w:themeTint="F2"/>
                <w:sz w:val="20"/>
                <w:szCs w:val="20"/>
              </w:rPr>
              <w:t>Grafiku 3.2.4:</w:t>
            </w:r>
            <w:r w:rsidRPr="00770F9D">
              <w:rPr>
                <w:rFonts w:ascii="Garamond" w:hAnsi="Garamond" w:cstheme="majorBidi"/>
                <w:i/>
                <w:iCs/>
                <w:color w:val="0D0D0D" w:themeColor="text1" w:themeTint="F2"/>
                <w:sz w:val="20"/>
                <w:szCs w:val="20"/>
              </w:rPr>
              <w:t xml:space="preserve"> kontributet në rritje (në p.p.) sipas komponentëve të ofertës</w:t>
            </w:r>
          </w:p>
        </w:tc>
      </w:tr>
    </w:tbl>
    <w:p w14:paraId="5FEBF9DD" w14:textId="117E6E1B" w:rsidR="009D5D31" w:rsidRPr="00770F9D" w:rsidRDefault="009D5D31" w:rsidP="00756ABA">
      <w:pPr>
        <w:ind w:firstLine="284"/>
        <w:jc w:val="cente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Burimi: INSTAT</w:t>
      </w:r>
      <w:r w:rsidR="007D40E7" w:rsidRPr="00770F9D">
        <w:rPr>
          <w:rFonts w:ascii="Garamond" w:hAnsi="Garamond" w:cstheme="majorBidi"/>
          <w:color w:val="0D0D0D" w:themeColor="text1" w:themeTint="F2"/>
          <w:sz w:val="20"/>
          <w:szCs w:val="20"/>
        </w:rPr>
        <w:t>-i</w:t>
      </w:r>
      <w:r w:rsidRPr="00770F9D">
        <w:rPr>
          <w:rFonts w:ascii="Garamond" w:hAnsi="Garamond" w:cstheme="majorBidi"/>
          <w:color w:val="0D0D0D" w:themeColor="text1" w:themeTint="F2"/>
          <w:sz w:val="20"/>
          <w:szCs w:val="20"/>
        </w:rPr>
        <w:t>, Ministria e Financave dhe Ekonomisë</w:t>
      </w:r>
    </w:p>
    <w:p w14:paraId="4734ED32" w14:textId="77777777" w:rsidR="00756ABA" w:rsidRPr="00770F9D" w:rsidRDefault="00756ABA" w:rsidP="00756ABA">
      <w:pPr>
        <w:jc w:val="both"/>
        <w:rPr>
          <w:rFonts w:ascii="Garamond" w:hAnsi="Garamond" w:cstheme="majorBidi"/>
          <w:color w:val="0D0D0D" w:themeColor="text1" w:themeTint="F2"/>
        </w:rPr>
      </w:pPr>
    </w:p>
    <w:p w14:paraId="0D62EDE5" w14:textId="3C7C2B41" w:rsidR="009D5D31" w:rsidRPr="00770F9D" w:rsidRDefault="008B3B99" w:rsidP="00756ABA">
      <w:pPr>
        <w:jc w:val="center"/>
        <w:rPr>
          <w:rFonts w:ascii="Garamond" w:hAnsi="Garamond" w:cstheme="majorBidi"/>
          <w:i/>
          <w:iCs/>
          <w:color w:val="0D0D0D" w:themeColor="text1" w:themeTint="F2"/>
          <w:sz w:val="20"/>
          <w:szCs w:val="20"/>
        </w:rPr>
      </w:pPr>
      <w:r w:rsidRPr="00770F9D">
        <w:rPr>
          <w:rFonts w:ascii="Garamond" w:hAnsi="Garamond" w:cstheme="majorBidi"/>
          <w:i/>
          <w:iCs/>
          <w:noProof/>
          <w:color w:val="0D0D0D" w:themeColor="text1" w:themeTint="F2"/>
          <w:sz w:val="20"/>
          <w:szCs w:val="20"/>
          <w:lang w:eastAsia="sq-AL"/>
        </w:rPr>
        <w:drawing>
          <wp:anchor distT="0" distB="0" distL="114300" distR="114300" simplePos="0" relativeHeight="251658247" behindDoc="0" locked="0" layoutInCell="1" allowOverlap="1" wp14:anchorId="7145A640" wp14:editId="42FC8A21">
            <wp:simplePos x="0" y="0"/>
            <wp:positionH relativeFrom="column">
              <wp:posOffset>-1270</wp:posOffset>
            </wp:positionH>
            <wp:positionV relativeFrom="paragraph">
              <wp:posOffset>213360</wp:posOffset>
            </wp:positionV>
            <wp:extent cx="5939790" cy="3279775"/>
            <wp:effectExtent l="0" t="0" r="381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39790" cy="3279775"/>
                    </a:xfrm>
                    <a:prstGeom prst="rect">
                      <a:avLst/>
                    </a:prstGeom>
                    <a:noFill/>
                    <a:ln>
                      <a:noFill/>
                    </a:ln>
                  </pic:spPr>
                </pic:pic>
              </a:graphicData>
            </a:graphic>
            <wp14:sizeRelH relativeFrom="page">
              <wp14:pctWidth>0</wp14:pctWidth>
            </wp14:sizeRelH>
            <wp14:sizeRelV relativeFrom="page">
              <wp14:pctHeight>0</wp14:pctHeight>
            </wp14:sizeRelV>
          </wp:anchor>
        </w:drawing>
      </w:r>
      <w:r w:rsidR="009D5D31" w:rsidRPr="00770F9D">
        <w:rPr>
          <w:rFonts w:ascii="Garamond" w:hAnsi="Garamond" w:cstheme="majorBidi"/>
          <w:b/>
          <w:bCs/>
          <w:i/>
          <w:iCs/>
          <w:color w:val="0D0D0D" w:themeColor="text1" w:themeTint="F2"/>
          <w:sz w:val="20"/>
          <w:szCs w:val="20"/>
        </w:rPr>
        <w:t>Tabela 3.2.2:</w:t>
      </w:r>
      <w:r w:rsidR="009D5D31" w:rsidRPr="00770F9D">
        <w:rPr>
          <w:rFonts w:ascii="Garamond" w:hAnsi="Garamond" w:cstheme="majorBidi"/>
          <w:i/>
          <w:iCs/>
          <w:color w:val="0D0D0D" w:themeColor="text1" w:themeTint="F2"/>
          <w:sz w:val="20"/>
          <w:szCs w:val="20"/>
        </w:rPr>
        <w:t xml:space="preserve"> Rritja reale (në të majtë, në %) dhe kontributet në rritje (në të djathtë, në p.p.) sipas komponentëve të ofertës</w:t>
      </w:r>
    </w:p>
    <w:p w14:paraId="5435DDC4" w14:textId="3E27BA1C" w:rsidR="009D5D31" w:rsidRPr="00770F9D" w:rsidRDefault="009D5D31" w:rsidP="007D40E7">
      <w:pPr>
        <w:ind w:firstLine="284"/>
        <w:jc w:val="center"/>
        <w:rPr>
          <w:rFonts w:ascii="Garamond" w:hAnsi="Garamond" w:cstheme="majorBidi"/>
          <w:color w:val="0D0D0D" w:themeColor="text1" w:themeTint="F2"/>
        </w:rPr>
      </w:pPr>
      <w:r w:rsidRPr="00770F9D">
        <w:rPr>
          <w:rFonts w:ascii="Garamond" w:hAnsi="Garamond" w:cstheme="majorBidi"/>
          <w:color w:val="0D0D0D" w:themeColor="text1" w:themeTint="F2"/>
          <w:sz w:val="20"/>
          <w:szCs w:val="20"/>
        </w:rPr>
        <w:t>Burimi: INSTAT</w:t>
      </w:r>
      <w:r w:rsidR="007D40E7" w:rsidRPr="00770F9D">
        <w:rPr>
          <w:rFonts w:ascii="Garamond" w:hAnsi="Garamond" w:cstheme="majorBidi"/>
          <w:color w:val="0D0D0D" w:themeColor="text1" w:themeTint="F2"/>
          <w:sz w:val="20"/>
          <w:szCs w:val="20"/>
        </w:rPr>
        <w:t>-i</w:t>
      </w:r>
      <w:r w:rsidRPr="00770F9D">
        <w:rPr>
          <w:rFonts w:ascii="Garamond" w:hAnsi="Garamond" w:cstheme="majorBidi"/>
          <w:color w:val="0D0D0D" w:themeColor="text1" w:themeTint="F2"/>
          <w:sz w:val="20"/>
          <w:szCs w:val="20"/>
        </w:rPr>
        <w:t>, Ministria e Financave dhe Ekonomisë</w:t>
      </w:r>
    </w:p>
    <w:p w14:paraId="318993A7" w14:textId="77777777" w:rsidR="009D5D31" w:rsidRPr="00770F9D" w:rsidRDefault="009D5D31" w:rsidP="005674F2">
      <w:pPr>
        <w:ind w:firstLine="284"/>
        <w:jc w:val="both"/>
        <w:rPr>
          <w:rFonts w:ascii="Garamond" w:hAnsi="Garamond" w:cstheme="majorBidi"/>
          <w:color w:val="0D0D0D" w:themeColor="text1" w:themeTint="F2"/>
        </w:rPr>
      </w:pPr>
    </w:p>
    <w:p w14:paraId="05F23348" w14:textId="3139E789" w:rsidR="009D5D31" w:rsidRPr="00770F9D" w:rsidRDefault="009D5D31"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Rritja ekonomike është shoqëruar me rritje të punësimit dhe ulje të shkallës së papunësisë. Si sektori i prodhimit</w:t>
      </w:r>
      <w:r w:rsidR="00A52100"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ashtu edhe ai i shërbimeve kanë përfituar nga këto zhvillime, duke siguruar rimëkëmbje për biznesin dhe punësimin dhe duke krijuar premisa të mira për perspektivën afatmesme. </w:t>
      </w:r>
    </w:p>
    <w:p w14:paraId="7593FD76" w14:textId="01DECA8C" w:rsidR="009D5D31" w:rsidRPr="00770F9D" w:rsidRDefault="009D5D31"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Tregu i punës ka treguar njëfarë elasticiteti përballë goditjes pandemike, mbështetur edhe nga masat e qeverisë. Pas rimëkëmbjes së kërkesës, punësimi filloi të përmirësohej në vitin 2021. Rritja e punësimit ishte me bazë të gjerë, e dëshmuar në industri, ndërtim dhe shërbime. Të dhënat më të fundit të INSTAT-it sipas Anketës Tremujore të Forcave të Punës (ATFP) në tremujorin e tretë 2022, tregojnë se shkalla zyrtare e papunësisë për grup</w:t>
      </w:r>
      <w:r w:rsidR="00A52100" w:rsidRPr="00770F9D">
        <w:rPr>
          <w:rFonts w:ascii="Garamond" w:hAnsi="Garamond" w:cstheme="majorBidi"/>
          <w:color w:val="0D0D0D" w:themeColor="text1" w:themeTint="F2"/>
        </w:rPr>
        <w:t>-</w:t>
      </w:r>
      <w:r w:rsidRPr="00770F9D">
        <w:rPr>
          <w:rFonts w:ascii="Garamond" w:hAnsi="Garamond" w:cstheme="majorBidi"/>
          <w:color w:val="0D0D0D" w:themeColor="text1" w:themeTint="F2"/>
        </w:rPr>
        <w:t>moshat 15</w:t>
      </w:r>
      <w:r w:rsidR="00A52100" w:rsidRPr="00770F9D">
        <w:rPr>
          <w:rFonts w:ascii="Garamond" w:hAnsi="Garamond" w:cstheme="majorBidi"/>
          <w:color w:val="0D0D0D" w:themeColor="text1" w:themeTint="F2"/>
        </w:rPr>
        <w:t>–</w:t>
      </w:r>
      <w:r w:rsidRPr="00770F9D">
        <w:rPr>
          <w:rFonts w:ascii="Garamond" w:hAnsi="Garamond" w:cstheme="majorBidi"/>
          <w:color w:val="0D0D0D" w:themeColor="text1" w:themeTint="F2"/>
        </w:rPr>
        <w:t>64 vjeç është 10.8%, krahasuar me 11.6% që ishte për të njëjtin tremujor të një viti më parë. Sa i përket grup</w:t>
      </w:r>
      <w:r w:rsidR="00A52100"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moshës së punës 15 vjeç e lart, shkalla zyrtare e papunësisë në tremujorin e tretë 2022 ishte 10.6%. Numri i të papunëve në moshë pune (15</w:t>
      </w:r>
      <w:r w:rsidR="00A52100" w:rsidRPr="00770F9D">
        <w:rPr>
          <w:rFonts w:ascii="Garamond" w:hAnsi="Garamond" w:cstheme="majorBidi"/>
          <w:color w:val="0D0D0D" w:themeColor="text1" w:themeTint="F2"/>
        </w:rPr>
        <w:t>–</w:t>
      </w:r>
      <w:r w:rsidRPr="00770F9D">
        <w:rPr>
          <w:rFonts w:ascii="Garamond" w:hAnsi="Garamond" w:cstheme="majorBidi"/>
          <w:color w:val="0D0D0D" w:themeColor="text1" w:themeTint="F2"/>
        </w:rPr>
        <w:t>64 vjeç) në tremujorin e tretë të vitit 2022 ishte 150.280 persona.</w:t>
      </w:r>
    </w:p>
    <w:p w14:paraId="5839511A" w14:textId="6B7D6C7F" w:rsidR="00623F19" w:rsidRPr="00770F9D" w:rsidRDefault="008B3B99" w:rsidP="00AA1433">
      <w:pPr>
        <w:ind w:firstLine="284"/>
        <w:jc w:val="both"/>
        <w:rPr>
          <w:rFonts w:ascii="Garamond" w:hAnsi="Garamond" w:cstheme="majorBidi"/>
          <w:color w:val="0D0D0D" w:themeColor="text1" w:themeTint="F2"/>
        </w:rPr>
      </w:pPr>
      <w:r w:rsidRPr="00770F9D">
        <w:rPr>
          <w:rFonts w:ascii="Garamond" w:hAnsi="Garamond" w:cstheme="majorBidi"/>
          <w:noProof/>
          <w:color w:val="0D0D0D" w:themeColor="text1" w:themeTint="F2"/>
          <w:lang w:eastAsia="sq-AL"/>
        </w:rPr>
        <w:drawing>
          <wp:anchor distT="0" distB="0" distL="114300" distR="114300" simplePos="0" relativeHeight="251658249" behindDoc="0" locked="0" layoutInCell="1" allowOverlap="1" wp14:anchorId="42EE86F5" wp14:editId="14F56F6F">
            <wp:simplePos x="0" y="0"/>
            <wp:positionH relativeFrom="column">
              <wp:posOffset>-78105</wp:posOffset>
            </wp:positionH>
            <wp:positionV relativeFrom="paragraph">
              <wp:posOffset>1753870</wp:posOffset>
            </wp:positionV>
            <wp:extent cx="6086475" cy="2419350"/>
            <wp:effectExtent l="0" t="0" r="9525" b="0"/>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086475" cy="2419350"/>
                    </a:xfrm>
                    <a:prstGeom prst="rect">
                      <a:avLst/>
                    </a:prstGeom>
                    <a:noFill/>
                    <a:ln>
                      <a:noFill/>
                    </a:ln>
                  </pic:spPr>
                </pic:pic>
              </a:graphicData>
            </a:graphic>
            <wp14:sizeRelH relativeFrom="page">
              <wp14:pctWidth>0</wp14:pctWidth>
            </wp14:sizeRelH>
            <wp14:sizeRelV relativeFrom="page">
              <wp14:pctHeight>0</wp14:pctHeight>
            </wp14:sizeRelV>
          </wp:anchor>
        </w:drawing>
      </w:r>
      <w:r w:rsidR="009D5D31" w:rsidRPr="00770F9D">
        <w:rPr>
          <w:rFonts w:ascii="Garamond" w:hAnsi="Garamond" w:cstheme="majorBidi"/>
          <w:color w:val="0D0D0D" w:themeColor="text1" w:themeTint="F2"/>
        </w:rPr>
        <w:t xml:space="preserve">Në përputhje me parashikimet afatmesme të rritjes, punësimi pritet të rritet me një mesatare prej 0.5% në vit gjatë periudhës </w:t>
      </w:r>
      <w:r w:rsidR="003F4C96" w:rsidRPr="00770F9D">
        <w:rPr>
          <w:rFonts w:ascii="Garamond" w:hAnsi="Garamond" w:cstheme="majorBidi"/>
          <w:color w:val="0D0D0D" w:themeColor="text1" w:themeTint="F2"/>
        </w:rPr>
        <w:t>2023–2025</w:t>
      </w:r>
      <w:r w:rsidR="009D5D31" w:rsidRPr="00770F9D">
        <w:rPr>
          <w:rFonts w:ascii="Garamond" w:hAnsi="Garamond" w:cstheme="majorBidi"/>
          <w:color w:val="0D0D0D" w:themeColor="text1" w:themeTint="F2"/>
        </w:rPr>
        <w:t>. Shkalla më e lartë e pjesëmarrjes në forcat e punës do të jetë gjeneruesi kryesor i rritjes së ofertës së punës Ndërsa rritja e kërkesës për punë pritet të reflektojë pak a shumë të njëjtën strukturë të perspektivës së ofertës agregate të aktivitetit ekonomik</w:t>
      </w:r>
      <w:r w:rsidR="00A52100" w:rsidRPr="00770F9D">
        <w:rPr>
          <w:rFonts w:ascii="Garamond" w:hAnsi="Garamond" w:cstheme="majorBidi"/>
          <w:color w:val="0D0D0D" w:themeColor="text1" w:themeTint="F2"/>
        </w:rPr>
        <w:t>.</w:t>
      </w:r>
      <w:r w:rsidR="009D5D31" w:rsidRPr="00770F9D">
        <w:rPr>
          <w:rFonts w:ascii="Garamond" w:hAnsi="Garamond" w:cstheme="majorBidi"/>
          <w:color w:val="0D0D0D" w:themeColor="text1" w:themeTint="F2"/>
        </w:rPr>
        <w:t xml:space="preserve"> Rrjedhimisht</w:t>
      </w:r>
      <w:r w:rsidR="00AA1433" w:rsidRPr="00770F9D">
        <w:rPr>
          <w:rFonts w:ascii="Garamond" w:hAnsi="Garamond" w:cstheme="majorBidi"/>
          <w:color w:val="0D0D0D" w:themeColor="text1" w:themeTint="F2"/>
        </w:rPr>
        <w:t>,</w:t>
      </w:r>
      <w:r w:rsidR="009D5D31" w:rsidRPr="00770F9D">
        <w:rPr>
          <w:rFonts w:ascii="Garamond" w:hAnsi="Garamond" w:cstheme="majorBidi"/>
          <w:color w:val="0D0D0D" w:themeColor="text1" w:themeTint="F2"/>
        </w:rPr>
        <w:t xml:space="preserve"> pritet që shërbimet të kontribuojnë më shumë në rritjen e kërkesës për punë në krahasim me sektorët e tjerë të ekonomisë. Pavarësisht zgjerimit të pritshëm të punësimit në afatin e mesëm, sërish produktiviteti i përgjithshëm i punës pritet të ketë një përmirësim të lehtë gjatë kësaj periudhe. Papunësia pritet të vazhdojë rënien graduale duke arritur në 9.8% në vitin 2025.</w:t>
      </w:r>
    </w:p>
    <w:tbl>
      <w:tblPr>
        <w:tblStyle w:val="TableGrid"/>
        <w:tblW w:w="9732"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4782"/>
      </w:tblGrid>
      <w:tr w:rsidR="00623F19" w:rsidRPr="00770F9D" w14:paraId="4C89D7AC" w14:textId="77777777" w:rsidTr="002B4321">
        <w:trPr>
          <w:trHeight w:val="276"/>
        </w:trPr>
        <w:tc>
          <w:tcPr>
            <w:tcW w:w="4950" w:type="dxa"/>
          </w:tcPr>
          <w:p w14:paraId="29E94A1C" w14:textId="0188CA91" w:rsidR="00623F19" w:rsidRPr="00770F9D" w:rsidRDefault="00623F19" w:rsidP="008B3B99">
            <w:pPr>
              <w:ind w:firstLine="284"/>
              <w:jc w:val="center"/>
              <w:rPr>
                <w:rFonts w:ascii="Garamond" w:hAnsi="Garamond" w:cstheme="majorBidi"/>
                <w:i/>
                <w:iCs/>
                <w:color w:val="0D0D0D" w:themeColor="text1" w:themeTint="F2"/>
                <w:sz w:val="20"/>
                <w:szCs w:val="20"/>
              </w:rPr>
            </w:pPr>
            <w:r w:rsidRPr="00770F9D">
              <w:rPr>
                <w:rFonts w:ascii="Garamond" w:hAnsi="Garamond" w:cstheme="majorBidi"/>
                <w:b/>
                <w:bCs/>
                <w:i/>
                <w:iCs/>
                <w:color w:val="0D0D0D" w:themeColor="text1" w:themeTint="F2"/>
                <w:sz w:val="20"/>
                <w:szCs w:val="20"/>
              </w:rPr>
              <w:t>Grafiku 3.2.5</w:t>
            </w:r>
            <w:r w:rsidRPr="00770F9D">
              <w:rPr>
                <w:rFonts w:ascii="Garamond" w:hAnsi="Garamond" w:cstheme="majorBidi"/>
                <w:i/>
                <w:iCs/>
                <w:color w:val="0D0D0D" w:themeColor="text1" w:themeTint="F2"/>
                <w:sz w:val="20"/>
                <w:szCs w:val="20"/>
              </w:rPr>
              <w:t>: Punësimi (rritja vjetore në %)</w:t>
            </w:r>
          </w:p>
        </w:tc>
        <w:tc>
          <w:tcPr>
            <w:tcW w:w="4782" w:type="dxa"/>
          </w:tcPr>
          <w:p w14:paraId="75CCCAB7" w14:textId="77777777" w:rsidR="00623F19" w:rsidRPr="00770F9D" w:rsidRDefault="00623F19" w:rsidP="008B3B99">
            <w:pPr>
              <w:ind w:firstLine="284"/>
              <w:jc w:val="center"/>
              <w:rPr>
                <w:rFonts w:ascii="Garamond" w:hAnsi="Garamond" w:cstheme="majorBidi"/>
                <w:i/>
                <w:iCs/>
                <w:color w:val="0D0D0D" w:themeColor="text1" w:themeTint="F2"/>
                <w:sz w:val="20"/>
                <w:szCs w:val="20"/>
              </w:rPr>
            </w:pPr>
            <w:r w:rsidRPr="00770F9D">
              <w:rPr>
                <w:rFonts w:ascii="Garamond" w:hAnsi="Garamond" w:cstheme="majorBidi"/>
                <w:b/>
                <w:bCs/>
                <w:i/>
                <w:iCs/>
                <w:color w:val="0D0D0D" w:themeColor="text1" w:themeTint="F2"/>
                <w:sz w:val="20"/>
                <w:szCs w:val="20"/>
              </w:rPr>
              <w:t>Grafiku 3.2.6</w:t>
            </w:r>
            <w:r w:rsidRPr="00770F9D">
              <w:rPr>
                <w:rFonts w:ascii="Garamond" w:hAnsi="Garamond" w:cstheme="majorBidi"/>
                <w:i/>
                <w:iCs/>
                <w:color w:val="0D0D0D" w:themeColor="text1" w:themeTint="F2"/>
                <w:sz w:val="20"/>
                <w:szCs w:val="20"/>
              </w:rPr>
              <w:t>: Norma e papunësisë (në %)</w:t>
            </w:r>
          </w:p>
        </w:tc>
      </w:tr>
    </w:tbl>
    <w:p w14:paraId="09413371" w14:textId="1D27432D" w:rsidR="009D5D31" w:rsidRPr="00770F9D" w:rsidRDefault="009D5D31" w:rsidP="00623F19">
      <w:pPr>
        <w:ind w:firstLine="284"/>
        <w:jc w:val="center"/>
        <w:rPr>
          <w:rFonts w:ascii="Garamond" w:hAnsi="Garamond" w:cstheme="majorBidi"/>
          <w:color w:val="0D0D0D" w:themeColor="text1" w:themeTint="F2"/>
          <w:sz w:val="22"/>
          <w:szCs w:val="22"/>
        </w:rPr>
      </w:pPr>
      <w:r w:rsidRPr="00770F9D">
        <w:rPr>
          <w:rFonts w:ascii="Garamond" w:hAnsi="Garamond" w:cstheme="majorBidi"/>
          <w:color w:val="0D0D0D" w:themeColor="text1" w:themeTint="F2"/>
          <w:sz w:val="22"/>
          <w:szCs w:val="22"/>
        </w:rPr>
        <w:t>Burimi: INSTAT</w:t>
      </w:r>
      <w:r w:rsidR="002B284C" w:rsidRPr="00770F9D">
        <w:rPr>
          <w:rFonts w:ascii="Garamond" w:hAnsi="Garamond" w:cstheme="majorBidi"/>
          <w:color w:val="0D0D0D" w:themeColor="text1" w:themeTint="F2"/>
          <w:sz w:val="22"/>
          <w:szCs w:val="22"/>
        </w:rPr>
        <w:t>-i</w:t>
      </w:r>
      <w:r w:rsidRPr="00770F9D">
        <w:rPr>
          <w:rFonts w:ascii="Garamond" w:hAnsi="Garamond" w:cstheme="majorBidi"/>
          <w:color w:val="0D0D0D" w:themeColor="text1" w:themeTint="F2"/>
          <w:sz w:val="22"/>
          <w:szCs w:val="22"/>
        </w:rPr>
        <w:t>, Ministria e Financave dhe Ekonomisë</w:t>
      </w:r>
    </w:p>
    <w:p w14:paraId="41EFE83B" w14:textId="77777777" w:rsidR="00623F19" w:rsidRPr="00770F9D" w:rsidRDefault="00623F19" w:rsidP="00623F19">
      <w:pPr>
        <w:ind w:firstLine="284"/>
        <w:jc w:val="center"/>
        <w:rPr>
          <w:rStyle w:val="tlid-translation"/>
          <w:rFonts w:ascii="Garamond" w:hAnsi="Garamond" w:cstheme="majorBidi"/>
          <w:color w:val="0D0D0D" w:themeColor="text1" w:themeTint="F2"/>
        </w:rPr>
      </w:pPr>
    </w:p>
    <w:p w14:paraId="4DA97EA6" w14:textId="77777777" w:rsidR="009D5D31" w:rsidRPr="00770F9D" w:rsidRDefault="009D5D31" w:rsidP="003F46E1">
      <w:pPr>
        <w:snapToGrid w:val="0"/>
        <w:ind w:firstLine="284"/>
        <w:jc w:val="both"/>
        <w:rPr>
          <w:rFonts w:ascii="Garamond" w:hAnsi="Garamond" w:cstheme="majorBidi"/>
          <w:b/>
          <w:i/>
          <w:color w:val="0D0D0D" w:themeColor="text1" w:themeTint="F2"/>
        </w:rPr>
      </w:pPr>
      <w:r w:rsidRPr="00770F9D">
        <w:rPr>
          <w:rFonts w:ascii="Garamond" w:hAnsi="Garamond" w:cstheme="majorBidi"/>
          <w:b/>
          <w:i/>
          <w:color w:val="0D0D0D" w:themeColor="text1" w:themeTint="F2"/>
        </w:rPr>
        <w:t>Politika monetare, kursi i këmbimit dhe inflacioni</w:t>
      </w:r>
    </w:p>
    <w:p w14:paraId="7A6C75CD" w14:textId="1E18E3C5" w:rsidR="009D5D31" w:rsidRPr="00770F9D" w:rsidRDefault="009D5D31"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Objektivi kryesor i Bankës së Shqipërisë është arritja dhe ruajtja e qëndrueshmërisë së çmimeve. Politika monetare operon nën një regjim inflacioni të shënjestruar, me objektivin të caktuar në 3.0% në afatin e mesëm. Instrumenti kryesor për arritjen e objektivit është norma e intere</w:t>
      </w:r>
      <w:r w:rsidR="00FD5EB8" w:rsidRPr="00770F9D">
        <w:rPr>
          <w:rFonts w:ascii="Garamond" w:hAnsi="Garamond" w:cstheme="majorBidi"/>
          <w:color w:val="0D0D0D" w:themeColor="text1" w:themeTint="F2"/>
        </w:rPr>
        <w:t>sit e marrëveshjeve të anasjell</w:t>
      </w:r>
      <w:r w:rsidRPr="00770F9D">
        <w:rPr>
          <w:rFonts w:ascii="Garamond" w:hAnsi="Garamond" w:cstheme="majorBidi"/>
          <w:color w:val="0D0D0D" w:themeColor="text1" w:themeTint="F2"/>
        </w:rPr>
        <w:t>a të riblerjes me afat maturimi një javor. Banka e Shqipërisë aplikon një regjim kursi këmbimi të lirë, ku vlera e kursit të këmbimit përcaktohet nga lëvizje të kërkesës dhe ofertës në tregun valutor. Banka ruan të drejtën të ndërhyjë në treg për arsye që lidhen me rregullimin e rezervës valutore, me anë të ankandeve, të cilat zhvillohen sipas një kalendari të publikuar.</w:t>
      </w:r>
    </w:p>
    <w:p w14:paraId="72466603" w14:textId="77777777" w:rsidR="009D5D31" w:rsidRPr="00770F9D" w:rsidRDefault="009D5D31" w:rsidP="003F46E1">
      <w:pPr>
        <w:pStyle w:val="Default"/>
        <w:ind w:firstLine="284"/>
        <w:jc w:val="both"/>
        <w:rPr>
          <w:rFonts w:ascii="Garamond" w:hAnsi="Garamond" w:cstheme="majorBidi"/>
          <w:color w:val="0D0D0D" w:themeColor="text1" w:themeTint="F2"/>
          <w:lang w:val="sq-AL"/>
        </w:rPr>
      </w:pPr>
      <w:r w:rsidRPr="00770F9D">
        <w:rPr>
          <w:rFonts w:ascii="Garamond" w:hAnsi="Garamond" w:cstheme="majorBidi"/>
          <w:color w:val="0D0D0D" w:themeColor="text1" w:themeTint="F2"/>
          <w:lang w:val="sq-AL"/>
        </w:rPr>
        <w:t xml:space="preserve">Presionet inflacioniste janë rritur në mënyrë të ndjeshme gjatë vitit 2022, të udhëhequra nga çmimet e ushqimeve dhe të lëndëve energjetike në tregjet ndërkombëtare, si dhe nga rikuperimi i kërkesës së brendshme. Normat e larta dhe të vazhdueshme të inflacionit janë reflektuar në zhvendosjen për lart të pritjeve afatshkurtra inflacioniste. Me qëllim shmangien e disankorimit të pritjeve inflacioniste dhe të efekteve të raundit të dytë, Banka e Shqipërisë ka nisur të rrisë normën bazë të interesit prej një niveli minimal historik prej 0.50% të shënuar në mars të vitit 2022. Rritja me bazë të gjerë e inflacionit ka kërkuar që trajektorja e normalizimit të politikës monetare të jetë më e shpejtë. Deri në tetor 2022, Banka e Shqipërisë e ka rritur normën bazë me një total prej 175 pikësh bazë, duke e çuar atë në nivelin 2.25%. Pavarësisht rritjeve të njëpasnjëshme të normës së interesit, kushtet monetare vijojnë të jenë në kahun lehtësues. </w:t>
      </w:r>
    </w:p>
    <w:p w14:paraId="36E3B722" w14:textId="77777777" w:rsidR="009D5D31" w:rsidRPr="00770F9D" w:rsidRDefault="009D5D31" w:rsidP="003F46E1">
      <w:pPr>
        <w:pStyle w:val="Default"/>
        <w:ind w:firstLine="284"/>
        <w:jc w:val="both"/>
        <w:rPr>
          <w:rFonts w:ascii="Garamond" w:hAnsi="Garamond" w:cstheme="majorBidi"/>
          <w:color w:val="0D0D0D" w:themeColor="text1" w:themeTint="F2"/>
          <w:lang w:val="sq-AL"/>
        </w:rPr>
      </w:pPr>
      <w:r w:rsidRPr="00770F9D">
        <w:rPr>
          <w:rFonts w:ascii="Garamond" w:hAnsi="Garamond" w:cstheme="majorBidi"/>
          <w:color w:val="0D0D0D" w:themeColor="text1" w:themeTint="F2"/>
          <w:lang w:val="sq-AL"/>
        </w:rPr>
        <w:t xml:space="preserve">Inflacioni pritet të qëndrojë në nivele të larta, i ndikuar kryesisht nga çmimet e larta të energjisë dhe nga problemet e furnizimit në tregjet botërore. Banka e Shqipërisë pret që inflacioni të shënojë vlera të larta në vitin 2023 dhe të konvergojë gradualisht drejt objektivit në vitin 2024. Ky parashikim është i kushtëzuar nga shtrëngimi i mëtejshëm i politikës monetare. Duke vlerësuar se rreziqet për inflacionin janë në kahun e sipërm, Banka e Shqipërisë i ka komunikuar publikut se do të vijojë të rrisë normat e interesit edhe në vazhdim. Megjithatë, duke marrë në konsiderate pasiguritë e larta në ekonominë e huaj, shpejtësia e ciklit të shtrëngimit të politikës monetare do të jetë e varur nga të dhënat e përftuara në vijim. Zbatimi i një politike të kursit të lirë të këmbimit ka ndihmuar në zbutjen e goditjeve të ofertës me burim nga zhvillimet në tregjet ndërkombëtare. Kursi i këmbimit pritet të jetë i qëndrueshëm, nisur nga rritja pritur e normave të interesit në Eurozonë. </w:t>
      </w:r>
    </w:p>
    <w:p w14:paraId="5B1FDA53" w14:textId="77777777" w:rsidR="009D5D31" w:rsidRPr="00770F9D" w:rsidRDefault="009D5D31"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Kombinimi aktual i politikave makroekonomike nxit ngadalësimin e kërkesës së brendshme dhe kthimin e inflacionit në objektiv. Politika fiskale pritet të ndjekë një trajektore konsoliduese, duke dhënë impuls negativ në rritjen ekonomike. Si e tillë, ajo mbështet trajektoren e normalizimit të politikës monetare, e cila në kushte të tjera do të ishte më agresive. Në këtë kumbimin merren parasysh edhe konsiderata të stabilitetit financiar. Rreziqet e tregut financiar janë të përmbajtura dhe politika makroprudenciale është e përshtatshme për të siguruar frenimin e vulnerabiliteteve të reja në tregun financiar. </w:t>
      </w:r>
    </w:p>
    <w:p w14:paraId="6B716254" w14:textId="353C26E5" w:rsidR="009D5D31" w:rsidRPr="00770F9D" w:rsidRDefault="009D5D31" w:rsidP="002C25D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Sektori i jashtëm dhe qëndrueshm</w:t>
      </w:r>
      <w:r w:rsidR="002C25D1" w:rsidRPr="00770F9D">
        <w:rPr>
          <w:rFonts w:ascii="Garamond" w:hAnsi="Garamond" w:cstheme="majorBidi"/>
          <w:color w:val="0D0D0D" w:themeColor="text1" w:themeTint="F2"/>
        </w:rPr>
        <w:t>ëria afat</w:t>
      </w:r>
      <w:r w:rsidRPr="00770F9D">
        <w:rPr>
          <w:rFonts w:ascii="Garamond" w:hAnsi="Garamond" w:cstheme="majorBidi"/>
          <w:color w:val="0D0D0D" w:themeColor="text1" w:themeTint="F2"/>
        </w:rPr>
        <w:t>mesme e tij</w:t>
      </w:r>
    </w:p>
    <w:p w14:paraId="6E3D5E6B" w14:textId="5183AD12" w:rsidR="009D5D31" w:rsidRPr="00770F9D" w:rsidRDefault="009D5D31" w:rsidP="003F46E1">
      <w:pPr>
        <w:ind w:firstLine="284"/>
        <w:jc w:val="both"/>
        <w:rPr>
          <w:rFonts w:ascii="Garamond" w:hAnsi="Garamond" w:cstheme="majorBidi"/>
          <w:i/>
          <w:color w:val="0D0D0D" w:themeColor="text1" w:themeTint="F2"/>
        </w:rPr>
      </w:pPr>
      <w:r w:rsidRPr="00770F9D">
        <w:rPr>
          <w:rFonts w:ascii="Garamond" w:hAnsi="Garamond" w:cstheme="majorBidi"/>
          <w:i/>
          <w:color w:val="0D0D0D" w:themeColor="text1" w:themeTint="F2"/>
        </w:rPr>
        <w:t xml:space="preserve">Zhvillimet në </w:t>
      </w:r>
      <w:r w:rsidR="00273750" w:rsidRPr="00770F9D">
        <w:rPr>
          <w:rFonts w:ascii="Garamond" w:hAnsi="Garamond" w:cstheme="majorBidi"/>
          <w:i/>
          <w:color w:val="0D0D0D" w:themeColor="text1" w:themeTint="F2"/>
        </w:rPr>
        <w:t xml:space="preserve">bilancin e pagesave dhe </w:t>
      </w:r>
      <w:r w:rsidRPr="00770F9D">
        <w:rPr>
          <w:rFonts w:ascii="Garamond" w:hAnsi="Garamond" w:cstheme="majorBidi"/>
          <w:i/>
          <w:color w:val="0D0D0D" w:themeColor="text1" w:themeTint="F2"/>
        </w:rPr>
        <w:t>tregtinë e mallrave</w:t>
      </w:r>
    </w:p>
    <w:p w14:paraId="435C1599" w14:textId="046C4E6C" w:rsidR="009D5D31" w:rsidRPr="00770F9D" w:rsidRDefault="009D5D31" w:rsidP="00846820">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Gjysma e parë e vitit 2022 ka dëshmuar për përmirësime të dukshme në bilancin e pagesave. Deficiti është ngushtuar në terma vjetorë me 9.9% dhe shënon nivelin 5.4% ndaj PBB-së nominale, nga niveli 7.0% në gjysmën e parë të vitit 2021. Rritja e eksporteve të turizmit ka drejtuar këto përmirësime. Pas lehtësimit të ndjeshëm të kufizimeve në lëvizjen e udhëtarëve, ky sektor është zgjeruar me ritme të shpejta</w:t>
      </w:r>
      <w:r w:rsidR="00067D2C"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duke tejkaluar edhe nivelet e parapandemisë. Gjithashtu, ndikime pozitive kanë ardhur nga remitancat, të cilat vazhdojnë të ruajnë rritje të lartë dhe të qëndrueshme. Nga ana tjetër, deficiti tregtar në mallra është përkeqësuar</w:t>
      </w:r>
      <w:r w:rsidR="005C510F"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 shkak të importeve më të larta. Si eksportet</w:t>
      </w:r>
      <w:r w:rsidR="005C510F"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ashtu edhe importet, janë rritur ndjeshëm si pasojë e efektit nga çmimet më të larta ndërkombëtare. Në të njëjtën kohë, në rastin e importeve, kërkesa në rritje për energji elek</w:t>
      </w:r>
      <w:r w:rsidR="005C510F" w:rsidRPr="00770F9D">
        <w:rPr>
          <w:rFonts w:ascii="Garamond" w:hAnsi="Garamond" w:cstheme="majorBidi"/>
          <w:color w:val="0D0D0D" w:themeColor="text1" w:themeTint="F2"/>
        </w:rPr>
        <w:t>t</w:t>
      </w:r>
      <w:r w:rsidRPr="00770F9D">
        <w:rPr>
          <w:rFonts w:ascii="Garamond" w:hAnsi="Garamond" w:cstheme="majorBidi"/>
          <w:color w:val="0D0D0D" w:themeColor="text1" w:themeTint="F2"/>
        </w:rPr>
        <w:t xml:space="preserve">rike (për shkak të vështirësive në prodhimin </w:t>
      </w:r>
      <w:r w:rsidR="002A4878" w:rsidRPr="00770F9D">
        <w:rPr>
          <w:rFonts w:ascii="Garamond" w:hAnsi="Garamond" w:cstheme="majorBidi"/>
          <w:color w:val="0D0D0D" w:themeColor="text1" w:themeTint="F2"/>
        </w:rPr>
        <w:t>vendës</w:t>
      </w:r>
      <w:r w:rsidRPr="00770F9D">
        <w:rPr>
          <w:rFonts w:ascii="Garamond" w:hAnsi="Garamond" w:cstheme="majorBidi"/>
          <w:color w:val="0D0D0D" w:themeColor="text1" w:themeTint="F2"/>
        </w:rPr>
        <w:t>) ka nxitur edhe më tej rritjen e importeve.</w:t>
      </w:r>
    </w:p>
    <w:p w14:paraId="50A1C6D6" w14:textId="5C15E90E" w:rsidR="009D5D31" w:rsidRPr="00770F9D" w:rsidRDefault="009D5D31"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Kursi real efektiv i këmbimit vazhdon tendencën mbiçmuese. Mbiçmimi vjetor i monedhës </w:t>
      </w:r>
      <w:r w:rsidR="00E9566D" w:rsidRPr="00770F9D">
        <w:rPr>
          <w:rFonts w:ascii="Garamond" w:hAnsi="Garamond" w:cstheme="majorBidi"/>
          <w:color w:val="0D0D0D" w:themeColor="text1" w:themeTint="F2"/>
        </w:rPr>
        <w:t xml:space="preserve">lek </w:t>
      </w:r>
      <w:r w:rsidRPr="00770F9D">
        <w:rPr>
          <w:rFonts w:ascii="Garamond" w:hAnsi="Garamond" w:cstheme="majorBidi"/>
          <w:color w:val="0D0D0D" w:themeColor="text1" w:themeTint="F2"/>
        </w:rPr>
        <w:t>mbeti i ulët gjatë gjysmës së parë të vitit 2022, rreth mesatares 1.3%, por është përshpejtuar në 3.2% gjatë tremujorit të tretë. Në një këndvështrim më të gjerë dhe duke kaluar përtej luhatshmërisë afatshkurtër, vihet re një mbiçmim lehtësisht më i ulët gjatë vitit 2022, rreth mesatares 1.9%, krahasuar me nivelin 2.4% në periudhën 2020</w:t>
      </w:r>
      <w:r w:rsidR="008131A9" w:rsidRPr="00770F9D">
        <w:rPr>
          <w:rFonts w:ascii="Garamond" w:hAnsi="Garamond" w:cstheme="majorBidi"/>
          <w:color w:val="0D0D0D" w:themeColor="text1" w:themeTint="F2"/>
        </w:rPr>
        <w:t>–</w:t>
      </w:r>
      <w:r w:rsidRPr="00770F9D">
        <w:rPr>
          <w:rFonts w:ascii="Garamond" w:hAnsi="Garamond" w:cstheme="majorBidi"/>
          <w:color w:val="0D0D0D" w:themeColor="text1" w:themeTint="F2"/>
        </w:rPr>
        <w:t>2021.</w:t>
      </w:r>
    </w:p>
    <w:p w14:paraId="1F15A8F5" w14:textId="48158391" w:rsidR="009D5D31" w:rsidRPr="00770F9D" w:rsidRDefault="009D5D31" w:rsidP="003250F8">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Flukset e tregtisë në mallra janë rritur ndjeshëm përgjatë vitit 2022. Nga ana tjetër, vlerësimet sugjerojnë se pjesa dërrmuese e kësaj rritjeje vjen si pasojë e çmimeve më të larta ndërkombëtare. Deficiti është zgjeruar për shkak të efektit më të fortë importues. Lënda djegëse dhe metalet kanë dhënë ndikimin kryesor në rritjen e eksporteve. Gjithashtu, “tekstilet” janë rimëkëmbur pas vështirësive të hasura gjatë vitit 2021. Kërkesa më e lartë nga Italia ka ndihmuar në këtë r</w:t>
      </w:r>
      <w:r w:rsidR="003250F8" w:rsidRPr="00770F9D">
        <w:rPr>
          <w:rFonts w:ascii="Garamond" w:hAnsi="Garamond" w:cstheme="majorBidi"/>
          <w:color w:val="0D0D0D" w:themeColor="text1" w:themeTint="F2"/>
        </w:rPr>
        <w:t>i</w:t>
      </w:r>
      <w:r w:rsidRPr="00770F9D">
        <w:rPr>
          <w:rFonts w:ascii="Garamond" w:hAnsi="Garamond" w:cstheme="majorBidi"/>
          <w:color w:val="0D0D0D" w:themeColor="text1" w:themeTint="F2"/>
        </w:rPr>
        <w:t xml:space="preserve">kuperim. Në rastin e importeve, rritja lidhet kryesisht me </w:t>
      </w:r>
      <w:r w:rsidR="003250F8" w:rsidRPr="00770F9D">
        <w:rPr>
          <w:rFonts w:ascii="Garamond" w:hAnsi="Garamond" w:cstheme="majorBidi"/>
          <w:color w:val="0D0D0D" w:themeColor="text1" w:themeTint="F2"/>
        </w:rPr>
        <w:t xml:space="preserve">lëndën djegëse dhe energjinë </w:t>
      </w:r>
      <w:r w:rsidRPr="00770F9D">
        <w:rPr>
          <w:rFonts w:ascii="Garamond" w:hAnsi="Garamond" w:cstheme="majorBidi"/>
          <w:color w:val="0D0D0D" w:themeColor="text1" w:themeTint="F2"/>
        </w:rPr>
        <w:t xml:space="preserve">elektrike. Në rastin e dytë, përveç efektit nga çmimet, rritja e importit ka ardhur edhe si pasojë e kërkesë në rritje në kushtet kur prodhimi </w:t>
      </w:r>
      <w:r w:rsidR="002A4878" w:rsidRPr="00770F9D">
        <w:rPr>
          <w:rFonts w:ascii="Garamond" w:hAnsi="Garamond" w:cstheme="majorBidi"/>
          <w:color w:val="0D0D0D" w:themeColor="text1" w:themeTint="F2"/>
        </w:rPr>
        <w:t>vendës</w:t>
      </w:r>
      <w:r w:rsidRPr="00770F9D">
        <w:rPr>
          <w:rFonts w:ascii="Garamond" w:hAnsi="Garamond" w:cstheme="majorBidi"/>
          <w:color w:val="0D0D0D" w:themeColor="text1" w:themeTint="F2"/>
        </w:rPr>
        <w:t xml:space="preserve"> ka qenë në vështirësi. Fajtorë për këtë kanë qenë kushtet jo të favorshme të motit.</w:t>
      </w:r>
    </w:p>
    <w:p w14:paraId="2BACFE38" w14:textId="77777777" w:rsidR="00623F19" w:rsidRPr="00770F9D" w:rsidRDefault="00623F19" w:rsidP="003F46E1">
      <w:pPr>
        <w:ind w:firstLine="284"/>
        <w:jc w:val="both"/>
        <w:rPr>
          <w:rFonts w:ascii="Garamond" w:hAnsi="Garamond" w:cstheme="majorBidi"/>
          <w:color w:val="0D0D0D" w:themeColor="text1" w:themeTint="F2"/>
        </w:rPr>
      </w:pPr>
    </w:p>
    <w:tbl>
      <w:tblPr>
        <w:tblW w:w="9090" w:type="dxa"/>
        <w:tblLayout w:type="fixed"/>
        <w:tblLook w:val="04A0" w:firstRow="1" w:lastRow="0" w:firstColumn="1" w:lastColumn="0" w:noHBand="0" w:noVBand="1"/>
      </w:tblPr>
      <w:tblGrid>
        <w:gridCol w:w="4864"/>
        <w:gridCol w:w="4226"/>
      </w:tblGrid>
      <w:tr w:rsidR="009D5D31" w:rsidRPr="00770F9D" w14:paraId="1A133905" w14:textId="77777777" w:rsidTr="009D5D31">
        <w:trPr>
          <w:trHeight w:val="2985"/>
        </w:trPr>
        <w:tc>
          <w:tcPr>
            <w:tcW w:w="4864" w:type="dxa"/>
          </w:tcPr>
          <w:p w14:paraId="0FC91F7F" w14:textId="522902C5" w:rsidR="009D5D31" w:rsidRPr="00770F9D" w:rsidRDefault="009D5D31" w:rsidP="00623F19">
            <w:pPr>
              <w:jc w:val="center"/>
              <w:rPr>
                <w:rFonts w:ascii="Garamond" w:hAnsi="Garamond" w:cstheme="majorBidi"/>
                <w:i/>
                <w:iCs/>
                <w:color w:val="0D0D0D" w:themeColor="text1" w:themeTint="F2"/>
                <w:sz w:val="20"/>
              </w:rPr>
            </w:pPr>
            <w:r w:rsidRPr="00770F9D">
              <w:rPr>
                <w:rFonts w:ascii="Garamond" w:hAnsi="Garamond" w:cstheme="majorBidi"/>
                <w:b/>
                <w:bCs/>
                <w:i/>
                <w:iCs/>
                <w:color w:val="0D0D0D" w:themeColor="text1" w:themeTint="F2"/>
                <w:sz w:val="20"/>
              </w:rPr>
              <w:t>Grafik 3.2.7:</w:t>
            </w:r>
            <w:r w:rsidRPr="00770F9D">
              <w:rPr>
                <w:rFonts w:ascii="Garamond" w:hAnsi="Garamond" w:cstheme="majorBidi"/>
                <w:i/>
                <w:iCs/>
                <w:color w:val="0D0D0D" w:themeColor="text1" w:themeTint="F2"/>
                <w:sz w:val="20"/>
              </w:rPr>
              <w:t xml:space="preserve"> Hapja tregtare, eksportet, importet dhe IHD neto si </w:t>
            </w:r>
            <w:r w:rsidR="003250F8" w:rsidRPr="00770F9D">
              <w:rPr>
                <w:rFonts w:ascii="Garamond" w:hAnsi="Garamond" w:cstheme="majorBidi"/>
                <w:i/>
                <w:iCs/>
                <w:color w:val="0D0D0D" w:themeColor="text1" w:themeTint="F2"/>
                <w:sz w:val="20"/>
              </w:rPr>
              <w:t>për</w:t>
            </w:r>
            <w:r w:rsidR="00623F19" w:rsidRPr="00770F9D">
              <w:rPr>
                <w:rFonts w:ascii="Garamond" w:hAnsi="Garamond" w:cstheme="majorBidi"/>
                <w:i/>
                <w:iCs/>
                <w:color w:val="0D0D0D" w:themeColor="text1" w:themeTint="F2"/>
                <w:sz w:val="20"/>
              </w:rPr>
              <w:t>qind</w:t>
            </w:r>
            <w:r w:rsidRPr="00770F9D">
              <w:rPr>
                <w:rFonts w:ascii="Garamond" w:hAnsi="Garamond" w:cstheme="majorBidi"/>
                <w:i/>
                <w:iCs/>
                <w:color w:val="0D0D0D" w:themeColor="text1" w:themeTint="F2"/>
                <w:sz w:val="20"/>
              </w:rPr>
              <w:t>je ndaj PBB-së</w:t>
            </w:r>
          </w:p>
          <w:p w14:paraId="31C9FD44" w14:textId="77777777" w:rsidR="009D5D31" w:rsidRPr="00770F9D" w:rsidRDefault="009D5D31" w:rsidP="0027139F">
            <w:pPr>
              <w:jc w:val="both"/>
              <w:rPr>
                <w:rFonts w:ascii="Garamond" w:hAnsi="Garamond" w:cstheme="majorBidi"/>
                <w:color w:val="0D0D0D" w:themeColor="text1" w:themeTint="F2"/>
                <w:sz w:val="20"/>
              </w:rPr>
            </w:pPr>
            <w:r w:rsidRPr="00770F9D">
              <w:rPr>
                <w:rFonts w:ascii="Garamond" w:hAnsi="Garamond" w:cstheme="majorBidi"/>
                <w:noProof/>
                <w:color w:val="0D0D0D" w:themeColor="text1" w:themeTint="F2"/>
                <w:sz w:val="20"/>
                <w:lang w:eastAsia="sq-AL"/>
              </w:rPr>
              <w:drawing>
                <wp:anchor distT="0" distB="0" distL="114300" distR="114300" simplePos="0" relativeHeight="251658250" behindDoc="0" locked="0" layoutInCell="1" allowOverlap="1" wp14:anchorId="0317CF14" wp14:editId="26C0A01C">
                  <wp:simplePos x="0" y="0"/>
                  <wp:positionH relativeFrom="column">
                    <wp:posOffset>4445</wp:posOffset>
                  </wp:positionH>
                  <wp:positionV relativeFrom="paragraph">
                    <wp:posOffset>4445</wp:posOffset>
                  </wp:positionV>
                  <wp:extent cx="3042920" cy="2562225"/>
                  <wp:effectExtent l="0" t="0" r="5080" b="9525"/>
                  <wp:wrapTopAndBottom/>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042920" cy="2562225"/>
                          </a:xfrm>
                          <a:prstGeom prst="rect">
                            <a:avLst/>
                          </a:prstGeom>
                          <a:noFill/>
                        </pic:spPr>
                      </pic:pic>
                    </a:graphicData>
                  </a:graphic>
                  <wp14:sizeRelH relativeFrom="page">
                    <wp14:pctWidth>0</wp14:pctWidth>
                  </wp14:sizeRelH>
                  <wp14:sizeRelV relativeFrom="page">
                    <wp14:pctHeight>0</wp14:pctHeight>
                  </wp14:sizeRelV>
                </wp:anchor>
              </w:drawing>
            </w:r>
          </w:p>
        </w:tc>
        <w:tc>
          <w:tcPr>
            <w:tcW w:w="4226" w:type="dxa"/>
          </w:tcPr>
          <w:p w14:paraId="2D05E109" w14:textId="77777777" w:rsidR="009D5D31" w:rsidRPr="00770F9D" w:rsidRDefault="009D5D31" w:rsidP="00623F19">
            <w:pPr>
              <w:jc w:val="center"/>
              <w:rPr>
                <w:rFonts w:ascii="Garamond" w:hAnsi="Garamond" w:cstheme="majorBidi"/>
                <w:i/>
                <w:iCs/>
                <w:color w:val="0D0D0D" w:themeColor="text1" w:themeTint="F2"/>
                <w:sz w:val="20"/>
              </w:rPr>
            </w:pPr>
            <w:r w:rsidRPr="00770F9D">
              <w:rPr>
                <w:rFonts w:ascii="Garamond" w:hAnsi="Garamond" w:cstheme="majorBidi"/>
                <w:b/>
                <w:bCs/>
                <w:i/>
                <w:iCs/>
                <w:color w:val="0D0D0D" w:themeColor="text1" w:themeTint="F2"/>
                <w:sz w:val="20"/>
              </w:rPr>
              <w:t>Grafik 3.2.8:</w:t>
            </w:r>
            <w:r w:rsidRPr="00770F9D">
              <w:rPr>
                <w:rFonts w:ascii="Garamond" w:hAnsi="Garamond" w:cstheme="majorBidi"/>
                <w:i/>
                <w:iCs/>
                <w:color w:val="0D0D0D" w:themeColor="text1" w:themeTint="F2"/>
                <w:sz w:val="20"/>
              </w:rPr>
              <w:t xml:space="preserve"> Ndryshim vjetor i kursit real efektiv të këmbimit (%)</w:t>
            </w:r>
            <w:r w:rsidRPr="00770F9D">
              <w:rPr>
                <w:rStyle w:val="FootnoteReference"/>
                <w:rFonts w:ascii="Garamond" w:hAnsi="Garamond" w:cstheme="majorBidi"/>
                <w:i/>
                <w:iCs/>
                <w:color w:val="0D0D0D" w:themeColor="text1" w:themeTint="F2"/>
                <w:sz w:val="20"/>
              </w:rPr>
              <w:footnoteReference w:id="5"/>
            </w:r>
          </w:p>
          <w:p w14:paraId="5596ED1C" w14:textId="77777777" w:rsidR="009D5D31" w:rsidRPr="00770F9D" w:rsidRDefault="009D5D31" w:rsidP="0027139F">
            <w:pPr>
              <w:jc w:val="both"/>
              <w:rPr>
                <w:rFonts w:ascii="Garamond" w:hAnsi="Garamond" w:cstheme="majorBidi"/>
                <w:color w:val="0D0D0D" w:themeColor="text1" w:themeTint="F2"/>
                <w:sz w:val="20"/>
              </w:rPr>
            </w:pPr>
            <w:r w:rsidRPr="00770F9D">
              <w:rPr>
                <w:rFonts w:ascii="Garamond" w:hAnsi="Garamond" w:cstheme="majorBidi"/>
                <w:noProof/>
                <w:color w:val="0D0D0D" w:themeColor="text1" w:themeTint="F2"/>
                <w:sz w:val="20"/>
                <w:lang w:eastAsia="sq-AL"/>
              </w:rPr>
              <w:drawing>
                <wp:inline distT="0" distB="0" distL="0" distR="0" wp14:anchorId="123A44FC" wp14:editId="3AF99B47">
                  <wp:extent cx="2800350" cy="257175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800350" cy="2571750"/>
                          </a:xfrm>
                          <a:prstGeom prst="rect">
                            <a:avLst/>
                          </a:prstGeom>
                          <a:noFill/>
                        </pic:spPr>
                      </pic:pic>
                    </a:graphicData>
                  </a:graphic>
                </wp:inline>
              </w:drawing>
            </w:r>
          </w:p>
        </w:tc>
      </w:tr>
    </w:tbl>
    <w:p w14:paraId="6E7F333B" w14:textId="196D1CC0" w:rsidR="009D5D31" w:rsidRPr="00770F9D" w:rsidRDefault="009D5D31" w:rsidP="004023E1">
      <w:pPr>
        <w:ind w:firstLine="284"/>
        <w:jc w:val="center"/>
        <w:rPr>
          <w:rFonts w:ascii="Garamond" w:hAnsi="Garamond" w:cstheme="majorBidi"/>
          <w:color w:val="0D0D0D" w:themeColor="text1" w:themeTint="F2"/>
          <w:sz w:val="22"/>
          <w:szCs w:val="22"/>
        </w:rPr>
      </w:pPr>
      <w:r w:rsidRPr="00770F9D">
        <w:rPr>
          <w:rFonts w:ascii="Garamond" w:hAnsi="Garamond" w:cstheme="majorBidi"/>
          <w:color w:val="0D0D0D" w:themeColor="text1" w:themeTint="F2"/>
          <w:sz w:val="22"/>
          <w:szCs w:val="22"/>
        </w:rPr>
        <w:t>Burimi: Banka e Shqipërisë, INSTAT</w:t>
      </w:r>
      <w:r w:rsidR="004023E1" w:rsidRPr="00770F9D">
        <w:rPr>
          <w:rFonts w:ascii="Garamond" w:hAnsi="Garamond" w:cstheme="majorBidi"/>
          <w:color w:val="0D0D0D" w:themeColor="text1" w:themeTint="F2"/>
          <w:sz w:val="22"/>
          <w:szCs w:val="22"/>
        </w:rPr>
        <w:t>-i</w:t>
      </w:r>
    </w:p>
    <w:p w14:paraId="20DD440A" w14:textId="77777777" w:rsidR="009D5D31" w:rsidRPr="00770F9D" w:rsidRDefault="009D5D31" w:rsidP="005674F2">
      <w:pPr>
        <w:ind w:firstLine="284"/>
        <w:jc w:val="both"/>
        <w:rPr>
          <w:rFonts w:ascii="Garamond" w:hAnsi="Garamond" w:cstheme="majorBidi"/>
          <w:color w:val="0D0D0D" w:themeColor="text1" w:themeTint="F2"/>
        </w:rPr>
      </w:pPr>
    </w:p>
    <w:p w14:paraId="6387F2CC" w14:textId="3A5BE8AF" w:rsidR="009D5D31" w:rsidRPr="00770F9D" w:rsidRDefault="009D5D31" w:rsidP="00BA593D">
      <w:pPr>
        <w:ind w:firstLine="284"/>
        <w:jc w:val="both"/>
        <w:rPr>
          <w:rFonts w:ascii="Garamond" w:hAnsi="Garamond" w:cstheme="majorBidi"/>
          <w:color w:val="0D0D0D" w:themeColor="text1" w:themeTint="F2"/>
        </w:rPr>
      </w:pPr>
      <w:r w:rsidRPr="00770F9D">
        <w:rPr>
          <w:rFonts w:ascii="Garamond" w:hAnsi="Garamond" w:cstheme="majorBidi"/>
          <w:i/>
          <w:color w:val="0D0D0D" w:themeColor="text1" w:themeTint="F2"/>
        </w:rPr>
        <w:t>Sipas dekompozimit të eksporteve shqiptare</w:t>
      </w:r>
      <w:r w:rsidR="00BA593D" w:rsidRPr="00770F9D">
        <w:rPr>
          <w:rFonts w:ascii="Garamond" w:hAnsi="Garamond" w:cstheme="majorBidi"/>
          <w:i/>
          <w:color w:val="0D0D0D" w:themeColor="text1" w:themeTint="F2"/>
        </w:rPr>
        <w:t>,</w:t>
      </w:r>
      <w:r w:rsidRPr="00770F9D">
        <w:rPr>
          <w:rFonts w:ascii="Garamond" w:hAnsi="Garamond" w:cstheme="majorBidi"/>
          <w:i/>
          <w:color w:val="0D0D0D" w:themeColor="text1" w:themeTint="F2"/>
        </w:rPr>
        <w:t xml:space="preserve"> sipas Përpjesëve Konstante të Tregut (PKT</w:t>
      </w:r>
      <w:r w:rsidRPr="00770F9D">
        <w:rPr>
          <w:rFonts w:ascii="Garamond" w:hAnsi="Garamond" w:cstheme="majorBidi"/>
          <w:color w:val="0D0D0D" w:themeColor="text1" w:themeTint="F2"/>
        </w:rPr>
        <w:t>)</w:t>
      </w:r>
      <w:r w:rsidRPr="00770F9D">
        <w:rPr>
          <w:rFonts w:ascii="Garamond" w:hAnsi="Garamond" w:cstheme="majorBidi"/>
          <w:color w:val="0D0D0D" w:themeColor="text1" w:themeTint="F2"/>
          <w:vertAlign w:val="superscript"/>
        </w:rPr>
        <w:footnoteReference w:id="6"/>
      </w:r>
      <w:r w:rsidRPr="00770F9D">
        <w:rPr>
          <w:rFonts w:ascii="Garamond" w:hAnsi="Garamond" w:cstheme="majorBidi"/>
          <w:color w:val="0D0D0D" w:themeColor="text1" w:themeTint="F2"/>
        </w:rPr>
        <w:t>, r</w:t>
      </w:r>
      <w:r w:rsidR="00BA593D" w:rsidRPr="00770F9D">
        <w:rPr>
          <w:rFonts w:ascii="Garamond" w:hAnsi="Garamond" w:cstheme="majorBidi"/>
          <w:color w:val="0D0D0D" w:themeColor="text1" w:themeTint="F2"/>
        </w:rPr>
        <w:t>i</w:t>
      </w:r>
      <w:r w:rsidRPr="00770F9D">
        <w:rPr>
          <w:rFonts w:ascii="Garamond" w:hAnsi="Garamond" w:cstheme="majorBidi"/>
          <w:color w:val="0D0D0D" w:themeColor="text1" w:themeTint="F2"/>
        </w:rPr>
        <w:t xml:space="preserve">kuperimi i tregtisë botërore (rritja e eksporteve botërore), ka qenë faktori kryesor pas rritjes së eksporteve drejt vendeve të BE-15. Nga ana tjetër, struktura sipas kategorive, shpërndarja e tregut dhe konkurrueshmëria kanë </w:t>
      </w:r>
      <w:r w:rsidR="00173A2C" w:rsidRPr="00770F9D">
        <w:rPr>
          <w:rFonts w:ascii="Garamond" w:hAnsi="Garamond" w:cstheme="majorBidi"/>
          <w:color w:val="0D0D0D" w:themeColor="text1" w:themeTint="F2"/>
        </w:rPr>
        <w:t>pasur</w:t>
      </w:r>
      <w:r w:rsidRPr="00770F9D">
        <w:rPr>
          <w:rFonts w:ascii="Garamond" w:hAnsi="Garamond" w:cstheme="majorBidi"/>
          <w:color w:val="0D0D0D" w:themeColor="text1" w:themeTint="F2"/>
        </w:rPr>
        <w:t xml:space="preserve"> impakt negativ. Për sa </w:t>
      </w:r>
      <w:r w:rsidR="00BA593D" w:rsidRPr="00770F9D">
        <w:rPr>
          <w:rFonts w:ascii="Garamond" w:hAnsi="Garamond" w:cstheme="majorBidi"/>
          <w:color w:val="0D0D0D" w:themeColor="text1" w:themeTint="F2"/>
        </w:rPr>
        <w:t>u</w:t>
      </w:r>
      <w:r w:rsidRPr="00770F9D">
        <w:rPr>
          <w:rFonts w:ascii="Garamond" w:hAnsi="Garamond" w:cstheme="majorBidi"/>
          <w:color w:val="0D0D0D" w:themeColor="text1" w:themeTint="F2"/>
        </w:rPr>
        <w:t xml:space="preserve"> përket eksporteve drejt vendeve të CEFTA, rritja e eksporteve botërore ishte përsëri nxitësi kryesor, ndjekur nga konkurrueshmëria. Dy komponentët e tjerë kanë pasur gjithashtu impakt pozitiv. </w:t>
      </w:r>
    </w:p>
    <w:p w14:paraId="717A5AAB" w14:textId="77777777" w:rsidR="009D5D31" w:rsidRPr="00770F9D" w:rsidRDefault="009D5D31" w:rsidP="005674F2">
      <w:pPr>
        <w:ind w:firstLine="284"/>
        <w:jc w:val="both"/>
        <w:rPr>
          <w:rFonts w:ascii="Garamond" w:hAnsi="Garamond" w:cstheme="majorBidi"/>
          <w:color w:val="0D0D0D" w:themeColor="text1" w:themeTint="F2"/>
        </w:rPr>
      </w:pPr>
    </w:p>
    <w:p w14:paraId="7DF534CC" w14:textId="44FFD3AE" w:rsidR="009D5D31" w:rsidRPr="00770F9D" w:rsidRDefault="009D5D31" w:rsidP="00BA593D">
      <w:pPr>
        <w:ind w:firstLine="284"/>
        <w:jc w:val="center"/>
        <w:rPr>
          <w:rFonts w:ascii="Garamond" w:hAnsi="Garamond" w:cstheme="majorBidi"/>
          <w:i/>
          <w:iCs/>
          <w:color w:val="0D0D0D" w:themeColor="text1" w:themeTint="F2"/>
          <w:sz w:val="20"/>
          <w:szCs w:val="20"/>
        </w:rPr>
      </w:pPr>
      <w:r w:rsidRPr="00770F9D">
        <w:rPr>
          <w:rFonts w:ascii="Garamond" w:hAnsi="Garamond" w:cstheme="majorBidi"/>
          <w:b/>
          <w:bCs/>
          <w:i/>
          <w:iCs/>
          <w:color w:val="0D0D0D" w:themeColor="text1" w:themeTint="F2"/>
          <w:sz w:val="20"/>
          <w:szCs w:val="20"/>
        </w:rPr>
        <w:t>Tabelë 3.2.3:</w:t>
      </w:r>
      <w:r w:rsidRPr="00770F9D">
        <w:rPr>
          <w:rFonts w:ascii="Garamond" w:hAnsi="Garamond" w:cstheme="majorBidi"/>
          <w:i/>
          <w:iCs/>
          <w:color w:val="0D0D0D" w:themeColor="text1" w:themeTint="F2"/>
          <w:sz w:val="20"/>
          <w:szCs w:val="20"/>
        </w:rPr>
        <w:t xml:space="preserve"> Dekompozimi i eksporteve shqiptare sipas metodologjisë së PKT</w:t>
      </w:r>
      <w:r w:rsidR="00BA593D" w:rsidRPr="00770F9D">
        <w:rPr>
          <w:rFonts w:ascii="Garamond" w:hAnsi="Garamond" w:cstheme="majorBidi"/>
          <w:i/>
          <w:iCs/>
          <w:color w:val="0D0D0D" w:themeColor="text1" w:themeTint="F2"/>
          <w:sz w:val="20"/>
          <w:szCs w:val="20"/>
        </w:rPr>
        <w:t>-së</w:t>
      </w:r>
      <w:r w:rsidR="000F4E5B">
        <w:rPr>
          <w:rFonts w:ascii="Garamond" w:hAnsi="Garamond" w:cstheme="majorBidi"/>
          <w:i/>
          <w:iCs/>
          <w:color w:val="0D0D0D" w:themeColor="text1" w:themeTint="F2"/>
          <w:sz w:val="20"/>
          <w:szCs w:val="20"/>
        </w:rPr>
        <w:t xml:space="preserve"> (milion</w:t>
      </w:r>
      <w:r w:rsidRPr="00770F9D">
        <w:rPr>
          <w:rFonts w:ascii="Garamond" w:hAnsi="Garamond" w:cstheme="majorBidi"/>
          <w:i/>
          <w:iCs/>
          <w:color w:val="0D0D0D" w:themeColor="text1" w:themeTint="F2"/>
          <w:sz w:val="20"/>
          <w:szCs w:val="20"/>
        </w:rPr>
        <w:t xml:space="preserve"> </w:t>
      </w:r>
      <w:r w:rsidR="00BA593D" w:rsidRPr="00770F9D">
        <w:rPr>
          <w:rFonts w:ascii="Garamond" w:hAnsi="Garamond" w:cstheme="majorBidi"/>
          <w:i/>
          <w:iCs/>
          <w:color w:val="0D0D0D" w:themeColor="text1" w:themeTint="F2"/>
          <w:sz w:val="20"/>
          <w:szCs w:val="20"/>
        </w:rPr>
        <w:t>euro</w:t>
      </w:r>
      <w:r w:rsidRPr="00770F9D">
        <w:rPr>
          <w:rFonts w:ascii="Garamond" w:hAnsi="Garamond" w:cstheme="majorBidi"/>
          <w:i/>
          <w:iCs/>
          <w:color w:val="0D0D0D" w:themeColor="text1" w:themeTint="F2"/>
          <w:sz w:val="20"/>
          <w:szCs w:val="20"/>
        </w:rPr>
        <w:t>)</w:t>
      </w:r>
    </w:p>
    <w:tbl>
      <w:tblPr>
        <w:tblW w:w="4921" w:type="pct"/>
        <w:jc w:val="center"/>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5134"/>
        <w:gridCol w:w="1982"/>
        <w:gridCol w:w="2024"/>
      </w:tblGrid>
      <w:tr w:rsidR="009D5D31" w:rsidRPr="00770F9D" w14:paraId="0D878919" w14:textId="77777777" w:rsidTr="009D5D31">
        <w:trPr>
          <w:trHeight w:val="267"/>
          <w:jc w:val="center"/>
        </w:trPr>
        <w:tc>
          <w:tcPr>
            <w:tcW w:w="2809" w:type="pct"/>
            <w:vMerge w:val="restart"/>
            <w:tcBorders>
              <w:right w:val="nil"/>
            </w:tcBorders>
          </w:tcPr>
          <w:p w14:paraId="42F77EDB" w14:textId="77777777" w:rsidR="009D5D31" w:rsidRPr="00770F9D" w:rsidRDefault="009D5D31" w:rsidP="0027139F">
            <w:pPr>
              <w:jc w:val="both"/>
              <w:rPr>
                <w:rFonts w:ascii="Garamond" w:hAnsi="Garamond" w:cstheme="majorBidi"/>
                <w:color w:val="0D0D0D" w:themeColor="text1" w:themeTint="F2"/>
                <w:sz w:val="20"/>
              </w:rPr>
            </w:pPr>
          </w:p>
        </w:tc>
        <w:tc>
          <w:tcPr>
            <w:tcW w:w="2191" w:type="pct"/>
            <w:gridSpan w:val="2"/>
            <w:tcBorders>
              <w:left w:val="nil"/>
            </w:tcBorders>
          </w:tcPr>
          <w:p w14:paraId="2BCA5E11" w14:textId="77777777" w:rsidR="009D5D31" w:rsidRPr="00770F9D" w:rsidRDefault="009D5D31" w:rsidP="0027139F">
            <w:pPr>
              <w:jc w:val="center"/>
              <w:rPr>
                <w:rFonts w:ascii="Garamond" w:hAnsi="Garamond" w:cstheme="majorBidi"/>
                <w:b/>
                <w:bCs/>
                <w:color w:val="0D0D0D" w:themeColor="text1" w:themeTint="F2"/>
                <w:sz w:val="20"/>
              </w:rPr>
            </w:pPr>
            <w:r w:rsidRPr="00770F9D">
              <w:rPr>
                <w:rFonts w:ascii="Garamond" w:hAnsi="Garamond" w:cstheme="majorBidi"/>
                <w:b/>
                <w:bCs/>
                <w:color w:val="0D0D0D" w:themeColor="text1" w:themeTint="F2"/>
                <w:sz w:val="20"/>
              </w:rPr>
              <w:t>2021</w:t>
            </w:r>
          </w:p>
        </w:tc>
      </w:tr>
      <w:tr w:rsidR="009D5D31" w:rsidRPr="00770F9D" w14:paraId="15526A93" w14:textId="77777777" w:rsidTr="009D5D31">
        <w:trPr>
          <w:trHeight w:val="267"/>
          <w:jc w:val="center"/>
        </w:trPr>
        <w:tc>
          <w:tcPr>
            <w:tcW w:w="2809" w:type="pct"/>
            <w:vMerge/>
            <w:tcBorders>
              <w:bottom w:val="single" w:sz="4" w:space="0" w:color="auto"/>
              <w:right w:val="nil"/>
            </w:tcBorders>
          </w:tcPr>
          <w:p w14:paraId="23A32C2C" w14:textId="77777777" w:rsidR="009D5D31" w:rsidRPr="00770F9D" w:rsidRDefault="009D5D31" w:rsidP="0027139F">
            <w:pPr>
              <w:jc w:val="both"/>
              <w:rPr>
                <w:rFonts w:ascii="Garamond" w:hAnsi="Garamond" w:cstheme="majorBidi"/>
                <w:color w:val="0D0D0D" w:themeColor="text1" w:themeTint="F2"/>
                <w:sz w:val="20"/>
              </w:rPr>
            </w:pPr>
          </w:p>
        </w:tc>
        <w:tc>
          <w:tcPr>
            <w:tcW w:w="1084" w:type="pct"/>
            <w:tcBorders>
              <w:left w:val="nil"/>
              <w:bottom w:val="single" w:sz="4" w:space="0" w:color="auto"/>
              <w:right w:val="nil"/>
            </w:tcBorders>
            <w:vAlign w:val="center"/>
          </w:tcPr>
          <w:p w14:paraId="45E24E47" w14:textId="77777777" w:rsidR="009D5D31" w:rsidRPr="00770F9D" w:rsidRDefault="009D5D31" w:rsidP="0027139F">
            <w:pPr>
              <w:jc w:val="center"/>
              <w:rPr>
                <w:rFonts w:ascii="Garamond" w:hAnsi="Garamond" w:cstheme="majorBidi"/>
                <w:b/>
                <w:bCs/>
                <w:color w:val="0D0D0D" w:themeColor="text1" w:themeTint="F2"/>
                <w:sz w:val="20"/>
              </w:rPr>
            </w:pPr>
            <w:r w:rsidRPr="00770F9D">
              <w:rPr>
                <w:rFonts w:ascii="Garamond" w:hAnsi="Garamond" w:cstheme="majorBidi"/>
                <w:b/>
                <w:bCs/>
                <w:color w:val="0D0D0D" w:themeColor="text1" w:themeTint="F2"/>
                <w:sz w:val="20"/>
              </w:rPr>
              <w:t>BE-15</w:t>
            </w:r>
          </w:p>
        </w:tc>
        <w:tc>
          <w:tcPr>
            <w:tcW w:w="1107" w:type="pct"/>
            <w:tcBorders>
              <w:left w:val="nil"/>
              <w:bottom w:val="single" w:sz="4" w:space="0" w:color="auto"/>
            </w:tcBorders>
            <w:vAlign w:val="center"/>
          </w:tcPr>
          <w:p w14:paraId="15E1DFC6" w14:textId="77777777" w:rsidR="009D5D31" w:rsidRPr="00770F9D" w:rsidRDefault="009D5D31" w:rsidP="0027139F">
            <w:pPr>
              <w:jc w:val="center"/>
              <w:rPr>
                <w:rFonts w:ascii="Garamond" w:hAnsi="Garamond" w:cstheme="majorBidi"/>
                <w:b/>
                <w:bCs/>
                <w:color w:val="0D0D0D" w:themeColor="text1" w:themeTint="F2"/>
                <w:sz w:val="20"/>
              </w:rPr>
            </w:pPr>
            <w:r w:rsidRPr="00770F9D">
              <w:rPr>
                <w:rFonts w:ascii="Garamond" w:hAnsi="Garamond" w:cstheme="majorBidi"/>
                <w:b/>
                <w:bCs/>
                <w:color w:val="0D0D0D" w:themeColor="text1" w:themeTint="F2"/>
                <w:sz w:val="20"/>
              </w:rPr>
              <w:t>CEFTA</w:t>
            </w:r>
          </w:p>
        </w:tc>
      </w:tr>
      <w:tr w:rsidR="009D5D31" w:rsidRPr="00770F9D" w14:paraId="41AA30D3" w14:textId="77777777" w:rsidTr="009D5D31">
        <w:trPr>
          <w:trHeight w:val="267"/>
          <w:jc w:val="center"/>
        </w:trPr>
        <w:tc>
          <w:tcPr>
            <w:tcW w:w="2809" w:type="pct"/>
            <w:tcBorders>
              <w:bottom w:val="nil"/>
              <w:right w:val="nil"/>
            </w:tcBorders>
          </w:tcPr>
          <w:p w14:paraId="15CF535C" w14:textId="77777777" w:rsidR="009D5D31" w:rsidRPr="00770F9D" w:rsidRDefault="009D5D31" w:rsidP="0027139F">
            <w:pPr>
              <w:jc w:val="both"/>
              <w:rPr>
                <w:rFonts w:ascii="Garamond" w:hAnsi="Garamond" w:cstheme="majorBidi"/>
                <w:color w:val="0D0D0D" w:themeColor="text1" w:themeTint="F2"/>
                <w:sz w:val="20"/>
              </w:rPr>
            </w:pPr>
            <w:r w:rsidRPr="00770F9D">
              <w:rPr>
                <w:rFonts w:ascii="Garamond" w:hAnsi="Garamond" w:cstheme="majorBidi"/>
                <w:color w:val="0D0D0D" w:themeColor="text1" w:themeTint="F2"/>
                <w:sz w:val="20"/>
              </w:rPr>
              <w:t>Rritja e eksporteve botërore</w:t>
            </w:r>
          </w:p>
        </w:tc>
        <w:tc>
          <w:tcPr>
            <w:tcW w:w="1084" w:type="pct"/>
            <w:tcBorders>
              <w:left w:val="nil"/>
              <w:bottom w:val="nil"/>
              <w:right w:val="nil"/>
            </w:tcBorders>
            <w:vAlign w:val="center"/>
          </w:tcPr>
          <w:p w14:paraId="4DBDAE9D" w14:textId="77777777" w:rsidR="009D5D31" w:rsidRPr="00770F9D" w:rsidRDefault="009D5D31" w:rsidP="0027139F">
            <w:pPr>
              <w:jc w:val="center"/>
              <w:rPr>
                <w:rFonts w:ascii="Garamond" w:hAnsi="Garamond" w:cstheme="majorBidi"/>
                <w:color w:val="0D0D0D" w:themeColor="text1" w:themeTint="F2"/>
                <w:sz w:val="20"/>
              </w:rPr>
            </w:pPr>
            <w:r w:rsidRPr="00770F9D">
              <w:rPr>
                <w:rFonts w:ascii="Garamond" w:hAnsi="Garamond" w:cstheme="majorBidi"/>
                <w:color w:val="0D0D0D" w:themeColor="text1" w:themeTint="F2"/>
                <w:sz w:val="20"/>
              </w:rPr>
              <w:t>335.4</w:t>
            </w:r>
          </w:p>
        </w:tc>
        <w:tc>
          <w:tcPr>
            <w:tcW w:w="1107" w:type="pct"/>
            <w:tcBorders>
              <w:left w:val="nil"/>
              <w:bottom w:val="nil"/>
            </w:tcBorders>
            <w:vAlign w:val="center"/>
          </w:tcPr>
          <w:p w14:paraId="00E08DBD" w14:textId="77777777" w:rsidR="009D5D31" w:rsidRPr="00770F9D" w:rsidRDefault="009D5D31" w:rsidP="0027139F">
            <w:pPr>
              <w:jc w:val="center"/>
              <w:rPr>
                <w:rFonts w:ascii="Garamond" w:hAnsi="Garamond" w:cstheme="majorBidi"/>
                <w:color w:val="0D0D0D" w:themeColor="text1" w:themeTint="F2"/>
                <w:sz w:val="20"/>
              </w:rPr>
            </w:pPr>
            <w:r w:rsidRPr="00770F9D">
              <w:rPr>
                <w:rFonts w:ascii="Garamond" w:hAnsi="Garamond" w:cstheme="majorBidi"/>
                <w:color w:val="0D0D0D" w:themeColor="text1" w:themeTint="F2"/>
                <w:sz w:val="20"/>
              </w:rPr>
              <w:t>91.5</w:t>
            </w:r>
          </w:p>
        </w:tc>
      </w:tr>
      <w:tr w:rsidR="009D5D31" w:rsidRPr="00770F9D" w14:paraId="6FAD8910" w14:textId="77777777" w:rsidTr="009D5D31">
        <w:trPr>
          <w:trHeight w:val="267"/>
          <w:jc w:val="center"/>
        </w:trPr>
        <w:tc>
          <w:tcPr>
            <w:tcW w:w="2809" w:type="pct"/>
            <w:tcBorders>
              <w:top w:val="nil"/>
              <w:bottom w:val="nil"/>
              <w:right w:val="nil"/>
            </w:tcBorders>
          </w:tcPr>
          <w:p w14:paraId="391FEC17" w14:textId="77777777" w:rsidR="009D5D31" w:rsidRPr="00770F9D" w:rsidRDefault="009D5D31" w:rsidP="0027139F">
            <w:pPr>
              <w:jc w:val="both"/>
              <w:rPr>
                <w:rFonts w:ascii="Garamond" w:hAnsi="Garamond" w:cstheme="majorBidi"/>
                <w:color w:val="0D0D0D" w:themeColor="text1" w:themeTint="F2"/>
                <w:sz w:val="20"/>
              </w:rPr>
            </w:pPr>
            <w:r w:rsidRPr="00770F9D">
              <w:rPr>
                <w:rFonts w:ascii="Garamond" w:hAnsi="Garamond" w:cstheme="majorBidi"/>
                <w:color w:val="0D0D0D" w:themeColor="text1" w:themeTint="F2"/>
                <w:sz w:val="20"/>
              </w:rPr>
              <w:t>Struktura sipas kategorive</w:t>
            </w:r>
          </w:p>
        </w:tc>
        <w:tc>
          <w:tcPr>
            <w:tcW w:w="1084" w:type="pct"/>
            <w:tcBorders>
              <w:top w:val="nil"/>
              <w:left w:val="nil"/>
              <w:bottom w:val="nil"/>
              <w:right w:val="nil"/>
            </w:tcBorders>
            <w:vAlign w:val="center"/>
          </w:tcPr>
          <w:p w14:paraId="18B100B4" w14:textId="77777777" w:rsidR="009D5D31" w:rsidRPr="00770F9D" w:rsidRDefault="009D5D31" w:rsidP="0027139F">
            <w:pPr>
              <w:jc w:val="center"/>
              <w:rPr>
                <w:rFonts w:ascii="Garamond" w:hAnsi="Garamond" w:cstheme="majorBidi"/>
                <w:color w:val="0D0D0D" w:themeColor="text1" w:themeTint="F2"/>
                <w:sz w:val="20"/>
              </w:rPr>
            </w:pPr>
            <w:r w:rsidRPr="00770F9D">
              <w:rPr>
                <w:rFonts w:ascii="Garamond" w:hAnsi="Garamond" w:cstheme="majorBidi"/>
                <w:color w:val="0D0D0D" w:themeColor="text1" w:themeTint="F2"/>
                <w:sz w:val="20"/>
              </w:rPr>
              <w:t>-31.4</w:t>
            </w:r>
          </w:p>
        </w:tc>
        <w:tc>
          <w:tcPr>
            <w:tcW w:w="1107" w:type="pct"/>
            <w:tcBorders>
              <w:top w:val="nil"/>
              <w:left w:val="nil"/>
              <w:bottom w:val="nil"/>
            </w:tcBorders>
            <w:vAlign w:val="center"/>
          </w:tcPr>
          <w:p w14:paraId="5974C4C4" w14:textId="77777777" w:rsidR="009D5D31" w:rsidRPr="00770F9D" w:rsidRDefault="009D5D31" w:rsidP="0027139F">
            <w:pPr>
              <w:jc w:val="center"/>
              <w:rPr>
                <w:rFonts w:ascii="Garamond" w:hAnsi="Garamond" w:cstheme="majorBidi"/>
                <w:color w:val="0D0D0D" w:themeColor="text1" w:themeTint="F2"/>
                <w:sz w:val="20"/>
              </w:rPr>
            </w:pPr>
            <w:r w:rsidRPr="00770F9D">
              <w:rPr>
                <w:rFonts w:ascii="Garamond" w:hAnsi="Garamond" w:cstheme="majorBidi"/>
                <w:color w:val="0D0D0D" w:themeColor="text1" w:themeTint="F2"/>
                <w:sz w:val="20"/>
              </w:rPr>
              <w:t>41.4</w:t>
            </w:r>
          </w:p>
        </w:tc>
      </w:tr>
      <w:tr w:rsidR="009D5D31" w:rsidRPr="00770F9D" w14:paraId="71A7458D" w14:textId="77777777" w:rsidTr="009D5D31">
        <w:trPr>
          <w:trHeight w:val="267"/>
          <w:jc w:val="center"/>
        </w:trPr>
        <w:tc>
          <w:tcPr>
            <w:tcW w:w="2809" w:type="pct"/>
            <w:tcBorders>
              <w:top w:val="nil"/>
              <w:bottom w:val="nil"/>
              <w:right w:val="nil"/>
            </w:tcBorders>
          </w:tcPr>
          <w:p w14:paraId="6F70204C" w14:textId="77777777" w:rsidR="009D5D31" w:rsidRPr="00770F9D" w:rsidRDefault="009D5D31" w:rsidP="0027139F">
            <w:pPr>
              <w:jc w:val="both"/>
              <w:rPr>
                <w:rFonts w:ascii="Garamond" w:hAnsi="Garamond" w:cstheme="majorBidi"/>
                <w:color w:val="0D0D0D" w:themeColor="text1" w:themeTint="F2"/>
                <w:sz w:val="20"/>
              </w:rPr>
            </w:pPr>
            <w:r w:rsidRPr="00770F9D">
              <w:rPr>
                <w:rFonts w:ascii="Garamond" w:hAnsi="Garamond" w:cstheme="majorBidi"/>
                <w:color w:val="0D0D0D" w:themeColor="text1" w:themeTint="F2"/>
                <w:sz w:val="20"/>
              </w:rPr>
              <w:t>Shpërndarja e tregut</w:t>
            </w:r>
          </w:p>
        </w:tc>
        <w:tc>
          <w:tcPr>
            <w:tcW w:w="1084" w:type="pct"/>
            <w:tcBorders>
              <w:top w:val="nil"/>
              <w:left w:val="nil"/>
              <w:bottom w:val="nil"/>
              <w:right w:val="nil"/>
            </w:tcBorders>
            <w:vAlign w:val="center"/>
          </w:tcPr>
          <w:p w14:paraId="3B93FC9F" w14:textId="77777777" w:rsidR="009D5D31" w:rsidRPr="00770F9D" w:rsidRDefault="009D5D31" w:rsidP="0027139F">
            <w:pPr>
              <w:jc w:val="center"/>
              <w:rPr>
                <w:rFonts w:ascii="Garamond" w:hAnsi="Garamond" w:cstheme="majorBidi"/>
                <w:color w:val="0D0D0D" w:themeColor="text1" w:themeTint="F2"/>
                <w:sz w:val="20"/>
              </w:rPr>
            </w:pPr>
            <w:r w:rsidRPr="00770F9D">
              <w:rPr>
                <w:rFonts w:ascii="Garamond" w:hAnsi="Garamond" w:cstheme="majorBidi"/>
                <w:color w:val="0D0D0D" w:themeColor="text1" w:themeTint="F2"/>
                <w:sz w:val="20"/>
              </w:rPr>
              <w:t>-86.0</w:t>
            </w:r>
          </w:p>
        </w:tc>
        <w:tc>
          <w:tcPr>
            <w:tcW w:w="1107" w:type="pct"/>
            <w:tcBorders>
              <w:top w:val="nil"/>
              <w:left w:val="nil"/>
              <w:bottom w:val="nil"/>
            </w:tcBorders>
            <w:vAlign w:val="center"/>
          </w:tcPr>
          <w:p w14:paraId="374F20BA" w14:textId="77777777" w:rsidR="009D5D31" w:rsidRPr="00770F9D" w:rsidRDefault="009D5D31" w:rsidP="0027139F">
            <w:pPr>
              <w:jc w:val="center"/>
              <w:rPr>
                <w:rFonts w:ascii="Garamond" w:hAnsi="Garamond" w:cstheme="majorBidi"/>
                <w:color w:val="0D0D0D" w:themeColor="text1" w:themeTint="F2"/>
                <w:sz w:val="20"/>
              </w:rPr>
            </w:pPr>
            <w:r w:rsidRPr="00770F9D">
              <w:rPr>
                <w:rFonts w:ascii="Garamond" w:hAnsi="Garamond" w:cstheme="majorBidi"/>
                <w:color w:val="0D0D0D" w:themeColor="text1" w:themeTint="F2"/>
                <w:sz w:val="20"/>
              </w:rPr>
              <w:t>22.9</w:t>
            </w:r>
          </w:p>
        </w:tc>
      </w:tr>
      <w:tr w:rsidR="009D5D31" w:rsidRPr="00770F9D" w14:paraId="0A550588" w14:textId="77777777" w:rsidTr="009D5D31">
        <w:trPr>
          <w:trHeight w:val="267"/>
          <w:jc w:val="center"/>
        </w:trPr>
        <w:tc>
          <w:tcPr>
            <w:tcW w:w="2809" w:type="pct"/>
            <w:tcBorders>
              <w:top w:val="nil"/>
              <w:bottom w:val="nil"/>
              <w:right w:val="nil"/>
            </w:tcBorders>
          </w:tcPr>
          <w:p w14:paraId="39242517" w14:textId="77777777" w:rsidR="009D5D31" w:rsidRPr="00770F9D" w:rsidRDefault="009D5D31" w:rsidP="0027139F">
            <w:pPr>
              <w:jc w:val="both"/>
              <w:rPr>
                <w:rFonts w:ascii="Garamond" w:hAnsi="Garamond" w:cstheme="majorBidi"/>
                <w:color w:val="0D0D0D" w:themeColor="text1" w:themeTint="F2"/>
                <w:sz w:val="20"/>
              </w:rPr>
            </w:pPr>
            <w:r w:rsidRPr="00770F9D">
              <w:rPr>
                <w:rFonts w:ascii="Garamond" w:hAnsi="Garamond" w:cstheme="majorBidi"/>
                <w:color w:val="0D0D0D" w:themeColor="text1" w:themeTint="F2"/>
                <w:sz w:val="20"/>
              </w:rPr>
              <w:t>Konkurrueshmëria</w:t>
            </w:r>
          </w:p>
        </w:tc>
        <w:tc>
          <w:tcPr>
            <w:tcW w:w="1084" w:type="pct"/>
            <w:tcBorders>
              <w:top w:val="nil"/>
              <w:left w:val="nil"/>
              <w:bottom w:val="nil"/>
              <w:right w:val="nil"/>
            </w:tcBorders>
            <w:vAlign w:val="center"/>
          </w:tcPr>
          <w:p w14:paraId="3AAFA85D" w14:textId="77777777" w:rsidR="009D5D31" w:rsidRPr="00770F9D" w:rsidRDefault="009D5D31" w:rsidP="0027139F">
            <w:pPr>
              <w:jc w:val="center"/>
              <w:rPr>
                <w:rFonts w:ascii="Garamond" w:hAnsi="Garamond" w:cstheme="majorBidi"/>
                <w:color w:val="0D0D0D" w:themeColor="text1" w:themeTint="F2"/>
                <w:sz w:val="20"/>
              </w:rPr>
            </w:pPr>
            <w:r w:rsidRPr="00770F9D">
              <w:rPr>
                <w:rFonts w:ascii="Garamond" w:hAnsi="Garamond" w:cstheme="majorBidi"/>
                <w:color w:val="0D0D0D" w:themeColor="text1" w:themeTint="F2"/>
                <w:sz w:val="20"/>
              </w:rPr>
              <w:t>-68.3</w:t>
            </w:r>
          </w:p>
        </w:tc>
        <w:tc>
          <w:tcPr>
            <w:tcW w:w="1107" w:type="pct"/>
            <w:tcBorders>
              <w:top w:val="nil"/>
              <w:left w:val="nil"/>
              <w:bottom w:val="nil"/>
            </w:tcBorders>
            <w:vAlign w:val="center"/>
          </w:tcPr>
          <w:p w14:paraId="7FDADCC9" w14:textId="77777777" w:rsidR="009D5D31" w:rsidRPr="00770F9D" w:rsidRDefault="009D5D31" w:rsidP="0027139F">
            <w:pPr>
              <w:jc w:val="center"/>
              <w:rPr>
                <w:rFonts w:ascii="Garamond" w:hAnsi="Garamond" w:cstheme="majorBidi"/>
                <w:color w:val="0D0D0D" w:themeColor="text1" w:themeTint="F2"/>
                <w:sz w:val="20"/>
              </w:rPr>
            </w:pPr>
            <w:r w:rsidRPr="00770F9D">
              <w:rPr>
                <w:rFonts w:ascii="Garamond" w:hAnsi="Garamond" w:cstheme="majorBidi"/>
                <w:color w:val="0D0D0D" w:themeColor="text1" w:themeTint="F2"/>
                <w:sz w:val="20"/>
              </w:rPr>
              <w:t>29.4</w:t>
            </w:r>
          </w:p>
        </w:tc>
      </w:tr>
      <w:tr w:rsidR="009D5D31" w:rsidRPr="00770F9D" w14:paraId="2E788736" w14:textId="77777777" w:rsidTr="009D5D31">
        <w:trPr>
          <w:trHeight w:val="267"/>
          <w:jc w:val="center"/>
        </w:trPr>
        <w:tc>
          <w:tcPr>
            <w:tcW w:w="2809" w:type="pct"/>
            <w:tcBorders>
              <w:top w:val="nil"/>
              <w:right w:val="nil"/>
            </w:tcBorders>
          </w:tcPr>
          <w:p w14:paraId="7AC1E548" w14:textId="77777777" w:rsidR="009D5D31" w:rsidRPr="00770F9D" w:rsidRDefault="009D5D31" w:rsidP="0027139F">
            <w:pPr>
              <w:jc w:val="both"/>
              <w:rPr>
                <w:rFonts w:ascii="Garamond" w:hAnsi="Garamond" w:cstheme="majorBidi"/>
                <w:b/>
                <w:bCs/>
                <w:color w:val="0D0D0D" w:themeColor="text1" w:themeTint="F2"/>
                <w:sz w:val="20"/>
              </w:rPr>
            </w:pPr>
            <w:r w:rsidRPr="00770F9D">
              <w:rPr>
                <w:rFonts w:ascii="Garamond" w:hAnsi="Garamond" w:cstheme="majorBidi"/>
                <w:b/>
                <w:bCs/>
                <w:color w:val="0D0D0D" w:themeColor="text1" w:themeTint="F2"/>
                <w:sz w:val="20"/>
              </w:rPr>
              <w:t>Total</w:t>
            </w:r>
          </w:p>
        </w:tc>
        <w:tc>
          <w:tcPr>
            <w:tcW w:w="1084" w:type="pct"/>
            <w:tcBorders>
              <w:top w:val="nil"/>
              <w:left w:val="nil"/>
              <w:right w:val="nil"/>
            </w:tcBorders>
            <w:vAlign w:val="center"/>
          </w:tcPr>
          <w:p w14:paraId="7B85E1CE" w14:textId="77777777" w:rsidR="009D5D31" w:rsidRPr="00770F9D" w:rsidRDefault="009D5D31" w:rsidP="0027139F">
            <w:pPr>
              <w:jc w:val="center"/>
              <w:rPr>
                <w:rFonts w:ascii="Garamond" w:hAnsi="Garamond" w:cstheme="majorBidi"/>
                <w:b/>
                <w:bCs/>
                <w:color w:val="0D0D0D" w:themeColor="text1" w:themeTint="F2"/>
                <w:sz w:val="20"/>
              </w:rPr>
            </w:pPr>
            <w:r w:rsidRPr="00770F9D">
              <w:rPr>
                <w:rFonts w:ascii="Garamond" w:hAnsi="Garamond" w:cstheme="majorBidi"/>
                <w:b/>
                <w:bCs/>
                <w:color w:val="0D0D0D" w:themeColor="text1" w:themeTint="F2"/>
                <w:sz w:val="20"/>
              </w:rPr>
              <w:t>214.7</w:t>
            </w:r>
          </w:p>
        </w:tc>
        <w:tc>
          <w:tcPr>
            <w:tcW w:w="1107" w:type="pct"/>
            <w:tcBorders>
              <w:top w:val="nil"/>
              <w:left w:val="nil"/>
            </w:tcBorders>
            <w:vAlign w:val="center"/>
          </w:tcPr>
          <w:p w14:paraId="5A349658" w14:textId="77777777" w:rsidR="009D5D31" w:rsidRPr="00770F9D" w:rsidRDefault="009D5D31" w:rsidP="0027139F">
            <w:pPr>
              <w:jc w:val="center"/>
              <w:rPr>
                <w:rFonts w:ascii="Garamond" w:hAnsi="Garamond" w:cstheme="majorBidi"/>
                <w:b/>
                <w:bCs/>
                <w:color w:val="0D0D0D" w:themeColor="text1" w:themeTint="F2"/>
                <w:sz w:val="20"/>
              </w:rPr>
            </w:pPr>
            <w:r w:rsidRPr="00770F9D">
              <w:rPr>
                <w:rFonts w:ascii="Garamond" w:hAnsi="Garamond" w:cstheme="majorBidi"/>
                <w:b/>
                <w:bCs/>
                <w:color w:val="0D0D0D" w:themeColor="text1" w:themeTint="F2"/>
                <w:sz w:val="20"/>
              </w:rPr>
              <w:t>185.1</w:t>
            </w:r>
          </w:p>
        </w:tc>
      </w:tr>
    </w:tbl>
    <w:p w14:paraId="60E7E2E7" w14:textId="47E86E70" w:rsidR="009D5D31" w:rsidRPr="00770F9D" w:rsidRDefault="009D5D31" w:rsidP="00BA593D">
      <w:pPr>
        <w:ind w:firstLine="284"/>
        <w:jc w:val="cente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Burimi: Banka e Shqipërisë, INSTAT</w:t>
      </w:r>
      <w:r w:rsidR="00BA593D" w:rsidRPr="00770F9D">
        <w:rPr>
          <w:rFonts w:ascii="Garamond" w:hAnsi="Garamond" w:cstheme="majorBidi"/>
          <w:color w:val="0D0D0D" w:themeColor="text1" w:themeTint="F2"/>
          <w:sz w:val="20"/>
          <w:szCs w:val="20"/>
        </w:rPr>
        <w:t>-i</w:t>
      </w:r>
      <w:r w:rsidR="00385D64" w:rsidRPr="00770F9D">
        <w:rPr>
          <w:rFonts w:ascii="Garamond" w:hAnsi="Garamond" w:cstheme="majorBidi"/>
          <w:color w:val="0D0D0D" w:themeColor="text1" w:themeTint="F2"/>
          <w:sz w:val="20"/>
          <w:szCs w:val="20"/>
        </w:rPr>
        <w:t>, UN Comtrade</w:t>
      </w:r>
    </w:p>
    <w:p w14:paraId="3AF8B247" w14:textId="77777777" w:rsidR="009D5D31" w:rsidRPr="00770F9D" w:rsidRDefault="009D5D31" w:rsidP="005674F2">
      <w:pPr>
        <w:ind w:firstLine="284"/>
        <w:jc w:val="both"/>
        <w:rPr>
          <w:rFonts w:ascii="Garamond" w:hAnsi="Garamond" w:cstheme="majorBidi"/>
          <w:color w:val="0D0D0D" w:themeColor="text1" w:themeTint="F2"/>
        </w:rPr>
      </w:pPr>
    </w:p>
    <w:p w14:paraId="71DC1905" w14:textId="5AF13F49" w:rsidR="009D5D31" w:rsidRPr="00770F9D" w:rsidRDefault="009D5D31"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Suficiti i rritur në shërbime ka qenë faktori kryesor pas përmirësimit të deficitit korrent gjatë gjysmës së parë të vitit 2022. Flukset e udhëtimit (turizmi) kanë përfituar si pasojë e lehtësimit thuajse të plotë të kufizimeve ndaj lëvizjes ndërkombëtare të udhëtarëve. Flukset hyrëse kanë tejkaluar nivelet </w:t>
      </w:r>
      <w:r w:rsidR="00936D00" w:rsidRPr="00770F9D">
        <w:rPr>
          <w:rFonts w:ascii="Garamond" w:hAnsi="Garamond" w:cstheme="majorBidi"/>
          <w:color w:val="0D0D0D" w:themeColor="text1" w:themeTint="F2"/>
        </w:rPr>
        <w:t xml:space="preserve">e parapandemisë </w:t>
      </w:r>
      <w:r w:rsidRPr="00770F9D">
        <w:rPr>
          <w:rFonts w:ascii="Garamond" w:hAnsi="Garamond" w:cstheme="majorBidi"/>
          <w:color w:val="0D0D0D" w:themeColor="text1" w:themeTint="F2"/>
        </w:rPr>
        <w:t>(gjysma e parë e vitit 2019), diçka që nuk ndodhi gjatë vitit 2021 pavarësisht rritjes së lartë të regjistruar. Si rezultat, eksportet e shërbimeve janë rritur në terma vjetorë me 44.8%. Lehtësimi i masave kufizuese ka nxitur edhe turizmin në dalje. Flukset e importit të udhëtimeve janë rritur me 50.6% në 2022-GJ1. Gjatë vitit 2021, kur Shqipëria ishte plotësisht e hapur ndaj turistëve të huaj, por bota (e veçanërisht Bashkimi Evropian) nuk ishte ndaj lëvizjes së shqiptarëve, importet e udhëtimeve patën vështirësi të rimëkëmbeshin</w:t>
      </w:r>
      <w:r w:rsidR="003F2C8D"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sikurse eksportet. Gjatë gjysmës së parë të vitit 2022, rritja ka qenë e tillë saqë nivelet </w:t>
      </w:r>
      <w:r w:rsidR="00936D00" w:rsidRPr="00770F9D">
        <w:rPr>
          <w:rFonts w:ascii="Garamond" w:hAnsi="Garamond" w:cstheme="majorBidi"/>
          <w:color w:val="0D0D0D" w:themeColor="text1" w:themeTint="F2"/>
        </w:rPr>
        <w:t xml:space="preserve">e parapandemisë </w:t>
      </w:r>
      <w:r w:rsidRPr="00770F9D">
        <w:rPr>
          <w:rFonts w:ascii="Garamond" w:hAnsi="Garamond" w:cstheme="majorBidi"/>
          <w:color w:val="0D0D0D" w:themeColor="text1" w:themeTint="F2"/>
        </w:rPr>
        <w:t>janë tejkaluar edhe në këtë rast.</w:t>
      </w:r>
    </w:p>
    <w:p w14:paraId="012D9C78" w14:textId="57224980" w:rsidR="009D5D31" w:rsidRPr="00770F9D" w:rsidRDefault="009D5D31"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Deficiti i të ardhurave parësore u zgjerua në terma vjetorë me 28.5% gjatë gjysmës së parë të vitit 2022. Megjithëse flukset hyrëse nga të ardhurat parësore (të lidhura me Kompensimin e Punonjësve) janë </w:t>
      </w:r>
      <w:r w:rsidR="0079620B" w:rsidRPr="00770F9D">
        <w:rPr>
          <w:rFonts w:ascii="Garamond" w:hAnsi="Garamond" w:cstheme="majorBidi"/>
          <w:color w:val="0D0D0D" w:themeColor="text1" w:themeTint="F2"/>
        </w:rPr>
        <w:t>rikuperuar</w:t>
      </w:r>
      <w:r w:rsidRPr="00770F9D">
        <w:rPr>
          <w:rFonts w:ascii="Garamond" w:hAnsi="Garamond" w:cstheme="majorBidi"/>
          <w:color w:val="0D0D0D" w:themeColor="text1" w:themeTint="F2"/>
        </w:rPr>
        <w:t xml:space="preserve"> me ritme të shpejta, rritja e të ardhurave dalëse (të lidhura kryesisht me të ardhurat nga investimet) kanë përcaktuar ecurinë e deficitit. Këto lidhet kryesisht me IHD-të</w:t>
      </w:r>
      <w:r w:rsidR="00202506"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duke pasqyruar edhe situatën e mirë për këto flukse. Suficiti i të ardhurave dytësore, u rrit në terma vjetorë me 0.4% në 2022-GJ1. Rritja e remitancave ka qenë shumë e fortë (10.7%) sikurse edhe gjatë gjysmës së dytë të vitit 2021. Nga ana tjetër, flukset rënëse të lidhura me “Qeverinë e Përgjithshme” dhe “Flukset private jo nga </w:t>
      </w:r>
      <w:r w:rsidR="00202506" w:rsidRPr="00770F9D">
        <w:rPr>
          <w:rFonts w:ascii="Garamond" w:hAnsi="Garamond" w:cstheme="majorBidi"/>
          <w:color w:val="0D0D0D" w:themeColor="text1" w:themeTint="F2"/>
        </w:rPr>
        <w:t>remitancat</w:t>
      </w:r>
      <w:r w:rsidRPr="00770F9D">
        <w:rPr>
          <w:rFonts w:ascii="Garamond" w:hAnsi="Garamond" w:cstheme="majorBidi"/>
          <w:color w:val="0D0D0D" w:themeColor="text1" w:themeTint="F2"/>
        </w:rPr>
        <w:t xml:space="preserve">” kanë ndikuar në kahun e kundërt. </w:t>
      </w:r>
    </w:p>
    <w:p w14:paraId="000534E6" w14:textId="42CE2DF7" w:rsidR="009D5D31" w:rsidRPr="00770F9D" w:rsidRDefault="009D5D31" w:rsidP="00276D1B">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Vlerësimet për ecurinë gjat</w:t>
      </w:r>
      <w:r w:rsidR="00A420D6" w:rsidRPr="00770F9D">
        <w:rPr>
          <w:rFonts w:ascii="Garamond" w:hAnsi="Garamond" w:cstheme="majorBidi"/>
          <w:color w:val="0D0D0D" w:themeColor="text1" w:themeTint="F2"/>
        </w:rPr>
        <w:t>ë gjysmës së dytë të vitit 2022</w:t>
      </w:r>
      <w:r w:rsidRPr="00770F9D">
        <w:rPr>
          <w:rFonts w:ascii="Garamond" w:hAnsi="Garamond" w:cstheme="majorBidi"/>
          <w:color w:val="0D0D0D" w:themeColor="text1" w:themeTint="F2"/>
        </w:rPr>
        <w:t xml:space="preserve"> nuk janë aq pozitive sa në rastin e gjysmës së parë. Së pari, çmimet e energjisë në rritje kombinuar me kërkesë më të lartë për importe, kanë përshpejtuar zgjerimin e deficitit tregtar gjatë tremujorit të tretë të vitit. Duke pasur parasysh që çmime edhe më të larta priten në muajt në vijim, gjendja mund të përkeqësohet më tej, me përjashtim të rastit të një përmirësimi të kushteve të motit. Gjithashtu, turizmi duket se ka humbur disi intensitetin</w:t>
      </w:r>
      <w:r w:rsidR="00A420D6"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duke pasur parasysh që të dhënat për </w:t>
      </w:r>
      <w:r w:rsidR="00A420D6" w:rsidRPr="00770F9D">
        <w:rPr>
          <w:rFonts w:ascii="Garamond" w:hAnsi="Garamond" w:cstheme="majorBidi"/>
          <w:color w:val="0D0D0D" w:themeColor="text1" w:themeTint="F2"/>
        </w:rPr>
        <w:t xml:space="preserve">gushtin </w:t>
      </w:r>
      <w:r w:rsidRPr="00770F9D">
        <w:rPr>
          <w:rFonts w:ascii="Garamond" w:hAnsi="Garamond" w:cstheme="majorBidi"/>
          <w:color w:val="0D0D0D" w:themeColor="text1" w:themeTint="F2"/>
        </w:rPr>
        <w:t>nuk ishin aq premtuese sa në muajt e mëparshëm. Përveç maturimit të kërkesës, çmimet më të larta</w:t>
      </w:r>
      <w:r w:rsidR="00A420D6"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në nivel ndërkombëtar</w:t>
      </w:r>
      <w:r w:rsidR="00A420D6"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ashtu edhe në vend janë faktorë për këtë. Të dhënat e turizmit dëshmojnë për përqendrim më të lartë të turistëve të huaj në rajonet veriore dhe q</w:t>
      </w:r>
      <w:r w:rsidR="00A420D6" w:rsidRPr="00770F9D">
        <w:rPr>
          <w:rFonts w:ascii="Garamond" w:hAnsi="Garamond" w:cstheme="majorBidi"/>
          <w:color w:val="0D0D0D" w:themeColor="text1" w:themeTint="F2"/>
        </w:rPr>
        <w:t>endrore të vendit, të cilat</w:t>
      </w:r>
      <w:r w:rsidRPr="00770F9D">
        <w:rPr>
          <w:rFonts w:ascii="Garamond" w:hAnsi="Garamond" w:cstheme="majorBidi"/>
          <w:color w:val="0D0D0D" w:themeColor="text1" w:themeTint="F2"/>
        </w:rPr>
        <w:t xml:space="preserve"> janë më të lir</w:t>
      </w:r>
      <w:r w:rsidR="00496D2D" w:rsidRPr="00770F9D">
        <w:rPr>
          <w:rFonts w:ascii="Garamond" w:hAnsi="Garamond" w:cstheme="majorBidi"/>
          <w:color w:val="0D0D0D" w:themeColor="text1" w:themeTint="F2"/>
        </w:rPr>
        <w:t>a</w:t>
      </w:r>
      <w:r w:rsidRPr="00770F9D">
        <w:rPr>
          <w:rFonts w:ascii="Garamond" w:hAnsi="Garamond" w:cstheme="majorBidi"/>
          <w:color w:val="0D0D0D" w:themeColor="text1" w:themeTint="F2"/>
        </w:rPr>
        <w:t xml:space="preserve"> krahasuar me jugun. Nga ana tjetër, turistët në dalje vazhdojnë të rriten me ritme të shpejta. Kjo sugjeron që përmirësimet në suficitin e shërbimeve nuk do të jenë aq të q</w:t>
      </w:r>
      <w:r w:rsidR="00276D1B" w:rsidRPr="00770F9D">
        <w:rPr>
          <w:rFonts w:ascii="Garamond" w:hAnsi="Garamond" w:cstheme="majorBidi"/>
          <w:color w:val="0D0D0D" w:themeColor="text1" w:themeTint="F2"/>
        </w:rPr>
        <w:t>e</w:t>
      </w:r>
      <w:r w:rsidRPr="00770F9D">
        <w:rPr>
          <w:rFonts w:ascii="Garamond" w:hAnsi="Garamond" w:cstheme="majorBidi"/>
          <w:color w:val="0D0D0D" w:themeColor="text1" w:themeTint="F2"/>
        </w:rPr>
        <w:t xml:space="preserve">nësishme sa në gjysmën e parë të vitit. </w:t>
      </w:r>
    </w:p>
    <w:p w14:paraId="213ACC88" w14:textId="1319F00A" w:rsidR="009D5D31" w:rsidRPr="00770F9D" w:rsidRDefault="009D5D31" w:rsidP="00F15F38">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Investimet e huaja direkte neto kanë ndjekur të nj</w:t>
      </w:r>
      <w:r w:rsidR="00F15F38" w:rsidRPr="00770F9D">
        <w:rPr>
          <w:rFonts w:ascii="Garamond" w:hAnsi="Garamond" w:cstheme="majorBidi"/>
          <w:color w:val="0D0D0D" w:themeColor="text1" w:themeTint="F2"/>
        </w:rPr>
        <w:t>ë</w:t>
      </w:r>
      <w:r w:rsidRPr="00770F9D">
        <w:rPr>
          <w:rFonts w:ascii="Garamond" w:hAnsi="Garamond" w:cstheme="majorBidi"/>
          <w:color w:val="0D0D0D" w:themeColor="text1" w:themeTint="F2"/>
        </w:rPr>
        <w:t xml:space="preserve"> tendencë të fortë rritëse gjatë gjysmës së parë të vitit, ndërkohë që rritja e fortë nisi që në tremujorin e fundit të vitit 2021. Rritja vjetore për 2022-GJI1 shënon 27.7%. Sektori kryesor kontribues ka qenë ai i “Pasurive të </w:t>
      </w:r>
      <w:r w:rsidR="00F15F38" w:rsidRPr="00770F9D">
        <w:rPr>
          <w:rFonts w:ascii="Garamond" w:hAnsi="Garamond" w:cstheme="majorBidi"/>
          <w:color w:val="0D0D0D" w:themeColor="text1" w:themeTint="F2"/>
        </w:rPr>
        <w:t>paluajtshme</w:t>
      </w:r>
      <w:r w:rsidRPr="00770F9D">
        <w:rPr>
          <w:rFonts w:ascii="Garamond" w:hAnsi="Garamond" w:cstheme="majorBidi"/>
          <w:color w:val="0D0D0D" w:themeColor="text1" w:themeTint="F2"/>
        </w:rPr>
        <w:t xml:space="preserve">” në një kohë që blerjet rezidenciale nga </w:t>
      </w:r>
      <w:r w:rsidR="00F15F38" w:rsidRPr="00770F9D">
        <w:rPr>
          <w:rFonts w:ascii="Garamond" w:hAnsi="Garamond" w:cstheme="majorBidi"/>
          <w:color w:val="0D0D0D" w:themeColor="text1" w:themeTint="F2"/>
        </w:rPr>
        <w:t>jo</w:t>
      </w:r>
      <w:r w:rsidRPr="00770F9D">
        <w:rPr>
          <w:rFonts w:ascii="Garamond" w:hAnsi="Garamond" w:cstheme="majorBidi"/>
          <w:color w:val="0D0D0D" w:themeColor="text1" w:themeTint="F2"/>
        </w:rPr>
        <w:t xml:space="preserve">rezidentët vazhdojnë të rriten ndjeshëm. Ndikime suplementare kanë buruar nga “Energjia”, “Industria nxjerrëse” dhe “Industria përpunuese”. Një pjesë e mirë e financimit buron nga </w:t>
      </w:r>
      <w:r w:rsidR="00F15F38" w:rsidRPr="00770F9D">
        <w:rPr>
          <w:rFonts w:ascii="Garamond" w:hAnsi="Garamond" w:cstheme="majorBidi"/>
          <w:color w:val="0D0D0D" w:themeColor="text1" w:themeTint="F2"/>
        </w:rPr>
        <w:t>ri</w:t>
      </w:r>
      <w:r w:rsidRPr="00770F9D">
        <w:rPr>
          <w:rFonts w:ascii="Garamond" w:hAnsi="Garamond" w:cstheme="majorBidi"/>
          <w:color w:val="0D0D0D" w:themeColor="text1" w:themeTint="F2"/>
        </w:rPr>
        <w:t xml:space="preserve">investimi i fitimeve duke pasqyruar performancën e mirë ekonomike të tremujorëve të fundit. </w:t>
      </w:r>
    </w:p>
    <w:p w14:paraId="1743CDFC" w14:textId="2833D254" w:rsidR="009D5D31" w:rsidRPr="00770F9D" w:rsidRDefault="009D5D31"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Investimet e portofolit ka shfaqur përgjithësisht detyrime në rënie ndaj </w:t>
      </w:r>
      <w:r w:rsidR="00F15F38" w:rsidRPr="00770F9D">
        <w:rPr>
          <w:rFonts w:ascii="Garamond" w:hAnsi="Garamond" w:cstheme="majorBidi"/>
          <w:color w:val="0D0D0D" w:themeColor="text1" w:themeTint="F2"/>
        </w:rPr>
        <w:t>jo</w:t>
      </w:r>
      <w:r w:rsidRPr="00770F9D">
        <w:rPr>
          <w:rFonts w:ascii="Garamond" w:hAnsi="Garamond" w:cstheme="majorBidi"/>
          <w:color w:val="0D0D0D" w:themeColor="text1" w:themeTint="F2"/>
        </w:rPr>
        <w:t>rezidentëve. Kjo lidhet kryesisht me Eurobondin</w:t>
      </w:r>
      <w:r w:rsidR="00CB332C"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por nuk bëhet fjalë për ripagesa</w:t>
      </w:r>
      <w:r w:rsidR="00CB332C"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sikurse mund të sugjerojnë shifrat në pamje të parë. Bankat </w:t>
      </w:r>
      <w:r w:rsidR="002A4878" w:rsidRPr="00770F9D">
        <w:rPr>
          <w:rFonts w:ascii="Garamond" w:hAnsi="Garamond" w:cstheme="majorBidi"/>
          <w:color w:val="0D0D0D" w:themeColor="text1" w:themeTint="F2"/>
        </w:rPr>
        <w:t>vendës</w:t>
      </w:r>
      <w:r w:rsidRPr="00770F9D">
        <w:rPr>
          <w:rFonts w:ascii="Garamond" w:hAnsi="Garamond" w:cstheme="majorBidi"/>
          <w:color w:val="0D0D0D" w:themeColor="text1" w:themeTint="F2"/>
        </w:rPr>
        <w:t xml:space="preserve">e kanë qenë aktive në blerjen e një pjese të Eurobondit gjatë tremujorëve të fundit. Si rezultat, megjithëse detyrimet e </w:t>
      </w:r>
      <w:r w:rsidR="00CB332C" w:rsidRPr="00770F9D">
        <w:rPr>
          <w:rFonts w:ascii="Garamond" w:hAnsi="Garamond" w:cstheme="majorBidi"/>
          <w:color w:val="0D0D0D" w:themeColor="text1" w:themeTint="F2"/>
        </w:rPr>
        <w:t xml:space="preserve">qeverisë së përgjithshme </w:t>
      </w:r>
      <w:r w:rsidRPr="00770F9D">
        <w:rPr>
          <w:rFonts w:ascii="Garamond" w:hAnsi="Garamond" w:cstheme="majorBidi"/>
          <w:color w:val="0D0D0D" w:themeColor="text1" w:themeTint="F2"/>
        </w:rPr>
        <w:t xml:space="preserve">mbeten të pandryshuara, ato kalojnë nga </w:t>
      </w:r>
      <w:r w:rsidR="00F15F38" w:rsidRPr="00770F9D">
        <w:rPr>
          <w:rFonts w:ascii="Garamond" w:hAnsi="Garamond" w:cstheme="majorBidi"/>
          <w:color w:val="0D0D0D" w:themeColor="text1" w:themeTint="F2"/>
        </w:rPr>
        <w:t>jo</w:t>
      </w:r>
      <w:r w:rsidRPr="00770F9D">
        <w:rPr>
          <w:rFonts w:ascii="Garamond" w:hAnsi="Garamond" w:cstheme="majorBidi"/>
          <w:color w:val="0D0D0D" w:themeColor="text1" w:themeTint="F2"/>
        </w:rPr>
        <w:t>rezidentët te rezidentët.</w:t>
      </w:r>
    </w:p>
    <w:p w14:paraId="43425E14" w14:textId="1C3CA5D4" w:rsidR="009D5D31" w:rsidRPr="00770F9D" w:rsidRDefault="009D5D31" w:rsidP="003F46E1">
      <w:pPr>
        <w:ind w:firstLine="284"/>
        <w:jc w:val="both"/>
        <w:rPr>
          <w:rFonts w:ascii="Garamond" w:hAnsi="Garamond" w:cstheme="majorBidi"/>
          <w:i/>
          <w:color w:val="0D0D0D" w:themeColor="text1" w:themeTint="F2"/>
        </w:rPr>
      </w:pPr>
      <w:r w:rsidRPr="00770F9D">
        <w:rPr>
          <w:rFonts w:ascii="Garamond" w:hAnsi="Garamond" w:cstheme="majorBidi"/>
          <w:i/>
          <w:color w:val="0D0D0D" w:themeColor="text1" w:themeTint="F2"/>
        </w:rPr>
        <w:t xml:space="preserve">Zhvillimet në </w:t>
      </w:r>
      <w:r w:rsidR="006F28BF" w:rsidRPr="00770F9D">
        <w:rPr>
          <w:rFonts w:ascii="Garamond" w:hAnsi="Garamond" w:cstheme="majorBidi"/>
          <w:i/>
          <w:color w:val="0D0D0D" w:themeColor="text1" w:themeTint="F2"/>
        </w:rPr>
        <w:t>borxhin e jashtëm</w:t>
      </w:r>
    </w:p>
    <w:p w14:paraId="64200A44" w14:textId="3519C4D2" w:rsidR="009D5D31" w:rsidRPr="00770F9D" w:rsidRDefault="009D5D31" w:rsidP="006F28BF">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Stoku i borxhit të jashtëm shënoi EUR 9,893.4 </w:t>
      </w:r>
      <w:r w:rsidR="00A84445" w:rsidRPr="00770F9D">
        <w:rPr>
          <w:rFonts w:ascii="Garamond" w:hAnsi="Garamond" w:cstheme="majorBidi"/>
          <w:color w:val="0D0D0D" w:themeColor="text1" w:themeTint="F2"/>
        </w:rPr>
        <w:t xml:space="preserve">milionë </w:t>
      </w:r>
      <w:r w:rsidRPr="00770F9D">
        <w:rPr>
          <w:rFonts w:ascii="Garamond" w:hAnsi="Garamond" w:cstheme="majorBidi"/>
          <w:color w:val="0D0D0D" w:themeColor="text1" w:themeTint="F2"/>
        </w:rPr>
        <w:t>në fund të tremujorit të dytë të vitit 2022, me një rritje prej 16.0% në terma vjetorë. Zgjerim i stokut lidhet kryesisht me emetimin e Eurobondit në trem</w:t>
      </w:r>
      <w:r w:rsidR="006F28BF" w:rsidRPr="00770F9D">
        <w:rPr>
          <w:rFonts w:ascii="Garamond" w:hAnsi="Garamond" w:cstheme="majorBidi"/>
          <w:color w:val="0D0D0D" w:themeColor="text1" w:themeTint="F2"/>
        </w:rPr>
        <w:t>u</w:t>
      </w:r>
      <w:r w:rsidRPr="00770F9D">
        <w:rPr>
          <w:rFonts w:ascii="Garamond" w:hAnsi="Garamond" w:cstheme="majorBidi"/>
          <w:color w:val="0D0D0D" w:themeColor="text1" w:themeTint="F2"/>
        </w:rPr>
        <w:t>jorin e fundit të vitit 2021. Nga ana tjetër, si pasojë e rritjes më të fortë të PBB-së, raporti i borxhit ndaj PBB-së ra në 59.1% nga niveli 60.8% në 2021T2. Borxhi afatgjatë përbën rreth 91.0% të totalit të borxhit të jashtëm dhe përbëhet kryesisht nga hua afatgjata ndaj qeverisë së përgjithshme dhe ndaj sektorëve të tjerë. Borxhi afatshkurtër përbën 9.0% të totalit dhe përbëhet kryesisht nga “monedha dhe depozita” të korporatave depo</w:t>
      </w:r>
      <w:r w:rsidR="006F28BF" w:rsidRPr="00770F9D">
        <w:rPr>
          <w:rFonts w:ascii="Garamond" w:hAnsi="Garamond" w:cstheme="majorBidi"/>
          <w:color w:val="0D0D0D" w:themeColor="text1" w:themeTint="F2"/>
        </w:rPr>
        <w:t>z</w:t>
      </w:r>
      <w:r w:rsidRPr="00770F9D">
        <w:rPr>
          <w:rFonts w:ascii="Garamond" w:hAnsi="Garamond" w:cstheme="majorBidi"/>
          <w:color w:val="0D0D0D" w:themeColor="text1" w:themeTint="F2"/>
        </w:rPr>
        <w:t>it</w:t>
      </w:r>
      <w:r w:rsidR="006F28BF" w:rsidRPr="00770F9D">
        <w:rPr>
          <w:rFonts w:ascii="Garamond" w:hAnsi="Garamond" w:cstheme="majorBidi"/>
          <w:color w:val="0D0D0D" w:themeColor="text1" w:themeTint="F2"/>
        </w:rPr>
        <w:t>ë</w:t>
      </w:r>
      <w:r w:rsidRPr="00770F9D">
        <w:rPr>
          <w:rFonts w:ascii="Garamond" w:hAnsi="Garamond" w:cstheme="majorBidi"/>
          <w:color w:val="0D0D0D" w:themeColor="text1" w:themeTint="F2"/>
        </w:rPr>
        <w:t xml:space="preserve">marrëse dhe “kredi tregtare”. </w:t>
      </w:r>
    </w:p>
    <w:p w14:paraId="1D6B69C9" w14:textId="7CB9D386" w:rsidR="009D5D31" w:rsidRPr="00770F9D" w:rsidRDefault="009D5D31"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Treguesit e aftësisë ripaguese afatgjatë janë përmirësuar gjatë gjysmës së parë të vitit 2022 për shkak të eksporteve dhe të ardhurave fiskale në rritje. Raporti i borxhit të jashtëm ndaj eksportit të mallrave dhe shërbimeve ra në 137.1% në 2022T2, nga niveli 182.0% në 2021T2. Gjithashtu, raporti i borxhit të jashtëm ndaj të ardhurave fiskale ra në 214.4% në 2022T2 krahasuar me 230.3% në 2021T2. Raporti i stokut të borxhit të qeverisë së përgjithshme ndaj të ardhurave fiskale shënoi 105.0% në 2022T2, nga niveli 109.6% në 2021T2. Treguesit e likuiditetit paraqiten</w:t>
      </w:r>
      <w:r w:rsidR="006F28BF"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gjithashtu</w:t>
      </w:r>
      <w:r w:rsidR="006F28BF"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të përmirësuar</w:t>
      </w:r>
      <w:r w:rsidR="006F28BF"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duke dëshmuar për trysni të ul</w:t>
      </w:r>
      <w:r w:rsidR="006F28BF" w:rsidRPr="00770F9D">
        <w:rPr>
          <w:rFonts w:ascii="Garamond" w:hAnsi="Garamond" w:cstheme="majorBidi"/>
          <w:color w:val="0D0D0D" w:themeColor="text1" w:themeTint="F2"/>
        </w:rPr>
        <w:t>ë</w:t>
      </w:r>
      <w:r w:rsidRPr="00770F9D">
        <w:rPr>
          <w:rFonts w:ascii="Garamond" w:hAnsi="Garamond" w:cstheme="majorBidi"/>
          <w:color w:val="0D0D0D" w:themeColor="text1" w:themeTint="F2"/>
        </w:rPr>
        <w:t>ta të lidhura me detyrimet afatshkurtra.</w:t>
      </w:r>
    </w:p>
    <w:p w14:paraId="34904ECB" w14:textId="77777777" w:rsidR="006F28BF" w:rsidRPr="00770F9D" w:rsidRDefault="006F28BF" w:rsidP="006F28BF">
      <w:pPr>
        <w:jc w:val="center"/>
        <w:rPr>
          <w:rFonts w:ascii="Garamond" w:hAnsi="Garamond" w:cstheme="majorBidi"/>
          <w:b/>
          <w:bCs/>
          <w:color w:val="0D0D0D" w:themeColor="text1" w:themeTint="F2"/>
          <w:sz w:val="20"/>
          <w:szCs w:val="20"/>
        </w:rPr>
      </w:pPr>
    </w:p>
    <w:p w14:paraId="1294CAB9" w14:textId="6393FB4E" w:rsidR="009D5D31" w:rsidRPr="00770F9D" w:rsidRDefault="006F28BF" w:rsidP="006F28BF">
      <w:pPr>
        <w:jc w:val="center"/>
        <w:rPr>
          <w:rFonts w:ascii="Garamond" w:hAnsi="Garamond" w:cstheme="majorBidi"/>
          <w:color w:val="0D0D0D" w:themeColor="text1" w:themeTint="F2"/>
        </w:rPr>
      </w:pPr>
      <w:r w:rsidRPr="00770F9D">
        <w:rPr>
          <w:rFonts w:ascii="Garamond" w:hAnsi="Garamond" w:cstheme="majorBidi"/>
          <w:b/>
          <w:bCs/>
          <w:noProof/>
          <w:color w:val="0D0D0D" w:themeColor="text1" w:themeTint="F2"/>
          <w:sz w:val="20"/>
          <w:szCs w:val="20"/>
          <w:lang w:eastAsia="sq-AL"/>
        </w:rPr>
        <mc:AlternateContent>
          <mc:Choice Requires="wpg">
            <w:drawing>
              <wp:anchor distT="0" distB="0" distL="114300" distR="114300" simplePos="0" relativeHeight="251658246" behindDoc="0" locked="0" layoutInCell="1" allowOverlap="1" wp14:anchorId="607A7557" wp14:editId="51CD1070">
                <wp:simplePos x="0" y="0"/>
                <wp:positionH relativeFrom="column">
                  <wp:posOffset>-227330</wp:posOffset>
                </wp:positionH>
                <wp:positionV relativeFrom="paragraph">
                  <wp:posOffset>262509</wp:posOffset>
                </wp:positionV>
                <wp:extent cx="5990590" cy="2495550"/>
                <wp:effectExtent l="0" t="0" r="0" b="0"/>
                <wp:wrapTopAndBottom/>
                <wp:docPr id="39" name="Group 39"/>
                <wp:cNvGraphicFramePr/>
                <a:graphic xmlns:a="http://schemas.openxmlformats.org/drawingml/2006/main">
                  <a:graphicData uri="http://schemas.microsoft.com/office/word/2010/wordprocessingGroup">
                    <wpg:wgp>
                      <wpg:cNvGrpSpPr/>
                      <wpg:grpSpPr>
                        <a:xfrm>
                          <a:off x="0" y="0"/>
                          <a:ext cx="5990590" cy="2495550"/>
                          <a:chOff x="0" y="0"/>
                          <a:chExt cx="5990590" cy="2495550"/>
                        </a:xfrm>
                      </wpg:grpSpPr>
                      <pic:pic xmlns:pic="http://schemas.openxmlformats.org/drawingml/2006/picture">
                        <pic:nvPicPr>
                          <pic:cNvPr id="83" name="Picture 83"/>
                          <pic:cNvPicPr>
                            <a:picLocks noChangeAspect="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3019425" y="0"/>
                            <a:ext cx="2971165" cy="2486025"/>
                          </a:xfrm>
                          <a:prstGeom prst="rect">
                            <a:avLst/>
                          </a:prstGeom>
                          <a:noFill/>
                        </pic:spPr>
                      </pic:pic>
                      <pic:pic xmlns:pic="http://schemas.openxmlformats.org/drawingml/2006/picture">
                        <pic:nvPicPr>
                          <pic:cNvPr id="82" name="Picture 82"/>
                          <pic:cNvPicPr>
                            <a:picLocks noChangeAspect="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19050"/>
                            <a:ext cx="2962275" cy="2476500"/>
                          </a:xfrm>
                          <a:prstGeom prst="rect">
                            <a:avLst/>
                          </a:prstGeom>
                          <a:noFill/>
                        </pic:spPr>
                      </pic:pic>
                    </wpg:wgp>
                  </a:graphicData>
                </a:graphic>
              </wp:anchor>
            </w:drawing>
          </mc:Choice>
          <mc:Fallback>
            <w:pict>
              <v:group id="Group 39" o:spid="_x0000_s1026" style="position:absolute;margin-left:-17.9pt;margin-top:20.65pt;width:471.7pt;height:196.5pt;z-index:251658246" coordsize="59905,249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">
                <v:shape id="Picture 83" o:spid="_x0000_s1027" type="#_x0000_t75" style="position:absolute;left:30194;width:29711;height:248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3rLUTEAAAA2wAAAA8AAABkcnMvZG93bnJldi54bWxEj9FqwkAURN8F/2G5gi+im6q0IXUVKQQE&#10;sbbaD7hkr0kwezdkVxP9ercg+DjMzBlmsepMJa7UuNKygrdJBII4s7rkXMHfMR3HIJxH1lhZJgU3&#10;crBa9nsLTLRt+ZeuB5+LAGGXoILC+zqR0mUFGXQTWxMH72Qbgz7IJpe6wTbATSWnUfQuDZYcFgqs&#10;6aug7Hy4GAXb0e625/V80/5UqdPp3H3fP2KlhoNu/QnCU+df4Wd7oxXEM/j/En6AXD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3rLUTEAAAA2wAAAA8AAAAAAAAAAAAAAAAA&#10;nwIAAGRycy9kb3ducmV2LnhtbFBLBQYAAAAABAAEAPcAAACQAwAAAAA=&#10;">
                  <v:imagedata r:id="rId37" o:title=""/>
                  <v:path arrowok="t"/>
                </v:shape>
                <v:shape id="Picture 82" o:spid="_x0000_s1028" type="#_x0000_t75" style="position:absolute;top:190;width:29622;height:247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3rWHCAAAA2wAAAA8AAABkcnMvZG93bnJldi54bWxEj0FrwkAUhO8F/8PyhN7qRiFFU1cJQtFr&#10;0yg9PrLPbDD7Nma3Jvn33UKhx2FmvmG2+9G24kG9bxwrWC4SEMSV0w3XCsrP95c1CB+QNbaOScFE&#10;Hva72dMWM+0G/qBHEWoRIewzVGBC6DIpfWXIol+4jjh6V9dbDFH2tdQ9DhFuW7lKkldpseG4YLCj&#10;g6HqVnxbBWdT8rW7FPw1be42z9NjkwZW6nk+5m8gAo3hP/zXPmkF6xX8fok/QO5+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jN61hwgAAANsAAAAPAAAAAAAAAAAAAAAAAJ8C&#10;AABkcnMvZG93bnJldi54bWxQSwUGAAAAAAQABAD3AAAAjgMAAAAA&#10;">
                  <v:imagedata r:id="rId38" o:title=""/>
                  <v:path arrowok="t"/>
                </v:shape>
                <w10:wrap type="topAndBottom"/>
              </v:group>
            </w:pict>
          </mc:Fallback>
        </mc:AlternateContent>
      </w:r>
      <w:r w:rsidR="009D5D31" w:rsidRPr="00770F9D">
        <w:rPr>
          <w:rFonts w:ascii="Garamond" w:hAnsi="Garamond" w:cstheme="majorBidi"/>
          <w:b/>
          <w:bCs/>
          <w:color w:val="0D0D0D" w:themeColor="text1" w:themeTint="F2"/>
          <w:sz w:val="20"/>
          <w:szCs w:val="20"/>
        </w:rPr>
        <w:t>Gra</w:t>
      </w:r>
      <w:r w:rsidR="009D5D31" w:rsidRPr="00770F9D">
        <w:rPr>
          <w:rFonts w:ascii="Garamond" w:hAnsi="Garamond" w:cstheme="majorBidi"/>
          <w:b/>
          <w:bCs/>
          <w:i/>
          <w:iCs/>
          <w:color w:val="0D0D0D" w:themeColor="text1" w:themeTint="F2"/>
          <w:sz w:val="20"/>
          <w:szCs w:val="20"/>
        </w:rPr>
        <w:t>fik 3.2.9:</w:t>
      </w:r>
      <w:r w:rsidR="009D5D31" w:rsidRPr="00770F9D">
        <w:rPr>
          <w:rFonts w:ascii="Garamond" w:hAnsi="Garamond" w:cstheme="majorBidi"/>
          <w:i/>
          <w:iCs/>
          <w:color w:val="0D0D0D" w:themeColor="text1" w:themeTint="F2"/>
          <w:sz w:val="20"/>
          <w:szCs w:val="20"/>
        </w:rPr>
        <w:t xml:space="preserve"> Borxhi i jashtëm ndaj eksportit të mallrave dhe shërbimeve (majtas) dhe ndaj të ardhurave fiskale (djathtas)</w:t>
      </w:r>
    </w:p>
    <w:p w14:paraId="2253B8E6" w14:textId="3D8B42EA" w:rsidR="009D5D31" w:rsidRPr="00770F9D" w:rsidRDefault="006F28BF" w:rsidP="006F28BF">
      <w:pPr>
        <w:ind w:firstLine="284"/>
        <w:jc w:val="center"/>
        <w:rPr>
          <w:rFonts w:ascii="Garamond" w:hAnsi="Garamond" w:cstheme="majorBidi"/>
          <w:iCs/>
          <w:color w:val="0D0D0D" w:themeColor="text1" w:themeTint="F2"/>
          <w:sz w:val="20"/>
          <w:szCs w:val="20"/>
        </w:rPr>
      </w:pPr>
      <w:r w:rsidRPr="00770F9D">
        <w:rPr>
          <w:rFonts w:ascii="Garamond" w:hAnsi="Garamond" w:cstheme="majorBidi"/>
          <w:iCs/>
          <w:color w:val="0D0D0D" w:themeColor="text1" w:themeTint="F2"/>
          <w:sz w:val="20"/>
          <w:szCs w:val="20"/>
        </w:rPr>
        <w:t>Burimi: Banka e Shqipërisë</w:t>
      </w:r>
    </w:p>
    <w:p w14:paraId="2292F063" w14:textId="77777777" w:rsidR="006F28BF" w:rsidRPr="00770F9D" w:rsidRDefault="006F28BF" w:rsidP="006F28BF">
      <w:pPr>
        <w:ind w:firstLine="284"/>
        <w:jc w:val="center"/>
        <w:rPr>
          <w:rFonts w:ascii="Garamond" w:hAnsi="Garamond" w:cstheme="majorBidi"/>
          <w:iCs/>
          <w:color w:val="0D0D0D" w:themeColor="text1" w:themeTint="F2"/>
        </w:rPr>
      </w:pPr>
    </w:p>
    <w:p w14:paraId="08E37C07" w14:textId="469F68F4" w:rsidR="009D5D31" w:rsidRPr="00770F9D" w:rsidRDefault="009D5D31" w:rsidP="008F05FD">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Në skenarin bazë për vitin 2022, pritet që borxhit i jashtëm bruto të bjerë në 58.0% të PBB-së, me një rënie prej rreth 5 pikësh </w:t>
      </w:r>
      <w:r w:rsidR="00623F19" w:rsidRPr="00770F9D">
        <w:rPr>
          <w:rFonts w:ascii="Garamond" w:hAnsi="Garamond" w:cstheme="majorBidi"/>
          <w:color w:val="0D0D0D" w:themeColor="text1" w:themeTint="F2"/>
        </w:rPr>
        <w:t>përqind</w:t>
      </w:r>
      <w:r w:rsidRPr="00770F9D">
        <w:rPr>
          <w:rFonts w:ascii="Garamond" w:hAnsi="Garamond" w:cstheme="majorBidi"/>
          <w:color w:val="0D0D0D" w:themeColor="text1" w:themeTint="F2"/>
        </w:rPr>
        <w:t>je nga fundi i vitit 2021. Vlerësimi supozon një rritje të moderuar të borxhit të jashtëm gjatë vitit 2022</w:t>
      </w:r>
      <w:r w:rsidR="00A05909"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pasojë e kërkesës së ulët nga sektori privat. Gjithashtu, aktiviteti ekonomik pritet të zgjerohet më shpejt në terma nominalë, duke nxitur një rënie të raportit të borxhit ndaj PBB-së. Në vitet në vazhdim, raporti pritet të ulet më tej si pasojë e konsolidimit fiskal</w:t>
      </w:r>
      <w:r w:rsidR="008577C0"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i cili, i kombinuar me norma të huaja më të larta interesi gjatë afatit të mesëm, pritet të pakësojë kërkesën për financim të huaj.</w:t>
      </w:r>
    </w:p>
    <w:p w14:paraId="696D07BB" w14:textId="6E84A761" w:rsidR="009D5D31" w:rsidRPr="00770F9D" w:rsidRDefault="009D5D31"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Projeksioni është i rrethuar nga pasiguri e lartë dhe në analizën e ndjeshmërisë së borxhit të jashtëm përfshihen disa skenarë. Këtu, simulohen dy goditje të ndara të lidhura normat e </w:t>
      </w:r>
      <w:r w:rsidR="008577C0" w:rsidRPr="00770F9D">
        <w:rPr>
          <w:rFonts w:ascii="Garamond" w:hAnsi="Garamond" w:cstheme="majorBidi"/>
          <w:color w:val="0D0D0D" w:themeColor="text1" w:themeTint="F2"/>
        </w:rPr>
        <w:t>interesit</w:t>
      </w:r>
      <w:r w:rsidRPr="00770F9D">
        <w:rPr>
          <w:rFonts w:ascii="Garamond" w:hAnsi="Garamond" w:cstheme="majorBidi"/>
          <w:color w:val="0D0D0D" w:themeColor="text1" w:themeTint="F2"/>
        </w:rPr>
        <w:t xml:space="preserve"> dhe kursin e këmbimit. Në skenarin e parë, interesi mesatar i borxhit të jashtëm, rritet në mënyrë permanente me dy devijime </w:t>
      </w:r>
      <w:r w:rsidR="008577C0" w:rsidRPr="00770F9D">
        <w:rPr>
          <w:rFonts w:ascii="Garamond" w:hAnsi="Garamond" w:cstheme="majorBidi"/>
          <w:color w:val="0D0D0D" w:themeColor="text1" w:themeTint="F2"/>
        </w:rPr>
        <w:t>standarde</w:t>
      </w:r>
      <w:r w:rsidRPr="00770F9D">
        <w:rPr>
          <w:rFonts w:ascii="Garamond" w:hAnsi="Garamond" w:cstheme="majorBidi"/>
          <w:color w:val="0D0D0D" w:themeColor="text1" w:themeTint="F2"/>
        </w:rPr>
        <w:t xml:space="preserve"> nga parashikimi bazë. Në skenarin e dytë, monedha </w:t>
      </w:r>
      <w:r w:rsidR="002A4878" w:rsidRPr="00770F9D">
        <w:rPr>
          <w:rFonts w:ascii="Garamond" w:hAnsi="Garamond" w:cstheme="majorBidi"/>
          <w:color w:val="0D0D0D" w:themeColor="text1" w:themeTint="F2"/>
        </w:rPr>
        <w:t>vendës</w:t>
      </w:r>
      <w:r w:rsidRPr="00770F9D">
        <w:rPr>
          <w:rFonts w:ascii="Garamond" w:hAnsi="Garamond" w:cstheme="majorBidi"/>
          <w:color w:val="0D0D0D" w:themeColor="text1" w:themeTint="F2"/>
        </w:rPr>
        <w:t xml:space="preserve">e mere një goditje nënçmuese </w:t>
      </w:r>
      <w:r w:rsidR="00F15F38" w:rsidRPr="00770F9D">
        <w:rPr>
          <w:rFonts w:ascii="Garamond" w:hAnsi="Garamond" w:cstheme="majorBidi"/>
          <w:color w:val="0D0D0D" w:themeColor="text1" w:themeTint="F2"/>
        </w:rPr>
        <w:t>jo</w:t>
      </w:r>
      <w:r w:rsidRPr="00770F9D">
        <w:rPr>
          <w:rFonts w:ascii="Garamond" w:hAnsi="Garamond" w:cstheme="majorBidi"/>
          <w:color w:val="0D0D0D" w:themeColor="text1" w:themeTint="F2"/>
        </w:rPr>
        <w:t>permanente prej 10% krahasuar me nivelin e bazë të kursit të këmbimit për vitin 2022. Rezultatet e simulimit sugjerojnë se përkeqësimi i gjendjes së borxhit të jashtëm është më i fortë në skenarin me nënçmim 10%</w:t>
      </w:r>
      <w:r w:rsidR="00D01E09"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nëse krahasohet me projeksionin bazë. </w:t>
      </w:r>
    </w:p>
    <w:p w14:paraId="43A82D28" w14:textId="77777777" w:rsidR="00B4124D" w:rsidRPr="00770F9D" w:rsidRDefault="00B4124D" w:rsidP="00B4124D">
      <w:pPr>
        <w:jc w:val="center"/>
        <w:rPr>
          <w:rFonts w:ascii="Garamond" w:hAnsi="Garamond" w:cstheme="majorBidi"/>
          <w:b/>
          <w:bCs/>
          <w:i/>
          <w:iCs/>
          <w:color w:val="0D0D0D" w:themeColor="text1" w:themeTint="F2"/>
          <w:sz w:val="20"/>
          <w:szCs w:val="20"/>
        </w:rPr>
      </w:pPr>
    </w:p>
    <w:p w14:paraId="18F285A1" w14:textId="77777777" w:rsidR="004F0E8B" w:rsidRPr="00770F9D" w:rsidRDefault="004F0E8B" w:rsidP="00B4124D">
      <w:pPr>
        <w:jc w:val="center"/>
        <w:rPr>
          <w:rFonts w:ascii="Garamond" w:hAnsi="Garamond" w:cstheme="majorBidi"/>
          <w:b/>
          <w:bCs/>
          <w:i/>
          <w:iCs/>
          <w:color w:val="0D0D0D" w:themeColor="text1" w:themeTint="F2"/>
          <w:sz w:val="20"/>
          <w:szCs w:val="20"/>
        </w:rPr>
      </w:pPr>
    </w:p>
    <w:p w14:paraId="2AFD2B56" w14:textId="77777777" w:rsidR="004F0E8B" w:rsidRPr="00770F9D" w:rsidRDefault="004F0E8B" w:rsidP="00B4124D">
      <w:pPr>
        <w:jc w:val="center"/>
        <w:rPr>
          <w:rFonts w:ascii="Garamond" w:hAnsi="Garamond" w:cstheme="majorBidi"/>
          <w:b/>
          <w:bCs/>
          <w:i/>
          <w:iCs/>
          <w:color w:val="0D0D0D" w:themeColor="text1" w:themeTint="F2"/>
          <w:sz w:val="20"/>
          <w:szCs w:val="20"/>
        </w:rPr>
      </w:pPr>
    </w:p>
    <w:p w14:paraId="4D743E69" w14:textId="77777777" w:rsidR="004F0E8B" w:rsidRPr="00770F9D" w:rsidRDefault="004F0E8B" w:rsidP="00B4124D">
      <w:pPr>
        <w:jc w:val="center"/>
        <w:rPr>
          <w:rFonts w:ascii="Garamond" w:hAnsi="Garamond" w:cstheme="majorBidi"/>
          <w:b/>
          <w:bCs/>
          <w:i/>
          <w:iCs/>
          <w:color w:val="0D0D0D" w:themeColor="text1" w:themeTint="F2"/>
          <w:sz w:val="20"/>
          <w:szCs w:val="20"/>
        </w:rPr>
      </w:pPr>
    </w:p>
    <w:p w14:paraId="7F8B1683" w14:textId="77777777" w:rsidR="004F0E8B" w:rsidRPr="00770F9D" w:rsidRDefault="004F0E8B" w:rsidP="00B4124D">
      <w:pPr>
        <w:jc w:val="center"/>
        <w:rPr>
          <w:rFonts w:ascii="Garamond" w:hAnsi="Garamond" w:cstheme="majorBidi"/>
          <w:b/>
          <w:bCs/>
          <w:i/>
          <w:iCs/>
          <w:color w:val="0D0D0D" w:themeColor="text1" w:themeTint="F2"/>
          <w:sz w:val="20"/>
          <w:szCs w:val="20"/>
        </w:rPr>
      </w:pPr>
    </w:p>
    <w:p w14:paraId="15EB8DAA" w14:textId="77777777" w:rsidR="004F0E8B" w:rsidRPr="00770F9D" w:rsidRDefault="004F0E8B" w:rsidP="00B4124D">
      <w:pPr>
        <w:jc w:val="center"/>
        <w:rPr>
          <w:rFonts w:ascii="Garamond" w:hAnsi="Garamond" w:cstheme="majorBidi"/>
          <w:b/>
          <w:bCs/>
          <w:i/>
          <w:iCs/>
          <w:color w:val="0D0D0D" w:themeColor="text1" w:themeTint="F2"/>
          <w:sz w:val="20"/>
          <w:szCs w:val="20"/>
        </w:rPr>
      </w:pPr>
    </w:p>
    <w:p w14:paraId="08A65FCB" w14:textId="77777777" w:rsidR="004F0E8B" w:rsidRPr="00770F9D" w:rsidRDefault="004F0E8B" w:rsidP="00B4124D">
      <w:pPr>
        <w:jc w:val="center"/>
        <w:rPr>
          <w:rFonts w:ascii="Garamond" w:hAnsi="Garamond" w:cstheme="majorBidi"/>
          <w:b/>
          <w:bCs/>
          <w:i/>
          <w:iCs/>
          <w:color w:val="0D0D0D" w:themeColor="text1" w:themeTint="F2"/>
          <w:sz w:val="20"/>
          <w:szCs w:val="20"/>
        </w:rPr>
      </w:pPr>
    </w:p>
    <w:p w14:paraId="71B5A897" w14:textId="77777777" w:rsidR="004F0E8B" w:rsidRPr="00770F9D" w:rsidRDefault="004F0E8B" w:rsidP="00B4124D">
      <w:pPr>
        <w:jc w:val="center"/>
        <w:rPr>
          <w:rFonts w:ascii="Garamond" w:hAnsi="Garamond" w:cstheme="majorBidi"/>
          <w:b/>
          <w:bCs/>
          <w:i/>
          <w:iCs/>
          <w:color w:val="0D0D0D" w:themeColor="text1" w:themeTint="F2"/>
          <w:sz w:val="20"/>
          <w:szCs w:val="20"/>
        </w:rPr>
      </w:pPr>
    </w:p>
    <w:p w14:paraId="61118B62" w14:textId="77777777" w:rsidR="004F0E8B" w:rsidRPr="00770F9D" w:rsidRDefault="004F0E8B" w:rsidP="00B4124D">
      <w:pPr>
        <w:jc w:val="center"/>
        <w:rPr>
          <w:rFonts w:ascii="Garamond" w:hAnsi="Garamond" w:cstheme="majorBidi"/>
          <w:b/>
          <w:bCs/>
          <w:i/>
          <w:iCs/>
          <w:color w:val="0D0D0D" w:themeColor="text1" w:themeTint="F2"/>
          <w:sz w:val="20"/>
          <w:szCs w:val="20"/>
        </w:rPr>
      </w:pPr>
    </w:p>
    <w:p w14:paraId="0B6DE6D7" w14:textId="323E544D" w:rsidR="009D5D31" w:rsidRPr="00770F9D" w:rsidRDefault="004F0E8B" w:rsidP="00B4124D">
      <w:pPr>
        <w:jc w:val="center"/>
        <w:rPr>
          <w:rFonts w:ascii="Garamond" w:hAnsi="Garamond" w:cstheme="majorBidi"/>
          <w:i/>
          <w:iCs/>
          <w:color w:val="0D0D0D" w:themeColor="text1" w:themeTint="F2"/>
          <w:sz w:val="20"/>
          <w:szCs w:val="20"/>
        </w:rPr>
      </w:pPr>
      <w:r w:rsidRPr="00770F9D">
        <w:rPr>
          <w:rFonts w:ascii="Garamond" w:hAnsi="Garamond" w:cstheme="majorBidi"/>
          <w:iCs/>
          <w:noProof/>
          <w:color w:val="0D0D0D" w:themeColor="text1" w:themeTint="F2"/>
          <w:lang w:eastAsia="sq-AL"/>
        </w:rPr>
        <w:drawing>
          <wp:anchor distT="0" distB="0" distL="114300" distR="114300" simplePos="0" relativeHeight="251658258" behindDoc="0" locked="0" layoutInCell="1" allowOverlap="1" wp14:anchorId="3EB17768" wp14:editId="305B9896">
            <wp:simplePos x="0" y="0"/>
            <wp:positionH relativeFrom="column">
              <wp:posOffset>-219887</wp:posOffset>
            </wp:positionH>
            <wp:positionV relativeFrom="paragraph">
              <wp:posOffset>357860</wp:posOffset>
            </wp:positionV>
            <wp:extent cx="6122035" cy="2085975"/>
            <wp:effectExtent l="0" t="0" r="0" b="9525"/>
            <wp:wrapTopAndBottom/>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122035" cy="2085975"/>
                    </a:xfrm>
                    <a:prstGeom prst="rect">
                      <a:avLst/>
                    </a:prstGeom>
                    <a:noFill/>
                  </pic:spPr>
                </pic:pic>
              </a:graphicData>
            </a:graphic>
            <wp14:sizeRelH relativeFrom="page">
              <wp14:pctWidth>0</wp14:pctWidth>
            </wp14:sizeRelH>
            <wp14:sizeRelV relativeFrom="page">
              <wp14:pctHeight>0</wp14:pctHeight>
            </wp14:sizeRelV>
          </wp:anchor>
        </w:drawing>
      </w:r>
      <w:r w:rsidR="009D5D31" w:rsidRPr="00770F9D">
        <w:rPr>
          <w:rFonts w:ascii="Garamond" w:hAnsi="Garamond" w:cstheme="majorBidi"/>
          <w:b/>
          <w:bCs/>
          <w:i/>
          <w:iCs/>
          <w:color w:val="0D0D0D" w:themeColor="text1" w:themeTint="F2"/>
          <w:sz w:val="20"/>
          <w:szCs w:val="20"/>
        </w:rPr>
        <w:t>Grafik 3.2.10:</w:t>
      </w:r>
      <w:r w:rsidR="009D5D31" w:rsidRPr="00770F9D">
        <w:rPr>
          <w:rFonts w:ascii="Garamond" w:hAnsi="Garamond" w:cstheme="majorBidi"/>
          <w:i/>
          <w:iCs/>
          <w:color w:val="0D0D0D" w:themeColor="text1" w:themeTint="F2"/>
          <w:sz w:val="20"/>
          <w:szCs w:val="20"/>
        </w:rPr>
        <w:t xml:space="preserve"> Borxhi i Jashtëm Bruto ndaj PBB-së</w:t>
      </w:r>
      <w:r w:rsidR="00B4124D" w:rsidRPr="00770F9D">
        <w:rPr>
          <w:rFonts w:ascii="Garamond" w:hAnsi="Garamond" w:cstheme="majorBidi"/>
          <w:i/>
          <w:iCs/>
          <w:color w:val="0D0D0D" w:themeColor="text1" w:themeTint="F2"/>
          <w:sz w:val="20"/>
          <w:szCs w:val="20"/>
        </w:rPr>
        <w:t>,</w:t>
      </w:r>
      <w:r w:rsidR="009D5D31" w:rsidRPr="00770F9D">
        <w:rPr>
          <w:rFonts w:ascii="Garamond" w:hAnsi="Garamond" w:cstheme="majorBidi"/>
          <w:i/>
          <w:iCs/>
          <w:color w:val="0D0D0D" w:themeColor="text1" w:themeTint="F2"/>
          <w:sz w:val="20"/>
          <w:szCs w:val="20"/>
        </w:rPr>
        <w:t xml:space="preserve"> sipas skenarit bazë dhe skenarëve të riskut: Goditje në norma interesi (majtas) dhe goditje si nënçmim real (djathtas)</w:t>
      </w:r>
    </w:p>
    <w:p w14:paraId="5C820E62" w14:textId="3F02092A" w:rsidR="009D5D31" w:rsidRPr="00770F9D" w:rsidRDefault="004F0E8B" w:rsidP="004F0E8B">
      <w:pPr>
        <w:ind w:firstLine="284"/>
        <w:jc w:val="center"/>
        <w:rPr>
          <w:rFonts w:ascii="Garamond" w:hAnsi="Garamond" w:cstheme="majorBidi"/>
          <w:iCs/>
          <w:color w:val="0D0D0D" w:themeColor="text1" w:themeTint="F2"/>
          <w:sz w:val="20"/>
          <w:szCs w:val="20"/>
        </w:rPr>
      </w:pPr>
      <w:r w:rsidRPr="00770F9D">
        <w:rPr>
          <w:rFonts w:ascii="Garamond" w:hAnsi="Garamond" w:cstheme="majorBidi"/>
          <w:iCs/>
          <w:color w:val="0D0D0D" w:themeColor="text1" w:themeTint="F2"/>
          <w:sz w:val="20"/>
          <w:szCs w:val="20"/>
        </w:rPr>
        <w:t>Burimi: Banka e Shqipërisë</w:t>
      </w:r>
    </w:p>
    <w:p w14:paraId="286C65EC" w14:textId="77777777" w:rsidR="004F0E8B" w:rsidRPr="00770F9D" w:rsidRDefault="004F0E8B" w:rsidP="005674F2">
      <w:pPr>
        <w:ind w:firstLine="284"/>
        <w:jc w:val="both"/>
        <w:rPr>
          <w:rFonts w:ascii="Garamond" w:hAnsi="Garamond" w:cstheme="majorBidi"/>
          <w:i/>
          <w:color w:val="0D0D0D" w:themeColor="text1" w:themeTint="F2"/>
        </w:rPr>
      </w:pPr>
    </w:p>
    <w:p w14:paraId="26CA16FA" w14:textId="77777777" w:rsidR="009D5D31" w:rsidRPr="00770F9D" w:rsidRDefault="009D5D31" w:rsidP="005674F2">
      <w:pPr>
        <w:ind w:firstLine="284"/>
        <w:jc w:val="both"/>
        <w:rPr>
          <w:rFonts w:ascii="Garamond" w:hAnsi="Garamond" w:cstheme="majorBidi"/>
          <w:i/>
          <w:color w:val="0D0D0D" w:themeColor="text1" w:themeTint="F2"/>
        </w:rPr>
      </w:pPr>
      <w:r w:rsidRPr="00770F9D">
        <w:rPr>
          <w:rFonts w:ascii="Garamond" w:hAnsi="Garamond" w:cstheme="majorBidi"/>
          <w:i/>
          <w:color w:val="0D0D0D" w:themeColor="text1" w:themeTint="F2"/>
        </w:rPr>
        <w:t>Zhvillimet në stokun e rezervës</w:t>
      </w:r>
      <w:r w:rsidRPr="00770F9D">
        <w:rPr>
          <w:rStyle w:val="FootnoteReference"/>
          <w:rFonts w:ascii="Garamond" w:hAnsi="Garamond" w:cstheme="majorBidi"/>
          <w:i/>
          <w:color w:val="0D0D0D" w:themeColor="text1" w:themeTint="F2"/>
        </w:rPr>
        <w:footnoteReference w:id="7"/>
      </w:r>
    </w:p>
    <w:p w14:paraId="31E047C4" w14:textId="16B25206" w:rsidR="009D5D31" w:rsidRPr="00770F9D" w:rsidRDefault="009D5D31" w:rsidP="00D01E09">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Banka e Shqipërisë mban rezerva ndërkombëtare</w:t>
      </w:r>
      <w:r w:rsidR="0042042B"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sipas dy kritereve të mjaftueshmërisë: mbulim i</w:t>
      </w:r>
      <w:r w:rsidR="00D01E09"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1</w:t>
      </w:r>
      <w:r w:rsidR="00D01E09"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w:t>
      </w:r>
      <w:r w:rsidR="00D01E09" w:rsidRPr="00770F9D">
        <w:rPr>
          <w:rFonts w:ascii="Garamond" w:hAnsi="Garamond" w:cstheme="majorBidi"/>
          <w:color w:val="0D0D0D" w:themeColor="text1" w:themeTint="F2"/>
        </w:rPr>
        <w:t xml:space="preserve">Të </w:t>
      </w:r>
      <w:r w:rsidRPr="00770F9D">
        <w:rPr>
          <w:rFonts w:ascii="Garamond" w:hAnsi="Garamond" w:cstheme="majorBidi"/>
          <w:color w:val="0D0D0D" w:themeColor="text1" w:themeTint="F2"/>
        </w:rPr>
        <w:t>paktën 4 muaj importe mallrash dhe shërbimesh</w:t>
      </w:r>
      <w:r w:rsidR="00D01E09" w:rsidRPr="00770F9D">
        <w:rPr>
          <w:rFonts w:ascii="Garamond" w:hAnsi="Garamond" w:cstheme="majorBidi"/>
          <w:color w:val="0D0D0D" w:themeColor="text1" w:themeTint="F2"/>
        </w:rPr>
        <w:t xml:space="preserve">; dhe </w:t>
      </w:r>
      <w:r w:rsidRPr="00770F9D">
        <w:rPr>
          <w:rFonts w:ascii="Garamond" w:hAnsi="Garamond" w:cstheme="majorBidi"/>
          <w:color w:val="0D0D0D" w:themeColor="text1" w:themeTint="F2"/>
        </w:rPr>
        <w:t>2</w:t>
      </w:r>
      <w:r w:rsidR="00D01E09"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w:t>
      </w:r>
      <w:r w:rsidR="00D01E09" w:rsidRPr="00770F9D">
        <w:rPr>
          <w:rFonts w:ascii="Garamond" w:hAnsi="Garamond" w:cstheme="majorBidi"/>
          <w:color w:val="0D0D0D" w:themeColor="text1" w:themeTint="F2"/>
        </w:rPr>
        <w:t xml:space="preserve">Të </w:t>
      </w:r>
      <w:r w:rsidRPr="00770F9D">
        <w:rPr>
          <w:rFonts w:ascii="Garamond" w:hAnsi="Garamond" w:cstheme="majorBidi"/>
          <w:color w:val="0D0D0D" w:themeColor="text1" w:themeTint="F2"/>
        </w:rPr>
        <w:t>paktën 100% të borxhit të jashtëm afatshkurtër bruto. Këto kriteri shërbejnë si prag minimal, ndë</w:t>
      </w:r>
      <w:r w:rsidR="00D01E09" w:rsidRPr="00770F9D">
        <w:rPr>
          <w:rFonts w:ascii="Garamond" w:hAnsi="Garamond" w:cstheme="majorBidi"/>
          <w:color w:val="0D0D0D" w:themeColor="text1" w:themeTint="F2"/>
        </w:rPr>
        <w:t>r</w:t>
      </w:r>
      <w:r w:rsidRPr="00770F9D">
        <w:rPr>
          <w:rFonts w:ascii="Garamond" w:hAnsi="Garamond" w:cstheme="majorBidi"/>
          <w:color w:val="0D0D0D" w:themeColor="text1" w:themeTint="F2"/>
        </w:rPr>
        <w:t>kohë që Banka e Shqipërisë optimizon nivelin e rezervës duke marrë parasysh risqet potenciale në të ardhmen</w:t>
      </w:r>
      <w:r w:rsidR="00D01E09"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dhe kostot që lidhen me mbajtjen e rezervës. Në </w:t>
      </w:r>
      <w:r w:rsidR="00D01E09" w:rsidRPr="00770F9D">
        <w:rPr>
          <w:rFonts w:ascii="Garamond" w:hAnsi="Garamond" w:cstheme="majorBidi"/>
          <w:color w:val="0D0D0D" w:themeColor="text1" w:themeTint="F2"/>
        </w:rPr>
        <w:t xml:space="preserve">shtator </w:t>
      </w:r>
      <w:r w:rsidRPr="00770F9D">
        <w:rPr>
          <w:rFonts w:ascii="Garamond" w:hAnsi="Garamond" w:cstheme="majorBidi"/>
          <w:color w:val="0D0D0D" w:themeColor="text1" w:themeTint="F2"/>
        </w:rPr>
        <w:t>2022, stoku i rezervës ndërkombëtare bruto ishte rreth EUR 5.07 miliardë, ose rreth 29% ndaj PBB-së. Ky nivel është i mjaftueshëm për të mbuluar 7.6 muaj import mallrash dhe shërbimesh dhe më shumë se 3 herë borxhin e jashtëm afatshkurtër</w:t>
      </w:r>
      <w:r w:rsidRPr="00770F9D">
        <w:rPr>
          <w:rStyle w:val="FootnoteReference"/>
          <w:rFonts w:ascii="Garamond" w:hAnsi="Garamond" w:cstheme="majorBidi"/>
          <w:color w:val="0D0D0D" w:themeColor="text1" w:themeTint="F2"/>
        </w:rPr>
        <w:footnoteReference w:id="8"/>
      </w:r>
      <w:r w:rsidR="0042042B" w:rsidRPr="00770F9D">
        <w:rPr>
          <w:rFonts w:ascii="Garamond" w:hAnsi="Garamond" w:cstheme="majorBidi"/>
          <w:color w:val="0D0D0D" w:themeColor="text1" w:themeTint="F2"/>
        </w:rPr>
        <w:t xml:space="preserve">. Të dyja </w:t>
      </w:r>
      <w:r w:rsidRPr="00770F9D">
        <w:rPr>
          <w:rFonts w:ascii="Garamond" w:hAnsi="Garamond" w:cstheme="majorBidi"/>
          <w:color w:val="0D0D0D" w:themeColor="text1" w:themeTint="F2"/>
        </w:rPr>
        <w:t xml:space="preserve">kriteret pritet të qëndrojnë dukshëm mbi nivelet minimale të mjaftueshmërisë gjatë periudhës afatmesme. </w:t>
      </w:r>
    </w:p>
    <w:p w14:paraId="5F0CE5C4" w14:textId="77777777" w:rsidR="00623F19" w:rsidRPr="00770F9D" w:rsidRDefault="00623F19" w:rsidP="00623F19">
      <w:pPr>
        <w:jc w:val="center"/>
        <w:rPr>
          <w:rFonts w:ascii="Garamond" w:hAnsi="Garamond" w:cstheme="majorBidi"/>
          <w:b/>
          <w:bCs/>
          <w:i/>
          <w:iCs/>
          <w:color w:val="0D0D0D" w:themeColor="text1" w:themeTint="F2"/>
        </w:rPr>
      </w:pPr>
    </w:p>
    <w:p w14:paraId="74CE069F" w14:textId="70C696B4" w:rsidR="009D5D31" w:rsidRPr="00770F9D" w:rsidRDefault="009D5D31" w:rsidP="00623F19">
      <w:pPr>
        <w:jc w:val="center"/>
        <w:rPr>
          <w:rFonts w:ascii="Garamond" w:hAnsi="Garamond" w:cstheme="majorBidi"/>
          <w:i/>
          <w:iCs/>
          <w:color w:val="0D0D0D" w:themeColor="text1" w:themeTint="F2"/>
          <w:sz w:val="20"/>
          <w:szCs w:val="20"/>
        </w:rPr>
      </w:pPr>
      <w:r w:rsidRPr="00770F9D">
        <w:rPr>
          <w:rFonts w:ascii="Garamond" w:hAnsi="Garamond" w:cstheme="majorBidi"/>
          <w:b/>
          <w:bCs/>
          <w:i/>
          <w:iCs/>
          <w:color w:val="0D0D0D" w:themeColor="text1" w:themeTint="F2"/>
          <w:sz w:val="20"/>
          <w:szCs w:val="20"/>
        </w:rPr>
        <w:t>Grafik 3.2.11:</w:t>
      </w:r>
      <w:r w:rsidRPr="00770F9D">
        <w:rPr>
          <w:rFonts w:ascii="Garamond" w:hAnsi="Garamond" w:cstheme="majorBidi"/>
          <w:i/>
          <w:iCs/>
          <w:color w:val="0D0D0D" w:themeColor="text1" w:themeTint="F2"/>
          <w:sz w:val="20"/>
          <w:szCs w:val="20"/>
        </w:rPr>
        <w:t xml:space="preserve"> Projeksionet e rezervës ndërkombëtare të shprehura si muaj import mallrash dhe shërbimesh (majtas) dhe ndaj borxhit të </w:t>
      </w:r>
      <w:r w:rsidR="0059595E" w:rsidRPr="00770F9D">
        <w:rPr>
          <w:rFonts w:ascii="Garamond" w:hAnsi="Garamond" w:cstheme="majorBidi"/>
          <w:i/>
          <w:iCs/>
          <w:color w:val="0D0D0D" w:themeColor="text1" w:themeTint="F2"/>
          <w:sz w:val="20"/>
          <w:szCs w:val="20"/>
        </w:rPr>
        <w:t>jashtëm afatshkurtër (djathtas)</w:t>
      </w:r>
    </w:p>
    <w:p w14:paraId="1EE0FA40" w14:textId="77777777" w:rsidR="009D5D31" w:rsidRPr="00770F9D" w:rsidRDefault="009D5D31" w:rsidP="005674F2">
      <w:pPr>
        <w:ind w:firstLine="284"/>
        <w:jc w:val="both"/>
        <w:rPr>
          <w:rFonts w:ascii="Garamond" w:hAnsi="Garamond" w:cstheme="majorBidi"/>
          <w:color w:val="0D0D0D" w:themeColor="text1" w:themeTint="F2"/>
        </w:rPr>
      </w:pPr>
      <w:r w:rsidRPr="00770F9D">
        <w:rPr>
          <w:rFonts w:ascii="Garamond" w:hAnsi="Garamond" w:cstheme="majorBidi"/>
          <w:noProof/>
          <w:color w:val="0D0D0D" w:themeColor="text1" w:themeTint="F2"/>
          <w:lang w:eastAsia="sq-AL"/>
        </w:rPr>
        <w:drawing>
          <wp:inline distT="0" distB="0" distL="0" distR="0" wp14:anchorId="67275335" wp14:editId="5FBA6F34">
            <wp:extent cx="6076950" cy="2219325"/>
            <wp:effectExtent l="0" t="0" r="0" b="952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076950" cy="2219325"/>
                    </a:xfrm>
                    <a:prstGeom prst="rect">
                      <a:avLst/>
                    </a:prstGeom>
                    <a:noFill/>
                  </pic:spPr>
                </pic:pic>
              </a:graphicData>
            </a:graphic>
          </wp:inline>
        </w:drawing>
      </w:r>
    </w:p>
    <w:p w14:paraId="3B9DD7EC" w14:textId="77777777" w:rsidR="0059595E" w:rsidRPr="00770F9D" w:rsidRDefault="0059595E" w:rsidP="0059595E">
      <w:pPr>
        <w:ind w:firstLine="284"/>
        <w:jc w:val="center"/>
        <w:rPr>
          <w:rFonts w:ascii="Garamond" w:hAnsi="Garamond" w:cstheme="majorBidi"/>
          <w:iCs/>
          <w:color w:val="0D0D0D" w:themeColor="text1" w:themeTint="F2"/>
          <w:sz w:val="20"/>
          <w:szCs w:val="20"/>
        </w:rPr>
      </w:pPr>
      <w:r w:rsidRPr="00770F9D">
        <w:rPr>
          <w:rFonts w:ascii="Garamond" w:hAnsi="Garamond" w:cstheme="majorBidi"/>
          <w:iCs/>
          <w:color w:val="0D0D0D" w:themeColor="text1" w:themeTint="F2"/>
          <w:sz w:val="20"/>
          <w:szCs w:val="20"/>
        </w:rPr>
        <w:t>Burimi: Banka e Shqipërisë</w:t>
      </w:r>
    </w:p>
    <w:p w14:paraId="291E9B8C" w14:textId="77777777" w:rsidR="00170427" w:rsidRPr="00770F9D" w:rsidRDefault="00170427" w:rsidP="0059595E">
      <w:pPr>
        <w:ind w:firstLine="284"/>
        <w:rPr>
          <w:rFonts w:ascii="Garamond" w:hAnsi="Garamond" w:cstheme="majorBidi"/>
          <w:b/>
          <w:i/>
          <w:color w:val="0D0D0D" w:themeColor="text1" w:themeTint="F2"/>
        </w:rPr>
      </w:pPr>
    </w:p>
    <w:p w14:paraId="18FBF88B" w14:textId="60D90156" w:rsidR="009D5D31" w:rsidRPr="00770F9D" w:rsidRDefault="009D5D31" w:rsidP="0059595E">
      <w:pPr>
        <w:ind w:firstLine="284"/>
        <w:rPr>
          <w:rFonts w:ascii="Garamond" w:hAnsi="Garamond" w:cstheme="majorBidi"/>
          <w:b/>
          <w:i/>
          <w:color w:val="0D0D0D" w:themeColor="text1" w:themeTint="F2"/>
        </w:rPr>
      </w:pPr>
      <w:r w:rsidRPr="00770F9D">
        <w:rPr>
          <w:rFonts w:ascii="Garamond" w:hAnsi="Garamond" w:cstheme="majorBidi"/>
          <w:b/>
          <w:i/>
          <w:color w:val="0D0D0D" w:themeColor="text1" w:themeTint="F2"/>
        </w:rPr>
        <w:t>Sektori financiar</w:t>
      </w:r>
    </w:p>
    <w:p w14:paraId="157AA359" w14:textId="48B7FC93" w:rsidR="009D5D31" w:rsidRPr="00770F9D" w:rsidRDefault="009D5D31" w:rsidP="002C0DCF">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Mbështetur në raportin dhe deklaratën më të fundit të stabilitetit financiar të Bankës së Shqipërisë, rreziqet makrofinanciare mbeten të kontrollueshme, por </w:t>
      </w:r>
      <w:r w:rsidR="003A4DD4" w:rsidRPr="00770F9D">
        <w:rPr>
          <w:rFonts w:ascii="Garamond" w:hAnsi="Garamond" w:cstheme="majorBidi"/>
          <w:color w:val="0D0D0D" w:themeColor="text1" w:themeTint="F2"/>
        </w:rPr>
        <w:t>perspektiva</w:t>
      </w:r>
      <w:r w:rsidRPr="00770F9D">
        <w:rPr>
          <w:rFonts w:ascii="Garamond" w:hAnsi="Garamond" w:cstheme="majorBidi"/>
          <w:color w:val="0D0D0D" w:themeColor="text1" w:themeTint="F2"/>
        </w:rPr>
        <w:t xml:space="preserve"> afatshkurtër dhe afatmesme paraqet sfida të rëndësishme. Pavarësisht se rreziqet e lidhura me aktivitetin e ekonomisë së brendshme, qeverisë së përgjithshme, sektorëve të biznesit dhe individëve dhe sektori financiar nuk kanë ndryshuar ndjeshëm krahasuar me një vit më parë, harta e rreziqeve të stabilitetit financiar deri në fund të gjysmës së parë të vitit 2022 tregon rreziqe të jashtme më të larta krahasuar me gjysmën e parë të vitit 2021 dhe fundin e vitit 2021. Bankat perceptojnë rreziqe në rritje të lidhura me inflacionin dhe cilësinë e kredisë gjatë periudhës afatmesme; megjithatë ato mbeten të qëndrueshme dhe me fitim deri në fillim të tremujorit të tretë të vitit 2022. Të gjithë indikatorët e bankave subjekt i kuadrit rregullator, sugjerojnë se ekspozimi i bankave ndaj rrezikut të likuiditetit dhe të tregut mbetet i kufizuar dhe shumë poshtë kufijve kritikë. Pavarësisht rënies së vazhdueshme dhe të qëndrueshme të tepricës </w:t>
      </w:r>
      <w:r w:rsidR="002C0DCF" w:rsidRPr="00770F9D">
        <w:rPr>
          <w:rFonts w:ascii="Garamond" w:hAnsi="Garamond" w:cstheme="majorBidi"/>
          <w:color w:val="0D0D0D" w:themeColor="text1" w:themeTint="F2"/>
        </w:rPr>
        <w:t>dhe</w:t>
      </w:r>
      <w:r w:rsidRPr="00770F9D">
        <w:rPr>
          <w:rFonts w:ascii="Garamond" w:hAnsi="Garamond" w:cstheme="majorBidi"/>
          <w:color w:val="0D0D0D" w:themeColor="text1" w:themeTint="F2"/>
        </w:rPr>
        <w:t xml:space="preserve"> raportit (ndaj totalit të kredisë) të huave me probleme, sektori bankar dhe Banka e Shqipërisë janë të shqetësuar lidhur me transformimin potencial të rrezikut të normës së interesit në rrezikun e kredisë, si rrjedhojë e rritjes së kostove të pagesës së kredisë për kredimarrësit. Ky këndvështrim bazohet në faktin që normat e interesit të tregut po rriten në linjë me rritjen e normës bazë të interesit, dhe që më shumë se 70% e portofolit të kredisë së bankave është me normë të ndryshueshme.</w:t>
      </w:r>
    </w:p>
    <w:p w14:paraId="1CD93F50" w14:textId="77777777" w:rsidR="009D5D31" w:rsidRPr="00770F9D" w:rsidRDefault="009D5D31" w:rsidP="005674F2">
      <w:pPr>
        <w:ind w:firstLine="284"/>
        <w:jc w:val="both"/>
        <w:rPr>
          <w:rFonts w:ascii="Garamond" w:hAnsi="Garamond" w:cstheme="majorBidi"/>
          <w:i/>
          <w:color w:val="0D0D0D" w:themeColor="text1" w:themeTint="F2"/>
        </w:rPr>
      </w:pPr>
    </w:p>
    <w:tbl>
      <w:tblPr>
        <w:tblStyle w:val="GridTable3-Accent11"/>
        <w:tblW w:w="9620" w:type="dxa"/>
        <w:jc w:val="center"/>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4348"/>
        <w:gridCol w:w="1049"/>
        <w:gridCol w:w="810"/>
        <w:gridCol w:w="810"/>
        <w:gridCol w:w="810"/>
        <w:gridCol w:w="810"/>
        <w:gridCol w:w="983"/>
      </w:tblGrid>
      <w:tr w:rsidR="009D5D31" w:rsidRPr="00770F9D" w14:paraId="04A2F4C0" w14:textId="77777777" w:rsidTr="00A054E3">
        <w:trPr>
          <w:cnfStyle w:val="100000000000" w:firstRow="1" w:lastRow="0" w:firstColumn="0" w:lastColumn="0" w:oddVBand="0" w:evenVBand="0" w:oddHBand="0" w:evenHBand="0" w:firstRowFirstColumn="0" w:firstRowLastColumn="0" w:lastRowFirstColumn="0" w:lastRowLastColumn="0"/>
          <w:trHeight w:val="285"/>
          <w:jc w:val="center"/>
        </w:trPr>
        <w:tc>
          <w:tcPr>
            <w:cnfStyle w:val="001000000100" w:firstRow="0" w:lastRow="0" w:firstColumn="1" w:lastColumn="0" w:oddVBand="0" w:evenVBand="0" w:oddHBand="0" w:evenHBand="0" w:firstRowFirstColumn="1" w:firstRowLastColumn="0" w:lastRowFirstColumn="0" w:lastRowLastColumn="0"/>
            <w:tcW w:w="4348" w:type="dxa"/>
            <w:tcBorders>
              <w:top w:val="none" w:sz="0" w:space="0" w:color="auto"/>
              <w:left w:val="none" w:sz="0" w:space="0" w:color="auto"/>
              <w:bottom w:val="none" w:sz="0" w:space="0" w:color="auto"/>
              <w:right w:val="none" w:sz="0" w:space="0" w:color="auto"/>
            </w:tcBorders>
            <w:noWrap/>
            <w:hideMark/>
          </w:tcPr>
          <w:p w14:paraId="555E9975" w14:textId="77777777" w:rsidR="009D5D31" w:rsidRPr="00770F9D" w:rsidRDefault="009D5D31" w:rsidP="0027139F">
            <w:pPr>
              <w:jc w:val="left"/>
              <w:rPr>
                <w:rFonts w:ascii="Garamond" w:eastAsia="Times New Roman" w:hAnsi="Garamond" w:cstheme="majorBidi"/>
                <w:i w:val="0"/>
                <w:color w:val="0D0D0D" w:themeColor="text1" w:themeTint="F2"/>
                <w:sz w:val="20"/>
                <w:szCs w:val="20"/>
                <w:lang w:val="sq-AL" w:eastAsia="en-GB"/>
              </w:rPr>
            </w:pPr>
            <w:r w:rsidRPr="00770F9D">
              <w:rPr>
                <w:rFonts w:ascii="Garamond" w:eastAsia="Times New Roman" w:hAnsi="Garamond" w:cstheme="majorBidi"/>
                <w:i w:val="0"/>
                <w:color w:val="0D0D0D" w:themeColor="text1" w:themeTint="F2"/>
                <w:sz w:val="20"/>
                <w:szCs w:val="20"/>
                <w:lang w:val="sq-AL" w:eastAsia="en-GB"/>
              </w:rPr>
              <w:t>Treguesit e sektorit financiar</w:t>
            </w:r>
          </w:p>
        </w:tc>
        <w:tc>
          <w:tcPr>
            <w:tcW w:w="1049" w:type="dxa"/>
            <w:tcBorders>
              <w:top w:val="none" w:sz="0" w:space="0" w:color="auto"/>
              <w:left w:val="none" w:sz="0" w:space="0" w:color="auto"/>
              <w:right w:val="none" w:sz="0" w:space="0" w:color="auto"/>
            </w:tcBorders>
            <w:noWrap/>
            <w:hideMark/>
          </w:tcPr>
          <w:p w14:paraId="2931FC97" w14:textId="77777777" w:rsidR="009D5D31" w:rsidRPr="00770F9D" w:rsidRDefault="009D5D31" w:rsidP="0027139F">
            <w:pPr>
              <w:cnfStyle w:val="100000000000" w:firstRow="1"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 </w:t>
            </w:r>
          </w:p>
        </w:tc>
        <w:tc>
          <w:tcPr>
            <w:tcW w:w="810" w:type="dxa"/>
            <w:tcBorders>
              <w:top w:val="none" w:sz="0" w:space="0" w:color="auto"/>
              <w:left w:val="none" w:sz="0" w:space="0" w:color="auto"/>
              <w:right w:val="none" w:sz="0" w:space="0" w:color="auto"/>
            </w:tcBorders>
            <w:noWrap/>
            <w:hideMark/>
          </w:tcPr>
          <w:p w14:paraId="7DB3F396" w14:textId="77777777" w:rsidR="009D5D31" w:rsidRPr="00770F9D" w:rsidRDefault="009D5D31" w:rsidP="0027139F">
            <w:pPr>
              <w:cnfStyle w:val="100000000000" w:firstRow="1"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 </w:t>
            </w:r>
          </w:p>
        </w:tc>
        <w:tc>
          <w:tcPr>
            <w:tcW w:w="810" w:type="dxa"/>
            <w:tcBorders>
              <w:top w:val="none" w:sz="0" w:space="0" w:color="auto"/>
              <w:left w:val="none" w:sz="0" w:space="0" w:color="auto"/>
              <w:right w:val="none" w:sz="0" w:space="0" w:color="auto"/>
            </w:tcBorders>
            <w:noWrap/>
            <w:hideMark/>
          </w:tcPr>
          <w:p w14:paraId="7B94AD50" w14:textId="77777777" w:rsidR="009D5D31" w:rsidRPr="00770F9D" w:rsidRDefault="009D5D31" w:rsidP="0027139F">
            <w:pPr>
              <w:cnfStyle w:val="100000000000" w:firstRow="1"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 </w:t>
            </w:r>
          </w:p>
        </w:tc>
        <w:tc>
          <w:tcPr>
            <w:tcW w:w="810" w:type="dxa"/>
            <w:tcBorders>
              <w:top w:val="none" w:sz="0" w:space="0" w:color="auto"/>
              <w:left w:val="none" w:sz="0" w:space="0" w:color="auto"/>
              <w:right w:val="none" w:sz="0" w:space="0" w:color="auto"/>
            </w:tcBorders>
            <w:noWrap/>
            <w:hideMark/>
          </w:tcPr>
          <w:p w14:paraId="11C9BE97" w14:textId="77777777" w:rsidR="009D5D31" w:rsidRPr="00770F9D" w:rsidRDefault="009D5D31" w:rsidP="0027139F">
            <w:pPr>
              <w:cnfStyle w:val="100000000000" w:firstRow="1"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 </w:t>
            </w:r>
          </w:p>
        </w:tc>
        <w:tc>
          <w:tcPr>
            <w:tcW w:w="810" w:type="dxa"/>
            <w:tcBorders>
              <w:top w:val="none" w:sz="0" w:space="0" w:color="auto"/>
              <w:left w:val="none" w:sz="0" w:space="0" w:color="auto"/>
              <w:right w:val="none" w:sz="0" w:space="0" w:color="auto"/>
            </w:tcBorders>
            <w:noWrap/>
            <w:hideMark/>
          </w:tcPr>
          <w:p w14:paraId="03A16952" w14:textId="77777777" w:rsidR="009D5D31" w:rsidRPr="00770F9D" w:rsidRDefault="009D5D31" w:rsidP="0027139F">
            <w:pPr>
              <w:cnfStyle w:val="100000000000" w:firstRow="1"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 </w:t>
            </w:r>
          </w:p>
        </w:tc>
        <w:tc>
          <w:tcPr>
            <w:tcW w:w="983" w:type="dxa"/>
            <w:tcBorders>
              <w:top w:val="none" w:sz="0" w:space="0" w:color="auto"/>
              <w:left w:val="none" w:sz="0" w:space="0" w:color="auto"/>
              <w:right w:val="none" w:sz="0" w:space="0" w:color="auto"/>
            </w:tcBorders>
            <w:noWrap/>
            <w:hideMark/>
          </w:tcPr>
          <w:p w14:paraId="625226AF" w14:textId="77777777" w:rsidR="009D5D31" w:rsidRPr="00770F9D" w:rsidRDefault="009D5D31" w:rsidP="0027139F">
            <w:pPr>
              <w:cnfStyle w:val="100000000000" w:firstRow="1"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 </w:t>
            </w:r>
          </w:p>
        </w:tc>
      </w:tr>
      <w:tr w:rsidR="009D5D31" w:rsidRPr="00770F9D" w14:paraId="3ED23CBA" w14:textId="77777777" w:rsidTr="00A054E3">
        <w:trPr>
          <w:cnfStyle w:val="000000100000" w:firstRow="0" w:lastRow="0" w:firstColumn="0" w:lastColumn="0" w:oddVBand="0" w:evenVBand="0" w:oddHBand="1"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4348" w:type="dxa"/>
            <w:tcBorders>
              <w:left w:val="none" w:sz="0" w:space="0" w:color="auto"/>
              <w:bottom w:val="none" w:sz="0" w:space="0" w:color="auto"/>
            </w:tcBorders>
            <w:noWrap/>
            <w:vAlign w:val="center"/>
            <w:hideMark/>
          </w:tcPr>
          <w:p w14:paraId="7A940FCF" w14:textId="77777777" w:rsidR="009D5D31" w:rsidRPr="00770F9D" w:rsidRDefault="009D5D31" w:rsidP="0027139F">
            <w:pPr>
              <w:jc w:val="left"/>
              <w:rPr>
                <w:rFonts w:ascii="Garamond" w:eastAsia="Times New Roman" w:hAnsi="Garamond" w:cstheme="majorBidi"/>
                <w:i w:val="0"/>
                <w:color w:val="0D0D0D" w:themeColor="text1" w:themeTint="F2"/>
                <w:sz w:val="20"/>
                <w:szCs w:val="20"/>
                <w:lang w:val="sq-AL" w:eastAsia="en-GB"/>
              </w:rPr>
            </w:pPr>
            <w:r w:rsidRPr="00770F9D">
              <w:rPr>
                <w:rFonts w:ascii="Garamond" w:eastAsia="Times New Roman" w:hAnsi="Garamond" w:cstheme="majorBidi"/>
                <w:i w:val="0"/>
                <w:color w:val="0D0D0D" w:themeColor="text1" w:themeTint="F2"/>
                <w:sz w:val="20"/>
                <w:szCs w:val="20"/>
                <w:lang w:val="sq-AL" w:eastAsia="en-GB"/>
              </w:rPr>
              <w:t> </w:t>
            </w:r>
          </w:p>
        </w:tc>
        <w:tc>
          <w:tcPr>
            <w:tcW w:w="1049" w:type="dxa"/>
            <w:noWrap/>
            <w:vAlign w:val="center"/>
            <w:hideMark/>
          </w:tcPr>
          <w:p w14:paraId="1D2F82E5" w14:textId="77777777" w:rsidR="009D5D31" w:rsidRPr="00770F9D" w:rsidRDefault="009D5D31" w:rsidP="0027139F">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bCs/>
                <w:color w:val="0D0D0D" w:themeColor="text1" w:themeTint="F2"/>
                <w:sz w:val="20"/>
                <w:szCs w:val="20"/>
                <w:lang w:val="sq-AL" w:eastAsia="en-GB"/>
              </w:rPr>
            </w:pPr>
            <w:r w:rsidRPr="00770F9D">
              <w:rPr>
                <w:rFonts w:ascii="Garamond" w:eastAsia="Times New Roman" w:hAnsi="Garamond" w:cstheme="majorBidi"/>
                <w:b/>
                <w:bCs/>
                <w:color w:val="0D0D0D" w:themeColor="text1" w:themeTint="F2"/>
                <w:sz w:val="20"/>
                <w:szCs w:val="20"/>
                <w:lang w:val="sq-AL" w:eastAsia="en-GB"/>
              </w:rPr>
              <w:t>2017</w:t>
            </w:r>
          </w:p>
        </w:tc>
        <w:tc>
          <w:tcPr>
            <w:tcW w:w="810" w:type="dxa"/>
            <w:noWrap/>
            <w:vAlign w:val="center"/>
            <w:hideMark/>
          </w:tcPr>
          <w:p w14:paraId="42BD470F" w14:textId="77777777" w:rsidR="009D5D31" w:rsidRPr="00770F9D" w:rsidRDefault="009D5D31" w:rsidP="0027139F">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bCs/>
                <w:color w:val="0D0D0D" w:themeColor="text1" w:themeTint="F2"/>
                <w:sz w:val="20"/>
                <w:szCs w:val="20"/>
                <w:lang w:val="sq-AL" w:eastAsia="en-GB"/>
              </w:rPr>
            </w:pPr>
            <w:r w:rsidRPr="00770F9D">
              <w:rPr>
                <w:rFonts w:ascii="Garamond" w:eastAsia="Times New Roman" w:hAnsi="Garamond" w:cstheme="majorBidi"/>
                <w:b/>
                <w:bCs/>
                <w:color w:val="0D0D0D" w:themeColor="text1" w:themeTint="F2"/>
                <w:sz w:val="20"/>
                <w:szCs w:val="20"/>
                <w:lang w:val="sq-AL" w:eastAsia="en-GB"/>
              </w:rPr>
              <w:t>2018</w:t>
            </w:r>
          </w:p>
        </w:tc>
        <w:tc>
          <w:tcPr>
            <w:tcW w:w="810" w:type="dxa"/>
            <w:noWrap/>
            <w:vAlign w:val="center"/>
            <w:hideMark/>
          </w:tcPr>
          <w:p w14:paraId="725BE94E" w14:textId="77777777" w:rsidR="009D5D31" w:rsidRPr="00770F9D" w:rsidRDefault="009D5D31" w:rsidP="0027139F">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bCs/>
                <w:color w:val="0D0D0D" w:themeColor="text1" w:themeTint="F2"/>
                <w:sz w:val="20"/>
                <w:szCs w:val="20"/>
                <w:lang w:val="sq-AL" w:eastAsia="en-GB"/>
              </w:rPr>
            </w:pPr>
            <w:r w:rsidRPr="00770F9D">
              <w:rPr>
                <w:rFonts w:ascii="Garamond" w:eastAsia="Times New Roman" w:hAnsi="Garamond" w:cstheme="majorBidi"/>
                <w:b/>
                <w:bCs/>
                <w:color w:val="0D0D0D" w:themeColor="text1" w:themeTint="F2"/>
                <w:sz w:val="20"/>
                <w:szCs w:val="20"/>
                <w:lang w:val="sq-AL" w:eastAsia="en-GB"/>
              </w:rPr>
              <w:t>2019</w:t>
            </w:r>
          </w:p>
        </w:tc>
        <w:tc>
          <w:tcPr>
            <w:tcW w:w="810" w:type="dxa"/>
            <w:noWrap/>
            <w:vAlign w:val="center"/>
            <w:hideMark/>
          </w:tcPr>
          <w:p w14:paraId="4B1253E4" w14:textId="77777777" w:rsidR="009D5D31" w:rsidRPr="00770F9D" w:rsidRDefault="009D5D31" w:rsidP="0027139F">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bCs/>
                <w:color w:val="0D0D0D" w:themeColor="text1" w:themeTint="F2"/>
                <w:sz w:val="20"/>
                <w:szCs w:val="20"/>
                <w:lang w:val="sq-AL" w:eastAsia="en-GB"/>
              </w:rPr>
            </w:pPr>
            <w:r w:rsidRPr="00770F9D">
              <w:rPr>
                <w:rFonts w:ascii="Garamond" w:eastAsia="Times New Roman" w:hAnsi="Garamond" w:cstheme="majorBidi"/>
                <w:b/>
                <w:bCs/>
                <w:color w:val="0D0D0D" w:themeColor="text1" w:themeTint="F2"/>
                <w:sz w:val="20"/>
                <w:szCs w:val="20"/>
                <w:lang w:val="sq-AL" w:eastAsia="en-GB"/>
              </w:rPr>
              <w:t>2020</w:t>
            </w:r>
          </w:p>
        </w:tc>
        <w:tc>
          <w:tcPr>
            <w:tcW w:w="810" w:type="dxa"/>
            <w:noWrap/>
            <w:vAlign w:val="center"/>
            <w:hideMark/>
          </w:tcPr>
          <w:p w14:paraId="192923BA" w14:textId="77777777" w:rsidR="009D5D31" w:rsidRPr="00770F9D" w:rsidRDefault="009D5D31" w:rsidP="0027139F">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bCs/>
                <w:color w:val="0D0D0D" w:themeColor="text1" w:themeTint="F2"/>
                <w:sz w:val="20"/>
                <w:szCs w:val="20"/>
                <w:lang w:val="sq-AL" w:eastAsia="en-GB"/>
              </w:rPr>
            </w:pPr>
            <w:r w:rsidRPr="00770F9D">
              <w:rPr>
                <w:rFonts w:ascii="Garamond" w:eastAsia="Times New Roman" w:hAnsi="Garamond" w:cstheme="majorBidi"/>
                <w:b/>
                <w:bCs/>
                <w:color w:val="0D0D0D" w:themeColor="text1" w:themeTint="F2"/>
                <w:sz w:val="20"/>
                <w:szCs w:val="20"/>
                <w:lang w:val="sq-AL" w:eastAsia="en-GB"/>
              </w:rPr>
              <w:t>2021</w:t>
            </w:r>
          </w:p>
        </w:tc>
        <w:tc>
          <w:tcPr>
            <w:tcW w:w="983" w:type="dxa"/>
            <w:noWrap/>
            <w:vAlign w:val="center"/>
            <w:hideMark/>
          </w:tcPr>
          <w:p w14:paraId="5A4C5E80" w14:textId="77777777" w:rsidR="009D5D31" w:rsidRPr="00770F9D" w:rsidRDefault="009D5D31" w:rsidP="0027139F">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bCs/>
                <w:color w:val="0D0D0D" w:themeColor="text1" w:themeTint="F2"/>
                <w:sz w:val="20"/>
                <w:szCs w:val="20"/>
                <w:lang w:val="sq-AL" w:eastAsia="en-GB"/>
              </w:rPr>
            </w:pPr>
            <w:r w:rsidRPr="00770F9D">
              <w:rPr>
                <w:rFonts w:ascii="Garamond" w:eastAsia="Times New Roman" w:hAnsi="Garamond" w:cstheme="majorBidi"/>
                <w:b/>
                <w:bCs/>
                <w:color w:val="0D0D0D" w:themeColor="text1" w:themeTint="F2"/>
                <w:sz w:val="20"/>
                <w:szCs w:val="20"/>
                <w:lang w:val="sq-AL" w:eastAsia="en-GB"/>
              </w:rPr>
              <w:t>2022*</w:t>
            </w:r>
          </w:p>
        </w:tc>
      </w:tr>
      <w:tr w:rsidR="009D5D31" w:rsidRPr="00770F9D" w14:paraId="323EAA53" w14:textId="77777777" w:rsidTr="00A054E3">
        <w:trPr>
          <w:trHeight w:val="271"/>
          <w:jc w:val="center"/>
        </w:trPr>
        <w:tc>
          <w:tcPr>
            <w:cnfStyle w:val="001000000000" w:firstRow="0" w:lastRow="0" w:firstColumn="1" w:lastColumn="0" w:oddVBand="0" w:evenVBand="0" w:oddHBand="0" w:evenHBand="0" w:firstRowFirstColumn="0" w:firstRowLastColumn="0" w:lastRowFirstColumn="0" w:lastRowLastColumn="0"/>
            <w:tcW w:w="4348" w:type="dxa"/>
            <w:tcBorders>
              <w:left w:val="none" w:sz="0" w:space="0" w:color="auto"/>
              <w:bottom w:val="none" w:sz="0" w:space="0" w:color="auto"/>
            </w:tcBorders>
            <w:noWrap/>
            <w:vAlign w:val="center"/>
            <w:hideMark/>
          </w:tcPr>
          <w:p w14:paraId="22707873" w14:textId="3503E62D" w:rsidR="009D5D31" w:rsidRPr="00770F9D" w:rsidRDefault="009D5D31" w:rsidP="0027139F">
            <w:pPr>
              <w:jc w:val="left"/>
              <w:rPr>
                <w:rFonts w:ascii="Garamond" w:eastAsia="Times New Roman" w:hAnsi="Garamond" w:cstheme="majorBidi"/>
                <w:i w:val="0"/>
                <w:color w:val="0D0D0D" w:themeColor="text1" w:themeTint="F2"/>
                <w:sz w:val="20"/>
                <w:szCs w:val="20"/>
                <w:lang w:val="sq-AL" w:eastAsia="en-GB"/>
              </w:rPr>
            </w:pPr>
            <w:r w:rsidRPr="00770F9D">
              <w:rPr>
                <w:rFonts w:ascii="Garamond" w:eastAsia="Times New Roman" w:hAnsi="Garamond" w:cstheme="majorBidi"/>
                <w:i w:val="0"/>
                <w:color w:val="0D0D0D" w:themeColor="text1" w:themeTint="F2"/>
                <w:sz w:val="20"/>
                <w:szCs w:val="20"/>
                <w:lang w:val="sq-AL" w:eastAsia="en-GB"/>
              </w:rPr>
              <w:t>Totali i aktiveve të sektorit bankar (</w:t>
            </w:r>
            <w:r w:rsidR="00A84445" w:rsidRPr="00770F9D">
              <w:rPr>
                <w:rFonts w:ascii="Garamond" w:eastAsia="Times New Roman" w:hAnsi="Garamond" w:cstheme="majorBidi"/>
                <w:i w:val="0"/>
                <w:color w:val="0D0D0D" w:themeColor="text1" w:themeTint="F2"/>
                <w:sz w:val="20"/>
                <w:szCs w:val="20"/>
                <w:lang w:val="sq-AL" w:eastAsia="en-GB"/>
              </w:rPr>
              <w:t xml:space="preserve">milionë </w:t>
            </w:r>
            <w:r w:rsidR="00BA401D" w:rsidRPr="00770F9D">
              <w:rPr>
                <w:rFonts w:ascii="Garamond" w:eastAsia="Times New Roman" w:hAnsi="Garamond" w:cstheme="majorBidi"/>
                <w:i w:val="0"/>
                <w:color w:val="0D0D0D" w:themeColor="text1" w:themeTint="F2"/>
                <w:sz w:val="20"/>
                <w:szCs w:val="20"/>
                <w:lang w:val="sq-AL" w:eastAsia="en-GB"/>
              </w:rPr>
              <w:t>euro</w:t>
            </w:r>
            <w:r w:rsidRPr="00770F9D">
              <w:rPr>
                <w:rFonts w:ascii="Garamond" w:eastAsia="Times New Roman" w:hAnsi="Garamond" w:cstheme="majorBidi"/>
                <w:i w:val="0"/>
                <w:color w:val="0D0D0D" w:themeColor="text1" w:themeTint="F2"/>
                <w:sz w:val="20"/>
                <w:szCs w:val="20"/>
                <w:lang w:val="sq-AL" w:eastAsia="en-GB"/>
              </w:rPr>
              <w:t>)</w:t>
            </w:r>
          </w:p>
        </w:tc>
        <w:tc>
          <w:tcPr>
            <w:tcW w:w="1049" w:type="dxa"/>
            <w:noWrap/>
            <w:vAlign w:val="center"/>
            <w:hideMark/>
          </w:tcPr>
          <w:p w14:paraId="4FC99530"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10,768</w:t>
            </w:r>
          </w:p>
        </w:tc>
        <w:tc>
          <w:tcPr>
            <w:tcW w:w="810" w:type="dxa"/>
            <w:noWrap/>
            <w:vAlign w:val="center"/>
            <w:hideMark/>
          </w:tcPr>
          <w:p w14:paraId="036D423C"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11,398</w:t>
            </w:r>
          </w:p>
        </w:tc>
        <w:tc>
          <w:tcPr>
            <w:tcW w:w="810" w:type="dxa"/>
            <w:noWrap/>
            <w:vAlign w:val="center"/>
            <w:hideMark/>
          </w:tcPr>
          <w:p w14:paraId="1192AB93"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12,380</w:t>
            </w:r>
          </w:p>
        </w:tc>
        <w:tc>
          <w:tcPr>
            <w:tcW w:w="810" w:type="dxa"/>
            <w:noWrap/>
            <w:vAlign w:val="center"/>
            <w:hideMark/>
          </w:tcPr>
          <w:p w14:paraId="42CCED96"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13,156</w:t>
            </w:r>
          </w:p>
        </w:tc>
        <w:tc>
          <w:tcPr>
            <w:tcW w:w="810" w:type="dxa"/>
            <w:noWrap/>
            <w:vAlign w:val="center"/>
            <w:hideMark/>
          </w:tcPr>
          <w:p w14:paraId="4AC35C66"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14,980</w:t>
            </w:r>
          </w:p>
        </w:tc>
        <w:tc>
          <w:tcPr>
            <w:tcW w:w="983" w:type="dxa"/>
            <w:noWrap/>
            <w:vAlign w:val="center"/>
            <w:hideMark/>
          </w:tcPr>
          <w:p w14:paraId="43BC84C7"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15,866</w:t>
            </w:r>
          </w:p>
        </w:tc>
      </w:tr>
      <w:tr w:rsidR="009D5D31" w:rsidRPr="00770F9D" w14:paraId="19B63E51" w14:textId="77777777" w:rsidTr="00A054E3">
        <w:trPr>
          <w:cnfStyle w:val="000000100000" w:firstRow="0" w:lastRow="0" w:firstColumn="0" w:lastColumn="0" w:oddVBand="0" w:evenVBand="0" w:oddHBand="1"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4348" w:type="dxa"/>
            <w:tcBorders>
              <w:left w:val="none" w:sz="0" w:space="0" w:color="auto"/>
              <w:bottom w:val="none" w:sz="0" w:space="0" w:color="auto"/>
            </w:tcBorders>
            <w:noWrap/>
            <w:vAlign w:val="center"/>
            <w:hideMark/>
          </w:tcPr>
          <w:p w14:paraId="2918F870" w14:textId="77777777" w:rsidR="009D5D31" w:rsidRPr="00770F9D" w:rsidRDefault="009D5D31" w:rsidP="0027139F">
            <w:pPr>
              <w:jc w:val="left"/>
              <w:rPr>
                <w:rFonts w:ascii="Garamond" w:eastAsia="Times New Roman" w:hAnsi="Garamond" w:cstheme="majorBidi"/>
                <w:i w:val="0"/>
                <w:color w:val="0D0D0D" w:themeColor="text1" w:themeTint="F2"/>
                <w:sz w:val="20"/>
                <w:szCs w:val="20"/>
                <w:lang w:val="sq-AL" w:eastAsia="en-GB"/>
              </w:rPr>
            </w:pPr>
            <w:r w:rsidRPr="00770F9D">
              <w:rPr>
                <w:rFonts w:ascii="Garamond" w:eastAsia="Times New Roman" w:hAnsi="Garamond" w:cstheme="majorBidi"/>
                <w:i w:val="0"/>
                <w:color w:val="0D0D0D" w:themeColor="text1" w:themeTint="F2"/>
                <w:sz w:val="20"/>
                <w:szCs w:val="20"/>
                <w:lang w:val="sq-AL" w:eastAsia="en-GB"/>
              </w:rPr>
              <w:t>Kapitali i huaj i sektorit bankar (%)</w:t>
            </w:r>
          </w:p>
        </w:tc>
        <w:tc>
          <w:tcPr>
            <w:tcW w:w="1049" w:type="dxa"/>
            <w:noWrap/>
            <w:vAlign w:val="center"/>
            <w:hideMark/>
          </w:tcPr>
          <w:p w14:paraId="3DFFA2B3"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81.4</w:t>
            </w:r>
          </w:p>
        </w:tc>
        <w:tc>
          <w:tcPr>
            <w:tcW w:w="810" w:type="dxa"/>
            <w:noWrap/>
            <w:vAlign w:val="center"/>
            <w:hideMark/>
          </w:tcPr>
          <w:p w14:paraId="131187D8"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80.8</w:t>
            </w:r>
          </w:p>
        </w:tc>
        <w:tc>
          <w:tcPr>
            <w:tcW w:w="810" w:type="dxa"/>
            <w:noWrap/>
            <w:vAlign w:val="center"/>
            <w:hideMark/>
          </w:tcPr>
          <w:p w14:paraId="229522A4"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78.4</w:t>
            </w:r>
          </w:p>
        </w:tc>
        <w:tc>
          <w:tcPr>
            <w:tcW w:w="810" w:type="dxa"/>
            <w:noWrap/>
            <w:vAlign w:val="center"/>
            <w:hideMark/>
          </w:tcPr>
          <w:p w14:paraId="4E5EB7C2"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69.4</w:t>
            </w:r>
          </w:p>
        </w:tc>
        <w:tc>
          <w:tcPr>
            <w:tcW w:w="810" w:type="dxa"/>
            <w:noWrap/>
            <w:vAlign w:val="center"/>
            <w:hideMark/>
          </w:tcPr>
          <w:p w14:paraId="22BC6093"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68.8</w:t>
            </w:r>
          </w:p>
        </w:tc>
        <w:tc>
          <w:tcPr>
            <w:tcW w:w="983" w:type="dxa"/>
            <w:noWrap/>
            <w:vAlign w:val="center"/>
            <w:hideMark/>
          </w:tcPr>
          <w:p w14:paraId="2FD1ABBD"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68.4</w:t>
            </w:r>
          </w:p>
        </w:tc>
      </w:tr>
      <w:tr w:rsidR="009D5D31" w:rsidRPr="00770F9D" w14:paraId="316C866A" w14:textId="77777777" w:rsidTr="00A054E3">
        <w:trPr>
          <w:trHeight w:val="271"/>
          <w:jc w:val="center"/>
        </w:trPr>
        <w:tc>
          <w:tcPr>
            <w:cnfStyle w:val="001000000000" w:firstRow="0" w:lastRow="0" w:firstColumn="1" w:lastColumn="0" w:oddVBand="0" w:evenVBand="0" w:oddHBand="0" w:evenHBand="0" w:firstRowFirstColumn="0" w:firstRowLastColumn="0" w:lastRowFirstColumn="0" w:lastRowLastColumn="0"/>
            <w:tcW w:w="4348" w:type="dxa"/>
            <w:tcBorders>
              <w:left w:val="none" w:sz="0" w:space="0" w:color="auto"/>
              <w:bottom w:val="none" w:sz="0" w:space="0" w:color="auto"/>
            </w:tcBorders>
            <w:noWrap/>
            <w:vAlign w:val="center"/>
            <w:hideMark/>
          </w:tcPr>
          <w:p w14:paraId="7F8155EE" w14:textId="77777777" w:rsidR="009D5D31" w:rsidRPr="00770F9D" w:rsidRDefault="009D5D31" w:rsidP="0027139F">
            <w:pPr>
              <w:jc w:val="left"/>
              <w:rPr>
                <w:rFonts w:ascii="Garamond" w:eastAsia="Times New Roman" w:hAnsi="Garamond" w:cstheme="majorBidi"/>
                <w:i w:val="0"/>
                <w:color w:val="0D0D0D" w:themeColor="text1" w:themeTint="F2"/>
                <w:sz w:val="20"/>
                <w:szCs w:val="20"/>
                <w:lang w:val="sq-AL" w:eastAsia="en-GB"/>
              </w:rPr>
            </w:pPr>
            <w:r w:rsidRPr="00770F9D">
              <w:rPr>
                <w:rFonts w:ascii="Garamond" w:eastAsia="Times New Roman" w:hAnsi="Garamond" w:cstheme="majorBidi"/>
                <w:i w:val="0"/>
                <w:color w:val="0D0D0D" w:themeColor="text1" w:themeTint="F2"/>
                <w:sz w:val="20"/>
                <w:szCs w:val="20"/>
                <w:lang w:val="sq-AL" w:eastAsia="en-GB"/>
              </w:rPr>
              <w:t>Rritja e kredisë (%, mp)</w:t>
            </w:r>
          </w:p>
        </w:tc>
        <w:tc>
          <w:tcPr>
            <w:tcW w:w="1049" w:type="dxa"/>
            <w:noWrap/>
            <w:vAlign w:val="center"/>
            <w:hideMark/>
          </w:tcPr>
          <w:p w14:paraId="1FCA879F"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-0.1</w:t>
            </w:r>
          </w:p>
        </w:tc>
        <w:tc>
          <w:tcPr>
            <w:tcW w:w="810" w:type="dxa"/>
            <w:noWrap/>
            <w:vAlign w:val="center"/>
            <w:hideMark/>
          </w:tcPr>
          <w:p w14:paraId="37C1917D"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-1.7</w:t>
            </w:r>
          </w:p>
        </w:tc>
        <w:tc>
          <w:tcPr>
            <w:tcW w:w="810" w:type="dxa"/>
            <w:noWrap/>
            <w:vAlign w:val="center"/>
            <w:hideMark/>
          </w:tcPr>
          <w:p w14:paraId="17F74121"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3</w:t>
            </w:r>
          </w:p>
        </w:tc>
        <w:tc>
          <w:tcPr>
            <w:tcW w:w="810" w:type="dxa"/>
            <w:noWrap/>
            <w:vAlign w:val="center"/>
            <w:hideMark/>
          </w:tcPr>
          <w:p w14:paraId="038A44DE"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6.1</w:t>
            </w:r>
          </w:p>
        </w:tc>
        <w:tc>
          <w:tcPr>
            <w:tcW w:w="810" w:type="dxa"/>
            <w:noWrap/>
            <w:vAlign w:val="center"/>
            <w:hideMark/>
          </w:tcPr>
          <w:p w14:paraId="6A809CC3"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6.9</w:t>
            </w:r>
          </w:p>
        </w:tc>
        <w:tc>
          <w:tcPr>
            <w:tcW w:w="983" w:type="dxa"/>
            <w:noWrap/>
            <w:vAlign w:val="center"/>
            <w:hideMark/>
          </w:tcPr>
          <w:p w14:paraId="630AD3CF"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12.0</w:t>
            </w:r>
          </w:p>
        </w:tc>
      </w:tr>
      <w:tr w:rsidR="009D5D31" w:rsidRPr="00770F9D" w14:paraId="4BF46798" w14:textId="77777777" w:rsidTr="00A054E3">
        <w:trPr>
          <w:cnfStyle w:val="000000100000" w:firstRow="0" w:lastRow="0" w:firstColumn="0" w:lastColumn="0" w:oddVBand="0" w:evenVBand="0" w:oddHBand="1"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4348" w:type="dxa"/>
            <w:tcBorders>
              <w:left w:val="none" w:sz="0" w:space="0" w:color="auto"/>
              <w:bottom w:val="none" w:sz="0" w:space="0" w:color="auto"/>
            </w:tcBorders>
            <w:noWrap/>
            <w:vAlign w:val="center"/>
            <w:hideMark/>
          </w:tcPr>
          <w:p w14:paraId="2B6D5EA9" w14:textId="77777777" w:rsidR="009D5D31" w:rsidRPr="00770F9D" w:rsidRDefault="009D5D31" w:rsidP="0027139F">
            <w:pPr>
              <w:jc w:val="left"/>
              <w:rPr>
                <w:rFonts w:ascii="Garamond" w:eastAsia="Times New Roman" w:hAnsi="Garamond" w:cstheme="majorBidi"/>
                <w:i w:val="0"/>
                <w:color w:val="0D0D0D" w:themeColor="text1" w:themeTint="F2"/>
                <w:sz w:val="20"/>
                <w:szCs w:val="20"/>
                <w:lang w:val="sq-AL" w:eastAsia="en-GB"/>
              </w:rPr>
            </w:pPr>
            <w:r w:rsidRPr="00770F9D">
              <w:rPr>
                <w:rFonts w:ascii="Garamond" w:eastAsia="Times New Roman" w:hAnsi="Garamond" w:cstheme="majorBidi"/>
                <w:i w:val="0"/>
                <w:color w:val="0D0D0D" w:themeColor="text1" w:themeTint="F2"/>
                <w:sz w:val="20"/>
                <w:szCs w:val="20"/>
                <w:lang w:val="sq-AL" w:eastAsia="en-GB"/>
              </w:rPr>
              <w:t>Rritja e depozitave (%, mp)</w:t>
            </w:r>
          </w:p>
        </w:tc>
        <w:tc>
          <w:tcPr>
            <w:tcW w:w="1049" w:type="dxa"/>
            <w:noWrap/>
            <w:vAlign w:val="center"/>
            <w:hideMark/>
          </w:tcPr>
          <w:p w14:paraId="1DD53E2E"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1.0</w:t>
            </w:r>
          </w:p>
        </w:tc>
        <w:tc>
          <w:tcPr>
            <w:tcW w:w="810" w:type="dxa"/>
            <w:noWrap/>
            <w:vAlign w:val="center"/>
            <w:hideMark/>
          </w:tcPr>
          <w:p w14:paraId="18BF3AD0"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-1.2</w:t>
            </w:r>
          </w:p>
        </w:tc>
        <w:tc>
          <w:tcPr>
            <w:tcW w:w="810" w:type="dxa"/>
            <w:noWrap/>
            <w:vAlign w:val="center"/>
            <w:hideMark/>
          </w:tcPr>
          <w:p w14:paraId="7B3FF7B4"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2.5</w:t>
            </w:r>
          </w:p>
        </w:tc>
        <w:tc>
          <w:tcPr>
            <w:tcW w:w="810" w:type="dxa"/>
            <w:noWrap/>
            <w:vAlign w:val="center"/>
            <w:hideMark/>
          </w:tcPr>
          <w:p w14:paraId="600EB2CB"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5.8</w:t>
            </w:r>
          </w:p>
        </w:tc>
        <w:tc>
          <w:tcPr>
            <w:tcW w:w="810" w:type="dxa"/>
            <w:noWrap/>
            <w:vAlign w:val="center"/>
            <w:hideMark/>
          </w:tcPr>
          <w:p w14:paraId="2EEE0012"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8.5</w:t>
            </w:r>
          </w:p>
        </w:tc>
        <w:tc>
          <w:tcPr>
            <w:tcW w:w="983" w:type="dxa"/>
            <w:noWrap/>
            <w:vAlign w:val="center"/>
            <w:hideMark/>
          </w:tcPr>
          <w:p w14:paraId="7B8582B6"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10.3</w:t>
            </w:r>
          </w:p>
        </w:tc>
      </w:tr>
      <w:tr w:rsidR="009D5D31" w:rsidRPr="00770F9D" w14:paraId="6CE61BA2" w14:textId="77777777" w:rsidTr="00A054E3">
        <w:trPr>
          <w:trHeight w:val="271"/>
          <w:jc w:val="center"/>
        </w:trPr>
        <w:tc>
          <w:tcPr>
            <w:cnfStyle w:val="001000000000" w:firstRow="0" w:lastRow="0" w:firstColumn="1" w:lastColumn="0" w:oddVBand="0" w:evenVBand="0" w:oddHBand="0" w:evenHBand="0" w:firstRowFirstColumn="0" w:firstRowLastColumn="0" w:lastRowFirstColumn="0" w:lastRowLastColumn="0"/>
            <w:tcW w:w="4348" w:type="dxa"/>
            <w:tcBorders>
              <w:left w:val="none" w:sz="0" w:space="0" w:color="auto"/>
              <w:bottom w:val="none" w:sz="0" w:space="0" w:color="auto"/>
            </w:tcBorders>
            <w:noWrap/>
            <w:vAlign w:val="center"/>
            <w:hideMark/>
          </w:tcPr>
          <w:p w14:paraId="7A370636" w14:textId="71A20B0F" w:rsidR="009D5D31" w:rsidRPr="00770F9D" w:rsidRDefault="009D5D31" w:rsidP="0027139F">
            <w:pPr>
              <w:jc w:val="left"/>
              <w:rPr>
                <w:rFonts w:ascii="Garamond" w:eastAsia="Times New Roman" w:hAnsi="Garamond" w:cstheme="majorBidi"/>
                <w:i w:val="0"/>
                <w:color w:val="0D0D0D" w:themeColor="text1" w:themeTint="F2"/>
                <w:sz w:val="20"/>
                <w:szCs w:val="20"/>
                <w:lang w:val="sq-AL" w:eastAsia="en-GB"/>
              </w:rPr>
            </w:pPr>
            <w:r w:rsidRPr="00770F9D">
              <w:rPr>
                <w:rFonts w:ascii="Garamond" w:eastAsia="Times New Roman" w:hAnsi="Garamond" w:cstheme="majorBidi"/>
                <w:i w:val="0"/>
                <w:color w:val="0D0D0D" w:themeColor="text1" w:themeTint="F2"/>
                <w:sz w:val="20"/>
                <w:szCs w:val="20"/>
                <w:lang w:val="sq-AL" w:eastAsia="en-GB"/>
              </w:rPr>
              <w:t>Raporti kredi ndaj depozita (%,</w:t>
            </w:r>
            <w:r w:rsidR="00BA401D" w:rsidRPr="00770F9D">
              <w:rPr>
                <w:rFonts w:ascii="Garamond" w:eastAsia="Times New Roman" w:hAnsi="Garamond" w:cstheme="majorBidi"/>
                <w:i w:val="0"/>
                <w:color w:val="0D0D0D" w:themeColor="text1" w:themeTint="F2"/>
                <w:sz w:val="20"/>
                <w:szCs w:val="20"/>
                <w:lang w:val="sq-AL" w:eastAsia="en-GB"/>
              </w:rPr>
              <w:t xml:space="preserve"> </w:t>
            </w:r>
            <w:r w:rsidRPr="00770F9D">
              <w:rPr>
                <w:rFonts w:ascii="Garamond" w:eastAsia="Times New Roman" w:hAnsi="Garamond" w:cstheme="majorBidi"/>
                <w:i w:val="0"/>
                <w:color w:val="0D0D0D" w:themeColor="text1" w:themeTint="F2"/>
                <w:sz w:val="20"/>
                <w:szCs w:val="20"/>
                <w:lang w:val="sq-AL" w:eastAsia="en-GB"/>
              </w:rPr>
              <w:t>fp)</w:t>
            </w:r>
          </w:p>
        </w:tc>
        <w:tc>
          <w:tcPr>
            <w:tcW w:w="1049" w:type="dxa"/>
            <w:noWrap/>
            <w:vAlign w:val="center"/>
            <w:hideMark/>
          </w:tcPr>
          <w:p w14:paraId="2BF63736"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54.9</w:t>
            </w:r>
          </w:p>
        </w:tc>
        <w:tc>
          <w:tcPr>
            <w:tcW w:w="810" w:type="dxa"/>
            <w:noWrap/>
            <w:vAlign w:val="center"/>
            <w:hideMark/>
          </w:tcPr>
          <w:p w14:paraId="1FB0D42F"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53.9</w:t>
            </w:r>
          </w:p>
        </w:tc>
        <w:tc>
          <w:tcPr>
            <w:tcW w:w="810" w:type="dxa"/>
            <w:noWrap/>
            <w:vAlign w:val="center"/>
            <w:hideMark/>
          </w:tcPr>
          <w:p w14:paraId="5DC8C013"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55.6</w:t>
            </w:r>
          </w:p>
        </w:tc>
        <w:tc>
          <w:tcPr>
            <w:tcW w:w="810" w:type="dxa"/>
            <w:noWrap/>
            <w:vAlign w:val="center"/>
            <w:hideMark/>
          </w:tcPr>
          <w:p w14:paraId="797D9129"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54.7</w:t>
            </w:r>
          </w:p>
        </w:tc>
        <w:tc>
          <w:tcPr>
            <w:tcW w:w="810" w:type="dxa"/>
            <w:noWrap/>
            <w:vAlign w:val="center"/>
            <w:hideMark/>
          </w:tcPr>
          <w:p w14:paraId="6136C030"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54.8</w:t>
            </w:r>
          </w:p>
        </w:tc>
        <w:tc>
          <w:tcPr>
            <w:tcW w:w="983" w:type="dxa"/>
            <w:noWrap/>
            <w:vAlign w:val="center"/>
            <w:hideMark/>
          </w:tcPr>
          <w:p w14:paraId="0C77D9AB"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47.5</w:t>
            </w:r>
          </w:p>
        </w:tc>
      </w:tr>
      <w:tr w:rsidR="009D5D31" w:rsidRPr="00770F9D" w14:paraId="4589D9C7" w14:textId="77777777" w:rsidTr="00A054E3">
        <w:trPr>
          <w:cnfStyle w:val="000000100000" w:firstRow="0" w:lastRow="0" w:firstColumn="0" w:lastColumn="0" w:oddVBand="0" w:evenVBand="0" w:oddHBand="1"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4348" w:type="dxa"/>
            <w:tcBorders>
              <w:left w:val="none" w:sz="0" w:space="0" w:color="auto"/>
              <w:bottom w:val="none" w:sz="0" w:space="0" w:color="auto"/>
            </w:tcBorders>
            <w:noWrap/>
            <w:vAlign w:val="center"/>
            <w:hideMark/>
          </w:tcPr>
          <w:p w14:paraId="52BEFDA0" w14:textId="77777777" w:rsidR="009D5D31" w:rsidRPr="00770F9D" w:rsidRDefault="009D5D31" w:rsidP="0027139F">
            <w:pPr>
              <w:jc w:val="left"/>
              <w:rPr>
                <w:rFonts w:ascii="Garamond" w:eastAsia="Times New Roman" w:hAnsi="Garamond" w:cstheme="majorBidi"/>
                <w:i w:val="0"/>
                <w:color w:val="0D0D0D" w:themeColor="text1" w:themeTint="F2"/>
                <w:sz w:val="20"/>
                <w:szCs w:val="20"/>
                <w:lang w:val="sq-AL" w:eastAsia="en-GB"/>
              </w:rPr>
            </w:pPr>
            <w:r w:rsidRPr="00770F9D">
              <w:rPr>
                <w:rFonts w:ascii="Garamond" w:eastAsia="Times New Roman" w:hAnsi="Garamond" w:cstheme="majorBidi"/>
                <w:i w:val="0"/>
                <w:color w:val="0D0D0D" w:themeColor="text1" w:themeTint="F2"/>
                <w:sz w:val="20"/>
                <w:szCs w:val="20"/>
                <w:lang w:val="sq-AL" w:eastAsia="en-GB"/>
              </w:rPr>
              <w:t>Diferenca e normave të interesit (%, fp)</w:t>
            </w:r>
          </w:p>
        </w:tc>
        <w:tc>
          <w:tcPr>
            <w:tcW w:w="1049" w:type="dxa"/>
            <w:noWrap/>
            <w:vAlign w:val="center"/>
            <w:hideMark/>
          </w:tcPr>
          <w:p w14:paraId="0414D2FF"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5.1</w:t>
            </w:r>
          </w:p>
        </w:tc>
        <w:tc>
          <w:tcPr>
            <w:tcW w:w="810" w:type="dxa"/>
            <w:noWrap/>
            <w:vAlign w:val="center"/>
            <w:hideMark/>
          </w:tcPr>
          <w:p w14:paraId="2DEF3B62"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5.1</w:t>
            </w:r>
          </w:p>
        </w:tc>
        <w:tc>
          <w:tcPr>
            <w:tcW w:w="810" w:type="dxa"/>
            <w:noWrap/>
            <w:vAlign w:val="center"/>
            <w:hideMark/>
          </w:tcPr>
          <w:p w14:paraId="4DC5E1A9"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5.0</w:t>
            </w:r>
          </w:p>
        </w:tc>
        <w:tc>
          <w:tcPr>
            <w:tcW w:w="810" w:type="dxa"/>
            <w:noWrap/>
            <w:vAlign w:val="center"/>
            <w:hideMark/>
          </w:tcPr>
          <w:p w14:paraId="3B6F000A"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4.9</w:t>
            </w:r>
          </w:p>
        </w:tc>
        <w:tc>
          <w:tcPr>
            <w:tcW w:w="810" w:type="dxa"/>
            <w:noWrap/>
            <w:vAlign w:val="center"/>
            <w:hideMark/>
          </w:tcPr>
          <w:p w14:paraId="2C614BD6"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4.1</w:t>
            </w:r>
          </w:p>
        </w:tc>
        <w:tc>
          <w:tcPr>
            <w:tcW w:w="983" w:type="dxa"/>
            <w:noWrap/>
            <w:vAlign w:val="center"/>
            <w:hideMark/>
          </w:tcPr>
          <w:p w14:paraId="2BA7202B"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4.6</w:t>
            </w:r>
          </w:p>
        </w:tc>
      </w:tr>
      <w:tr w:rsidR="009D5D31" w:rsidRPr="00770F9D" w14:paraId="6EA9D0F9" w14:textId="77777777" w:rsidTr="00A054E3">
        <w:trPr>
          <w:trHeight w:val="271"/>
          <w:jc w:val="center"/>
        </w:trPr>
        <w:tc>
          <w:tcPr>
            <w:cnfStyle w:val="001000000000" w:firstRow="0" w:lastRow="0" w:firstColumn="1" w:lastColumn="0" w:oddVBand="0" w:evenVBand="0" w:oddHBand="0" w:evenHBand="0" w:firstRowFirstColumn="0" w:firstRowLastColumn="0" w:lastRowFirstColumn="0" w:lastRowLastColumn="0"/>
            <w:tcW w:w="4348" w:type="dxa"/>
            <w:tcBorders>
              <w:left w:val="none" w:sz="0" w:space="0" w:color="auto"/>
              <w:bottom w:val="none" w:sz="0" w:space="0" w:color="auto"/>
            </w:tcBorders>
            <w:noWrap/>
            <w:vAlign w:val="center"/>
            <w:hideMark/>
          </w:tcPr>
          <w:p w14:paraId="54747E0F" w14:textId="77777777" w:rsidR="009D5D31" w:rsidRPr="00770F9D" w:rsidRDefault="009D5D31" w:rsidP="0027139F">
            <w:pPr>
              <w:jc w:val="left"/>
              <w:rPr>
                <w:rFonts w:ascii="Garamond" w:eastAsia="Times New Roman" w:hAnsi="Garamond" w:cstheme="majorBidi"/>
                <w:i w:val="0"/>
                <w:color w:val="0D0D0D" w:themeColor="text1" w:themeTint="F2"/>
                <w:sz w:val="20"/>
                <w:szCs w:val="20"/>
                <w:lang w:val="sq-AL" w:eastAsia="en-GB"/>
              </w:rPr>
            </w:pPr>
            <w:r w:rsidRPr="00770F9D">
              <w:rPr>
                <w:rFonts w:ascii="Garamond" w:eastAsia="Times New Roman" w:hAnsi="Garamond" w:cstheme="majorBidi"/>
                <w:i w:val="0"/>
                <w:color w:val="0D0D0D" w:themeColor="text1" w:themeTint="F2"/>
                <w:sz w:val="20"/>
                <w:szCs w:val="20"/>
                <w:lang w:val="sq-AL" w:eastAsia="en-GB"/>
              </w:rPr>
              <w:t>Kredi me normë të ndryshueshme ndaj totalit të kredisë</w:t>
            </w:r>
          </w:p>
        </w:tc>
        <w:tc>
          <w:tcPr>
            <w:tcW w:w="1049" w:type="dxa"/>
            <w:noWrap/>
            <w:vAlign w:val="center"/>
            <w:hideMark/>
          </w:tcPr>
          <w:p w14:paraId="1414EC54"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72.6</w:t>
            </w:r>
          </w:p>
        </w:tc>
        <w:tc>
          <w:tcPr>
            <w:tcW w:w="810" w:type="dxa"/>
            <w:noWrap/>
            <w:vAlign w:val="center"/>
            <w:hideMark/>
          </w:tcPr>
          <w:p w14:paraId="01BB150E"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71.6</w:t>
            </w:r>
          </w:p>
        </w:tc>
        <w:tc>
          <w:tcPr>
            <w:tcW w:w="810" w:type="dxa"/>
            <w:noWrap/>
            <w:vAlign w:val="center"/>
            <w:hideMark/>
          </w:tcPr>
          <w:p w14:paraId="012378F4"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77.4</w:t>
            </w:r>
          </w:p>
        </w:tc>
        <w:tc>
          <w:tcPr>
            <w:tcW w:w="810" w:type="dxa"/>
            <w:noWrap/>
            <w:vAlign w:val="center"/>
            <w:hideMark/>
          </w:tcPr>
          <w:p w14:paraId="48E3EB54"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73.8</w:t>
            </w:r>
          </w:p>
        </w:tc>
        <w:tc>
          <w:tcPr>
            <w:tcW w:w="810" w:type="dxa"/>
            <w:noWrap/>
            <w:vAlign w:val="center"/>
            <w:hideMark/>
          </w:tcPr>
          <w:p w14:paraId="6AC7D950"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74.7</w:t>
            </w:r>
          </w:p>
        </w:tc>
        <w:tc>
          <w:tcPr>
            <w:tcW w:w="983" w:type="dxa"/>
            <w:noWrap/>
            <w:vAlign w:val="center"/>
            <w:hideMark/>
          </w:tcPr>
          <w:p w14:paraId="0FE8BD10"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75.5</w:t>
            </w:r>
          </w:p>
        </w:tc>
      </w:tr>
      <w:tr w:rsidR="009D5D31" w:rsidRPr="00770F9D" w14:paraId="61BFD5A5" w14:textId="77777777" w:rsidTr="00A054E3">
        <w:trPr>
          <w:cnfStyle w:val="000000100000" w:firstRow="0" w:lastRow="0" w:firstColumn="0" w:lastColumn="0" w:oddVBand="0" w:evenVBand="0" w:oddHBand="1"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4348" w:type="dxa"/>
            <w:tcBorders>
              <w:left w:val="none" w:sz="0" w:space="0" w:color="auto"/>
              <w:bottom w:val="none" w:sz="0" w:space="0" w:color="auto"/>
            </w:tcBorders>
            <w:noWrap/>
            <w:vAlign w:val="center"/>
            <w:hideMark/>
          </w:tcPr>
          <w:p w14:paraId="03C2C936" w14:textId="6EF5A78E" w:rsidR="009D5D31" w:rsidRPr="00770F9D" w:rsidRDefault="009D5D31" w:rsidP="00BA401D">
            <w:pPr>
              <w:jc w:val="left"/>
              <w:rPr>
                <w:rFonts w:ascii="Garamond" w:eastAsia="Times New Roman" w:hAnsi="Garamond" w:cstheme="majorBidi"/>
                <w:i w:val="0"/>
                <w:color w:val="0D0D0D" w:themeColor="text1" w:themeTint="F2"/>
                <w:sz w:val="20"/>
                <w:szCs w:val="20"/>
                <w:lang w:val="sq-AL" w:eastAsia="en-GB"/>
              </w:rPr>
            </w:pPr>
            <w:r w:rsidRPr="00770F9D">
              <w:rPr>
                <w:rFonts w:ascii="Garamond" w:eastAsia="Times New Roman" w:hAnsi="Garamond" w:cstheme="majorBidi"/>
                <w:i w:val="0"/>
                <w:color w:val="0D0D0D" w:themeColor="text1" w:themeTint="F2"/>
                <w:sz w:val="20"/>
                <w:szCs w:val="20"/>
                <w:lang w:val="sq-AL" w:eastAsia="en-GB"/>
              </w:rPr>
              <w:t>Treguesit e shëndetit financiar (</w:t>
            </w:r>
            <w:r w:rsidR="00BA401D" w:rsidRPr="00770F9D">
              <w:rPr>
                <w:rFonts w:ascii="Garamond" w:eastAsia="Times New Roman" w:hAnsi="Garamond" w:cstheme="majorBidi"/>
                <w:i w:val="0"/>
                <w:color w:val="0D0D0D" w:themeColor="text1" w:themeTint="F2"/>
                <w:sz w:val="20"/>
                <w:szCs w:val="20"/>
                <w:lang w:val="sq-AL" w:eastAsia="en-GB"/>
              </w:rPr>
              <w:t xml:space="preserve">%, </w:t>
            </w:r>
            <w:r w:rsidRPr="00770F9D">
              <w:rPr>
                <w:rFonts w:ascii="Garamond" w:eastAsia="Times New Roman" w:hAnsi="Garamond" w:cstheme="majorBidi"/>
                <w:i w:val="0"/>
                <w:color w:val="0D0D0D" w:themeColor="text1" w:themeTint="F2"/>
                <w:sz w:val="20"/>
                <w:szCs w:val="20"/>
                <w:lang w:val="sq-AL" w:eastAsia="en-GB"/>
              </w:rPr>
              <w:t xml:space="preserve">fp) </w:t>
            </w:r>
          </w:p>
        </w:tc>
        <w:tc>
          <w:tcPr>
            <w:tcW w:w="1049" w:type="dxa"/>
            <w:noWrap/>
            <w:vAlign w:val="center"/>
            <w:hideMark/>
          </w:tcPr>
          <w:p w14:paraId="62ADCDB2"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 </w:t>
            </w:r>
          </w:p>
        </w:tc>
        <w:tc>
          <w:tcPr>
            <w:tcW w:w="810" w:type="dxa"/>
            <w:noWrap/>
            <w:vAlign w:val="center"/>
            <w:hideMark/>
          </w:tcPr>
          <w:p w14:paraId="40B8FE88"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 </w:t>
            </w:r>
          </w:p>
        </w:tc>
        <w:tc>
          <w:tcPr>
            <w:tcW w:w="810" w:type="dxa"/>
            <w:noWrap/>
            <w:vAlign w:val="center"/>
            <w:hideMark/>
          </w:tcPr>
          <w:p w14:paraId="14096B38"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 </w:t>
            </w:r>
          </w:p>
        </w:tc>
        <w:tc>
          <w:tcPr>
            <w:tcW w:w="810" w:type="dxa"/>
            <w:noWrap/>
            <w:vAlign w:val="center"/>
            <w:hideMark/>
          </w:tcPr>
          <w:p w14:paraId="48630595"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 </w:t>
            </w:r>
          </w:p>
        </w:tc>
        <w:tc>
          <w:tcPr>
            <w:tcW w:w="810" w:type="dxa"/>
            <w:noWrap/>
            <w:vAlign w:val="center"/>
            <w:hideMark/>
          </w:tcPr>
          <w:p w14:paraId="19D9EE7D"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 </w:t>
            </w:r>
          </w:p>
        </w:tc>
        <w:tc>
          <w:tcPr>
            <w:tcW w:w="983" w:type="dxa"/>
            <w:noWrap/>
            <w:vAlign w:val="center"/>
            <w:hideMark/>
          </w:tcPr>
          <w:p w14:paraId="589EDE37"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 </w:t>
            </w:r>
          </w:p>
        </w:tc>
      </w:tr>
      <w:tr w:rsidR="009D5D31" w:rsidRPr="00770F9D" w14:paraId="627E1968" w14:textId="77777777" w:rsidTr="00A054E3">
        <w:trPr>
          <w:trHeight w:val="271"/>
          <w:jc w:val="center"/>
        </w:trPr>
        <w:tc>
          <w:tcPr>
            <w:cnfStyle w:val="001000000000" w:firstRow="0" w:lastRow="0" w:firstColumn="1" w:lastColumn="0" w:oddVBand="0" w:evenVBand="0" w:oddHBand="0" w:evenHBand="0" w:firstRowFirstColumn="0" w:firstRowLastColumn="0" w:lastRowFirstColumn="0" w:lastRowLastColumn="0"/>
            <w:tcW w:w="4348" w:type="dxa"/>
            <w:tcBorders>
              <w:left w:val="none" w:sz="0" w:space="0" w:color="auto"/>
              <w:bottom w:val="none" w:sz="0" w:space="0" w:color="auto"/>
            </w:tcBorders>
            <w:noWrap/>
            <w:vAlign w:val="center"/>
            <w:hideMark/>
          </w:tcPr>
          <w:p w14:paraId="177409D7" w14:textId="77777777" w:rsidR="009D5D31" w:rsidRPr="00770F9D" w:rsidRDefault="009D5D31" w:rsidP="0027139F">
            <w:pPr>
              <w:jc w:val="left"/>
              <w:rPr>
                <w:rFonts w:ascii="Garamond" w:eastAsia="Times New Roman" w:hAnsi="Garamond" w:cstheme="majorBidi"/>
                <w:i w:val="0"/>
                <w:color w:val="0D0D0D" w:themeColor="text1" w:themeTint="F2"/>
                <w:sz w:val="20"/>
                <w:szCs w:val="20"/>
                <w:lang w:val="sq-AL" w:eastAsia="en-GB"/>
              </w:rPr>
            </w:pPr>
            <w:r w:rsidRPr="00770F9D">
              <w:rPr>
                <w:rFonts w:ascii="Times New Roman" w:eastAsia="Times New Roman" w:hAnsi="Times New Roman" w:cs="Times New Roman"/>
                <w:i w:val="0"/>
                <w:color w:val="0D0D0D" w:themeColor="text1" w:themeTint="F2"/>
                <w:sz w:val="20"/>
                <w:szCs w:val="20"/>
                <w:lang w:val="sq-AL" w:eastAsia="en-GB"/>
              </w:rPr>
              <w:t>˗</w:t>
            </w:r>
            <w:r w:rsidRPr="00770F9D">
              <w:rPr>
                <w:rFonts w:ascii="Garamond" w:eastAsia="Times New Roman" w:hAnsi="Garamond" w:cstheme="majorBidi"/>
                <w:i w:val="0"/>
                <w:color w:val="0D0D0D" w:themeColor="text1" w:themeTint="F2"/>
                <w:sz w:val="20"/>
                <w:szCs w:val="20"/>
                <w:lang w:val="sq-AL" w:eastAsia="en-GB"/>
              </w:rPr>
              <w:t xml:space="preserve"> raporti i huave me probleme ndaj totalit të huave </w:t>
            </w:r>
          </w:p>
        </w:tc>
        <w:tc>
          <w:tcPr>
            <w:tcW w:w="1049" w:type="dxa"/>
            <w:noWrap/>
            <w:vAlign w:val="center"/>
            <w:hideMark/>
          </w:tcPr>
          <w:p w14:paraId="59AA29FC"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13.2</w:t>
            </w:r>
          </w:p>
        </w:tc>
        <w:tc>
          <w:tcPr>
            <w:tcW w:w="810" w:type="dxa"/>
            <w:noWrap/>
            <w:vAlign w:val="center"/>
            <w:hideMark/>
          </w:tcPr>
          <w:p w14:paraId="7019A12E"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11.1</w:t>
            </w:r>
          </w:p>
        </w:tc>
        <w:tc>
          <w:tcPr>
            <w:tcW w:w="810" w:type="dxa"/>
            <w:noWrap/>
            <w:vAlign w:val="center"/>
            <w:hideMark/>
          </w:tcPr>
          <w:p w14:paraId="22494C7C"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8.4</w:t>
            </w:r>
          </w:p>
        </w:tc>
        <w:tc>
          <w:tcPr>
            <w:tcW w:w="810" w:type="dxa"/>
            <w:noWrap/>
            <w:vAlign w:val="center"/>
            <w:hideMark/>
          </w:tcPr>
          <w:p w14:paraId="710804BD"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8.1</w:t>
            </w:r>
          </w:p>
        </w:tc>
        <w:tc>
          <w:tcPr>
            <w:tcW w:w="810" w:type="dxa"/>
            <w:noWrap/>
            <w:vAlign w:val="center"/>
            <w:hideMark/>
          </w:tcPr>
          <w:p w14:paraId="5BAAC2BD"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5.7</w:t>
            </w:r>
          </w:p>
        </w:tc>
        <w:tc>
          <w:tcPr>
            <w:tcW w:w="983" w:type="dxa"/>
            <w:noWrap/>
            <w:vAlign w:val="center"/>
            <w:hideMark/>
          </w:tcPr>
          <w:p w14:paraId="40FDC512"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5.2</w:t>
            </w:r>
          </w:p>
        </w:tc>
      </w:tr>
      <w:tr w:rsidR="009D5D31" w:rsidRPr="00770F9D" w14:paraId="32A28325" w14:textId="77777777" w:rsidTr="00A054E3">
        <w:trPr>
          <w:cnfStyle w:val="000000100000" w:firstRow="0" w:lastRow="0" w:firstColumn="0" w:lastColumn="0" w:oddVBand="0" w:evenVBand="0" w:oddHBand="1"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4348" w:type="dxa"/>
            <w:tcBorders>
              <w:left w:val="none" w:sz="0" w:space="0" w:color="auto"/>
              <w:bottom w:val="none" w:sz="0" w:space="0" w:color="auto"/>
            </w:tcBorders>
            <w:noWrap/>
            <w:vAlign w:val="center"/>
            <w:hideMark/>
          </w:tcPr>
          <w:p w14:paraId="1AA18AC4" w14:textId="77777777" w:rsidR="009D5D31" w:rsidRPr="00770F9D" w:rsidRDefault="009D5D31" w:rsidP="0027139F">
            <w:pPr>
              <w:jc w:val="left"/>
              <w:rPr>
                <w:rFonts w:ascii="Garamond" w:eastAsia="Times New Roman" w:hAnsi="Garamond" w:cstheme="majorBidi"/>
                <w:i w:val="0"/>
                <w:color w:val="0D0D0D" w:themeColor="text1" w:themeTint="F2"/>
                <w:sz w:val="20"/>
                <w:szCs w:val="20"/>
                <w:lang w:val="sq-AL" w:eastAsia="en-GB"/>
              </w:rPr>
            </w:pPr>
            <w:r w:rsidRPr="00770F9D">
              <w:rPr>
                <w:rFonts w:ascii="Times New Roman" w:eastAsia="Times New Roman" w:hAnsi="Times New Roman" w:cs="Times New Roman"/>
                <w:i w:val="0"/>
                <w:color w:val="0D0D0D" w:themeColor="text1" w:themeTint="F2"/>
                <w:sz w:val="20"/>
                <w:szCs w:val="20"/>
                <w:lang w:val="sq-AL" w:eastAsia="en-GB"/>
              </w:rPr>
              <w:t>˗</w:t>
            </w:r>
            <w:r w:rsidRPr="00770F9D">
              <w:rPr>
                <w:rFonts w:ascii="Garamond" w:eastAsia="Times New Roman" w:hAnsi="Garamond" w:cstheme="majorBidi"/>
                <w:i w:val="0"/>
                <w:color w:val="0D0D0D" w:themeColor="text1" w:themeTint="F2"/>
                <w:sz w:val="20"/>
                <w:szCs w:val="20"/>
                <w:lang w:val="sq-AL" w:eastAsia="en-GB"/>
              </w:rPr>
              <w:t xml:space="preserve"> kapitali rregullator ndaj aktiveve t</w:t>
            </w:r>
            <w:r w:rsidRPr="00770F9D">
              <w:rPr>
                <w:rFonts w:ascii="Garamond" w:eastAsia="Times New Roman" w:hAnsi="Garamond" w:cs="Garamond"/>
                <w:i w:val="0"/>
                <w:color w:val="0D0D0D" w:themeColor="text1" w:themeTint="F2"/>
                <w:sz w:val="20"/>
                <w:szCs w:val="20"/>
                <w:lang w:val="sq-AL" w:eastAsia="en-GB"/>
              </w:rPr>
              <w:t>ë</w:t>
            </w:r>
            <w:r w:rsidRPr="00770F9D">
              <w:rPr>
                <w:rFonts w:ascii="Garamond" w:eastAsia="Times New Roman" w:hAnsi="Garamond" w:cstheme="majorBidi"/>
                <w:i w:val="0"/>
                <w:color w:val="0D0D0D" w:themeColor="text1" w:themeTint="F2"/>
                <w:sz w:val="20"/>
                <w:szCs w:val="20"/>
                <w:lang w:val="sq-AL" w:eastAsia="en-GB"/>
              </w:rPr>
              <w:t xml:space="preserve"> peshuara me rrezik</w:t>
            </w:r>
          </w:p>
        </w:tc>
        <w:tc>
          <w:tcPr>
            <w:tcW w:w="1049" w:type="dxa"/>
            <w:noWrap/>
            <w:vAlign w:val="center"/>
            <w:hideMark/>
          </w:tcPr>
          <w:p w14:paraId="42554ED4"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17.0</w:t>
            </w:r>
          </w:p>
        </w:tc>
        <w:tc>
          <w:tcPr>
            <w:tcW w:w="810" w:type="dxa"/>
            <w:noWrap/>
            <w:vAlign w:val="center"/>
            <w:hideMark/>
          </w:tcPr>
          <w:p w14:paraId="5DBDFBBF"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18.7</w:t>
            </w:r>
          </w:p>
        </w:tc>
        <w:tc>
          <w:tcPr>
            <w:tcW w:w="810" w:type="dxa"/>
            <w:noWrap/>
            <w:vAlign w:val="center"/>
            <w:hideMark/>
          </w:tcPr>
          <w:p w14:paraId="5C6FBB55"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18.7</w:t>
            </w:r>
          </w:p>
        </w:tc>
        <w:tc>
          <w:tcPr>
            <w:tcW w:w="810" w:type="dxa"/>
            <w:noWrap/>
            <w:vAlign w:val="center"/>
            <w:hideMark/>
          </w:tcPr>
          <w:p w14:paraId="457289C4"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18.7</w:t>
            </w:r>
          </w:p>
        </w:tc>
        <w:tc>
          <w:tcPr>
            <w:tcW w:w="810" w:type="dxa"/>
            <w:noWrap/>
            <w:vAlign w:val="center"/>
            <w:hideMark/>
          </w:tcPr>
          <w:p w14:paraId="561BEE88"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18.5</w:t>
            </w:r>
          </w:p>
        </w:tc>
        <w:tc>
          <w:tcPr>
            <w:tcW w:w="983" w:type="dxa"/>
            <w:noWrap/>
            <w:vAlign w:val="center"/>
            <w:hideMark/>
          </w:tcPr>
          <w:p w14:paraId="089AB871"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19.0</w:t>
            </w:r>
          </w:p>
        </w:tc>
      </w:tr>
      <w:tr w:rsidR="009D5D31" w:rsidRPr="00770F9D" w14:paraId="4145F614" w14:textId="77777777" w:rsidTr="00A054E3">
        <w:trPr>
          <w:trHeight w:val="271"/>
          <w:jc w:val="center"/>
        </w:trPr>
        <w:tc>
          <w:tcPr>
            <w:cnfStyle w:val="001000000000" w:firstRow="0" w:lastRow="0" w:firstColumn="1" w:lastColumn="0" w:oddVBand="0" w:evenVBand="0" w:oddHBand="0" w:evenHBand="0" w:firstRowFirstColumn="0" w:firstRowLastColumn="0" w:lastRowFirstColumn="0" w:lastRowLastColumn="0"/>
            <w:tcW w:w="4348" w:type="dxa"/>
            <w:tcBorders>
              <w:left w:val="none" w:sz="0" w:space="0" w:color="auto"/>
              <w:bottom w:val="none" w:sz="0" w:space="0" w:color="auto"/>
            </w:tcBorders>
            <w:noWrap/>
            <w:vAlign w:val="center"/>
            <w:hideMark/>
          </w:tcPr>
          <w:p w14:paraId="1F8DEFD8" w14:textId="77777777" w:rsidR="009D5D31" w:rsidRPr="00770F9D" w:rsidRDefault="009D5D31" w:rsidP="0027139F">
            <w:pPr>
              <w:jc w:val="left"/>
              <w:rPr>
                <w:rFonts w:ascii="Garamond" w:eastAsia="Times New Roman" w:hAnsi="Garamond" w:cstheme="majorBidi"/>
                <w:i w:val="0"/>
                <w:color w:val="0D0D0D" w:themeColor="text1" w:themeTint="F2"/>
                <w:sz w:val="20"/>
                <w:szCs w:val="20"/>
                <w:lang w:val="sq-AL" w:eastAsia="en-GB"/>
              </w:rPr>
            </w:pPr>
            <w:r w:rsidRPr="00770F9D">
              <w:rPr>
                <w:rFonts w:ascii="Times New Roman" w:eastAsia="Times New Roman" w:hAnsi="Times New Roman" w:cs="Times New Roman"/>
                <w:i w:val="0"/>
                <w:color w:val="0D0D0D" w:themeColor="text1" w:themeTint="F2"/>
                <w:sz w:val="20"/>
                <w:szCs w:val="20"/>
                <w:lang w:val="sq-AL" w:eastAsia="en-GB"/>
              </w:rPr>
              <w:t>˗</w:t>
            </w:r>
            <w:r w:rsidRPr="00770F9D">
              <w:rPr>
                <w:rFonts w:ascii="Garamond" w:eastAsia="Times New Roman" w:hAnsi="Garamond" w:cstheme="majorBidi"/>
                <w:i w:val="0"/>
                <w:color w:val="0D0D0D" w:themeColor="text1" w:themeTint="F2"/>
                <w:sz w:val="20"/>
                <w:szCs w:val="20"/>
                <w:lang w:val="sq-AL" w:eastAsia="en-GB"/>
              </w:rPr>
              <w:t xml:space="preserve"> aktive likuide ndaj totalit t</w:t>
            </w:r>
            <w:r w:rsidRPr="00770F9D">
              <w:rPr>
                <w:rFonts w:ascii="Garamond" w:eastAsia="Times New Roman" w:hAnsi="Garamond" w:cs="Garamond"/>
                <w:i w:val="0"/>
                <w:color w:val="0D0D0D" w:themeColor="text1" w:themeTint="F2"/>
                <w:sz w:val="20"/>
                <w:szCs w:val="20"/>
                <w:lang w:val="sq-AL" w:eastAsia="en-GB"/>
              </w:rPr>
              <w:t>ë</w:t>
            </w:r>
            <w:r w:rsidRPr="00770F9D">
              <w:rPr>
                <w:rFonts w:ascii="Garamond" w:eastAsia="Times New Roman" w:hAnsi="Garamond" w:cstheme="majorBidi"/>
                <w:i w:val="0"/>
                <w:color w:val="0D0D0D" w:themeColor="text1" w:themeTint="F2"/>
                <w:sz w:val="20"/>
                <w:szCs w:val="20"/>
                <w:lang w:val="sq-AL" w:eastAsia="en-GB"/>
              </w:rPr>
              <w:t xml:space="preserve"> aktiveve</w:t>
            </w:r>
          </w:p>
        </w:tc>
        <w:tc>
          <w:tcPr>
            <w:tcW w:w="1049" w:type="dxa"/>
            <w:noWrap/>
            <w:vAlign w:val="center"/>
            <w:hideMark/>
          </w:tcPr>
          <w:p w14:paraId="2336FD4C"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30.2</w:t>
            </w:r>
          </w:p>
        </w:tc>
        <w:tc>
          <w:tcPr>
            <w:tcW w:w="810" w:type="dxa"/>
            <w:noWrap/>
            <w:vAlign w:val="center"/>
            <w:hideMark/>
          </w:tcPr>
          <w:p w14:paraId="0FA01F8F"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34.2</w:t>
            </w:r>
          </w:p>
        </w:tc>
        <w:tc>
          <w:tcPr>
            <w:tcW w:w="810" w:type="dxa"/>
            <w:noWrap/>
            <w:vAlign w:val="center"/>
            <w:hideMark/>
          </w:tcPr>
          <w:p w14:paraId="0CE7675A"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35.7</w:t>
            </w:r>
          </w:p>
        </w:tc>
        <w:tc>
          <w:tcPr>
            <w:tcW w:w="810" w:type="dxa"/>
            <w:noWrap/>
            <w:vAlign w:val="center"/>
            <w:hideMark/>
          </w:tcPr>
          <w:p w14:paraId="2474963A"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34.8</w:t>
            </w:r>
          </w:p>
        </w:tc>
        <w:tc>
          <w:tcPr>
            <w:tcW w:w="810" w:type="dxa"/>
            <w:noWrap/>
            <w:vAlign w:val="center"/>
            <w:hideMark/>
          </w:tcPr>
          <w:p w14:paraId="27B40132"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33.3</w:t>
            </w:r>
          </w:p>
        </w:tc>
        <w:tc>
          <w:tcPr>
            <w:tcW w:w="983" w:type="dxa"/>
            <w:noWrap/>
            <w:vAlign w:val="center"/>
            <w:hideMark/>
          </w:tcPr>
          <w:p w14:paraId="3F9E91A3"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29.2</w:t>
            </w:r>
          </w:p>
        </w:tc>
      </w:tr>
      <w:tr w:rsidR="009D5D31" w:rsidRPr="00770F9D" w14:paraId="2437EE2E" w14:textId="77777777" w:rsidTr="00A054E3">
        <w:trPr>
          <w:cnfStyle w:val="000000100000" w:firstRow="0" w:lastRow="0" w:firstColumn="0" w:lastColumn="0" w:oddVBand="0" w:evenVBand="0" w:oddHBand="1"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4348" w:type="dxa"/>
            <w:tcBorders>
              <w:left w:val="none" w:sz="0" w:space="0" w:color="auto"/>
              <w:bottom w:val="none" w:sz="0" w:space="0" w:color="auto"/>
            </w:tcBorders>
            <w:noWrap/>
            <w:vAlign w:val="center"/>
            <w:hideMark/>
          </w:tcPr>
          <w:p w14:paraId="33FE2B44" w14:textId="6129ED04" w:rsidR="009D5D31" w:rsidRPr="00770F9D" w:rsidRDefault="009D5D31" w:rsidP="0027139F">
            <w:pPr>
              <w:jc w:val="left"/>
              <w:rPr>
                <w:rFonts w:ascii="Garamond" w:eastAsia="Times New Roman" w:hAnsi="Garamond" w:cstheme="majorBidi"/>
                <w:i w:val="0"/>
                <w:color w:val="0D0D0D" w:themeColor="text1" w:themeTint="F2"/>
                <w:sz w:val="20"/>
                <w:szCs w:val="20"/>
                <w:lang w:val="sq-AL" w:eastAsia="en-GB"/>
              </w:rPr>
            </w:pPr>
            <w:r w:rsidRPr="00770F9D">
              <w:rPr>
                <w:rFonts w:ascii="Times New Roman" w:eastAsia="Times New Roman" w:hAnsi="Times New Roman" w:cs="Times New Roman"/>
                <w:i w:val="0"/>
                <w:color w:val="0D0D0D" w:themeColor="text1" w:themeTint="F2"/>
                <w:sz w:val="20"/>
                <w:szCs w:val="20"/>
                <w:lang w:val="sq-AL" w:eastAsia="en-GB"/>
              </w:rPr>
              <w:t>˗</w:t>
            </w:r>
            <w:r w:rsidR="00BA401D" w:rsidRPr="00770F9D">
              <w:rPr>
                <w:rFonts w:ascii="Times New Roman" w:eastAsia="Times New Roman" w:hAnsi="Times New Roman" w:cs="Times New Roman"/>
                <w:i w:val="0"/>
                <w:color w:val="0D0D0D" w:themeColor="text1" w:themeTint="F2"/>
                <w:sz w:val="20"/>
                <w:szCs w:val="20"/>
                <w:lang w:val="sq-AL" w:eastAsia="en-GB"/>
              </w:rPr>
              <w:t xml:space="preserve"> </w:t>
            </w:r>
            <w:r w:rsidRPr="00770F9D">
              <w:rPr>
                <w:rFonts w:ascii="Garamond" w:eastAsia="Times New Roman" w:hAnsi="Garamond" w:cstheme="majorBidi"/>
                <w:i w:val="0"/>
                <w:color w:val="0D0D0D" w:themeColor="text1" w:themeTint="F2"/>
                <w:sz w:val="20"/>
                <w:szCs w:val="20"/>
                <w:lang w:val="sq-AL" w:eastAsia="en-GB"/>
              </w:rPr>
              <w:t>kthimi nga kapitali</w:t>
            </w:r>
          </w:p>
        </w:tc>
        <w:tc>
          <w:tcPr>
            <w:tcW w:w="1049" w:type="dxa"/>
            <w:noWrap/>
            <w:vAlign w:val="center"/>
            <w:hideMark/>
          </w:tcPr>
          <w:p w14:paraId="38CEACEA"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15.7</w:t>
            </w:r>
          </w:p>
        </w:tc>
        <w:tc>
          <w:tcPr>
            <w:tcW w:w="810" w:type="dxa"/>
            <w:noWrap/>
            <w:vAlign w:val="center"/>
            <w:hideMark/>
          </w:tcPr>
          <w:p w14:paraId="6BCC6559"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13.0</w:t>
            </w:r>
          </w:p>
        </w:tc>
        <w:tc>
          <w:tcPr>
            <w:tcW w:w="810" w:type="dxa"/>
            <w:noWrap/>
            <w:vAlign w:val="center"/>
            <w:hideMark/>
          </w:tcPr>
          <w:p w14:paraId="1B58E718"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13.5</w:t>
            </w:r>
          </w:p>
        </w:tc>
        <w:tc>
          <w:tcPr>
            <w:tcW w:w="810" w:type="dxa"/>
            <w:noWrap/>
            <w:vAlign w:val="center"/>
            <w:hideMark/>
          </w:tcPr>
          <w:p w14:paraId="3CA63C97"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10.7</w:t>
            </w:r>
          </w:p>
        </w:tc>
        <w:tc>
          <w:tcPr>
            <w:tcW w:w="810" w:type="dxa"/>
            <w:noWrap/>
            <w:vAlign w:val="center"/>
            <w:hideMark/>
          </w:tcPr>
          <w:p w14:paraId="506F4186"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12.9</w:t>
            </w:r>
          </w:p>
        </w:tc>
        <w:tc>
          <w:tcPr>
            <w:tcW w:w="983" w:type="dxa"/>
            <w:noWrap/>
            <w:vAlign w:val="center"/>
            <w:hideMark/>
          </w:tcPr>
          <w:p w14:paraId="57319542"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9.2</w:t>
            </w:r>
          </w:p>
        </w:tc>
      </w:tr>
      <w:tr w:rsidR="009D5D31" w:rsidRPr="00770F9D" w14:paraId="213B427F" w14:textId="77777777" w:rsidTr="00A054E3">
        <w:trPr>
          <w:trHeight w:val="271"/>
          <w:jc w:val="center"/>
        </w:trPr>
        <w:tc>
          <w:tcPr>
            <w:cnfStyle w:val="001000000000" w:firstRow="0" w:lastRow="0" w:firstColumn="1" w:lastColumn="0" w:oddVBand="0" w:evenVBand="0" w:oddHBand="0" w:evenHBand="0" w:firstRowFirstColumn="0" w:firstRowLastColumn="0" w:lastRowFirstColumn="0" w:lastRowLastColumn="0"/>
            <w:tcW w:w="4348" w:type="dxa"/>
            <w:tcBorders>
              <w:left w:val="none" w:sz="0" w:space="0" w:color="auto"/>
              <w:bottom w:val="none" w:sz="0" w:space="0" w:color="auto"/>
            </w:tcBorders>
            <w:noWrap/>
            <w:vAlign w:val="center"/>
            <w:hideMark/>
          </w:tcPr>
          <w:p w14:paraId="10B90F17" w14:textId="77777777" w:rsidR="009D5D31" w:rsidRPr="00770F9D" w:rsidRDefault="009D5D31" w:rsidP="0027139F">
            <w:pPr>
              <w:jc w:val="left"/>
              <w:rPr>
                <w:rFonts w:ascii="Garamond" w:eastAsia="Times New Roman" w:hAnsi="Garamond" w:cstheme="majorBidi"/>
                <w:i w:val="0"/>
                <w:color w:val="0D0D0D" w:themeColor="text1" w:themeTint="F2"/>
                <w:sz w:val="20"/>
                <w:szCs w:val="20"/>
                <w:lang w:val="sq-AL" w:eastAsia="en-GB"/>
              </w:rPr>
            </w:pPr>
            <w:r w:rsidRPr="00770F9D">
              <w:rPr>
                <w:rFonts w:ascii="Times New Roman" w:eastAsia="Times New Roman" w:hAnsi="Times New Roman" w:cs="Times New Roman"/>
                <w:i w:val="0"/>
                <w:color w:val="0D0D0D" w:themeColor="text1" w:themeTint="F2"/>
                <w:sz w:val="20"/>
                <w:szCs w:val="20"/>
                <w:lang w:val="sq-AL" w:eastAsia="en-GB"/>
              </w:rPr>
              <w:t>˗</w:t>
            </w:r>
            <w:r w:rsidRPr="00770F9D">
              <w:rPr>
                <w:rFonts w:ascii="Garamond" w:eastAsia="Times New Roman" w:hAnsi="Garamond" w:cstheme="majorBidi"/>
                <w:i w:val="0"/>
                <w:color w:val="0D0D0D" w:themeColor="text1" w:themeTint="F2"/>
                <w:sz w:val="20"/>
                <w:szCs w:val="20"/>
                <w:lang w:val="sq-AL" w:eastAsia="en-GB"/>
              </w:rPr>
              <w:t xml:space="preserve"> kredi n</w:t>
            </w:r>
            <w:r w:rsidRPr="00770F9D">
              <w:rPr>
                <w:rFonts w:ascii="Garamond" w:eastAsia="Times New Roman" w:hAnsi="Garamond" w:cs="Garamond"/>
                <w:i w:val="0"/>
                <w:color w:val="0D0D0D" w:themeColor="text1" w:themeTint="F2"/>
                <w:sz w:val="20"/>
                <w:szCs w:val="20"/>
                <w:lang w:val="sq-AL" w:eastAsia="en-GB"/>
              </w:rPr>
              <w:t>ë</w:t>
            </w:r>
            <w:r w:rsidRPr="00770F9D">
              <w:rPr>
                <w:rFonts w:ascii="Garamond" w:eastAsia="Times New Roman" w:hAnsi="Garamond" w:cstheme="majorBidi"/>
                <w:i w:val="0"/>
                <w:color w:val="0D0D0D" w:themeColor="text1" w:themeTint="F2"/>
                <w:sz w:val="20"/>
                <w:szCs w:val="20"/>
                <w:lang w:val="sq-AL" w:eastAsia="en-GB"/>
              </w:rPr>
              <w:t xml:space="preserve"> valut</w:t>
            </w:r>
            <w:r w:rsidRPr="00770F9D">
              <w:rPr>
                <w:rFonts w:ascii="Garamond" w:eastAsia="Times New Roman" w:hAnsi="Garamond" w:cs="Garamond"/>
                <w:i w:val="0"/>
                <w:color w:val="0D0D0D" w:themeColor="text1" w:themeTint="F2"/>
                <w:sz w:val="20"/>
                <w:szCs w:val="20"/>
                <w:lang w:val="sq-AL" w:eastAsia="en-GB"/>
              </w:rPr>
              <w:t>ë</w:t>
            </w:r>
            <w:r w:rsidRPr="00770F9D">
              <w:rPr>
                <w:rFonts w:ascii="Garamond" w:eastAsia="Times New Roman" w:hAnsi="Garamond" w:cstheme="majorBidi"/>
                <w:i w:val="0"/>
                <w:color w:val="0D0D0D" w:themeColor="text1" w:themeTint="F2"/>
                <w:sz w:val="20"/>
                <w:szCs w:val="20"/>
                <w:lang w:val="sq-AL" w:eastAsia="en-GB"/>
              </w:rPr>
              <w:t xml:space="preserve"> ndaj totalit t</w:t>
            </w:r>
            <w:r w:rsidRPr="00770F9D">
              <w:rPr>
                <w:rFonts w:ascii="Garamond" w:eastAsia="Times New Roman" w:hAnsi="Garamond" w:cs="Garamond"/>
                <w:i w:val="0"/>
                <w:color w:val="0D0D0D" w:themeColor="text1" w:themeTint="F2"/>
                <w:sz w:val="20"/>
                <w:szCs w:val="20"/>
                <w:lang w:val="sq-AL" w:eastAsia="en-GB"/>
              </w:rPr>
              <w:t>ë</w:t>
            </w:r>
            <w:r w:rsidRPr="00770F9D">
              <w:rPr>
                <w:rFonts w:ascii="Garamond" w:eastAsia="Times New Roman" w:hAnsi="Garamond" w:cstheme="majorBidi"/>
                <w:i w:val="0"/>
                <w:color w:val="0D0D0D" w:themeColor="text1" w:themeTint="F2"/>
                <w:sz w:val="20"/>
                <w:szCs w:val="20"/>
                <w:lang w:val="sq-AL" w:eastAsia="en-GB"/>
              </w:rPr>
              <w:t xml:space="preserve"> kredis</w:t>
            </w:r>
            <w:r w:rsidRPr="00770F9D">
              <w:rPr>
                <w:rFonts w:ascii="Garamond" w:eastAsia="Times New Roman" w:hAnsi="Garamond" w:cs="Garamond"/>
                <w:i w:val="0"/>
                <w:color w:val="0D0D0D" w:themeColor="text1" w:themeTint="F2"/>
                <w:sz w:val="20"/>
                <w:szCs w:val="20"/>
                <w:lang w:val="sq-AL" w:eastAsia="en-GB"/>
              </w:rPr>
              <w:t>ë</w:t>
            </w:r>
          </w:p>
        </w:tc>
        <w:tc>
          <w:tcPr>
            <w:tcW w:w="1049" w:type="dxa"/>
            <w:noWrap/>
            <w:vAlign w:val="center"/>
            <w:hideMark/>
          </w:tcPr>
          <w:p w14:paraId="2684978F"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56.4</w:t>
            </w:r>
          </w:p>
        </w:tc>
        <w:tc>
          <w:tcPr>
            <w:tcW w:w="810" w:type="dxa"/>
            <w:noWrap/>
            <w:vAlign w:val="center"/>
            <w:hideMark/>
          </w:tcPr>
          <w:p w14:paraId="47B71740"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56.1</w:t>
            </w:r>
          </w:p>
        </w:tc>
        <w:tc>
          <w:tcPr>
            <w:tcW w:w="810" w:type="dxa"/>
            <w:noWrap/>
            <w:vAlign w:val="center"/>
            <w:hideMark/>
          </w:tcPr>
          <w:p w14:paraId="5603C4F8"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51.2</w:t>
            </w:r>
          </w:p>
        </w:tc>
        <w:tc>
          <w:tcPr>
            <w:tcW w:w="810" w:type="dxa"/>
            <w:noWrap/>
            <w:vAlign w:val="center"/>
            <w:hideMark/>
          </w:tcPr>
          <w:p w14:paraId="69A84C50"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50.3</w:t>
            </w:r>
          </w:p>
        </w:tc>
        <w:tc>
          <w:tcPr>
            <w:tcW w:w="810" w:type="dxa"/>
            <w:noWrap/>
            <w:vAlign w:val="center"/>
            <w:hideMark/>
          </w:tcPr>
          <w:p w14:paraId="78847A51"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51.1</w:t>
            </w:r>
          </w:p>
        </w:tc>
        <w:tc>
          <w:tcPr>
            <w:tcW w:w="983" w:type="dxa"/>
            <w:noWrap/>
            <w:vAlign w:val="center"/>
            <w:hideMark/>
          </w:tcPr>
          <w:p w14:paraId="0D556CCA"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51.3</w:t>
            </w:r>
          </w:p>
        </w:tc>
      </w:tr>
      <w:tr w:rsidR="009D5D31" w:rsidRPr="00770F9D" w14:paraId="5CAD4F31" w14:textId="77777777" w:rsidTr="00A054E3">
        <w:trPr>
          <w:cnfStyle w:val="000000100000" w:firstRow="0" w:lastRow="0" w:firstColumn="0" w:lastColumn="0" w:oddVBand="0" w:evenVBand="0" w:oddHBand="1"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4348" w:type="dxa"/>
            <w:tcBorders>
              <w:left w:val="none" w:sz="0" w:space="0" w:color="auto"/>
              <w:bottom w:val="none" w:sz="0" w:space="0" w:color="auto"/>
            </w:tcBorders>
            <w:noWrap/>
            <w:vAlign w:val="center"/>
            <w:hideMark/>
          </w:tcPr>
          <w:p w14:paraId="7972D60E" w14:textId="77777777" w:rsidR="009D5D31" w:rsidRPr="00770F9D" w:rsidRDefault="009D5D31" w:rsidP="0027139F">
            <w:pPr>
              <w:jc w:val="left"/>
              <w:rPr>
                <w:rFonts w:ascii="Garamond" w:eastAsia="Times New Roman" w:hAnsi="Garamond" w:cstheme="majorBidi"/>
                <w:i w:val="0"/>
                <w:color w:val="0D0D0D" w:themeColor="text1" w:themeTint="F2"/>
                <w:sz w:val="20"/>
                <w:szCs w:val="20"/>
                <w:lang w:val="sq-AL" w:eastAsia="en-GB"/>
              </w:rPr>
            </w:pPr>
            <w:r w:rsidRPr="00770F9D">
              <w:rPr>
                <w:rFonts w:ascii="Times New Roman" w:eastAsia="Times New Roman" w:hAnsi="Times New Roman" w:cs="Times New Roman"/>
                <w:i w:val="0"/>
                <w:color w:val="0D0D0D" w:themeColor="text1" w:themeTint="F2"/>
                <w:sz w:val="20"/>
                <w:szCs w:val="20"/>
                <w:lang w:val="sq-AL" w:eastAsia="en-GB"/>
              </w:rPr>
              <w:t>˗</w:t>
            </w:r>
            <w:r w:rsidRPr="00770F9D">
              <w:rPr>
                <w:rFonts w:ascii="Garamond" w:eastAsia="Times New Roman" w:hAnsi="Garamond" w:cstheme="majorBidi"/>
                <w:i w:val="0"/>
                <w:color w:val="0D0D0D" w:themeColor="text1" w:themeTint="F2"/>
                <w:sz w:val="20"/>
                <w:szCs w:val="20"/>
                <w:lang w:val="sq-AL" w:eastAsia="en-GB"/>
              </w:rPr>
              <w:t xml:space="preserve"> pozicioni i hapur neto n</w:t>
            </w:r>
            <w:r w:rsidRPr="00770F9D">
              <w:rPr>
                <w:rFonts w:ascii="Garamond" w:eastAsia="Times New Roman" w:hAnsi="Garamond" w:cs="Garamond"/>
                <w:i w:val="0"/>
                <w:color w:val="0D0D0D" w:themeColor="text1" w:themeTint="F2"/>
                <w:sz w:val="20"/>
                <w:szCs w:val="20"/>
                <w:lang w:val="sq-AL" w:eastAsia="en-GB"/>
              </w:rPr>
              <w:t>ë</w:t>
            </w:r>
            <w:r w:rsidRPr="00770F9D">
              <w:rPr>
                <w:rFonts w:ascii="Garamond" w:eastAsia="Times New Roman" w:hAnsi="Garamond" w:cstheme="majorBidi"/>
                <w:i w:val="0"/>
                <w:color w:val="0D0D0D" w:themeColor="text1" w:themeTint="F2"/>
                <w:sz w:val="20"/>
                <w:szCs w:val="20"/>
                <w:lang w:val="sq-AL" w:eastAsia="en-GB"/>
              </w:rPr>
              <w:t xml:space="preserve"> valut</w:t>
            </w:r>
            <w:r w:rsidRPr="00770F9D">
              <w:rPr>
                <w:rFonts w:ascii="Garamond" w:eastAsia="Times New Roman" w:hAnsi="Garamond" w:cs="Garamond"/>
                <w:i w:val="0"/>
                <w:color w:val="0D0D0D" w:themeColor="text1" w:themeTint="F2"/>
                <w:sz w:val="20"/>
                <w:szCs w:val="20"/>
                <w:lang w:val="sq-AL" w:eastAsia="en-GB"/>
              </w:rPr>
              <w:t>ë</w:t>
            </w:r>
            <w:r w:rsidRPr="00770F9D">
              <w:rPr>
                <w:rFonts w:ascii="Garamond" w:eastAsia="Times New Roman" w:hAnsi="Garamond" w:cstheme="majorBidi"/>
                <w:i w:val="0"/>
                <w:color w:val="0D0D0D" w:themeColor="text1" w:themeTint="F2"/>
                <w:sz w:val="20"/>
                <w:szCs w:val="20"/>
                <w:lang w:val="sq-AL" w:eastAsia="en-GB"/>
              </w:rPr>
              <w:t xml:space="preserve"> ndaj kapitalit rregullator</w:t>
            </w:r>
          </w:p>
        </w:tc>
        <w:tc>
          <w:tcPr>
            <w:tcW w:w="1049" w:type="dxa"/>
            <w:noWrap/>
            <w:vAlign w:val="center"/>
            <w:hideMark/>
          </w:tcPr>
          <w:p w14:paraId="458AC1B5"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6.68</w:t>
            </w:r>
          </w:p>
        </w:tc>
        <w:tc>
          <w:tcPr>
            <w:tcW w:w="810" w:type="dxa"/>
            <w:noWrap/>
            <w:vAlign w:val="center"/>
            <w:hideMark/>
          </w:tcPr>
          <w:p w14:paraId="773628DF"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7.78</w:t>
            </w:r>
          </w:p>
        </w:tc>
        <w:tc>
          <w:tcPr>
            <w:tcW w:w="810" w:type="dxa"/>
            <w:noWrap/>
            <w:vAlign w:val="center"/>
            <w:hideMark/>
          </w:tcPr>
          <w:p w14:paraId="73CAF755"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7.43</w:t>
            </w:r>
          </w:p>
        </w:tc>
        <w:tc>
          <w:tcPr>
            <w:tcW w:w="810" w:type="dxa"/>
            <w:noWrap/>
            <w:vAlign w:val="center"/>
            <w:hideMark/>
          </w:tcPr>
          <w:p w14:paraId="4C7F6FB0"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8.44</w:t>
            </w:r>
          </w:p>
        </w:tc>
        <w:tc>
          <w:tcPr>
            <w:tcW w:w="810" w:type="dxa"/>
            <w:noWrap/>
            <w:vAlign w:val="center"/>
            <w:hideMark/>
          </w:tcPr>
          <w:p w14:paraId="4FEC9DDC"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9.2</w:t>
            </w:r>
          </w:p>
        </w:tc>
        <w:tc>
          <w:tcPr>
            <w:tcW w:w="983" w:type="dxa"/>
            <w:noWrap/>
            <w:vAlign w:val="center"/>
            <w:hideMark/>
          </w:tcPr>
          <w:p w14:paraId="4370E27B" w14:textId="77777777" w:rsidR="009D5D31" w:rsidRPr="00770F9D" w:rsidRDefault="009D5D31" w:rsidP="00BA401D">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8.82</w:t>
            </w:r>
          </w:p>
        </w:tc>
      </w:tr>
      <w:tr w:rsidR="009D5D31" w:rsidRPr="00770F9D" w14:paraId="3B08CDEF" w14:textId="77777777" w:rsidTr="00A054E3">
        <w:trPr>
          <w:trHeight w:val="285"/>
          <w:jc w:val="center"/>
        </w:trPr>
        <w:tc>
          <w:tcPr>
            <w:cnfStyle w:val="001000000000" w:firstRow="0" w:lastRow="0" w:firstColumn="1" w:lastColumn="0" w:oddVBand="0" w:evenVBand="0" w:oddHBand="0" w:evenHBand="0" w:firstRowFirstColumn="0" w:firstRowLastColumn="0" w:lastRowFirstColumn="0" w:lastRowLastColumn="0"/>
            <w:tcW w:w="4348" w:type="dxa"/>
            <w:tcBorders>
              <w:left w:val="none" w:sz="0" w:space="0" w:color="auto"/>
              <w:bottom w:val="none" w:sz="0" w:space="0" w:color="auto"/>
            </w:tcBorders>
            <w:noWrap/>
            <w:vAlign w:val="center"/>
            <w:hideMark/>
          </w:tcPr>
          <w:p w14:paraId="7FC3E1B7" w14:textId="77777777" w:rsidR="009D5D31" w:rsidRPr="00770F9D" w:rsidRDefault="009D5D31" w:rsidP="0027139F">
            <w:pPr>
              <w:jc w:val="left"/>
              <w:rPr>
                <w:rFonts w:ascii="Garamond" w:eastAsia="Times New Roman" w:hAnsi="Garamond" w:cstheme="majorBidi"/>
                <w:i w:val="0"/>
                <w:color w:val="0D0D0D" w:themeColor="text1" w:themeTint="F2"/>
                <w:sz w:val="20"/>
                <w:szCs w:val="20"/>
                <w:lang w:val="sq-AL" w:eastAsia="en-GB"/>
              </w:rPr>
            </w:pPr>
            <w:r w:rsidRPr="00770F9D">
              <w:rPr>
                <w:rFonts w:ascii="Times New Roman" w:eastAsia="Times New Roman" w:hAnsi="Times New Roman" w:cs="Times New Roman"/>
                <w:i w:val="0"/>
                <w:color w:val="0D0D0D" w:themeColor="text1" w:themeTint="F2"/>
                <w:sz w:val="20"/>
                <w:szCs w:val="20"/>
                <w:lang w:val="sq-AL" w:eastAsia="en-GB"/>
              </w:rPr>
              <w:t>˗</w:t>
            </w:r>
            <w:r w:rsidRPr="00770F9D">
              <w:rPr>
                <w:rFonts w:ascii="Garamond" w:eastAsia="Times New Roman" w:hAnsi="Garamond" w:cstheme="majorBidi"/>
                <w:i w:val="0"/>
                <w:color w:val="0D0D0D" w:themeColor="text1" w:themeTint="F2"/>
                <w:sz w:val="20"/>
                <w:szCs w:val="20"/>
                <w:lang w:val="sq-AL" w:eastAsia="en-GB"/>
              </w:rPr>
              <w:t xml:space="preserve"> pozicioni neto i hapur i normave t</w:t>
            </w:r>
            <w:r w:rsidRPr="00770F9D">
              <w:rPr>
                <w:rFonts w:ascii="Garamond" w:eastAsia="Times New Roman" w:hAnsi="Garamond" w:cs="Garamond"/>
                <w:i w:val="0"/>
                <w:color w:val="0D0D0D" w:themeColor="text1" w:themeTint="F2"/>
                <w:sz w:val="20"/>
                <w:szCs w:val="20"/>
                <w:lang w:val="sq-AL" w:eastAsia="en-GB"/>
              </w:rPr>
              <w:t>ë</w:t>
            </w:r>
            <w:r w:rsidRPr="00770F9D">
              <w:rPr>
                <w:rFonts w:ascii="Garamond" w:eastAsia="Times New Roman" w:hAnsi="Garamond" w:cstheme="majorBidi"/>
                <w:i w:val="0"/>
                <w:color w:val="0D0D0D" w:themeColor="text1" w:themeTint="F2"/>
                <w:sz w:val="20"/>
                <w:szCs w:val="20"/>
                <w:lang w:val="sq-AL" w:eastAsia="en-GB"/>
              </w:rPr>
              <w:t xml:space="preserve"> interesit ndaj kapitalit rregullator</w:t>
            </w:r>
          </w:p>
        </w:tc>
        <w:tc>
          <w:tcPr>
            <w:tcW w:w="1049" w:type="dxa"/>
            <w:noWrap/>
            <w:vAlign w:val="center"/>
            <w:hideMark/>
          </w:tcPr>
          <w:p w14:paraId="18B71E4C"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-1.51</w:t>
            </w:r>
          </w:p>
        </w:tc>
        <w:tc>
          <w:tcPr>
            <w:tcW w:w="810" w:type="dxa"/>
            <w:noWrap/>
            <w:vAlign w:val="center"/>
            <w:hideMark/>
          </w:tcPr>
          <w:p w14:paraId="441203FB"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2.44</w:t>
            </w:r>
          </w:p>
        </w:tc>
        <w:tc>
          <w:tcPr>
            <w:tcW w:w="810" w:type="dxa"/>
            <w:noWrap/>
            <w:vAlign w:val="center"/>
            <w:hideMark/>
          </w:tcPr>
          <w:p w14:paraId="022F7AC5"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2.93</w:t>
            </w:r>
          </w:p>
        </w:tc>
        <w:tc>
          <w:tcPr>
            <w:tcW w:w="810" w:type="dxa"/>
            <w:noWrap/>
            <w:vAlign w:val="center"/>
            <w:hideMark/>
          </w:tcPr>
          <w:p w14:paraId="72858F16"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4.33</w:t>
            </w:r>
          </w:p>
        </w:tc>
        <w:tc>
          <w:tcPr>
            <w:tcW w:w="810" w:type="dxa"/>
            <w:noWrap/>
            <w:vAlign w:val="center"/>
            <w:hideMark/>
          </w:tcPr>
          <w:p w14:paraId="08CF2FB1"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5.84</w:t>
            </w:r>
          </w:p>
        </w:tc>
        <w:tc>
          <w:tcPr>
            <w:tcW w:w="983" w:type="dxa"/>
            <w:noWrap/>
            <w:vAlign w:val="center"/>
            <w:hideMark/>
          </w:tcPr>
          <w:p w14:paraId="0F6544B0" w14:textId="77777777" w:rsidR="009D5D31" w:rsidRPr="00770F9D" w:rsidRDefault="009D5D31" w:rsidP="00BA401D">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3.97</w:t>
            </w:r>
          </w:p>
        </w:tc>
      </w:tr>
    </w:tbl>
    <w:p w14:paraId="5BD113ED" w14:textId="1383712B" w:rsidR="009D5D31" w:rsidRPr="00770F9D" w:rsidRDefault="009D5D31" w:rsidP="005674F2">
      <w:pPr>
        <w:ind w:firstLine="284"/>
        <w:jc w:val="both"/>
        <w:rPr>
          <w:rFonts w:ascii="Garamond" w:hAnsi="Garamond" w:cstheme="majorBidi"/>
          <w:i/>
          <w:color w:val="0D0D0D" w:themeColor="text1" w:themeTint="F2"/>
          <w:sz w:val="20"/>
          <w:szCs w:val="20"/>
        </w:rPr>
      </w:pPr>
      <w:r w:rsidRPr="00770F9D">
        <w:rPr>
          <w:rFonts w:ascii="Garamond" w:eastAsia="Times New Roman" w:hAnsi="Garamond" w:cstheme="majorBidi"/>
          <w:i/>
          <w:iCs/>
          <w:color w:val="0D0D0D" w:themeColor="text1" w:themeTint="F2"/>
          <w:sz w:val="20"/>
          <w:szCs w:val="20"/>
          <w:lang w:eastAsia="en-GB"/>
        </w:rPr>
        <w:t>* Gusht</w:t>
      </w:r>
      <w:r w:rsidR="00BA401D" w:rsidRPr="00770F9D">
        <w:rPr>
          <w:rFonts w:ascii="Garamond" w:eastAsia="Times New Roman" w:hAnsi="Garamond" w:cstheme="majorBidi"/>
          <w:i/>
          <w:iCs/>
          <w:color w:val="0D0D0D" w:themeColor="text1" w:themeTint="F2"/>
          <w:sz w:val="20"/>
          <w:szCs w:val="20"/>
          <w:lang w:eastAsia="en-GB"/>
        </w:rPr>
        <w:t xml:space="preserve"> –</w:t>
      </w:r>
      <w:r w:rsidRPr="00770F9D">
        <w:rPr>
          <w:rFonts w:ascii="Garamond" w:eastAsia="Times New Roman" w:hAnsi="Garamond" w:cstheme="majorBidi"/>
          <w:i/>
          <w:iCs/>
          <w:color w:val="0D0D0D" w:themeColor="text1" w:themeTint="F2"/>
          <w:sz w:val="20"/>
          <w:szCs w:val="20"/>
          <w:lang w:eastAsia="en-GB"/>
        </w:rPr>
        <w:t xml:space="preserve"> muaji i fundit i raportimit për treguesit mujorë; Qershor</w:t>
      </w:r>
      <w:r w:rsidR="00BA401D" w:rsidRPr="00770F9D">
        <w:rPr>
          <w:rFonts w:ascii="Garamond" w:eastAsia="Times New Roman" w:hAnsi="Garamond" w:cstheme="majorBidi"/>
          <w:i/>
          <w:iCs/>
          <w:color w:val="0D0D0D" w:themeColor="text1" w:themeTint="F2"/>
          <w:sz w:val="20"/>
          <w:szCs w:val="20"/>
          <w:lang w:eastAsia="en-GB"/>
        </w:rPr>
        <w:t xml:space="preserve"> –</w:t>
      </w:r>
      <w:r w:rsidRPr="00770F9D">
        <w:rPr>
          <w:rFonts w:ascii="Garamond" w:eastAsia="Times New Roman" w:hAnsi="Garamond" w:cstheme="majorBidi"/>
          <w:i/>
          <w:iCs/>
          <w:color w:val="0D0D0D" w:themeColor="text1" w:themeTint="F2"/>
          <w:sz w:val="20"/>
          <w:szCs w:val="20"/>
          <w:lang w:eastAsia="en-GB"/>
        </w:rPr>
        <w:t xml:space="preserve"> për treguesit tremujorë</w:t>
      </w:r>
    </w:p>
    <w:p w14:paraId="7EF65D96" w14:textId="77777777" w:rsidR="009D5D31" w:rsidRPr="00770F9D" w:rsidRDefault="009D5D31" w:rsidP="005674F2">
      <w:pPr>
        <w:ind w:firstLine="284"/>
        <w:jc w:val="both"/>
        <w:rPr>
          <w:rFonts w:ascii="Garamond" w:hAnsi="Garamond" w:cstheme="majorBidi"/>
          <w:i/>
          <w:color w:val="0D0D0D" w:themeColor="text1" w:themeTint="F2"/>
        </w:rPr>
      </w:pPr>
    </w:p>
    <w:p w14:paraId="4C713250" w14:textId="44C80767" w:rsidR="009D5D31" w:rsidRPr="00770F9D" w:rsidRDefault="009D5D31" w:rsidP="00D2287D">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Gjatë gjysmës së parë të vitit 2022, pesha e aktiveve të sistemit financiar ndaj PBB-së ra me 6 </w:t>
      </w:r>
      <w:r w:rsidR="00EE365D" w:rsidRPr="00770F9D">
        <w:rPr>
          <w:rFonts w:ascii="Garamond" w:hAnsi="Garamond" w:cstheme="majorBidi"/>
          <w:color w:val="0D0D0D" w:themeColor="text1" w:themeTint="F2"/>
        </w:rPr>
        <w:t>pikë përqindjeje</w:t>
      </w:r>
      <w:r w:rsidRPr="00770F9D">
        <w:rPr>
          <w:rFonts w:ascii="Garamond" w:hAnsi="Garamond" w:cstheme="majorBidi"/>
          <w:color w:val="0D0D0D" w:themeColor="text1" w:themeTint="F2"/>
        </w:rPr>
        <w:t xml:space="preserve"> në 99.2%. Kjo ecuri reflekton rritjen më të lartë vjetore të PBB-së krahasuar me rritjen e aktiveve të sistemit financiar. Të gjith</w:t>
      </w:r>
      <w:r w:rsidR="00D2287D" w:rsidRPr="00770F9D">
        <w:rPr>
          <w:rFonts w:ascii="Garamond" w:hAnsi="Garamond" w:cstheme="majorBidi"/>
          <w:color w:val="0D0D0D" w:themeColor="text1" w:themeTint="F2"/>
        </w:rPr>
        <w:t xml:space="preserve">a </w:t>
      </w:r>
      <w:r w:rsidRPr="00770F9D">
        <w:rPr>
          <w:rFonts w:ascii="Garamond" w:hAnsi="Garamond" w:cstheme="majorBidi"/>
          <w:color w:val="0D0D0D" w:themeColor="text1" w:themeTint="F2"/>
        </w:rPr>
        <w:t xml:space="preserve">segmentet e aktiveve financiare me përjashtim të fondeve të investimit, kanë raportuar rritje të aktivitetit të tyre gjatë periudhës. Brenda sistemit financiar, sektori bankar vijon të dominojë me rreth 90% të totalit të aktiveve të sistemit financiar. Ekspozimi i sektorit bankar ndaj sektorit jobankar mbetet i ulët dhe i qëndrueshëm, ndërsa ndjeshmëria e sektorit jobankar ndaj aktivitetit të sektorit bankar mbetet e lartë. </w:t>
      </w:r>
    </w:p>
    <w:p w14:paraId="32C064AB" w14:textId="77777777" w:rsidR="005B1113" w:rsidRPr="00770F9D" w:rsidRDefault="005B1113" w:rsidP="003F46E1">
      <w:pPr>
        <w:ind w:firstLine="284"/>
        <w:jc w:val="both"/>
        <w:rPr>
          <w:rFonts w:ascii="Garamond" w:eastAsia="Times New Roman" w:hAnsi="Garamond" w:cstheme="majorBidi"/>
          <w:b/>
          <w:bCs/>
          <w:i/>
          <w:iCs/>
          <w:color w:val="0D0D0D" w:themeColor="text1" w:themeTint="F2"/>
          <w:lang w:eastAsia="en-GB"/>
        </w:rPr>
      </w:pPr>
    </w:p>
    <w:p w14:paraId="19E2CCB0" w14:textId="77777777" w:rsidR="005B1113" w:rsidRPr="00770F9D" w:rsidRDefault="005B1113" w:rsidP="003F46E1">
      <w:pPr>
        <w:ind w:firstLine="284"/>
        <w:jc w:val="both"/>
        <w:rPr>
          <w:rFonts w:ascii="Garamond" w:eastAsia="Times New Roman" w:hAnsi="Garamond" w:cstheme="majorBidi"/>
          <w:b/>
          <w:bCs/>
          <w:i/>
          <w:iCs/>
          <w:color w:val="0D0D0D" w:themeColor="text1" w:themeTint="F2"/>
          <w:lang w:eastAsia="en-GB"/>
        </w:rPr>
      </w:pPr>
    </w:p>
    <w:p w14:paraId="2CD34A3D" w14:textId="5C54C6CE" w:rsidR="005B1113" w:rsidRPr="00770F9D" w:rsidRDefault="005B1113" w:rsidP="003F46E1">
      <w:pPr>
        <w:ind w:firstLine="284"/>
        <w:jc w:val="both"/>
        <w:rPr>
          <w:rFonts w:ascii="Garamond" w:eastAsia="Times New Roman" w:hAnsi="Garamond" w:cstheme="majorBidi"/>
          <w:b/>
          <w:bCs/>
          <w:i/>
          <w:iCs/>
          <w:color w:val="0D0D0D" w:themeColor="text1" w:themeTint="F2"/>
          <w:lang w:eastAsia="en-GB"/>
        </w:rPr>
      </w:pPr>
    </w:p>
    <w:p w14:paraId="3B5BBC8E" w14:textId="77777777" w:rsidR="00A054E3" w:rsidRPr="00770F9D" w:rsidRDefault="00A054E3" w:rsidP="003F46E1">
      <w:pPr>
        <w:ind w:firstLine="284"/>
        <w:jc w:val="both"/>
        <w:rPr>
          <w:rFonts w:ascii="Garamond" w:eastAsia="Times New Roman" w:hAnsi="Garamond" w:cstheme="majorBidi"/>
          <w:b/>
          <w:bCs/>
          <w:i/>
          <w:iCs/>
          <w:color w:val="0D0D0D" w:themeColor="text1" w:themeTint="F2"/>
          <w:lang w:eastAsia="en-GB"/>
        </w:rPr>
      </w:pPr>
    </w:p>
    <w:p w14:paraId="40D3D8E2" w14:textId="77777777" w:rsidR="005B1113" w:rsidRPr="00770F9D" w:rsidRDefault="005B1113" w:rsidP="003F46E1">
      <w:pPr>
        <w:ind w:firstLine="284"/>
        <w:jc w:val="both"/>
        <w:rPr>
          <w:rFonts w:ascii="Garamond" w:eastAsia="Times New Roman" w:hAnsi="Garamond" w:cstheme="majorBidi"/>
          <w:b/>
          <w:bCs/>
          <w:i/>
          <w:iCs/>
          <w:color w:val="0D0D0D" w:themeColor="text1" w:themeTint="F2"/>
          <w:lang w:eastAsia="en-GB"/>
        </w:rPr>
      </w:pPr>
    </w:p>
    <w:p w14:paraId="1A341DF6" w14:textId="77777777" w:rsidR="005B1113" w:rsidRPr="00770F9D" w:rsidRDefault="005B1113" w:rsidP="003F46E1">
      <w:pPr>
        <w:ind w:firstLine="284"/>
        <w:jc w:val="both"/>
        <w:rPr>
          <w:rFonts w:ascii="Garamond" w:eastAsia="Times New Roman" w:hAnsi="Garamond" w:cstheme="majorBidi"/>
          <w:b/>
          <w:bCs/>
          <w:i/>
          <w:iCs/>
          <w:color w:val="0D0D0D" w:themeColor="text1" w:themeTint="F2"/>
          <w:lang w:eastAsia="en-GB"/>
        </w:rPr>
      </w:pPr>
    </w:p>
    <w:p w14:paraId="05BE06DF" w14:textId="77777777" w:rsidR="009D5D31" w:rsidRPr="00770F9D" w:rsidRDefault="009D5D31" w:rsidP="003F46E1">
      <w:pPr>
        <w:ind w:firstLine="284"/>
        <w:jc w:val="both"/>
        <w:rPr>
          <w:rFonts w:ascii="Garamond" w:eastAsia="Times New Roman" w:hAnsi="Garamond" w:cstheme="majorBidi"/>
          <w:b/>
          <w:bCs/>
          <w:i/>
          <w:iCs/>
          <w:color w:val="0D0D0D" w:themeColor="text1" w:themeTint="F2"/>
          <w:lang w:eastAsia="en-GB"/>
        </w:rPr>
      </w:pPr>
      <w:r w:rsidRPr="00770F9D">
        <w:rPr>
          <w:rFonts w:ascii="Garamond" w:eastAsia="Times New Roman" w:hAnsi="Garamond" w:cstheme="majorBidi"/>
          <w:b/>
          <w:bCs/>
          <w:i/>
          <w:iCs/>
          <w:color w:val="0D0D0D" w:themeColor="text1" w:themeTint="F2"/>
          <w:lang w:eastAsia="en-GB"/>
        </w:rPr>
        <w:t>Aktivet e sistemit financiar ndaj PBB-së</w:t>
      </w:r>
    </w:p>
    <w:tbl>
      <w:tblPr>
        <w:tblStyle w:val="GridTable3-Accent11"/>
        <w:tblW w:w="0" w:type="auto"/>
        <w:jc w:val="center"/>
        <w:tblBorders>
          <w:top w:val="single" w:sz="4" w:space="0" w:color="B8CCE4" w:themeColor="accent1" w:themeTint="66"/>
          <w:left w:val="none" w:sz="0" w:space="0" w:color="auto"/>
          <w:bottom w:val="single" w:sz="4" w:space="0" w:color="B8CCE4" w:themeColor="accent1" w:themeTint="66"/>
          <w:right w:val="none" w:sz="0" w:space="0" w:color="auto"/>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1383"/>
        <w:gridCol w:w="935"/>
        <w:gridCol w:w="697"/>
        <w:gridCol w:w="950"/>
        <w:gridCol w:w="1207"/>
        <w:gridCol w:w="1160"/>
        <w:gridCol w:w="1312"/>
        <w:gridCol w:w="1643"/>
      </w:tblGrid>
      <w:tr w:rsidR="009D5D31" w:rsidRPr="00770F9D" w14:paraId="602BB303" w14:textId="77777777" w:rsidTr="00C56DD0">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100" w:firstRow="0" w:lastRow="0" w:firstColumn="1" w:lastColumn="0" w:oddVBand="0" w:evenVBand="0" w:oddHBand="0" w:evenHBand="0" w:firstRowFirstColumn="1" w:firstRowLastColumn="0" w:lastRowFirstColumn="0" w:lastRowLastColumn="0"/>
            <w:tcW w:w="0" w:type="auto"/>
            <w:tcBorders>
              <w:top w:val="none" w:sz="0" w:space="0" w:color="auto"/>
              <w:left w:val="none" w:sz="0" w:space="0" w:color="auto"/>
              <w:bottom w:val="none" w:sz="0" w:space="0" w:color="auto"/>
              <w:right w:val="none" w:sz="0" w:space="0" w:color="auto"/>
            </w:tcBorders>
            <w:vAlign w:val="center"/>
            <w:hideMark/>
          </w:tcPr>
          <w:p w14:paraId="661A58EC" w14:textId="77777777" w:rsidR="009D5D31" w:rsidRPr="00770F9D" w:rsidRDefault="009D5D31" w:rsidP="00C56DD0">
            <w:pPr>
              <w:jc w:val="center"/>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Autoriteti Mbikëqyrës</w:t>
            </w:r>
          </w:p>
        </w:tc>
        <w:tc>
          <w:tcPr>
            <w:tcW w:w="0" w:type="auto"/>
            <w:gridSpan w:val="3"/>
            <w:tcBorders>
              <w:top w:val="none" w:sz="0" w:space="0" w:color="auto"/>
              <w:left w:val="none" w:sz="0" w:space="0" w:color="auto"/>
              <w:right w:val="none" w:sz="0" w:space="0" w:color="auto"/>
            </w:tcBorders>
            <w:vAlign w:val="center"/>
            <w:hideMark/>
          </w:tcPr>
          <w:p w14:paraId="1BD2539E" w14:textId="77777777" w:rsidR="009D5D31" w:rsidRPr="00770F9D" w:rsidRDefault="009D5D31" w:rsidP="00C56DD0">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Banka e Shqipërisë</w:t>
            </w:r>
          </w:p>
          <w:p w14:paraId="6EDE8DDE" w14:textId="77777777" w:rsidR="009D5D31" w:rsidRPr="00770F9D" w:rsidRDefault="009D5D31" w:rsidP="00C56DD0">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p>
        </w:tc>
        <w:tc>
          <w:tcPr>
            <w:tcW w:w="4289" w:type="dxa"/>
            <w:gridSpan w:val="3"/>
            <w:tcBorders>
              <w:top w:val="none" w:sz="0" w:space="0" w:color="auto"/>
              <w:left w:val="none" w:sz="0" w:space="0" w:color="auto"/>
              <w:right w:val="none" w:sz="0" w:space="0" w:color="auto"/>
            </w:tcBorders>
            <w:vAlign w:val="center"/>
            <w:hideMark/>
          </w:tcPr>
          <w:p w14:paraId="6AF563B3" w14:textId="77777777" w:rsidR="009D5D31" w:rsidRPr="00770F9D" w:rsidRDefault="009D5D31" w:rsidP="00C56DD0">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Autoriteti i Mbikëqyrjes Financiare</w:t>
            </w:r>
          </w:p>
        </w:tc>
        <w:tc>
          <w:tcPr>
            <w:tcW w:w="1643" w:type="dxa"/>
            <w:tcBorders>
              <w:top w:val="none" w:sz="0" w:space="0" w:color="auto"/>
              <w:left w:val="none" w:sz="0" w:space="0" w:color="auto"/>
              <w:right w:val="none" w:sz="0" w:space="0" w:color="auto"/>
            </w:tcBorders>
            <w:vAlign w:val="center"/>
            <w:hideMark/>
          </w:tcPr>
          <w:p w14:paraId="62FEB326" w14:textId="77777777" w:rsidR="009D5D31" w:rsidRPr="00770F9D" w:rsidRDefault="009D5D31" w:rsidP="00C56DD0">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Ndërmjetësimi financiar</w:t>
            </w:r>
          </w:p>
        </w:tc>
      </w:tr>
      <w:tr w:rsidR="009D5D31" w:rsidRPr="00770F9D" w14:paraId="15241C32" w14:textId="77777777" w:rsidTr="00C56DD0">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vAlign w:val="center"/>
            <w:hideMark/>
          </w:tcPr>
          <w:p w14:paraId="077F5DC0" w14:textId="77777777" w:rsidR="009D5D31" w:rsidRPr="00770F9D" w:rsidRDefault="009D5D31" w:rsidP="00C56DD0">
            <w:pPr>
              <w:jc w:val="center"/>
              <w:rPr>
                <w:rFonts w:ascii="Garamond" w:eastAsia="Times New Roman" w:hAnsi="Garamond" w:cstheme="majorBidi"/>
                <w:b/>
                <w:bCs/>
                <w:color w:val="0D0D0D" w:themeColor="text1" w:themeTint="F2"/>
                <w:sz w:val="20"/>
                <w:szCs w:val="20"/>
                <w:lang w:val="sq-AL" w:eastAsia="en-GB"/>
              </w:rPr>
            </w:pPr>
            <w:r w:rsidRPr="00770F9D">
              <w:rPr>
                <w:rFonts w:ascii="Garamond" w:eastAsia="Times New Roman" w:hAnsi="Garamond" w:cstheme="majorBidi"/>
                <w:b/>
                <w:bCs/>
                <w:color w:val="0D0D0D" w:themeColor="text1" w:themeTint="F2"/>
                <w:sz w:val="20"/>
                <w:szCs w:val="20"/>
                <w:lang w:val="sq-AL" w:eastAsia="en-GB"/>
              </w:rPr>
              <w:t>Sistemi financiar</w:t>
            </w:r>
          </w:p>
        </w:tc>
        <w:tc>
          <w:tcPr>
            <w:tcW w:w="0" w:type="auto"/>
            <w:vAlign w:val="center"/>
            <w:hideMark/>
          </w:tcPr>
          <w:p w14:paraId="3C3C3231" w14:textId="77777777" w:rsidR="009D5D31" w:rsidRPr="00770F9D" w:rsidRDefault="009D5D31" w:rsidP="00C56DD0">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bCs/>
                <w:color w:val="0D0D0D" w:themeColor="text1" w:themeTint="F2"/>
                <w:sz w:val="20"/>
                <w:szCs w:val="20"/>
                <w:lang w:val="sq-AL" w:eastAsia="en-GB"/>
              </w:rPr>
            </w:pPr>
            <w:r w:rsidRPr="00770F9D">
              <w:rPr>
                <w:rFonts w:ascii="Garamond" w:eastAsia="Times New Roman" w:hAnsi="Garamond" w:cstheme="majorBidi"/>
                <w:b/>
                <w:bCs/>
                <w:color w:val="0D0D0D" w:themeColor="text1" w:themeTint="F2"/>
                <w:sz w:val="20"/>
                <w:szCs w:val="20"/>
                <w:lang w:val="sq-AL" w:eastAsia="en-GB"/>
              </w:rPr>
              <w:t>Sektori bankar</w:t>
            </w:r>
          </w:p>
        </w:tc>
        <w:tc>
          <w:tcPr>
            <w:tcW w:w="697" w:type="dxa"/>
            <w:vAlign w:val="center"/>
            <w:hideMark/>
          </w:tcPr>
          <w:p w14:paraId="6C5E586A" w14:textId="77777777" w:rsidR="009D5D31" w:rsidRPr="00770F9D" w:rsidRDefault="009D5D31" w:rsidP="00C56DD0">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bCs/>
                <w:color w:val="0D0D0D" w:themeColor="text1" w:themeTint="F2"/>
                <w:sz w:val="20"/>
                <w:szCs w:val="20"/>
                <w:lang w:val="sq-AL" w:eastAsia="en-GB"/>
              </w:rPr>
            </w:pPr>
            <w:r w:rsidRPr="00770F9D">
              <w:rPr>
                <w:rFonts w:ascii="Garamond" w:eastAsia="Times New Roman" w:hAnsi="Garamond" w:cstheme="majorBidi"/>
                <w:b/>
                <w:bCs/>
                <w:color w:val="0D0D0D" w:themeColor="text1" w:themeTint="F2"/>
                <w:sz w:val="20"/>
                <w:szCs w:val="20"/>
                <w:lang w:val="sq-AL" w:eastAsia="en-GB"/>
              </w:rPr>
              <w:t>IFJB</w:t>
            </w:r>
          </w:p>
        </w:tc>
        <w:tc>
          <w:tcPr>
            <w:tcW w:w="950" w:type="dxa"/>
            <w:vAlign w:val="center"/>
            <w:hideMark/>
          </w:tcPr>
          <w:p w14:paraId="7A72D9CF" w14:textId="77777777" w:rsidR="009D5D31" w:rsidRPr="00770F9D" w:rsidRDefault="009D5D31" w:rsidP="00C56DD0">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bCs/>
                <w:color w:val="0D0D0D" w:themeColor="text1" w:themeTint="F2"/>
                <w:sz w:val="20"/>
                <w:szCs w:val="20"/>
                <w:lang w:val="sq-AL" w:eastAsia="en-GB"/>
              </w:rPr>
            </w:pPr>
            <w:r w:rsidRPr="00770F9D">
              <w:rPr>
                <w:rFonts w:ascii="Garamond" w:eastAsia="Times New Roman" w:hAnsi="Garamond" w:cstheme="majorBidi"/>
                <w:b/>
                <w:bCs/>
                <w:color w:val="0D0D0D" w:themeColor="text1" w:themeTint="F2"/>
                <w:sz w:val="20"/>
                <w:szCs w:val="20"/>
                <w:lang w:val="sq-AL" w:eastAsia="en-GB"/>
              </w:rPr>
              <w:t>SHKK-të dhe Unioni</w:t>
            </w:r>
          </w:p>
        </w:tc>
        <w:tc>
          <w:tcPr>
            <w:tcW w:w="0" w:type="auto"/>
            <w:vAlign w:val="center"/>
            <w:hideMark/>
          </w:tcPr>
          <w:p w14:paraId="231ACB6B" w14:textId="77777777" w:rsidR="009D5D31" w:rsidRPr="00770F9D" w:rsidRDefault="009D5D31" w:rsidP="00C56DD0">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bCs/>
                <w:color w:val="0D0D0D" w:themeColor="text1" w:themeTint="F2"/>
                <w:sz w:val="20"/>
                <w:szCs w:val="20"/>
                <w:lang w:val="sq-AL" w:eastAsia="en-GB"/>
              </w:rPr>
            </w:pPr>
            <w:r w:rsidRPr="00770F9D">
              <w:rPr>
                <w:rFonts w:ascii="Garamond" w:eastAsia="Times New Roman" w:hAnsi="Garamond" w:cstheme="majorBidi"/>
                <w:b/>
                <w:bCs/>
                <w:color w:val="0D0D0D" w:themeColor="text1" w:themeTint="F2"/>
                <w:sz w:val="20"/>
                <w:szCs w:val="20"/>
                <w:lang w:val="sq-AL" w:eastAsia="en-GB"/>
              </w:rPr>
              <w:t>Shoqëritë e sigurimit</w:t>
            </w:r>
          </w:p>
        </w:tc>
        <w:tc>
          <w:tcPr>
            <w:tcW w:w="0" w:type="auto"/>
            <w:vAlign w:val="center"/>
            <w:hideMark/>
          </w:tcPr>
          <w:p w14:paraId="55FA8D07" w14:textId="77777777" w:rsidR="009D5D31" w:rsidRPr="00770F9D" w:rsidRDefault="009D5D31" w:rsidP="00C56DD0">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bCs/>
                <w:color w:val="0D0D0D" w:themeColor="text1" w:themeTint="F2"/>
                <w:sz w:val="20"/>
                <w:szCs w:val="20"/>
                <w:lang w:val="sq-AL" w:eastAsia="en-GB"/>
              </w:rPr>
            </w:pPr>
            <w:r w:rsidRPr="00770F9D">
              <w:rPr>
                <w:rFonts w:ascii="Garamond" w:eastAsia="Times New Roman" w:hAnsi="Garamond" w:cstheme="majorBidi"/>
                <w:b/>
                <w:bCs/>
                <w:color w:val="0D0D0D" w:themeColor="text1" w:themeTint="F2"/>
                <w:sz w:val="20"/>
                <w:szCs w:val="20"/>
                <w:lang w:val="sq-AL" w:eastAsia="en-GB"/>
              </w:rPr>
              <w:t>Fondet e pensionit</w:t>
            </w:r>
          </w:p>
        </w:tc>
        <w:tc>
          <w:tcPr>
            <w:tcW w:w="1312" w:type="dxa"/>
            <w:vAlign w:val="center"/>
            <w:hideMark/>
          </w:tcPr>
          <w:p w14:paraId="0801387D" w14:textId="77777777" w:rsidR="009D5D31" w:rsidRPr="00770F9D" w:rsidRDefault="009D5D31" w:rsidP="00C56DD0">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bCs/>
                <w:color w:val="0D0D0D" w:themeColor="text1" w:themeTint="F2"/>
                <w:sz w:val="20"/>
                <w:szCs w:val="20"/>
                <w:lang w:val="sq-AL" w:eastAsia="en-GB"/>
              </w:rPr>
            </w:pPr>
            <w:r w:rsidRPr="00770F9D">
              <w:rPr>
                <w:rFonts w:ascii="Garamond" w:eastAsia="Times New Roman" w:hAnsi="Garamond" w:cstheme="majorBidi"/>
                <w:b/>
                <w:bCs/>
                <w:color w:val="0D0D0D" w:themeColor="text1" w:themeTint="F2"/>
                <w:sz w:val="20"/>
                <w:szCs w:val="20"/>
                <w:lang w:val="sq-AL" w:eastAsia="en-GB"/>
              </w:rPr>
              <w:t>Fondet e investimit</w:t>
            </w:r>
          </w:p>
        </w:tc>
        <w:tc>
          <w:tcPr>
            <w:tcW w:w="1643" w:type="dxa"/>
            <w:vAlign w:val="center"/>
            <w:hideMark/>
          </w:tcPr>
          <w:p w14:paraId="31E0B8F3" w14:textId="6A4891E4" w:rsidR="009D5D31" w:rsidRPr="00770F9D" w:rsidRDefault="009D5D31" w:rsidP="00C56DD0">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bCs/>
                <w:color w:val="0D0D0D" w:themeColor="text1" w:themeTint="F2"/>
                <w:sz w:val="20"/>
                <w:szCs w:val="20"/>
                <w:lang w:val="sq-AL" w:eastAsia="en-GB"/>
              </w:rPr>
            </w:pPr>
          </w:p>
        </w:tc>
      </w:tr>
      <w:tr w:rsidR="009D5D31" w:rsidRPr="00770F9D" w14:paraId="6BA47F94" w14:textId="77777777" w:rsidTr="00FB27F3">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noWrap/>
            <w:hideMark/>
          </w:tcPr>
          <w:p w14:paraId="255A5C71" w14:textId="77777777" w:rsidR="009D5D31" w:rsidRPr="00770F9D" w:rsidRDefault="009D5D31" w:rsidP="0027139F">
            <w:pPr>
              <w:jc w:val="center"/>
              <w:rPr>
                <w:rFonts w:ascii="Garamond" w:eastAsia="Times New Roman" w:hAnsi="Garamond" w:cstheme="majorBidi"/>
                <w:b/>
                <w:color w:val="0D0D0D" w:themeColor="text1" w:themeTint="F2"/>
                <w:sz w:val="20"/>
                <w:szCs w:val="20"/>
                <w:lang w:val="sq-AL" w:eastAsia="en-GB"/>
              </w:rPr>
            </w:pPr>
            <w:r w:rsidRPr="00770F9D">
              <w:rPr>
                <w:rFonts w:ascii="Garamond" w:eastAsia="Times New Roman" w:hAnsi="Garamond" w:cstheme="majorBidi"/>
                <w:b/>
                <w:color w:val="0D0D0D" w:themeColor="text1" w:themeTint="F2"/>
                <w:sz w:val="20"/>
                <w:szCs w:val="20"/>
                <w:lang w:val="sq-AL" w:eastAsia="en-GB"/>
              </w:rPr>
              <w:t>2011</w:t>
            </w:r>
          </w:p>
        </w:tc>
        <w:tc>
          <w:tcPr>
            <w:tcW w:w="0" w:type="auto"/>
            <w:noWrap/>
            <w:hideMark/>
          </w:tcPr>
          <w:p w14:paraId="16993052"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88.1</w:t>
            </w:r>
          </w:p>
        </w:tc>
        <w:tc>
          <w:tcPr>
            <w:tcW w:w="697" w:type="dxa"/>
            <w:noWrap/>
            <w:hideMark/>
          </w:tcPr>
          <w:p w14:paraId="0DDF8864"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2.7</w:t>
            </w:r>
          </w:p>
        </w:tc>
        <w:tc>
          <w:tcPr>
            <w:tcW w:w="950" w:type="dxa"/>
            <w:noWrap/>
            <w:hideMark/>
          </w:tcPr>
          <w:p w14:paraId="53802C8F"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0.8</w:t>
            </w:r>
          </w:p>
        </w:tc>
        <w:tc>
          <w:tcPr>
            <w:tcW w:w="0" w:type="auto"/>
            <w:noWrap/>
            <w:hideMark/>
          </w:tcPr>
          <w:p w14:paraId="773A47AE"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1.5</w:t>
            </w:r>
          </w:p>
        </w:tc>
        <w:tc>
          <w:tcPr>
            <w:tcW w:w="0" w:type="auto"/>
            <w:noWrap/>
            <w:hideMark/>
          </w:tcPr>
          <w:p w14:paraId="11DCE755"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0</w:t>
            </w:r>
          </w:p>
        </w:tc>
        <w:tc>
          <w:tcPr>
            <w:tcW w:w="1312" w:type="dxa"/>
            <w:noWrap/>
            <w:hideMark/>
          </w:tcPr>
          <w:p w14:paraId="62A36AF0"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 </w:t>
            </w:r>
          </w:p>
        </w:tc>
        <w:tc>
          <w:tcPr>
            <w:tcW w:w="1643" w:type="dxa"/>
            <w:noWrap/>
            <w:hideMark/>
          </w:tcPr>
          <w:p w14:paraId="324A68D5"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93.1</w:t>
            </w:r>
          </w:p>
        </w:tc>
      </w:tr>
      <w:tr w:rsidR="009D5D31" w:rsidRPr="00770F9D" w14:paraId="24E626EE" w14:textId="77777777" w:rsidTr="00FB27F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noWrap/>
            <w:hideMark/>
          </w:tcPr>
          <w:p w14:paraId="20BF468E" w14:textId="77777777" w:rsidR="009D5D31" w:rsidRPr="00770F9D" w:rsidRDefault="009D5D31" w:rsidP="0027139F">
            <w:pPr>
              <w:jc w:val="center"/>
              <w:rPr>
                <w:rFonts w:ascii="Garamond" w:eastAsia="Times New Roman" w:hAnsi="Garamond" w:cstheme="majorBidi"/>
                <w:b/>
                <w:color w:val="0D0D0D" w:themeColor="text1" w:themeTint="F2"/>
                <w:sz w:val="20"/>
                <w:szCs w:val="20"/>
                <w:lang w:val="sq-AL" w:eastAsia="en-GB"/>
              </w:rPr>
            </w:pPr>
            <w:r w:rsidRPr="00770F9D">
              <w:rPr>
                <w:rFonts w:ascii="Garamond" w:eastAsia="Times New Roman" w:hAnsi="Garamond" w:cstheme="majorBidi"/>
                <w:b/>
                <w:color w:val="0D0D0D" w:themeColor="text1" w:themeTint="F2"/>
                <w:sz w:val="20"/>
                <w:szCs w:val="20"/>
                <w:lang w:val="sq-AL" w:eastAsia="en-GB"/>
              </w:rPr>
              <w:t>2012</w:t>
            </w:r>
          </w:p>
        </w:tc>
        <w:tc>
          <w:tcPr>
            <w:tcW w:w="0" w:type="auto"/>
            <w:noWrap/>
            <w:hideMark/>
          </w:tcPr>
          <w:p w14:paraId="65027DBD"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92.1</w:t>
            </w:r>
          </w:p>
        </w:tc>
        <w:tc>
          <w:tcPr>
            <w:tcW w:w="697" w:type="dxa"/>
            <w:noWrap/>
            <w:hideMark/>
          </w:tcPr>
          <w:p w14:paraId="2B9EB8CB"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2.7</w:t>
            </w:r>
          </w:p>
        </w:tc>
        <w:tc>
          <w:tcPr>
            <w:tcW w:w="950" w:type="dxa"/>
            <w:noWrap/>
            <w:hideMark/>
          </w:tcPr>
          <w:p w14:paraId="03240443"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0.8</w:t>
            </w:r>
          </w:p>
        </w:tc>
        <w:tc>
          <w:tcPr>
            <w:tcW w:w="0" w:type="auto"/>
            <w:noWrap/>
            <w:hideMark/>
          </w:tcPr>
          <w:p w14:paraId="17C440E1"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1.6</w:t>
            </w:r>
          </w:p>
        </w:tc>
        <w:tc>
          <w:tcPr>
            <w:tcW w:w="0" w:type="auto"/>
            <w:noWrap/>
            <w:hideMark/>
          </w:tcPr>
          <w:p w14:paraId="5EF9B69B"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0</w:t>
            </w:r>
          </w:p>
        </w:tc>
        <w:tc>
          <w:tcPr>
            <w:tcW w:w="1312" w:type="dxa"/>
            <w:noWrap/>
            <w:hideMark/>
          </w:tcPr>
          <w:p w14:paraId="2CDF3200"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1.2</w:t>
            </w:r>
          </w:p>
        </w:tc>
        <w:tc>
          <w:tcPr>
            <w:tcW w:w="1643" w:type="dxa"/>
            <w:noWrap/>
            <w:hideMark/>
          </w:tcPr>
          <w:p w14:paraId="098DEDBD"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98.6</w:t>
            </w:r>
          </w:p>
        </w:tc>
      </w:tr>
      <w:tr w:rsidR="009D5D31" w:rsidRPr="00770F9D" w14:paraId="45320D82" w14:textId="77777777" w:rsidTr="00FB27F3">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noWrap/>
            <w:hideMark/>
          </w:tcPr>
          <w:p w14:paraId="2C7045F0" w14:textId="77777777" w:rsidR="009D5D31" w:rsidRPr="00770F9D" w:rsidRDefault="009D5D31" w:rsidP="0027139F">
            <w:pPr>
              <w:jc w:val="center"/>
              <w:rPr>
                <w:rFonts w:ascii="Garamond" w:eastAsia="Times New Roman" w:hAnsi="Garamond" w:cstheme="majorBidi"/>
                <w:b/>
                <w:color w:val="0D0D0D" w:themeColor="text1" w:themeTint="F2"/>
                <w:sz w:val="20"/>
                <w:szCs w:val="20"/>
                <w:lang w:val="sq-AL" w:eastAsia="en-GB"/>
              </w:rPr>
            </w:pPr>
            <w:r w:rsidRPr="00770F9D">
              <w:rPr>
                <w:rFonts w:ascii="Garamond" w:eastAsia="Times New Roman" w:hAnsi="Garamond" w:cstheme="majorBidi"/>
                <w:b/>
                <w:color w:val="0D0D0D" w:themeColor="text1" w:themeTint="F2"/>
                <w:sz w:val="20"/>
                <w:szCs w:val="20"/>
                <w:lang w:val="sq-AL" w:eastAsia="en-GB"/>
              </w:rPr>
              <w:t>2013</w:t>
            </w:r>
          </w:p>
        </w:tc>
        <w:tc>
          <w:tcPr>
            <w:tcW w:w="0" w:type="auto"/>
            <w:noWrap/>
            <w:hideMark/>
          </w:tcPr>
          <w:p w14:paraId="6A37DAFB"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94.8</w:t>
            </w:r>
          </w:p>
        </w:tc>
        <w:tc>
          <w:tcPr>
            <w:tcW w:w="697" w:type="dxa"/>
            <w:noWrap/>
            <w:hideMark/>
          </w:tcPr>
          <w:p w14:paraId="7BD8C45E"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2.7</w:t>
            </w:r>
          </w:p>
        </w:tc>
        <w:tc>
          <w:tcPr>
            <w:tcW w:w="950" w:type="dxa"/>
            <w:noWrap/>
            <w:hideMark/>
          </w:tcPr>
          <w:p w14:paraId="45F24DA6"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0.7</w:t>
            </w:r>
          </w:p>
        </w:tc>
        <w:tc>
          <w:tcPr>
            <w:tcW w:w="0" w:type="auto"/>
            <w:noWrap/>
            <w:hideMark/>
          </w:tcPr>
          <w:p w14:paraId="7B99AAC0"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1.7</w:t>
            </w:r>
          </w:p>
        </w:tc>
        <w:tc>
          <w:tcPr>
            <w:tcW w:w="0" w:type="auto"/>
            <w:noWrap/>
            <w:hideMark/>
          </w:tcPr>
          <w:p w14:paraId="51387299"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0</w:t>
            </w:r>
          </w:p>
        </w:tc>
        <w:tc>
          <w:tcPr>
            <w:tcW w:w="1312" w:type="dxa"/>
            <w:noWrap/>
            <w:hideMark/>
          </w:tcPr>
          <w:p w14:paraId="7D913251"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3.9</w:t>
            </w:r>
          </w:p>
        </w:tc>
        <w:tc>
          <w:tcPr>
            <w:tcW w:w="1643" w:type="dxa"/>
            <w:noWrap/>
            <w:hideMark/>
          </w:tcPr>
          <w:p w14:paraId="46444C5B"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103.8</w:t>
            </w:r>
          </w:p>
        </w:tc>
      </w:tr>
      <w:tr w:rsidR="009D5D31" w:rsidRPr="00770F9D" w14:paraId="66D6451F" w14:textId="77777777" w:rsidTr="00FB27F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noWrap/>
            <w:hideMark/>
          </w:tcPr>
          <w:p w14:paraId="2C3D14E3" w14:textId="77777777" w:rsidR="009D5D31" w:rsidRPr="00770F9D" w:rsidRDefault="009D5D31" w:rsidP="0027139F">
            <w:pPr>
              <w:jc w:val="center"/>
              <w:rPr>
                <w:rFonts w:ascii="Garamond" w:eastAsia="Times New Roman" w:hAnsi="Garamond" w:cstheme="majorBidi"/>
                <w:b/>
                <w:color w:val="0D0D0D" w:themeColor="text1" w:themeTint="F2"/>
                <w:sz w:val="20"/>
                <w:szCs w:val="20"/>
                <w:lang w:val="sq-AL" w:eastAsia="en-GB"/>
              </w:rPr>
            </w:pPr>
            <w:r w:rsidRPr="00770F9D">
              <w:rPr>
                <w:rFonts w:ascii="Garamond" w:eastAsia="Times New Roman" w:hAnsi="Garamond" w:cstheme="majorBidi"/>
                <w:b/>
                <w:color w:val="0D0D0D" w:themeColor="text1" w:themeTint="F2"/>
                <w:sz w:val="20"/>
                <w:szCs w:val="20"/>
                <w:lang w:val="sq-AL" w:eastAsia="en-GB"/>
              </w:rPr>
              <w:t>2014</w:t>
            </w:r>
          </w:p>
        </w:tc>
        <w:tc>
          <w:tcPr>
            <w:tcW w:w="0" w:type="auto"/>
            <w:noWrap/>
            <w:hideMark/>
          </w:tcPr>
          <w:p w14:paraId="3E570814"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97.6</w:t>
            </w:r>
          </w:p>
        </w:tc>
        <w:tc>
          <w:tcPr>
            <w:tcW w:w="697" w:type="dxa"/>
            <w:noWrap/>
            <w:hideMark/>
          </w:tcPr>
          <w:p w14:paraId="2BDDC946"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3</w:t>
            </w:r>
          </w:p>
        </w:tc>
        <w:tc>
          <w:tcPr>
            <w:tcW w:w="950" w:type="dxa"/>
            <w:noWrap/>
            <w:hideMark/>
          </w:tcPr>
          <w:p w14:paraId="767F4C62"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0.8</w:t>
            </w:r>
          </w:p>
        </w:tc>
        <w:tc>
          <w:tcPr>
            <w:tcW w:w="0" w:type="auto"/>
            <w:noWrap/>
            <w:hideMark/>
          </w:tcPr>
          <w:p w14:paraId="0CA23029"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1.9</w:t>
            </w:r>
          </w:p>
        </w:tc>
        <w:tc>
          <w:tcPr>
            <w:tcW w:w="0" w:type="auto"/>
            <w:noWrap/>
            <w:hideMark/>
          </w:tcPr>
          <w:p w14:paraId="451E3F61"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0</w:t>
            </w:r>
          </w:p>
        </w:tc>
        <w:tc>
          <w:tcPr>
            <w:tcW w:w="1312" w:type="dxa"/>
            <w:noWrap/>
            <w:hideMark/>
          </w:tcPr>
          <w:p w14:paraId="347245B4"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4.8</w:t>
            </w:r>
          </w:p>
        </w:tc>
        <w:tc>
          <w:tcPr>
            <w:tcW w:w="1643" w:type="dxa"/>
            <w:noWrap/>
            <w:hideMark/>
          </w:tcPr>
          <w:p w14:paraId="1EE8DF96"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108.2</w:t>
            </w:r>
          </w:p>
        </w:tc>
      </w:tr>
      <w:tr w:rsidR="009D5D31" w:rsidRPr="00770F9D" w14:paraId="14CB9CA4" w14:textId="77777777" w:rsidTr="00FB27F3">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noWrap/>
            <w:hideMark/>
          </w:tcPr>
          <w:p w14:paraId="4526A8FA" w14:textId="77777777" w:rsidR="009D5D31" w:rsidRPr="00770F9D" w:rsidRDefault="009D5D31" w:rsidP="0027139F">
            <w:pPr>
              <w:jc w:val="center"/>
              <w:rPr>
                <w:rFonts w:ascii="Garamond" w:eastAsia="Times New Roman" w:hAnsi="Garamond" w:cstheme="majorBidi"/>
                <w:b/>
                <w:color w:val="0D0D0D" w:themeColor="text1" w:themeTint="F2"/>
                <w:sz w:val="20"/>
                <w:szCs w:val="20"/>
                <w:lang w:val="sq-AL" w:eastAsia="en-GB"/>
              </w:rPr>
            </w:pPr>
            <w:r w:rsidRPr="00770F9D">
              <w:rPr>
                <w:rFonts w:ascii="Garamond" w:eastAsia="Times New Roman" w:hAnsi="Garamond" w:cstheme="majorBidi"/>
                <w:b/>
                <w:color w:val="0D0D0D" w:themeColor="text1" w:themeTint="F2"/>
                <w:sz w:val="20"/>
                <w:szCs w:val="20"/>
                <w:lang w:val="sq-AL" w:eastAsia="en-GB"/>
              </w:rPr>
              <w:t>2015</w:t>
            </w:r>
          </w:p>
        </w:tc>
        <w:tc>
          <w:tcPr>
            <w:tcW w:w="0" w:type="auto"/>
            <w:noWrap/>
            <w:hideMark/>
          </w:tcPr>
          <w:p w14:paraId="772D5C2E"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97.3</w:t>
            </w:r>
          </w:p>
        </w:tc>
        <w:tc>
          <w:tcPr>
            <w:tcW w:w="697" w:type="dxa"/>
            <w:noWrap/>
            <w:hideMark/>
          </w:tcPr>
          <w:p w14:paraId="223636FD"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2.9</w:t>
            </w:r>
          </w:p>
        </w:tc>
        <w:tc>
          <w:tcPr>
            <w:tcW w:w="950" w:type="dxa"/>
            <w:noWrap/>
            <w:hideMark/>
          </w:tcPr>
          <w:p w14:paraId="14E85F81"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0.8</w:t>
            </w:r>
          </w:p>
        </w:tc>
        <w:tc>
          <w:tcPr>
            <w:tcW w:w="0" w:type="auto"/>
            <w:noWrap/>
            <w:hideMark/>
          </w:tcPr>
          <w:p w14:paraId="31A4984E"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2.1</w:t>
            </w:r>
          </w:p>
        </w:tc>
        <w:tc>
          <w:tcPr>
            <w:tcW w:w="0" w:type="auto"/>
            <w:noWrap/>
            <w:hideMark/>
          </w:tcPr>
          <w:p w14:paraId="1273A3E8"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0.1</w:t>
            </w:r>
          </w:p>
        </w:tc>
        <w:tc>
          <w:tcPr>
            <w:tcW w:w="1312" w:type="dxa"/>
            <w:noWrap/>
            <w:hideMark/>
          </w:tcPr>
          <w:p w14:paraId="7963BE44"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5</w:t>
            </w:r>
          </w:p>
        </w:tc>
        <w:tc>
          <w:tcPr>
            <w:tcW w:w="1643" w:type="dxa"/>
            <w:noWrap/>
            <w:hideMark/>
          </w:tcPr>
          <w:p w14:paraId="02871F62"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108</w:t>
            </w:r>
          </w:p>
        </w:tc>
      </w:tr>
      <w:tr w:rsidR="009D5D31" w:rsidRPr="00770F9D" w14:paraId="2030DBB7" w14:textId="77777777" w:rsidTr="00FB27F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noWrap/>
            <w:hideMark/>
          </w:tcPr>
          <w:p w14:paraId="6244EF3C" w14:textId="77777777" w:rsidR="009D5D31" w:rsidRPr="00770F9D" w:rsidRDefault="009D5D31" w:rsidP="0027139F">
            <w:pPr>
              <w:jc w:val="center"/>
              <w:rPr>
                <w:rFonts w:ascii="Garamond" w:eastAsia="Times New Roman" w:hAnsi="Garamond" w:cstheme="majorBidi"/>
                <w:b/>
                <w:color w:val="0D0D0D" w:themeColor="text1" w:themeTint="F2"/>
                <w:sz w:val="20"/>
                <w:szCs w:val="20"/>
                <w:lang w:val="sq-AL" w:eastAsia="en-GB"/>
              </w:rPr>
            </w:pPr>
            <w:r w:rsidRPr="00770F9D">
              <w:rPr>
                <w:rFonts w:ascii="Garamond" w:eastAsia="Times New Roman" w:hAnsi="Garamond" w:cstheme="majorBidi"/>
                <w:b/>
                <w:color w:val="0D0D0D" w:themeColor="text1" w:themeTint="F2"/>
                <w:sz w:val="20"/>
                <w:szCs w:val="20"/>
                <w:lang w:val="sq-AL" w:eastAsia="en-GB"/>
              </w:rPr>
              <w:t>2016</w:t>
            </w:r>
          </w:p>
        </w:tc>
        <w:tc>
          <w:tcPr>
            <w:tcW w:w="0" w:type="auto"/>
            <w:noWrap/>
            <w:hideMark/>
          </w:tcPr>
          <w:p w14:paraId="099AAF5C"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100.5</w:t>
            </w:r>
          </w:p>
        </w:tc>
        <w:tc>
          <w:tcPr>
            <w:tcW w:w="697" w:type="dxa"/>
            <w:noWrap/>
            <w:hideMark/>
          </w:tcPr>
          <w:p w14:paraId="0E4618BE"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3</w:t>
            </w:r>
          </w:p>
        </w:tc>
        <w:tc>
          <w:tcPr>
            <w:tcW w:w="950" w:type="dxa"/>
            <w:noWrap/>
            <w:hideMark/>
          </w:tcPr>
          <w:p w14:paraId="322FECF8"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0.6</w:t>
            </w:r>
          </w:p>
        </w:tc>
        <w:tc>
          <w:tcPr>
            <w:tcW w:w="0" w:type="auto"/>
            <w:noWrap/>
            <w:hideMark/>
          </w:tcPr>
          <w:p w14:paraId="73A2A58E"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2.1</w:t>
            </w:r>
          </w:p>
        </w:tc>
        <w:tc>
          <w:tcPr>
            <w:tcW w:w="0" w:type="auto"/>
            <w:noWrap/>
            <w:hideMark/>
          </w:tcPr>
          <w:p w14:paraId="41B63305"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0.1</w:t>
            </w:r>
          </w:p>
        </w:tc>
        <w:tc>
          <w:tcPr>
            <w:tcW w:w="1312" w:type="dxa"/>
            <w:noWrap/>
            <w:hideMark/>
          </w:tcPr>
          <w:p w14:paraId="05D0192B"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4.7</w:t>
            </w:r>
          </w:p>
        </w:tc>
        <w:tc>
          <w:tcPr>
            <w:tcW w:w="1643" w:type="dxa"/>
            <w:noWrap/>
            <w:hideMark/>
          </w:tcPr>
          <w:p w14:paraId="1B622BA3"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111</w:t>
            </w:r>
          </w:p>
        </w:tc>
      </w:tr>
      <w:tr w:rsidR="009D5D31" w:rsidRPr="00770F9D" w14:paraId="137B29CC" w14:textId="77777777" w:rsidTr="00FB27F3">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noWrap/>
            <w:hideMark/>
          </w:tcPr>
          <w:p w14:paraId="0D69CA9C" w14:textId="77777777" w:rsidR="009D5D31" w:rsidRPr="00770F9D" w:rsidRDefault="009D5D31" w:rsidP="0027139F">
            <w:pPr>
              <w:jc w:val="center"/>
              <w:rPr>
                <w:rFonts w:ascii="Garamond" w:eastAsia="Times New Roman" w:hAnsi="Garamond" w:cstheme="majorBidi"/>
                <w:b/>
                <w:color w:val="0D0D0D" w:themeColor="text1" w:themeTint="F2"/>
                <w:sz w:val="20"/>
                <w:szCs w:val="20"/>
                <w:lang w:val="sq-AL" w:eastAsia="en-GB"/>
              </w:rPr>
            </w:pPr>
            <w:r w:rsidRPr="00770F9D">
              <w:rPr>
                <w:rFonts w:ascii="Garamond" w:eastAsia="Times New Roman" w:hAnsi="Garamond" w:cstheme="majorBidi"/>
                <w:b/>
                <w:color w:val="0D0D0D" w:themeColor="text1" w:themeTint="F2"/>
                <w:sz w:val="20"/>
                <w:szCs w:val="20"/>
                <w:lang w:val="sq-AL" w:eastAsia="en-GB"/>
              </w:rPr>
              <w:t>2017</w:t>
            </w:r>
          </w:p>
        </w:tc>
        <w:tc>
          <w:tcPr>
            <w:tcW w:w="0" w:type="auto"/>
            <w:noWrap/>
            <w:hideMark/>
          </w:tcPr>
          <w:p w14:paraId="2E8E6EF5"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99.4</w:t>
            </w:r>
          </w:p>
        </w:tc>
        <w:tc>
          <w:tcPr>
            <w:tcW w:w="697" w:type="dxa"/>
            <w:noWrap/>
            <w:hideMark/>
          </w:tcPr>
          <w:p w14:paraId="29436DE5"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3.1</w:t>
            </w:r>
          </w:p>
        </w:tc>
        <w:tc>
          <w:tcPr>
            <w:tcW w:w="950" w:type="dxa"/>
            <w:noWrap/>
            <w:hideMark/>
          </w:tcPr>
          <w:p w14:paraId="1ADBA935"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0.6</w:t>
            </w:r>
          </w:p>
        </w:tc>
        <w:tc>
          <w:tcPr>
            <w:tcW w:w="0" w:type="auto"/>
            <w:noWrap/>
            <w:hideMark/>
          </w:tcPr>
          <w:p w14:paraId="77F726E0"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2.1</w:t>
            </w:r>
          </w:p>
        </w:tc>
        <w:tc>
          <w:tcPr>
            <w:tcW w:w="0" w:type="auto"/>
            <w:noWrap/>
            <w:hideMark/>
          </w:tcPr>
          <w:p w14:paraId="5F9B4A4C"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0.1</w:t>
            </w:r>
          </w:p>
        </w:tc>
        <w:tc>
          <w:tcPr>
            <w:tcW w:w="1312" w:type="dxa"/>
            <w:noWrap/>
            <w:hideMark/>
          </w:tcPr>
          <w:p w14:paraId="637E273D"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5</w:t>
            </w:r>
          </w:p>
        </w:tc>
        <w:tc>
          <w:tcPr>
            <w:tcW w:w="1643" w:type="dxa"/>
            <w:noWrap/>
            <w:hideMark/>
          </w:tcPr>
          <w:p w14:paraId="79B442FF"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110.3</w:t>
            </w:r>
          </w:p>
        </w:tc>
      </w:tr>
      <w:tr w:rsidR="009D5D31" w:rsidRPr="00770F9D" w14:paraId="51F394C1" w14:textId="77777777" w:rsidTr="00FB27F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noWrap/>
            <w:hideMark/>
          </w:tcPr>
          <w:p w14:paraId="76FF4601" w14:textId="77777777" w:rsidR="009D5D31" w:rsidRPr="00770F9D" w:rsidRDefault="009D5D31" w:rsidP="0027139F">
            <w:pPr>
              <w:jc w:val="center"/>
              <w:rPr>
                <w:rFonts w:ascii="Garamond" w:eastAsia="Times New Roman" w:hAnsi="Garamond" w:cstheme="majorBidi"/>
                <w:b/>
                <w:color w:val="0D0D0D" w:themeColor="text1" w:themeTint="F2"/>
                <w:sz w:val="20"/>
                <w:szCs w:val="20"/>
                <w:lang w:val="sq-AL" w:eastAsia="en-GB"/>
              </w:rPr>
            </w:pPr>
            <w:r w:rsidRPr="00770F9D">
              <w:rPr>
                <w:rFonts w:ascii="Garamond" w:eastAsia="Times New Roman" w:hAnsi="Garamond" w:cstheme="majorBidi"/>
                <w:b/>
                <w:color w:val="0D0D0D" w:themeColor="text1" w:themeTint="F2"/>
                <w:sz w:val="20"/>
                <w:szCs w:val="20"/>
                <w:lang w:val="sq-AL" w:eastAsia="en-GB"/>
              </w:rPr>
              <w:t>2018</w:t>
            </w:r>
          </w:p>
        </w:tc>
        <w:tc>
          <w:tcPr>
            <w:tcW w:w="0" w:type="auto"/>
            <w:noWrap/>
            <w:hideMark/>
          </w:tcPr>
          <w:p w14:paraId="3A2D9ED5"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96</w:t>
            </w:r>
          </w:p>
        </w:tc>
        <w:tc>
          <w:tcPr>
            <w:tcW w:w="697" w:type="dxa"/>
            <w:noWrap/>
            <w:hideMark/>
          </w:tcPr>
          <w:p w14:paraId="03331EA2"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3.5</w:t>
            </w:r>
          </w:p>
        </w:tc>
        <w:tc>
          <w:tcPr>
            <w:tcW w:w="950" w:type="dxa"/>
            <w:noWrap/>
            <w:hideMark/>
          </w:tcPr>
          <w:p w14:paraId="5B2AEABE"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0.6</w:t>
            </w:r>
          </w:p>
        </w:tc>
        <w:tc>
          <w:tcPr>
            <w:tcW w:w="0" w:type="auto"/>
            <w:noWrap/>
            <w:hideMark/>
          </w:tcPr>
          <w:p w14:paraId="187C5637"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2.1</w:t>
            </w:r>
          </w:p>
        </w:tc>
        <w:tc>
          <w:tcPr>
            <w:tcW w:w="0" w:type="auto"/>
            <w:noWrap/>
            <w:hideMark/>
          </w:tcPr>
          <w:p w14:paraId="750448A1"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0.2</w:t>
            </w:r>
          </w:p>
        </w:tc>
        <w:tc>
          <w:tcPr>
            <w:tcW w:w="1312" w:type="dxa"/>
            <w:noWrap/>
            <w:hideMark/>
          </w:tcPr>
          <w:p w14:paraId="406341B9"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4.5</w:t>
            </w:r>
          </w:p>
        </w:tc>
        <w:tc>
          <w:tcPr>
            <w:tcW w:w="1643" w:type="dxa"/>
            <w:noWrap/>
            <w:hideMark/>
          </w:tcPr>
          <w:p w14:paraId="3ADD2C27"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106.9</w:t>
            </w:r>
          </w:p>
        </w:tc>
      </w:tr>
      <w:tr w:rsidR="009D5D31" w:rsidRPr="00770F9D" w14:paraId="27EAFE2E" w14:textId="77777777" w:rsidTr="00FB27F3">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noWrap/>
            <w:hideMark/>
          </w:tcPr>
          <w:p w14:paraId="089E9FFC" w14:textId="77777777" w:rsidR="009D5D31" w:rsidRPr="00770F9D" w:rsidRDefault="009D5D31" w:rsidP="0027139F">
            <w:pPr>
              <w:jc w:val="center"/>
              <w:rPr>
                <w:rFonts w:ascii="Garamond" w:eastAsia="Times New Roman" w:hAnsi="Garamond" w:cstheme="majorBidi"/>
                <w:b/>
                <w:color w:val="0D0D0D" w:themeColor="text1" w:themeTint="F2"/>
                <w:sz w:val="20"/>
                <w:szCs w:val="20"/>
                <w:lang w:val="sq-AL" w:eastAsia="en-GB"/>
              </w:rPr>
            </w:pPr>
            <w:r w:rsidRPr="00770F9D">
              <w:rPr>
                <w:rFonts w:ascii="Garamond" w:eastAsia="Times New Roman" w:hAnsi="Garamond" w:cstheme="majorBidi"/>
                <w:b/>
                <w:color w:val="0D0D0D" w:themeColor="text1" w:themeTint="F2"/>
                <w:sz w:val="20"/>
                <w:szCs w:val="20"/>
                <w:lang w:val="sq-AL" w:eastAsia="en-GB"/>
              </w:rPr>
              <w:t>2019</w:t>
            </w:r>
          </w:p>
        </w:tc>
        <w:tc>
          <w:tcPr>
            <w:tcW w:w="0" w:type="auto"/>
            <w:noWrap/>
            <w:hideMark/>
          </w:tcPr>
          <w:p w14:paraId="486C414A"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95.5</w:t>
            </w:r>
          </w:p>
        </w:tc>
        <w:tc>
          <w:tcPr>
            <w:tcW w:w="697" w:type="dxa"/>
            <w:noWrap/>
            <w:hideMark/>
          </w:tcPr>
          <w:p w14:paraId="7C119D4E"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4.2</w:t>
            </w:r>
          </w:p>
        </w:tc>
        <w:tc>
          <w:tcPr>
            <w:tcW w:w="950" w:type="dxa"/>
            <w:noWrap/>
            <w:hideMark/>
          </w:tcPr>
          <w:p w14:paraId="4ACCA8FB"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0.7</w:t>
            </w:r>
          </w:p>
        </w:tc>
        <w:tc>
          <w:tcPr>
            <w:tcW w:w="0" w:type="auto"/>
            <w:noWrap/>
            <w:hideMark/>
          </w:tcPr>
          <w:p w14:paraId="287B718A"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2.2</w:t>
            </w:r>
          </w:p>
        </w:tc>
        <w:tc>
          <w:tcPr>
            <w:tcW w:w="0" w:type="auto"/>
            <w:noWrap/>
            <w:hideMark/>
          </w:tcPr>
          <w:p w14:paraId="22BF7222"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0.2</w:t>
            </w:r>
          </w:p>
        </w:tc>
        <w:tc>
          <w:tcPr>
            <w:tcW w:w="1312" w:type="dxa"/>
            <w:noWrap/>
            <w:hideMark/>
          </w:tcPr>
          <w:p w14:paraId="258A4244"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4.3</w:t>
            </w:r>
          </w:p>
        </w:tc>
        <w:tc>
          <w:tcPr>
            <w:tcW w:w="1643" w:type="dxa"/>
            <w:noWrap/>
            <w:hideMark/>
          </w:tcPr>
          <w:p w14:paraId="441D0238"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107.2</w:t>
            </w:r>
          </w:p>
        </w:tc>
      </w:tr>
      <w:tr w:rsidR="009D5D31" w:rsidRPr="00770F9D" w14:paraId="233F11D0" w14:textId="77777777" w:rsidTr="00FB27F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noWrap/>
            <w:hideMark/>
          </w:tcPr>
          <w:p w14:paraId="7D25EA66" w14:textId="77777777" w:rsidR="009D5D31" w:rsidRPr="00770F9D" w:rsidRDefault="009D5D31" w:rsidP="0027139F">
            <w:pPr>
              <w:jc w:val="center"/>
              <w:rPr>
                <w:rFonts w:ascii="Garamond" w:eastAsia="Times New Roman" w:hAnsi="Garamond" w:cstheme="majorBidi"/>
                <w:b/>
                <w:color w:val="0D0D0D" w:themeColor="text1" w:themeTint="F2"/>
                <w:sz w:val="20"/>
                <w:szCs w:val="20"/>
                <w:lang w:val="sq-AL" w:eastAsia="en-GB"/>
              </w:rPr>
            </w:pPr>
            <w:r w:rsidRPr="00770F9D">
              <w:rPr>
                <w:rFonts w:ascii="Garamond" w:eastAsia="Times New Roman" w:hAnsi="Garamond" w:cstheme="majorBidi"/>
                <w:b/>
                <w:color w:val="0D0D0D" w:themeColor="text1" w:themeTint="F2"/>
                <w:sz w:val="20"/>
                <w:szCs w:val="20"/>
                <w:lang w:val="sq-AL" w:eastAsia="en-GB"/>
              </w:rPr>
              <w:t>2020</w:t>
            </w:r>
          </w:p>
        </w:tc>
        <w:tc>
          <w:tcPr>
            <w:tcW w:w="0" w:type="auto"/>
            <w:noWrap/>
            <w:hideMark/>
          </w:tcPr>
          <w:p w14:paraId="329E3408"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105.9</w:t>
            </w:r>
          </w:p>
        </w:tc>
        <w:tc>
          <w:tcPr>
            <w:tcW w:w="697" w:type="dxa"/>
            <w:noWrap/>
            <w:hideMark/>
          </w:tcPr>
          <w:p w14:paraId="7A3EDCD0"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4.5</w:t>
            </w:r>
          </w:p>
        </w:tc>
        <w:tc>
          <w:tcPr>
            <w:tcW w:w="950" w:type="dxa"/>
            <w:noWrap/>
            <w:hideMark/>
          </w:tcPr>
          <w:p w14:paraId="58AA0375"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0.8</w:t>
            </w:r>
          </w:p>
        </w:tc>
        <w:tc>
          <w:tcPr>
            <w:tcW w:w="0" w:type="auto"/>
            <w:noWrap/>
            <w:hideMark/>
          </w:tcPr>
          <w:p w14:paraId="0D538EED"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2.6</w:t>
            </w:r>
          </w:p>
        </w:tc>
        <w:tc>
          <w:tcPr>
            <w:tcW w:w="0" w:type="auto"/>
            <w:noWrap/>
            <w:hideMark/>
          </w:tcPr>
          <w:p w14:paraId="599ED165"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0.2</w:t>
            </w:r>
          </w:p>
        </w:tc>
        <w:tc>
          <w:tcPr>
            <w:tcW w:w="1312" w:type="dxa"/>
            <w:noWrap/>
            <w:hideMark/>
          </w:tcPr>
          <w:p w14:paraId="3CD3EB7B"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4.5</w:t>
            </w:r>
          </w:p>
        </w:tc>
        <w:tc>
          <w:tcPr>
            <w:tcW w:w="1643" w:type="dxa"/>
            <w:noWrap/>
            <w:hideMark/>
          </w:tcPr>
          <w:p w14:paraId="28FD94B8"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118.5</w:t>
            </w:r>
          </w:p>
        </w:tc>
      </w:tr>
      <w:tr w:rsidR="009D5D31" w:rsidRPr="00770F9D" w14:paraId="4B818EA9" w14:textId="77777777" w:rsidTr="00FB27F3">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noWrap/>
            <w:hideMark/>
          </w:tcPr>
          <w:p w14:paraId="459B3087" w14:textId="77777777" w:rsidR="009D5D31" w:rsidRPr="00770F9D" w:rsidRDefault="009D5D31" w:rsidP="0027139F">
            <w:pPr>
              <w:jc w:val="center"/>
              <w:rPr>
                <w:rFonts w:ascii="Garamond" w:eastAsia="Times New Roman" w:hAnsi="Garamond" w:cstheme="majorBidi"/>
                <w:b/>
                <w:color w:val="0D0D0D" w:themeColor="text1" w:themeTint="F2"/>
                <w:sz w:val="20"/>
                <w:szCs w:val="20"/>
                <w:lang w:val="sq-AL" w:eastAsia="en-GB"/>
              </w:rPr>
            </w:pPr>
            <w:r w:rsidRPr="00770F9D">
              <w:rPr>
                <w:rFonts w:ascii="Garamond" w:eastAsia="Times New Roman" w:hAnsi="Garamond" w:cstheme="majorBidi"/>
                <w:b/>
                <w:color w:val="0D0D0D" w:themeColor="text1" w:themeTint="F2"/>
                <w:sz w:val="20"/>
                <w:szCs w:val="20"/>
                <w:lang w:val="sq-AL" w:eastAsia="en-GB"/>
              </w:rPr>
              <w:t>2021</w:t>
            </w:r>
          </w:p>
        </w:tc>
        <w:tc>
          <w:tcPr>
            <w:tcW w:w="0" w:type="auto"/>
            <w:noWrap/>
            <w:hideMark/>
          </w:tcPr>
          <w:p w14:paraId="6DA18E52"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93.9</w:t>
            </w:r>
          </w:p>
        </w:tc>
        <w:tc>
          <w:tcPr>
            <w:tcW w:w="697" w:type="dxa"/>
            <w:noWrap/>
            <w:hideMark/>
          </w:tcPr>
          <w:p w14:paraId="69DDD37A"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4.0</w:t>
            </w:r>
          </w:p>
        </w:tc>
        <w:tc>
          <w:tcPr>
            <w:tcW w:w="950" w:type="dxa"/>
            <w:noWrap/>
            <w:hideMark/>
          </w:tcPr>
          <w:p w14:paraId="7E06DA8A"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0.7</w:t>
            </w:r>
          </w:p>
        </w:tc>
        <w:tc>
          <w:tcPr>
            <w:tcW w:w="0" w:type="auto"/>
            <w:noWrap/>
            <w:hideMark/>
          </w:tcPr>
          <w:p w14:paraId="67FADD90"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2.2</w:t>
            </w:r>
          </w:p>
        </w:tc>
        <w:tc>
          <w:tcPr>
            <w:tcW w:w="0" w:type="auto"/>
            <w:noWrap/>
            <w:hideMark/>
          </w:tcPr>
          <w:p w14:paraId="1E12B9DA"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0.2</w:t>
            </w:r>
          </w:p>
        </w:tc>
        <w:tc>
          <w:tcPr>
            <w:tcW w:w="1312" w:type="dxa"/>
            <w:noWrap/>
            <w:hideMark/>
          </w:tcPr>
          <w:p w14:paraId="4F70A02F"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4.1</w:t>
            </w:r>
          </w:p>
        </w:tc>
        <w:tc>
          <w:tcPr>
            <w:tcW w:w="1643" w:type="dxa"/>
            <w:noWrap/>
            <w:hideMark/>
          </w:tcPr>
          <w:p w14:paraId="2EBE098F" w14:textId="77777777" w:rsidR="009D5D31" w:rsidRPr="00770F9D" w:rsidRDefault="009D5D31" w:rsidP="00C56DD0">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105.1</w:t>
            </w:r>
          </w:p>
        </w:tc>
      </w:tr>
      <w:tr w:rsidR="009D5D31" w:rsidRPr="00770F9D" w14:paraId="08329529" w14:textId="77777777" w:rsidTr="00FB27F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noWrap/>
            <w:hideMark/>
          </w:tcPr>
          <w:p w14:paraId="444ACFD2" w14:textId="77777777" w:rsidR="009D5D31" w:rsidRPr="00770F9D" w:rsidRDefault="009D5D31" w:rsidP="0027139F">
            <w:pPr>
              <w:jc w:val="center"/>
              <w:rPr>
                <w:rFonts w:ascii="Garamond" w:eastAsia="Times New Roman" w:hAnsi="Garamond" w:cstheme="majorBidi"/>
                <w:b/>
                <w:color w:val="0D0D0D" w:themeColor="text1" w:themeTint="F2"/>
                <w:sz w:val="20"/>
                <w:szCs w:val="20"/>
                <w:lang w:val="sq-AL" w:eastAsia="en-GB"/>
              </w:rPr>
            </w:pPr>
            <w:r w:rsidRPr="00770F9D">
              <w:rPr>
                <w:rFonts w:ascii="Garamond" w:eastAsia="Times New Roman" w:hAnsi="Garamond" w:cstheme="majorBidi"/>
                <w:b/>
                <w:color w:val="0D0D0D" w:themeColor="text1" w:themeTint="F2"/>
                <w:sz w:val="20"/>
                <w:szCs w:val="20"/>
                <w:lang w:val="sq-AL" w:eastAsia="en-GB"/>
              </w:rPr>
              <w:t>2022*</w:t>
            </w:r>
          </w:p>
        </w:tc>
        <w:tc>
          <w:tcPr>
            <w:tcW w:w="0" w:type="auto"/>
            <w:noWrap/>
            <w:hideMark/>
          </w:tcPr>
          <w:p w14:paraId="051390BF"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88.8</w:t>
            </w:r>
          </w:p>
        </w:tc>
        <w:tc>
          <w:tcPr>
            <w:tcW w:w="697" w:type="dxa"/>
            <w:noWrap/>
            <w:hideMark/>
          </w:tcPr>
          <w:p w14:paraId="5AA4A09D"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3.9</w:t>
            </w:r>
          </w:p>
        </w:tc>
        <w:tc>
          <w:tcPr>
            <w:tcW w:w="950" w:type="dxa"/>
            <w:noWrap/>
            <w:hideMark/>
          </w:tcPr>
          <w:p w14:paraId="78B28DD5"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0.7</w:t>
            </w:r>
          </w:p>
        </w:tc>
        <w:tc>
          <w:tcPr>
            <w:tcW w:w="0" w:type="auto"/>
            <w:noWrap/>
            <w:hideMark/>
          </w:tcPr>
          <w:p w14:paraId="74F82CAC"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2.1</w:t>
            </w:r>
          </w:p>
        </w:tc>
        <w:tc>
          <w:tcPr>
            <w:tcW w:w="0" w:type="auto"/>
            <w:noWrap/>
            <w:hideMark/>
          </w:tcPr>
          <w:p w14:paraId="6FD6ABE8"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0.3</w:t>
            </w:r>
          </w:p>
        </w:tc>
        <w:tc>
          <w:tcPr>
            <w:tcW w:w="1312" w:type="dxa"/>
            <w:noWrap/>
            <w:hideMark/>
          </w:tcPr>
          <w:p w14:paraId="198DD301"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3.5</w:t>
            </w:r>
          </w:p>
        </w:tc>
        <w:tc>
          <w:tcPr>
            <w:tcW w:w="1643" w:type="dxa"/>
            <w:noWrap/>
            <w:hideMark/>
          </w:tcPr>
          <w:p w14:paraId="70E47A3E" w14:textId="77777777" w:rsidR="009D5D31" w:rsidRPr="00770F9D" w:rsidRDefault="009D5D31" w:rsidP="00C56DD0">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20"/>
                <w:szCs w:val="20"/>
                <w:lang w:val="sq-AL" w:eastAsia="en-GB"/>
              </w:rPr>
            </w:pPr>
            <w:r w:rsidRPr="00770F9D">
              <w:rPr>
                <w:rFonts w:ascii="Garamond" w:eastAsia="Times New Roman" w:hAnsi="Garamond" w:cstheme="majorBidi"/>
                <w:color w:val="0D0D0D" w:themeColor="text1" w:themeTint="F2"/>
                <w:sz w:val="20"/>
                <w:szCs w:val="20"/>
                <w:lang w:val="sq-AL" w:eastAsia="en-GB"/>
              </w:rPr>
              <w:t>99.2</w:t>
            </w:r>
          </w:p>
        </w:tc>
      </w:tr>
    </w:tbl>
    <w:p w14:paraId="77AC81F1" w14:textId="77777777" w:rsidR="007E0D89" w:rsidRPr="00770F9D" w:rsidRDefault="009D5D31" w:rsidP="00EA5746">
      <w:pPr>
        <w:ind w:firstLine="284"/>
        <w:jc w:val="center"/>
        <w:rPr>
          <w:rFonts w:ascii="Garamond" w:hAnsi="Garamond" w:cstheme="majorBidi"/>
          <w:i/>
          <w:color w:val="0D0D0D" w:themeColor="text1" w:themeTint="F2"/>
          <w:sz w:val="20"/>
          <w:szCs w:val="20"/>
        </w:rPr>
      </w:pPr>
      <w:r w:rsidRPr="00770F9D">
        <w:rPr>
          <w:rFonts w:ascii="Garamond" w:hAnsi="Garamond" w:cstheme="majorBidi"/>
          <w:i/>
          <w:color w:val="0D0D0D" w:themeColor="text1" w:themeTint="F2"/>
          <w:sz w:val="20"/>
          <w:szCs w:val="20"/>
        </w:rPr>
        <w:t>Burimi: Banka e Shqipërisë, INSTAT, Autoriteti i Mbikëqyrjes Financiare</w:t>
      </w:r>
      <w:r w:rsidR="00EA5746" w:rsidRPr="00770F9D">
        <w:rPr>
          <w:rFonts w:ascii="Garamond" w:hAnsi="Garamond" w:cstheme="majorBidi"/>
          <w:i/>
          <w:color w:val="0D0D0D" w:themeColor="text1" w:themeTint="F2"/>
          <w:sz w:val="20"/>
          <w:szCs w:val="20"/>
        </w:rPr>
        <w:t xml:space="preserve"> </w:t>
      </w:r>
    </w:p>
    <w:p w14:paraId="324AE5B3" w14:textId="3001E3E7" w:rsidR="009D5D31" w:rsidRPr="00770F9D" w:rsidRDefault="009D5D31" w:rsidP="00EA5746">
      <w:pPr>
        <w:ind w:firstLine="284"/>
        <w:jc w:val="center"/>
        <w:rPr>
          <w:rFonts w:ascii="Garamond" w:hAnsi="Garamond" w:cstheme="majorBidi"/>
          <w:i/>
          <w:color w:val="0D0D0D" w:themeColor="text1" w:themeTint="F2"/>
          <w:sz w:val="20"/>
          <w:szCs w:val="20"/>
        </w:rPr>
      </w:pPr>
      <w:r w:rsidRPr="00770F9D">
        <w:rPr>
          <w:rFonts w:ascii="Garamond" w:hAnsi="Garamond" w:cstheme="majorBidi"/>
          <w:i/>
          <w:color w:val="0D0D0D" w:themeColor="text1" w:themeTint="F2"/>
          <w:sz w:val="20"/>
          <w:szCs w:val="20"/>
        </w:rPr>
        <w:t xml:space="preserve">*Qershor 2022 </w:t>
      </w:r>
    </w:p>
    <w:p w14:paraId="1396C260" w14:textId="77777777" w:rsidR="00C56DD0" w:rsidRPr="00770F9D" w:rsidRDefault="00C56DD0" w:rsidP="005674F2">
      <w:pPr>
        <w:ind w:firstLine="284"/>
        <w:jc w:val="both"/>
        <w:rPr>
          <w:rFonts w:ascii="Garamond" w:hAnsi="Garamond" w:cstheme="majorBidi"/>
          <w:color w:val="0D0D0D" w:themeColor="text1" w:themeTint="F2"/>
        </w:rPr>
      </w:pPr>
    </w:p>
    <w:p w14:paraId="7C18C0AF" w14:textId="3A62B76F" w:rsidR="009D5D31" w:rsidRPr="00770F9D" w:rsidRDefault="009D5D31" w:rsidP="00C06D74">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Bilanci i sektorit bankar u zgjerua ndjeshëm nga fundi i gushtit 2021 në fundin e gushtit 2022. Nga ana e aktiveve, rritja vjetore prej 10% u mbështet nga rritja e fortë e tr</w:t>
      </w:r>
      <w:r w:rsidR="00C06D74" w:rsidRPr="00770F9D">
        <w:rPr>
          <w:rFonts w:ascii="Garamond" w:hAnsi="Garamond" w:cstheme="majorBidi"/>
          <w:color w:val="0D0D0D" w:themeColor="text1" w:themeTint="F2"/>
        </w:rPr>
        <w:t>i</w:t>
      </w:r>
      <w:r w:rsidRPr="00770F9D">
        <w:rPr>
          <w:rFonts w:ascii="Garamond" w:hAnsi="Garamond" w:cstheme="majorBidi"/>
          <w:color w:val="0D0D0D" w:themeColor="text1" w:themeTint="F2"/>
        </w:rPr>
        <w:t xml:space="preserve"> klasave kryesore të aktivit. Stoku i kredisë së sektorit bankar dhe stoku i investimeve në letrat me vlerë u zgjeruan me 13% dhe 11% ndërsa stoku i investimeve ndërbankare dhe me thesarin u rrit me 6%. Struktura e letrave me vlerë të bankave dominohet nga letrat me vlerë të qeverisë shqiptare në monedhë </w:t>
      </w:r>
      <w:r w:rsidR="002A4878" w:rsidRPr="00770F9D">
        <w:rPr>
          <w:rFonts w:ascii="Garamond" w:hAnsi="Garamond" w:cstheme="majorBidi"/>
          <w:color w:val="0D0D0D" w:themeColor="text1" w:themeTint="F2"/>
        </w:rPr>
        <w:t>vendës</w:t>
      </w:r>
      <w:r w:rsidRPr="00770F9D">
        <w:rPr>
          <w:rFonts w:ascii="Garamond" w:hAnsi="Garamond" w:cstheme="majorBidi"/>
          <w:color w:val="0D0D0D" w:themeColor="text1" w:themeTint="F2"/>
        </w:rPr>
        <w:t>e (55%) dhe në valutë (13%) dhe pjesa e mbetur përbëhet nga letrat me vlerë në valutë të jorezidentëve. Aktivet në valutë dhe pretendimet ndaj jorezidentëve zënë rreth 54% dhe 22% të totalit të aktiveve dhe janë rritur respektivisht me 14% dje 2% në terma vjetorë në fund të gushtit 2022. Ecuria e aktiveve në valutë u përcaktua nga veprimet me klientët (kreditë). Detyrimet dhe aktivet e bankave në valutë janë të krahasueshme në madhësi, ndërsa pretendimet ndaj jorezidentëve janë rreth 8 herë më të larta se detyrimet ndaj jorezidentëve. Sektori bankar karakterizohet nga një pozicion kreditor neto me jorezidentët.</w:t>
      </w:r>
    </w:p>
    <w:p w14:paraId="3E5A2CB3" w14:textId="185DD34F" w:rsidR="009D5D31" w:rsidRPr="00770F9D" w:rsidRDefault="009D5D31"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Burimi kryesor i financimit të bankave </w:t>
      </w:r>
      <w:r w:rsidR="002A4878" w:rsidRPr="00770F9D">
        <w:rPr>
          <w:rFonts w:ascii="Garamond" w:hAnsi="Garamond" w:cstheme="majorBidi"/>
          <w:color w:val="0D0D0D" w:themeColor="text1" w:themeTint="F2"/>
        </w:rPr>
        <w:t>vendës</w:t>
      </w:r>
      <w:r w:rsidRPr="00770F9D">
        <w:rPr>
          <w:rFonts w:ascii="Garamond" w:hAnsi="Garamond" w:cstheme="majorBidi"/>
          <w:color w:val="0D0D0D" w:themeColor="text1" w:themeTint="F2"/>
        </w:rPr>
        <w:t>e është në formën e depozitave, të cilat rezultuan 1,500 miliardë lekë në fund të gushtit 2022 (+9% rritja në terma vjetorë). Në gusht 2022, bankat regjistruan rritjen me të fortë sezonale të viteve të fundit të depozitave kryesisht në formën e depozitave pa afat dhe në valutë. Struktura e depozitave ka ndryshuar gjatë viteve të fundit me një zhvendosje nga depozitat me afat në ato të llogarive rrjedhëse favorizuar nga një mjedis normash interesi të ul</w:t>
      </w:r>
      <w:r w:rsidR="000821FA" w:rsidRPr="00770F9D">
        <w:rPr>
          <w:rFonts w:ascii="Garamond" w:hAnsi="Garamond" w:cstheme="majorBidi"/>
          <w:color w:val="0D0D0D" w:themeColor="text1" w:themeTint="F2"/>
        </w:rPr>
        <w:t>ë</w:t>
      </w:r>
      <w:r w:rsidRPr="00770F9D">
        <w:rPr>
          <w:rFonts w:ascii="Garamond" w:hAnsi="Garamond" w:cstheme="majorBidi"/>
          <w:color w:val="0D0D0D" w:themeColor="text1" w:themeTint="F2"/>
        </w:rPr>
        <w:t xml:space="preserve">ta. Në fund të gushtit 2022, depozitat me afat zinin rreth 42% të totalit të depozitave, të cilat shfaqin një rënie të theksuar krahasuar me raportin 51% në fund të vitit 2019, 47% në fund të vitit 2020 dhe 43% në fund të vitit 2021. Pavarësisht kësaj ecurie, pritshmëritë lidhur me strukturën e depozitave janë që ajo mund të ndryshojë sërish si rezultat i rritjes së normave të interesit. </w:t>
      </w:r>
    </w:p>
    <w:p w14:paraId="34855F8F" w14:textId="49593C4D" w:rsidR="009D5D31" w:rsidRPr="00770F9D" w:rsidRDefault="009D5D31"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Në fund të gushtit 2022, teprica e kredisë ishte 712 miliardë lekë, ose 12% më e lartë krahasuar me një vit më parë. Zgjerimi i tepricës së kredisë u përcaktua kryesisht nga rritja e kredive të reja, të cilat rezultuan 39% më të larta krahasuar me periudhën e një viti më parë. Rritja më e madhe u regjistrua në kreditë dhënë individëve, kreditë në valutë dhe ato afatshkurtër. Rritja e kredisë dhënë individëve lidhet me rritjen e kredisë konsumatore dhe asaj për blerje pasurish të paluajtshme. Kreditë për investime në pasuri të paluajtshme dhe blerje pajisjesh, prej 26%, zënë peshën kryesore të kredisë për biznese. Kreditë për pasuri të paluajtshme zënë 67% të kredisë totale të individëve. Rritja e lartë e portofolit të kredisë për këtë segment lidhet me kërkesën e lartë dhe kushtet më të zbutura të kreditimit</w:t>
      </w:r>
      <w:r w:rsidR="00F1424C"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kryesisht për kreditë për pasuri të paluajtshme të sektorit të individëve. Mbështetur në vrojtimin mbi aktivitetin kreditues të bankave, kushtet e kreditimit për kreditë e individëve mbetën të zbutura në tremujorin e dytë të vitit 2022. Kushtet më të zbutura të kreditimit u vërejtën</w:t>
      </w:r>
      <w:r w:rsidR="004E589A"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gjithashtu</w:t>
      </w:r>
      <w:r w:rsidR="004E589A"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në kategoritë sipas qëllimit të përdorimit të kredisë, në atë për blerje banese dhe në atë konsumatore. Faktori kryesor që përcaktoi kushtet më të lehtësuara të kreditimit ishte rritja e konkurrencës në sektorin bankar. Gjithashtu, në kahun lehtësues të kushteve të kreditimit ndikuan perceptimi i bankave mbi zhvillimet aktuale dhe të pritshme në tregun e banesave, rreziqet që lidhen me kolateralin e kërkuar</w:t>
      </w:r>
      <w:r w:rsidR="004E589A"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dhe toleranca e bankave ndaj rrezikut. </w:t>
      </w:r>
    </w:p>
    <w:p w14:paraId="1FB073D4" w14:textId="03E4248F" w:rsidR="009D5D31" w:rsidRPr="00770F9D" w:rsidRDefault="009D5D31" w:rsidP="00EF79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Norma e mjaftueshmërisë së kapitalit të sektorit bankar, 19%, mbetet mbi minimumin rregullator dhe u rrit me 1 </w:t>
      </w:r>
      <w:r w:rsidR="00EE365D" w:rsidRPr="00770F9D">
        <w:rPr>
          <w:rFonts w:ascii="Garamond" w:hAnsi="Garamond" w:cstheme="majorBidi"/>
          <w:color w:val="0D0D0D" w:themeColor="text1" w:themeTint="F2"/>
        </w:rPr>
        <w:t>pikë përqindjeje</w:t>
      </w:r>
      <w:r w:rsidRPr="00770F9D">
        <w:rPr>
          <w:rFonts w:ascii="Garamond" w:hAnsi="Garamond" w:cstheme="majorBidi"/>
          <w:color w:val="0D0D0D" w:themeColor="text1" w:themeTint="F2"/>
        </w:rPr>
        <w:t xml:space="preserve"> nga qershor 2021 në qershor 2022, si rrjedhojë e rritjes më të shpejtë të kapitalit rregullator krahasuar me rritjen e aktiveve të peshuara me rrezik. Rezultati financiar neto i sektorit bankar në fund të gushtit 2022 ishte pozitiv (11 miliardë lekë), por fitimet e bankave ishin mesatarisht 25% më të</w:t>
      </w:r>
      <w:r w:rsidR="004E589A" w:rsidRPr="00770F9D">
        <w:rPr>
          <w:rFonts w:ascii="Garamond" w:hAnsi="Garamond" w:cstheme="majorBidi"/>
          <w:color w:val="0D0D0D" w:themeColor="text1" w:themeTint="F2"/>
        </w:rPr>
        <w:t xml:space="preserve"> ulëta </w:t>
      </w:r>
      <w:r w:rsidRPr="00770F9D">
        <w:rPr>
          <w:rFonts w:ascii="Garamond" w:hAnsi="Garamond" w:cstheme="majorBidi"/>
          <w:color w:val="0D0D0D" w:themeColor="text1" w:themeTint="F2"/>
        </w:rPr>
        <w:t xml:space="preserve">krahasuar me fitimet e </w:t>
      </w:r>
      <w:r w:rsidR="005F716A" w:rsidRPr="00770F9D">
        <w:rPr>
          <w:rFonts w:ascii="Garamond" w:hAnsi="Garamond" w:cstheme="majorBidi"/>
          <w:color w:val="0D0D0D" w:themeColor="text1" w:themeTint="F2"/>
        </w:rPr>
        <w:t xml:space="preserve">së njëjtës </w:t>
      </w:r>
      <w:r w:rsidRPr="00770F9D">
        <w:rPr>
          <w:rFonts w:ascii="Garamond" w:hAnsi="Garamond" w:cstheme="majorBidi"/>
          <w:color w:val="0D0D0D" w:themeColor="text1" w:themeTint="F2"/>
        </w:rPr>
        <w:t xml:space="preserve">periudhë një vit më parë, si rezultat i shpenzimeve më të larta operacionale dhe humbjeve nga investimet në </w:t>
      </w:r>
      <w:r w:rsidR="004E589A" w:rsidRPr="00770F9D">
        <w:rPr>
          <w:rFonts w:ascii="Garamond" w:hAnsi="Garamond" w:cstheme="majorBidi"/>
          <w:color w:val="0D0D0D" w:themeColor="text1" w:themeTint="F2"/>
        </w:rPr>
        <w:t>instrumentet</w:t>
      </w:r>
      <w:r w:rsidRPr="00770F9D">
        <w:rPr>
          <w:rFonts w:ascii="Garamond" w:hAnsi="Garamond" w:cstheme="majorBidi"/>
          <w:color w:val="0D0D0D" w:themeColor="text1" w:themeTint="F2"/>
        </w:rPr>
        <w:t xml:space="preserve"> financiar</w:t>
      </w:r>
      <w:r w:rsidR="004E589A" w:rsidRPr="00770F9D">
        <w:rPr>
          <w:rFonts w:ascii="Garamond" w:hAnsi="Garamond" w:cstheme="majorBidi"/>
          <w:color w:val="0D0D0D" w:themeColor="text1" w:themeTint="F2"/>
        </w:rPr>
        <w:t>e</w:t>
      </w:r>
      <w:r w:rsidRPr="00770F9D">
        <w:rPr>
          <w:rFonts w:ascii="Garamond" w:hAnsi="Garamond" w:cstheme="majorBidi"/>
          <w:color w:val="0D0D0D" w:themeColor="text1" w:themeTint="F2"/>
        </w:rPr>
        <w:t>. Të ardhurat neto nga interesi vijuan të rriten dhe bankat raportuan rimarrje provigjionesh për aktivet e tjera financiare. Rënia e fitimeve neto u raportua nga pjesa më e madhe e bankave, përfshirë dhe dy banka sistemike</w:t>
      </w:r>
      <w:r w:rsidR="00EF79E1"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dhe dy banka që regjistruan fitim të ulët negativ. Kthimi nga aktivet (RoA) dhe kthimi nga kapitali (RoE) ranë në 0.9% dhe 9.2% nga 1.2% dhe 12% në gusht 2021 dhe nga vlerat mesatare prej 1.5% dhe 14.3% më 2019. Rreth 70% e fitimit neto u gjenerua nga aktiviteti i bankave në valutë, për të cil</w:t>
      </w:r>
      <w:r w:rsidR="00EF79E1" w:rsidRPr="00770F9D">
        <w:rPr>
          <w:rFonts w:ascii="Garamond" w:hAnsi="Garamond" w:cstheme="majorBidi"/>
          <w:color w:val="0D0D0D" w:themeColor="text1" w:themeTint="F2"/>
        </w:rPr>
        <w:t>i</w:t>
      </w:r>
      <w:r w:rsidRPr="00770F9D">
        <w:rPr>
          <w:rFonts w:ascii="Garamond" w:hAnsi="Garamond" w:cstheme="majorBidi"/>
          <w:color w:val="0D0D0D" w:themeColor="text1" w:themeTint="F2"/>
        </w:rPr>
        <w:t>n bankat kanë regjistruar njëkohësisht nivele të larta të ardhurash neto interesi dhe shpenzime të</w:t>
      </w:r>
      <w:r w:rsidR="004E589A" w:rsidRPr="00770F9D">
        <w:rPr>
          <w:rFonts w:ascii="Garamond" w:hAnsi="Garamond" w:cstheme="majorBidi"/>
          <w:color w:val="0D0D0D" w:themeColor="text1" w:themeTint="F2"/>
        </w:rPr>
        <w:t xml:space="preserve"> ulëta </w:t>
      </w:r>
      <w:r w:rsidRPr="00770F9D">
        <w:rPr>
          <w:rFonts w:ascii="Garamond" w:hAnsi="Garamond" w:cstheme="majorBidi"/>
          <w:color w:val="0D0D0D" w:themeColor="text1" w:themeTint="F2"/>
        </w:rPr>
        <w:t xml:space="preserve">operacionale krahasuar me aktivitetin në monedhën </w:t>
      </w:r>
      <w:r w:rsidR="002A4878" w:rsidRPr="00770F9D">
        <w:rPr>
          <w:rFonts w:ascii="Garamond" w:hAnsi="Garamond" w:cstheme="majorBidi"/>
          <w:color w:val="0D0D0D" w:themeColor="text1" w:themeTint="F2"/>
        </w:rPr>
        <w:t>vendës</w:t>
      </w:r>
      <w:r w:rsidRPr="00770F9D">
        <w:rPr>
          <w:rFonts w:ascii="Garamond" w:hAnsi="Garamond" w:cstheme="majorBidi"/>
          <w:color w:val="0D0D0D" w:themeColor="text1" w:themeTint="F2"/>
        </w:rPr>
        <w:t>e. Përgjatë 8 muajve të parë të vitit 2022 bankat kanë vijuar të rrisin shpenzimet e tyre në provigjionet për kreditë e humbura, në një nivel që rezulton më i lartë se ai i 2021 dhe poshtë nivelit të raportuar në vitin 2020. Rezultatet e ushtrimit të provës së rezistencës për horizontin kohor 2022</w:t>
      </w:r>
      <w:r w:rsidR="001B5490"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2024 tregojnë se sektori bankar mbetet i qëndrueshëm ndaj goditjeve potenciale makroekonomike, pavarësisht se disa banka mund të përballen me nevojën për të rritur kapitalin e paguar të tyre. </w:t>
      </w:r>
    </w:p>
    <w:p w14:paraId="08D60772" w14:textId="3C9986E9" w:rsidR="009D5D31" w:rsidRPr="00770F9D" w:rsidRDefault="009D5D31"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Cilësia e portofolit të kredisë së bankave ka vijuar të përmirësohet deri në gusht 2022, me raportin e huave me probleme ndaj totalit të huave në rënie të vazhdueshme në 5.2% nga 5.7% në dhjetor 2021. Përmirësimi reflekton njëkohësisht rritjen e fortë të tepricës së kredisë dhe rënien e tepricës së huave me probleme, kryesisht në disa </w:t>
      </w:r>
      <w:r w:rsidR="00736B5E" w:rsidRPr="00770F9D">
        <w:rPr>
          <w:rFonts w:ascii="Garamond" w:hAnsi="Garamond" w:cstheme="majorBidi"/>
          <w:color w:val="0D0D0D" w:themeColor="text1" w:themeTint="F2"/>
        </w:rPr>
        <w:t>portofola</w:t>
      </w:r>
      <w:r w:rsidRPr="00770F9D">
        <w:rPr>
          <w:rFonts w:ascii="Garamond" w:hAnsi="Garamond" w:cstheme="majorBidi"/>
          <w:color w:val="0D0D0D" w:themeColor="text1" w:themeTint="F2"/>
        </w:rPr>
        <w:t xml:space="preserve"> specifikë të kredisë</w:t>
      </w:r>
      <w:r w:rsidR="005A1567"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kredia në valutë, ajo afatgjatë, kredia për individët dhe kredia për sektorin e industrisë, ndërtimit dhe tregtisë. Rënia e tepricës së kredisë u ndikua nga fshirjet dhe shlyerjet e disa huave me probleme, kurse indeksi i lëvizjes së kredisë midis klasave tregon një përkeqësim të lehtë të portofolit të kredisë, pasi më shumë kredi kanë lëvizur nga klasat me cilësi të lartë drejt atyre me probleme dhe anasjelltas. Struktura e huave me probleme dominohet nga kategoria e kredive të humbura (46%), ndërsa të dyshimtat dhe kreditë nën</w:t>
      </w:r>
      <w:r w:rsidR="005A1567"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standard zënë rreth 23% dhe 31% të totalit, respektivisht.</w:t>
      </w:r>
    </w:p>
    <w:p w14:paraId="0FEF4096" w14:textId="77777777" w:rsidR="009D5D31" w:rsidRPr="00770F9D" w:rsidRDefault="00F468C9" w:rsidP="005674F2">
      <w:pPr>
        <w:ind w:firstLine="284"/>
        <w:jc w:val="both"/>
        <w:rPr>
          <w:rFonts w:ascii="Garamond" w:hAnsi="Garamond" w:cstheme="majorBidi"/>
          <w:i/>
          <w:color w:val="0D0D0D" w:themeColor="text1" w:themeTint="F2"/>
        </w:rPr>
      </w:pPr>
      <w:r w:rsidRPr="00770F9D">
        <w:rPr>
          <w:rFonts w:ascii="Garamond" w:hAnsi="Garamond" w:cstheme="majorBidi"/>
          <w:i/>
          <w:color w:val="0D0D0D" w:themeColor="text1" w:themeTint="F2"/>
        </w:rPr>
        <w:t>Mbikëqyrja makroprudenciale</w:t>
      </w:r>
    </w:p>
    <w:p w14:paraId="688D6D5E" w14:textId="37E1DA7A" w:rsidR="009D5D31" w:rsidRPr="00770F9D" w:rsidRDefault="009D5D31" w:rsidP="009A295C">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Në vijim të miratimit të dokumentit të Strategjisë së Politikës Makroprudenciale (2017), i cili përcakton një kuadër të përgjithshëm operacional për zbatimin e politikës makroprudenciale në Shqipëri, Banka e Shqipërisë miratoi </w:t>
      </w:r>
      <w:r w:rsidR="00EF4A7F" w:rsidRPr="00770F9D">
        <w:rPr>
          <w:rFonts w:ascii="Garamond" w:hAnsi="Garamond" w:cstheme="majorBidi"/>
          <w:color w:val="0D0D0D" w:themeColor="text1" w:themeTint="F2"/>
        </w:rPr>
        <w:t xml:space="preserve">rregulloren </w:t>
      </w:r>
      <w:r w:rsidRPr="00770F9D">
        <w:rPr>
          <w:rFonts w:ascii="Garamond" w:hAnsi="Garamond" w:cstheme="majorBidi"/>
          <w:color w:val="0D0D0D" w:themeColor="text1" w:themeTint="F2"/>
        </w:rPr>
        <w:t xml:space="preserve">“Mbi shtesat makroprudenciale të kapitalit” (2019). Kjo rregullore përcakton metodën e vendosjes së shtesës konservuese të kapitalit (KONS), shtesës kundërciklike të kapitalit (KUNC), shtesës së kapitalit për bankat me rëndësi sistemike (SIST) dhe shtesës së kapitalit për rrezikun sistemik (STRUK) për bankat që kryejnë aktivitet në Shqipëri. Të gjitha këto shtesa duhet të plotësohen me instrumente të kapitalit bazë të nivelit të parë (KBN1); aplikohen si shtesa ndaj kërkesave të detyrueshme për kapital që janë kërkesat për </w:t>
      </w:r>
      <w:r w:rsidR="009A295C"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Shtyllën I + </w:t>
      </w:r>
      <w:r w:rsidR="009A295C" w:rsidRPr="00770F9D">
        <w:rPr>
          <w:rFonts w:ascii="Garamond" w:hAnsi="Garamond" w:cstheme="majorBidi"/>
          <w:color w:val="0D0D0D" w:themeColor="text1" w:themeTint="F2"/>
        </w:rPr>
        <w:t xml:space="preserve">shtyllën </w:t>
      </w:r>
      <w:r w:rsidRPr="00770F9D">
        <w:rPr>
          <w:rFonts w:ascii="Garamond" w:hAnsi="Garamond" w:cstheme="majorBidi"/>
          <w:color w:val="0D0D0D" w:themeColor="text1" w:themeTint="F2"/>
        </w:rPr>
        <w:t>II + MREL</w:t>
      </w:r>
      <w:r w:rsidRPr="00770F9D">
        <w:rPr>
          <w:rStyle w:val="FootnoteReference"/>
          <w:rFonts w:ascii="Garamond" w:hAnsi="Garamond" w:cstheme="majorBidi"/>
          <w:color w:val="0D0D0D" w:themeColor="text1" w:themeTint="F2"/>
        </w:rPr>
        <w:footnoteReference w:id="9"/>
      </w:r>
      <w:r w:rsidR="009A295C"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dhe shprehen si raport në </w:t>
      </w:r>
      <w:r w:rsidR="007A2FF2" w:rsidRPr="00770F9D">
        <w:rPr>
          <w:rFonts w:ascii="Garamond" w:hAnsi="Garamond" w:cstheme="majorBidi"/>
          <w:color w:val="0D0D0D" w:themeColor="text1" w:themeTint="F2"/>
        </w:rPr>
        <w:t xml:space="preserve">përqindje </w:t>
      </w:r>
      <w:r w:rsidRPr="00770F9D">
        <w:rPr>
          <w:rFonts w:ascii="Garamond" w:hAnsi="Garamond" w:cstheme="majorBidi"/>
          <w:color w:val="0D0D0D" w:themeColor="text1" w:themeTint="F2"/>
        </w:rPr>
        <w:t xml:space="preserve">ndaj ekspozimeve të peshuara me rrezik. Rregullorja parashikon një zbatim gradual të shtesave makroprudenciale të kapitalit. Sipas </w:t>
      </w:r>
      <w:r w:rsidR="00C15BA7" w:rsidRPr="00770F9D">
        <w:rPr>
          <w:rFonts w:ascii="Garamond" w:hAnsi="Garamond" w:cstheme="majorBidi"/>
          <w:color w:val="0D0D0D" w:themeColor="text1" w:themeTint="F2"/>
        </w:rPr>
        <w:t xml:space="preserve">rregullores </w:t>
      </w:r>
      <w:r w:rsidRPr="00770F9D">
        <w:rPr>
          <w:rFonts w:ascii="Garamond" w:hAnsi="Garamond" w:cstheme="majorBidi"/>
          <w:color w:val="0D0D0D" w:themeColor="text1" w:themeTint="F2"/>
        </w:rPr>
        <w:t xml:space="preserve">zbatimi i plotë i shtesës së kombinuar makroprudenciale të kapitalit do të realizohet në vitin 2024. </w:t>
      </w:r>
    </w:p>
    <w:p w14:paraId="6E8749D1" w14:textId="69D1FC35" w:rsidR="00C15BA7" w:rsidRPr="00770F9D" w:rsidRDefault="00C15BA7" w:rsidP="0027139F">
      <w:pPr>
        <w:ind w:firstLine="284"/>
        <w:jc w:val="center"/>
        <w:rPr>
          <w:rFonts w:ascii="Garamond" w:eastAsia="Times New Roman" w:hAnsi="Garamond" w:cstheme="majorBidi"/>
          <w:b/>
          <w:bCs/>
          <w:i/>
          <w:iCs/>
          <w:color w:val="0D0D0D" w:themeColor="text1" w:themeTint="F2"/>
          <w:lang w:eastAsia="en-GB"/>
        </w:rPr>
      </w:pPr>
    </w:p>
    <w:p w14:paraId="48E4AD78" w14:textId="56E23E2F" w:rsidR="009D5D31" w:rsidRPr="00770F9D" w:rsidRDefault="009D5D31" w:rsidP="0027139F">
      <w:pPr>
        <w:ind w:firstLine="284"/>
        <w:jc w:val="center"/>
        <w:rPr>
          <w:rFonts w:ascii="Garamond" w:hAnsi="Garamond" w:cstheme="majorBidi"/>
          <w:color w:val="0D0D0D" w:themeColor="text1" w:themeTint="F2"/>
        </w:rPr>
      </w:pPr>
      <w:r w:rsidRPr="00770F9D">
        <w:rPr>
          <w:rFonts w:ascii="Garamond" w:eastAsia="Times New Roman" w:hAnsi="Garamond" w:cstheme="majorBidi"/>
          <w:i/>
          <w:iCs/>
          <w:color w:val="0D0D0D" w:themeColor="text1" w:themeTint="F2"/>
          <w:sz w:val="20"/>
          <w:szCs w:val="20"/>
          <w:lang w:eastAsia="en-GB"/>
        </w:rPr>
        <w:t>Pasqyrë e hyrjes graduale në fuqi të shtesave makroprudenciale të kapitalit</w:t>
      </w:r>
    </w:p>
    <w:p w14:paraId="07DF9FD3" w14:textId="40787ED8" w:rsidR="009D5D31" w:rsidRPr="00770F9D" w:rsidRDefault="009312CE" w:rsidP="00C15BA7">
      <w:pPr>
        <w:ind w:firstLine="284"/>
        <w:jc w:val="center"/>
        <w:rPr>
          <w:rFonts w:ascii="Garamond" w:hAnsi="Garamond" w:cstheme="majorBidi"/>
          <w:i/>
          <w:color w:val="0D0D0D" w:themeColor="text1" w:themeTint="F2"/>
          <w:sz w:val="20"/>
          <w:szCs w:val="20"/>
        </w:rPr>
      </w:pPr>
      <w:r w:rsidRPr="00770F9D">
        <w:rPr>
          <w:rFonts w:ascii="Garamond" w:hAnsi="Garamond" w:cstheme="majorBidi"/>
          <w:noProof/>
          <w:color w:val="0D0D0D" w:themeColor="text1" w:themeTint="F2"/>
          <w:lang w:eastAsia="sq-AL"/>
        </w:rPr>
        <w:drawing>
          <wp:anchor distT="0" distB="0" distL="114300" distR="114300" simplePos="0" relativeHeight="251658261" behindDoc="0" locked="0" layoutInCell="1" allowOverlap="1" wp14:anchorId="68D93C1B" wp14:editId="643E4CFD">
            <wp:simplePos x="0" y="0"/>
            <wp:positionH relativeFrom="column">
              <wp:posOffset>-176834</wp:posOffset>
            </wp:positionH>
            <wp:positionV relativeFrom="paragraph">
              <wp:posOffset>190195</wp:posOffset>
            </wp:positionV>
            <wp:extent cx="6105525" cy="3175635"/>
            <wp:effectExtent l="0" t="0" r="9525" b="5715"/>
            <wp:wrapTopAndBottom/>
            <wp:docPr id="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a:extLst>
                        <a:ext uri="{84589F7E-364E-4C9E-8A38-B11213B215E9}">
                          <a14:cameraTool xmlns:a14="http://schemas.microsoft.com/office/drawing/2010/main" cellRange="$B$29:$G$49"/>
                        </a:ext>
                      </a:extLst>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05525" cy="3175635"/>
                    </a:xfrm>
                    <a:prstGeom prst="rect">
                      <a:avLst/>
                    </a:prstGeom>
                    <a:noFill/>
                  </pic:spPr>
                </pic:pic>
              </a:graphicData>
            </a:graphic>
            <wp14:sizeRelH relativeFrom="page">
              <wp14:pctWidth>0</wp14:pctWidth>
            </wp14:sizeRelH>
            <wp14:sizeRelV relativeFrom="page">
              <wp14:pctHeight>0</wp14:pctHeight>
            </wp14:sizeRelV>
          </wp:anchor>
        </w:drawing>
      </w:r>
      <w:r w:rsidR="009D5D31" w:rsidRPr="00770F9D">
        <w:rPr>
          <w:rFonts w:ascii="Garamond" w:hAnsi="Garamond" w:cstheme="majorBidi"/>
          <w:i/>
          <w:color w:val="0D0D0D" w:themeColor="text1" w:themeTint="F2"/>
          <w:sz w:val="20"/>
          <w:szCs w:val="20"/>
        </w:rPr>
        <w:t>Burimi: Banka e Shqipërisë</w:t>
      </w:r>
    </w:p>
    <w:p w14:paraId="5727CC6A" w14:textId="77777777" w:rsidR="00C15BA7" w:rsidRPr="00770F9D" w:rsidRDefault="00C15BA7" w:rsidP="00C15BA7">
      <w:pPr>
        <w:ind w:firstLine="284"/>
        <w:jc w:val="center"/>
        <w:rPr>
          <w:rFonts w:ascii="Garamond" w:eastAsia="Times New Roman" w:hAnsi="Garamond" w:cstheme="majorBidi"/>
          <w:b/>
          <w:bCs/>
          <w:i/>
          <w:iCs/>
          <w:color w:val="0D0D0D" w:themeColor="text1" w:themeTint="F2"/>
          <w:sz w:val="20"/>
          <w:szCs w:val="20"/>
          <w:lang w:eastAsia="en-GB"/>
        </w:rPr>
      </w:pPr>
    </w:p>
    <w:p w14:paraId="786ACC58" w14:textId="77777777" w:rsidR="009D5D31" w:rsidRPr="00770F9D" w:rsidRDefault="009D5D31"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Duke filluar nga viti 2020 bankat kanë filluar të përmbushin kërkesat për kapital të lidhura me shtesat KONS dhe SIST. Ndërkohë që instrumenti KUNC është aktiv dhe operacional, norma e tij është e barabartë me zero që nga shpallja për herë të parë e kësaj norme, sipas vendimit të Guvernatorit që publikohet në fund të çdo tremujori. Banka e Shqipërisë shpall listën e bankave sistemike dhe shtesat përkatëse SIST një herë në vit në fund të tremujorit të parë. Në vitin 2022 lista u shkurtua në 4 banka nga 5 të përcaktuara si banka sistemike një vit më parë. Zbatimi i shtesave KUNC dhe SIST mbështetet nga metodologjitë shoqëruese që janë publikuar në faqen e Bankës së Shqipërisë. Përmbushja nga ana e bankave e kërkesave për shtesat e kapitalit sipas Rregullores vlerësohet çdo tremujor nga Banka e Shqipërisë në bazë të një pakete të posaçme raportimi dhe raportit përkatës. Shtesa për rrezikun sistemik nuk është ende operacionale, por në të ardhmen ajo mund të përdoret si një mjet makroprudencial për të adresuar rrezikun sistemik strukturor.</w:t>
      </w:r>
    </w:p>
    <w:p w14:paraId="6DFC5370" w14:textId="77777777" w:rsidR="009D5D31" w:rsidRPr="00770F9D" w:rsidRDefault="009D5D31" w:rsidP="005674F2">
      <w:pPr>
        <w:ind w:firstLine="284"/>
        <w:jc w:val="both"/>
        <w:rPr>
          <w:rFonts w:ascii="Garamond" w:hAnsi="Garamond" w:cstheme="majorBidi"/>
          <w:i/>
          <w:color w:val="0D0D0D" w:themeColor="text1" w:themeTint="F2"/>
        </w:rPr>
      </w:pPr>
      <w:r w:rsidRPr="00770F9D">
        <w:rPr>
          <w:rFonts w:ascii="Garamond" w:hAnsi="Garamond" w:cstheme="majorBidi"/>
          <w:i/>
          <w:color w:val="0D0D0D" w:themeColor="text1" w:themeTint="F2"/>
        </w:rPr>
        <w:t>Mbikëqyrja bankare</w:t>
      </w:r>
    </w:p>
    <w:p w14:paraId="0419DEE3" w14:textId="77777777" w:rsidR="009D5D31" w:rsidRPr="00770F9D" w:rsidRDefault="009D5D31" w:rsidP="005674F2">
      <w:pPr>
        <w:ind w:firstLine="284"/>
        <w:jc w:val="both"/>
        <w:rPr>
          <w:rFonts w:ascii="Garamond" w:hAnsi="Garamond" w:cstheme="majorBidi"/>
          <w:color w:val="0D0D0D" w:themeColor="text1" w:themeTint="F2"/>
        </w:rPr>
      </w:pPr>
      <w:r w:rsidRPr="00770F9D">
        <w:rPr>
          <w:rFonts w:ascii="Garamond" w:eastAsia="Arial" w:hAnsi="Garamond" w:cstheme="majorBidi"/>
          <w:color w:val="0D0D0D" w:themeColor="text1" w:themeTint="F2"/>
        </w:rPr>
        <w:t>Sistemi bankar paraqitet i qëndrueshëm, pasi treguesit kryesorë kanë mbetur të qëndrueshëm dhe në nivele relativisht të shëndetshme. Në fund të muajit gusht 2022, raporti i mjaftueshmërisë së kapitalit shënoi 19.4%, kundrejt minimumit të kërkuar prej 12%; raporti i likuiditetit u raportua në 40,2%, krahasuar me minimumin e kërkuar prej 20% dhe raporti i mbulimit me likuiditet u raportua në pothuajse 300%, kundrejt minimumit të kërkuar prej 100%. Gjatë vitit 2022 portofoli i kredisë u rrit me 6,1% ndërkohë që kreditë me probleme vijuan</w:t>
      </w:r>
      <w:r w:rsidRPr="00770F9D">
        <w:rPr>
          <w:rFonts w:ascii="Garamond" w:hAnsi="Garamond" w:cstheme="majorBidi"/>
          <w:color w:val="0D0D0D" w:themeColor="text1" w:themeTint="F2"/>
        </w:rPr>
        <w:t xml:space="preserve"> tendencën rënëse,</w:t>
      </w:r>
      <w:r w:rsidRPr="00770F9D">
        <w:rPr>
          <w:rFonts w:ascii="Garamond" w:eastAsia="Arial" w:hAnsi="Garamond" w:cstheme="majorBidi"/>
          <w:color w:val="0D0D0D" w:themeColor="text1" w:themeTint="F2"/>
        </w:rPr>
        <w:t xml:space="preserve"> duke arritur shifrën 5,2% krahasuar me nivelin 5,65% në fund të vitit të kaluar.</w:t>
      </w:r>
    </w:p>
    <w:p w14:paraId="5AF955B5" w14:textId="77777777" w:rsidR="009D5D31" w:rsidRPr="00770F9D" w:rsidRDefault="009D5D31" w:rsidP="005674F2">
      <w:pPr>
        <w:ind w:firstLine="284"/>
        <w:jc w:val="both"/>
        <w:rPr>
          <w:rFonts w:ascii="Garamond" w:hAnsi="Garamond" w:cstheme="majorBidi"/>
          <w:color w:val="0D0D0D" w:themeColor="text1" w:themeTint="F2"/>
        </w:rPr>
      </w:pPr>
      <w:r w:rsidRPr="00770F9D">
        <w:rPr>
          <w:rFonts w:ascii="Garamond" w:eastAsia="Arial" w:hAnsi="Garamond" w:cstheme="majorBidi"/>
          <w:color w:val="0D0D0D" w:themeColor="text1" w:themeTint="F2"/>
        </w:rPr>
        <w:t xml:space="preserve">Megjithatë, paqëndrueshmëria politike ndërkombëtare, konflikti ushtarak në Ukrainë dhe masat ekonomike korresponduese, kanë gjeneruar një rritje të normave të interesit dhe probabiliteti i rritjes së mëtejshme të tyre prodhon rreziqe të konsiderueshme për huamarrësit dhe në aftësinë e tyre për shlyerjen e detyrimeve, me një ndikim në cilësinë e portofolit që mund të përballet me një përkeqësim të mundshëm. </w:t>
      </w:r>
    </w:p>
    <w:p w14:paraId="56ECAAD1" w14:textId="1C232C8D" w:rsidR="009D5D31" w:rsidRPr="00770F9D" w:rsidRDefault="009D5D31" w:rsidP="005674F2">
      <w:pPr>
        <w:ind w:firstLine="284"/>
        <w:jc w:val="both"/>
        <w:rPr>
          <w:rFonts w:ascii="Garamond" w:hAnsi="Garamond" w:cstheme="majorBidi"/>
          <w:color w:val="0D0D0D" w:themeColor="text1" w:themeTint="F2"/>
        </w:rPr>
      </w:pPr>
      <w:r w:rsidRPr="00770F9D">
        <w:rPr>
          <w:rFonts w:ascii="Garamond" w:eastAsia="Arial" w:hAnsi="Garamond" w:cstheme="majorBidi"/>
          <w:color w:val="0D0D0D" w:themeColor="text1" w:themeTint="F2"/>
        </w:rPr>
        <w:t xml:space="preserve">Në vitin 2021, Banka e Shqipërisë ndërmori një vlerësim të pavarur, si një vlerësim të ekuivalencës, të kuadrit rregullativ mbikëqyrës aktual, me asistencën teknike të Bankës Evropiane për Rindërtim dhe Zhvillim (BERZH) dhe </w:t>
      </w:r>
      <w:r w:rsidRPr="00770F9D">
        <w:rPr>
          <w:rFonts w:ascii="Garamond" w:eastAsia="Arial" w:hAnsi="Garamond" w:cstheme="majorBidi"/>
          <w:i/>
          <w:iCs/>
          <w:color w:val="0D0D0D" w:themeColor="text1" w:themeTint="F2"/>
        </w:rPr>
        <w:t>Price</w:t>
      </w:r>
      <w:r w:rsidR="00725BFC" w:rsidRPr="00770F9D">
        <w:rPr>
          <w:rFonts w:ascii="Garamond" w:eastAsia="Arial" w:hAnsi="Garamond" w:cstheme="majorBidi"/>
          <w:i/>
          <w:iCs/>
          <w:color w:val="0D0D0D" w:themeColor="text1" w:themeTint="F2"/>
        </w:rPr>
        <w:t xml:space="preserve"> </w:t>
      </w:r>
      <w:r w:rsidRPr="00770F9D">
        <w:rPr>
          <w:rFonts w:ascii="Garamond" w:eastAsia="Arial" w:hAnsi="Garamond" w:cstheme="majorBidi"/>
          <w:i/>
          <w:iCs/>
          <w:color w:val="0D0D0D" w:themeColor="text1" w:themeTint="F2"/>
        </w:rPr>
        <w:t>Waterhouse</w:t>
      </w:r>
      <w:r w:rsidR="00725BFC" w:rsidRPr="00770F9D">
        <w:rPr>
          <w:rFonts w:ascii="Garamond" w:eastAsia="Arial" w:hAnsi="Garamond" w:cstheme="majorBidi"/>
          <w:i/>
          <w:iCs/>
          <w:color w:val="0D0D0D" w:themeColor="text1" w:themeTint="F2"/>
        </w:rPr>
        <w:t xml:space="preserve"> </w:t>
      </w:r>
      <w:r w:rsidRPr="00770F9D">
        <w:rPr>
          <w:rFonts w:ascii="Garamond" w:eastAsia="Arial" w:hAnsi="Garamond" w:cstheme="majorBidi"/>
          <w:i/>
          <w:iCs/>
          <w:color w:val="0D0D0D" w:themeColor="text1" w:themeTint="F2"/>
        </w:rPr>
        <w:t>Coopers (PwC)</w:t>
      </w:r>
      <w:r w:rsidRPr="00770F9D">
        <w:rPr>
          <w:rFonts w:ascii="Garamond" w:eastAsia="Arial" w:hAnsi="Garamond" w:cstheme="majorBidi"/>
          <w:color w:val="0D0D0D" w:themeColor="text1" w:themeTint="F2"/>
        </w:rPr>
        <w:t>, nëpërmjet adoptimit të një qasje gjithëpërfshirëse, bazuar në metodologjinë dhe pyetësorin e publikuar nga Autoriteti Bankar Evropian (EBA).</w:t>
      </w:r>
    </w:p>
    <w:p w14:paraId="59EAF2DB" w14:textId="68EBAC7E" w:rsidR="009D5D31" w:rsidRPr="00770F9D" w:rsidRDefault="009D5D31" w:rsidP="005674F2">
      <w:pPr>
        <w:ind w:firstLine="284"/>
        <w:jc w:val="both"/>
        <w:rPr>
          <w:rFonts w:ascii="Garamond" w:hAnsi="Garamond" w:cstheme="majorBidi"/>
          <w:color w:val="0D0D0D" w:themeColor="text1" w:themeTint="F2"/>
        </w:rPr>
      </w:pPr>
      <w:r w:rsidRPr="00770F9D">
        <w:rPr>
          <w:rFonts w:ascii="Garamond" w:eastAsia="Arial" w:hAnsi="Garamond" w:cstheme="majorBidi"/>
          <w:color w:val="0D0D0D" w:themeColor="text1" w:themeTint="F2"/>
        </w:rPr>
        <w:t xml:space="preserve">Kjo analizë, e cila përfundoi në dhjetor 2021, arriti në përfundimin se kuadri </w:t>
      </w:r>
      <w:r w:rsidR="008C422E" w:rsidRPr="00770F9D">
        <w:rPr>
          <w:rFonts w:ascii="Garamond" w:eastAsia="Arial" w:hAnsi="Garamond" w:cstheme="majorBidi"/>
          <w:color w:val="0D0D0D" w:themeColor="text1" w:themeTint="F2"/>
        </w:rPr>
        <w:t>procedural</w:t>
      </w:r>
      <w:r w:rsidRPr="00770F9D">
        <w:rPr>
          <w:rFonts w:ascii="Garamond" w:eastAsia="Arial" w:hAnsi="Garamond" w:cstheme="majorBidi"/>
          <w:color w:val="0D0D0D" w:themeColor="text1" w:themeTint="F2"/>
        </w:rPr>
        <w:t xml:space="preserve"> dhe rregullator, si dhe praktikat mbikëqyrëse, </w:t>
      </w:r>
      <w:r w:rsidRPr="00770F9D">
        <w:rPr>
          <w:rFonts w:ascii="Garamond" w:hAnsi="Garamond" w:cstheme="majorBidi"/>
          <w:color w:val="0D0D0D" w:themeColor="text1" w:themeTint="F2"/>
        </w:rPr>
        <w:t xml:space="preserve">qëndrojnë </w:t>
      </w:r>
      <w:r w:rsidRPr="00770F9D">
        <w:rPr>
          <w:rFonts w:ascii="Garamond" w:eastAsia="Arial" w:hAnsi="Garamond" w:cstheme="majorBidi"/>
          <w:color w:val="0D0D0D" w:themeColor="text1" w:themeTint="F2"/>
        </w:rPr>
        <w:t>në një shkallë të lartë ekuivalence dhe përafrimi me standardet e zbatueshme të vendeve të BE-së.</w:t>
      </w:r>
      <w:r w:rsidR="008C422E" w:rsidRPr="00770F9D">
        <w:rPr>
          <w:rFonts w:ascii="Garamond" w:eastAsia="Arial" w:hAnsi="Garamond" w:cstheme="majorBidi"/>
          <w:color w:val="0D0D0D" w:themeColor="text1" w:themeTint="F2"/>
        </w:rPr>
        <w:t xml:space="preserve"> </w:t>
      </w:r>
      <w:r w:rsidRPr="00770F9D">
        <w:rPr>
          <w:rFonts w:ascii="Garamond" w:eastAsia="Arial" w:hAnsi="Garamond" w:cstheme="majorBidi"/>
          <w:color w:val="0D0D0D" w:themeColor="text1" w:themeTint="F2"/>
        </w:rPr>
        <w:t>Ky përafrim vlerësohet veçanërisht i lartë në lidhje me kërkesat për kapital, teknikat e zbatueshme të zbutjes së rreziqeve, ekspozimet e mëdha, likuiditetin, levën financiare, mbikëqyrjen makroprudenciale, sekretin profesional dhe bashkëpunimin ndërkombëtar.</w:t>
      </w:r>
    </w:p>
    <w:p w14:paraId="5D73C485" w14:textId="77777777" w:rsidR="009D5D31" w:rsidRPr="00770F9D" w:rsidRDefault="009D5D31" w:rsidP="005674F2">
      <w:pPr>
        <w:ind w:firstLine="284"/>
        <w:jc w:val="both"/>
        <w:rPr>
          <w:rFonts w:ascii="Garamond" w:hAnsi="Garamond" w:cstheme="majorBidi"/>
          <w:color w:val="0D0D0D" w:themeColor="text1" w:themeTint="F2"/>
        </w:rPr>
      </w:pPr>
      <w:r w:rsidRPr="00770F9D">
        <w:rPr>
          <w:rFonts w:ascii="Garamond" w:eastAsia="Arial" w:hAnsi="Garamond" w:cstheme="majorBidi"/>
          <w:color w:val="0D0D0D" w:themeColor="text1" w:themeTint="F2"/>
        </w:rPr>
        <w:t xml:space="preserve">Në vitin 2022, </w:t>
      </w:r>
      <w:r w:rsidRPr="00770F9D">
        <w:rPr>
          <w:rFonts w:ascii="Garamond" w:hAnsi="Garamond" w:cstheme="majorBidi"/>
          <w:color w:val="0D0D0D" w:themeColor="text1" w:themeTint="F2"/>
        </w:rPr>
        <w:t xml:space="preserve">Banka e Shqipërisë </w:t>
      </w:r>
      <w:r w:rsidRPr="00770F9D">
        <w:rPr>
          <w:rFonts w:ascii="Garamond" w:eastAsia="Arial" w:hAnsi="Garamond" w:cstheme="majorBidi"/>
          <w:color w:val="0D0D0D" w:themeColor="text1" w:themeTint="F2"/>
        </w:rPr>
        <w:t>i ka kërkuar zyrtarisht Autoritetit Bankar Evropian të konsiderojë procesin e vlerësimit për Shqipërinë.</w:t>
      </w:r>
    </w:p>
    <w:p w14:paraId="68F388CD" w14:textId="6D3B74AC" w:rsidR="009D5D31" w:rsidRPr="00770F9D" w:rsidRDefault="009D5D31" w:rsidP="005674F2">
      <w:pPr>
        <w:ind w:firstLine="284"/>
        <w:jc w:val="both"/>
        <w:rPr>
          <w:rFonts w:ascii="Garamond" w:hAnsi="Garamond" w:cstheme="majorBidi"/>
          <w:color w:val="0D0D0D" w:themeColor="text1" w:themeTint="F2"/>
        </w:rPr>
      </w:pPr>
      <w:r w:rsidRPr="00770F9D">
        <w:rPr>
          <w:rFonts w:ascii="Garamond" w:eastAsia="Arial" w:hAnsi="Garamond" w:cstheme="majorBidi"/>
          <w:color w:val="0D0D0D" w:themeColor="text1" w:themeTint="F2"/>
        </w:rPr>
        <w:t xml:space="preserve">Gjatë viteve të fundit, Banka e Shqipërisë ka përafruar vazhdimisht kuadrin e saj rregullator me </w:t>
      </w:r>
      <w:r w:rsidRPr="00770F9D">
        <w:rPr>
          <w:rFonts w:ascii="Garamond" w:eastAsia="Arial" w:hAnsi="Garamond" w:cstheme="majorBidi"/>
          <w:i/>
          <w:color w:val="0D0D0D" w:themeColor="text1" w:themeTint="F2"/>
        </w:rPr>
        <w:t>acquis</w:t>
      </w:r>
      <w:r w:rsidRPr="00770F9D">
        <w:rPr>
          <w:rFonts w:ascii="Garamond" w:eastAsia="Arial" w:hAnsi="Garamond" w:cstheme="majorBidi"/>
          <w:color w:val="0D0D0D" w:themeColor="text1" w:themeTint="F2"/>
        </w:rPr>
        <w:t xml:space="preserve"> të BE-së dhe kërkesat e </w:t>
      </w:r>
      <w:r w:rsidR="008C422E" w:rsidRPr="00770F9D">
        <w:rPr>
          <w:rFonts w:ascii="Garamond" w:eastAsia="Arial" w:hAnsi="Garamond" w:cstheme="majorBidi"/>
          <w:color w:val="0D0D0D" w:themeColor="text1" w:themeTint="F2"/>
        </w:rPr>
        <w:t xml:space="preserve">Bazel </w:t>
      </w:r>
      <w:r w:rsidRPr="00770F9D">
        <w:rPr>
          <w:rFonts w:ascii="Garamond" w:eastAsia="Arial" w:hAnsi="Garamond" w:cstheme="majorBidi"/>
          <w:color w:val="0D0D0D" w:themeColor="text1" w:themeTint="F2"/>
        </w:rPr>
        <w:t>III (</w:t>
      </w:r>
      <w:r w:rsidR="002354C4" w:rsidRPr="00770F9D">
        <w:rPr>
          <w:rFonts w:ascii="Garamond" w:eastAsia="Arial" w:hAnsi="Garamond" w:cstheme="majorBidi"/>
          <w:color w:val="0D0D0D" w:themeColor="text1" w:themeTint="F2"/>
        </w:rPr>
        <w:t>për sa</w:t>
      </w:r>
      <w:r w:rsidRPr="00770F9D">
        <w:rPr>
          <w:rFonts w:ascii="Garamond" w:eastAsia="Arial" w:hAnsi="Garamond" w:cstheme="majorBidi"/>
          <w:color w:val="0D0D0D" w:themeColor="text1" w:themeTint="F2"/>
        </w:rPr>
        <w:t xml:space="preserve"> i përket raportit të mbulimit me likuiditet, raportit neto të financimit të qëndrueshëm, raportit të levës financiare dhe rishikimit të kërkesave për ka</w:t>
      </w:r>
      <w:r w:rsidR="008C422E" w:rsidRPr="00770F9D">
        <w:rPr>
          <w:rFonts w:ascii="Garamond" w:eastAsia="Arial" w:hAnsi="Garamond" w:cstheme="majorBidi"/>
          <w:color w:val="0D0D0D" w:themeColor="text1" w:themeTint="F2"/>
        </w:rPr>
        <w:t>pital për rreziqet e shtyllës 1</w:t>
      </w:r>
      <w:r w:rsidRPr="00770F9D">
        <w:rPr>
          <w:rFonts w:ascii="Garamond" w:eastAsia="Arial" w:hAnsi="Garamond" w:cstheme="majorBidi"/>
          <w:color w:val="0D0D0D" w:themeColor="text1" w:themeTint="F2"/>
        </w:rPr>
        <w:t>. Më konkretisht</w:t>
      </w:r>
      <w:r w:rsidR="008C422E" w:rsidRPr="00770F9D">
        <w:rPr>
          <w:rFonts w:ascii="Garamond" w:eastAsia="Arial" w:hAnsi="Garamond" w:cstheme="majorBidi"/>
          <w:color w:val="0D0D0D" w:themeColor="text1" w:themeTint="F2"/>
        </w:rPr>
        <w:t>,</w:t>
      </w:r>
      <w:r w:rsidRPr="00770F9D">
        <w:rPr>
          <w:rFonts w:ascii="Garamond" w:eastAsia="Arial" w:hAnsi="Garamond" w:cstheme="majorBidi"/>
          <w:color w:val="0D0D0D" w:themeColor="text1" w:themeTint="F2"/>
        </w:rPr>
        <w:t xml:space="preserve"> në vitet 2021 dhe 2022, në kuadër të përafrimit të mëtejshëm me kërkesat e Bazel II/III dhe përafrimin me </w:t>
      </w:r>
      <w:r w:rsidRPr="00770F9D">
        <w:rPr>
          <w:rFonts w:ascii="Garamond" w:eastAsia="Arial" w:hAnsi="Garamond" w:cstheme="majorBidi"/>
          <w:i/>
          <w:color w:val="0D0D0D" w:themeColor="text1" w:themeTint="F2"/>
        </w:rPr>
        <w:t>acquis</w:t>
      </w:r>
      <w:r w:rsidRPr="00770F9D">
        <w:rPr>
          <w:rFonts w:ascii="Garamond" w:eastAsia="Arial" w:hAnsi="Garamond" w:cstheme="majorBidi"/>
          <w:color w:val="0D0D0D" w:themeColor="text1" w:themeTint="F2"/>
        </w:rPr>
        <w:t xml:space="preserve"> të BE-së, Banka e Shqipërisë ka hartuar disa ndryshime në rregulloren “Për raportin e mjaftueshmërisë së kapitalit”, me synim adoptimin e kërkesave/qasjeve të rishikuara për rrezikun e kredisë, titullzimet dhe rrezikun e tregut. Këto ndryshime janë hartuar gjatë Projektit të Binjakëzimit (2019</w:t>
      </w:r>
      <w:r w:rsidR="008C422E" w:rsidRPr="00770F9D">
        <w:rPr>
          <w:rFonts w:ascii="Garamond" w:eastAsia="Arial" w:hAnsi="Garamond" w:cstheme="majorBidi"/>
          <w:color w:val="0D0D0D" w:themeColor="text1" w:themeTint="F2"/>
        </w:rPr>
        <w:t>–</w:t>
      </w:r>
      <w:r w:rsidRPr="00770F9D">
        <w:rPr>
          <w:rFonts w:ascii="Garamond" w:eastAsia="Arial" w:hAnsi="Garamond" w:cstheme="majorBidi"/>
          <w:color w:val="0D0D0D" w:themeColor="text1" w:themeTint="F2"/>
        </w:rPr>
        <w:t>2021) dhe</w:t>
      </w:r>
      <w:r w:rsidR="008C422E" w:rsidRPr="00770F9D">
        <w:rPr>
          <w:rFonts w:ascii="Garamond" w:eastAsia="Arial" w:hAnsi="Garamond" w:cstheme="majorBidi"/>
          <w:color w:val="0D0D0D" w:themeColor="text1" w:themeTint="F2"/>
        </w:rPr>
        <w:t>,</w:t>
      </w:r>
      <w:r w:rsidRPr="00770F9D">
        <w:rPr>
          <w:rFonts w:ascii="Garamond" w:eastAsia="Arial" w:hAnsi="Garamond" w:cstheme="majorBidi"/>
          <w:color w:val="0D0D0D" w:themeColor="text1" w:themeTint="F2"/>
        </w:rPr>
        <w:t xml:space="preserve"> gjithashtu</w:t>
      </w:r>
      <w:r w:rsidR="008C422E" w:rsidRPr="00770F9D">
        <w:rPr>
          <w:rFonts w:ascii="Garamond" w:eastAsia="Arial" w:hAnsi="Garamond" w:cstheme="majorBidi"/>
          <w:color w:val="0D0D0D" w:themeColor="text1" w:themeTint="F2"/>
        </w:rPr>
        <w:t>,</w:t>
      </w:r>
      <w:r w:rsidRPr="00770F9D">
        <w:rPr>
          <w:rFonts w:ascii="Garamond" w:eastAsia="Arial" w:hAnsi="Garamond" w:cstheme="majorBidi"/>
          <w:color w:val="0D0D0D" w:themeColor="text1" w:themeTint="F2"/>
        </w:rPr>
        <w:t xml:space="preserve"> janë parashikuar në Planet Kombëtare për Integrimin Evropian (PKIE). Banka e Shqipërisë planifikon të rishikojë në vitet në vijim kërkesat për llogaritjen e kapitalit rregullator, duke pasur parasysh rishikimet e fundit të BE-së për këtë çështje.</w:t>
      </w:r>
    </w:p>
    <w:p w14:paraId="213E66CC" w14:textId="77777777" w:rsidR="009D5D31" w:rsidRPr="00770F9D" w:rsidRDefault="009D5D31" w:rsidP="005674F2">
      <w:pPr>
        <w:ind w:firstLine="284"/>
        <w:jc w:val="both"/>
        <w:rPr>
          <w:rFonts w:ascii="Garamond" w:hAnsi="Garamond" w:cstheme="majorBidi"/>
          <w:b/>
          <w:color w:val="0D0D0D" w:themeColor="text1" w:themeTint="F2"/>
        </w:rPr>
      </w:pPr>
      <w:r w:rsidRPr="00770F9D">
        <w:rPr>
          <w:rFonts w:ascii="Garamond" w:hAnsi="Garamond" w:cstheme="majorBidi"/>
          <w:color w:val="0D0D0D" w:themeColor="text1" w:themeTint="F2"/>
        </w:rPr>
        <w:t>Në vitin 2022 u miratuan disa ndryshime në rregulloren “Mbi parimet bazë të drejtimit të bankave dhe degëve të bankave të huaja dhe kriteret për miratimin e administratorëve të tyre”, duke synuar përmirësimin e mëtejshëm të kuadrit rregullativ e mbikëqyrës për qeverisjen e bankave. Në këtë kuadër, nga Banka e Shqipërisë është hartuar edhe një udhëzues i ri për bankat “Mbi drejtimin e brendshëm dhe efektiv të bankave”.</w:t>
      </w:r>
    </w:p>
    <w:p w14:paraId="305BFA01" w14:textId="7E0295BF" w:rsidR="009D5D31" w:rsidRPr="00770F9D" w:rsidRDefault="009D5D31" w:rsidP="008C422E">
      <w:pPr>
        <w:ind w:firstLine="284"/>
        <w:jc w:val="both"/>
        <w:rPr>
          <w:rFonts w:ascii="Garamond" w:hAnsi="Garamond" w:cstheme="majorBidi"/>
          <w:color w:val="0D0D0D" w:themeColor="text1" w:themeTint="F2"/>
        </w:rPr>
      </w:pPr>
      <w:r w:rsidRPr="00770F9D">
        <w:rPr>
          <w:rFonts w:ascii="Garamond" w:eastAsia="Arial" w:hAnsi="Garamond" w:cstheme="majorBidi"/>
          <w:color w:val="0D0D0D" w:themeColor="text1" w:themeTint="F2"/>
        </w:rPr>
        <w:t xml:space="preserve">Në lidhje me zbatimin e </w:t>
      </w:r>
      <w:r w:rsidR="008C422E" w:rsidRPr="00770F9D">
        <w:rPr>
          <w:rFonts w:ascii="Garamond" w:eastAsia="Arial" w:hAnsi="Garamond" w:cstheme="majorBidi"/>
          <w:color w:val="0D0D0D" w:themeColor="text1" w:themeTint="F2"/>
        </w:rPr>
        <w:t xml:space="preserve">ligjit </w:t>
      </w:r>
      <w:r w:rsidRPr="00770F9D">
        <w:rPr>
          <w:rFonts w:ascii="Garamond" w:eastAsia="Arial" w:hAnsi="Garamond" w:cstheme="majorBidi"/>
          <w:color w:val="0D0D0D" w:themeColor="text1" w:themeTint="F2"/>
        </w:rPr>
        <w:t xml:space="preserve">“Për shërbimet e pagesave” (i cili transpozoi </w:t>
      </w:r>
      <w:r w:rsidR="008C422E" w:rsidRPr="00770F9D">
        <w:rPr>
          <w:rFonts w:ascii="Garamond" w:eastAsia="Arial" w:hAnsi="Garamond" w:cstheme="majorBidi"/>
          <w:color w:val="0D0D0D" w:themeColor="text1" w:themeTint="F2"/>
        </w:rPr>
        <w:t xml:space="preserve">direktivën </w:t>
      </w:r>
      <w:r w:rsidRPr="00770F9D">
        <w:rPr>
          <w:rFonts w:ascii="Garamond" w:eastAsia="Arial" w:hAnsi="Garamond" w:cstheme="majorBidi"/>
          <w:color w:val="0D0D0D" w:themeColor="text1" w:themeTint="F2"/>
        </w:rPr>
        <w:t>PSD2), Banka e Shqipërisë ka hartuar dhe miratuar një sërë aktesh nënligjore gjatë viteve 2021</w:t>
      </w:r>
      <w:r w:rsidR="008C422E" w:rsidRPr="00770F9D">
        <w:rPr>
          <w:rFonts w:ascii="Garamond" w:eastAsia="Arial" w:hAnsi="Garamond" w:cstheme="majorBidi"/>
          <w:color w:val="0D0D0D" w:themeColor="text1" w:themeTint="F2"/>
        </w:rPr>
        <w:t>–</w:t>
      </w:r>
      <w:r w:rsidRPr="00770F9D">
        <w:rPr>
          <w:rFonts w:ascii="Garamond" w:eastAsia="Arial" w:hAnsi="Garamond" w:cstheme="majorBidi"/>
          <w:color w:val="0D0D0D" w:themeColor="text1" w:themeTint="F2"/>
        </w:rPr>
        <w:t>2022.</w:t>
      </w:r>
      <w:r w:rsidR="008C422E" w:rsidRPr="00770F9D">
        <w:rPr>
          <w:rFonts w:ascii="Garamond" w:eastAsia="Arial" w:hAnsi="Garamond" w:cstheme="majorBidi"/>
          <w:color w:val="0D0D0D" w:themeColor="text1" w:themeTint="F2"/>
        </w:rPr>
        <w:t xml:space="preserve"> </w:t>
      </w:r>
      <w:r w:rsidRPr="00770F9D">
        <w:rPr>
          <w:rFonts w:ascii="Garamond" w:eastAsia="Arial" w:hAnsi="Garamond" w:cstheme="majorBidi"/>
          <w:color w:val="0D0D0D" w:themeColor="text1" w:themeTint="F2"/>
        </w:rPr>
        <w:t>Aktet e reja mbulojnë: kërkesat e licencimit për institucionet e pagesave (IP) dhe institucionet e parasë elektronike (IPE); kërkesat për shumën minimale të siguracionit të dëmshpërblimit profesional ose garancive të krahasueshme për ofruesit e shërbimit të inicimit të pagesës dhe ofruesit e shërbimit të informimit të llogarisë; regjistrin publik të ofruesve të shërbimeve të pagesave; kërkesat për autentifikimin e thelluar të klientit dhe bankingun e hapur për ofruesit e shërbimeve të pagesave; kërkesat mbikëqyrëse për veprimtarinë dhe administrimin e rrezikut të IP dhe IPE.Në të ardhmen e afërt është planifikuar të hartohet rregullorja për administrimin e rrezikut të TIK dhe të sigurisë (rrezikut operacional) për këto subjekte.</w:t>
      </w:r>
    </w:p>
    <w:p w14:paraId="3FC28727" w14:textId="1076B15A" w:rsidR="009D5D31" w:rsidRPr="00770F9D" w:rsidRDefault="009D5D31" w:rsidP="00EB64CA">
      <w:pPr>
        <w:ind w:firstLine="284"/>
        <w:jc w:val="both"/>
        <w:rPr>
          <w:rFonts w:ascii="Garamond" w:hAnsi="Garamond" w:cstheme="majorBidi"/>
          <w:color w:val="0D0D0D" w:themeColor="text1" w:themeTint="F2"/>
        </w:rPr>
      </w:pPr>
      <w:r w:rsidRPr="00770F9D">
        <w:rPr>
          <w:rFonts w:ascii="Garamond" w:eastAsia="Arial" w:hAnsi="Garamond" w:cstheme="majorBidi"/>
          <w:color w:val="0D0D0D" w:themeColor="text1" w:themeTint="F2"/>
        </w:rPr>
        <w:t xml:space="preserve">Banka e Shqipërisë ka transpozuar </w:t>
      </w:r>
      <w:r w:rsidR="00046AF4" w:rsidRPr="00770F9D">
        <w:rPr>
          <w:rFonts w:ascii="Garamond" w:eastAsia="Arial" w:hAnsi="Garamond" w:cstheme="majorBidi"/>
          <w:color w:val="0D0D0D" w:themeColor="text1" w:themeTint="F2"/>
        </w:rPr>
        <w:t xml:space="preserve">direktivën </w:t>
      </w:r>
      <w:r w:rsidRPr="00770F9D">
        <w:rPr>
          <w:rFonts w:ascii="Garamond" w:eastAsia="Arial" w:hAnsi="Garamond" w:cstheme="majorBidi"/>
          <w:color w:val="0D0D0D" w:themeColor="text1" w:themeTint="F2"/>
        </w:rPr>
        <w:t>2014/92/BE</w:t>
      </w:r>
      <w:r w:rsidR="00046AF4" w:rsidRPr="00770F9D">
        <w:rPr>
          <w:rFonts w:ascii="Garamond" w:eastAsia="Arial" w:hAnsi="Garamond" w:cstheme="majorBidi"/>
          <w:color w:val="0D0D0D" w:themeColor="text1" w:themeTint="F2"/>
        </w:rPr>
        <w:t>,</w:t>
      </w:r>
      <w:r w:rsidRPr="00770F9D">
        <w:rPr>
          <w:rFonts w:ascii="Garamond" w:eastAsia="Arial" w:hAnsi="Garamond" w:cstheme="majorBidi"/>
          <w:color w:val="0D0D0D" w:themeColor="text1" w:themeTint="F2"/>
        </w:rPr>
        <w:t xml:space="preserve"> “Mbi krahasueshmërinë e tarifave që lidhen me llogaritë e pagesave, transferimin e llogarive të pagesave dhe aksesin në llogaritë e pagesave me karakteristika bazike (PAD)” dhe rregulloret përkatëse të saj (Rregulloret e Deleguara të Komisionit (EU) 2018/32, 2018/33 dhe 2018/34), në kuadrin ligjor dhe rregullativ shqiptar. Kapitujt e </w:t>
      </w:r>
      <w:r w:rsidR="00046AF4" w:rsidRPr="00770F9D">
        <w:rPr>
          <w:rFonts w:ascii="Garamond" w:eastAsia="Arial" w:hAnsi="Garamond" w:cstheme="majorBidi"/>
          <w:color w:val="0D0D0D" w:themeColor="text1" w:themeTint="F2"/>
        </w:rPr>
        <w:t xml:space="preserve">direktivës </w:t>
      </w:r>
      <w:r w:rsidRPr="00770F9D">
        <w:rPr>
          <w:rFonts w:ascii="Garamond" w:eastAsia="Arial" w:hAnsi="Garamond" w:cstheme="majorBidi"/>
          <w:color w:val="0D0D0D" w:themeColor="text1" w:themeTint="F2"/>
        </w:rPr>
        <w:t>2014/92/BE që lidhen me transparencën dhe krahasueshmërinë e tarifave dhe transferimit të llogarive të pagesave dhe tr</w:t>
      </w:r>
      <w:r w:rsidR="00EB64CA">
        <w:rPr>
          <w:rFonts w:ascii="Garamond" w:eastAsia="Arial" w:hAnsi="Garamond" w:cstheme="majorBidi"/>
          <w:color w:val="0D0D0D" w:themeColor="text1" w:themeTint="F2"/>
        </w:rPr>
        <w:t>i</w:t>
      </w:r>
      <w:r w:rsidRPr="00770F9D">
        <w:rPr>
          <w:rFonts w:ascii="Garamond" w:eastAsia="Arial" w:hAnsi="Garamond" w:cstheme="majorBidi"/>
          <w:color w:val="0D0D0D" w:themeColor="text1" w:themeTint="F2"/>
        </w:rPr>
        <w:t xml:space="preserve"> rregulloret e sipërpërmendura janë transpozuar në formën e një </w:t>
      </w:r>
      <w:r w:rsidR="00046AF4" w:rsidRPr="00770F9D">
        <w:rPr>
          <w:rFonts w:ascii="Garamond" w:eastAsia="Arial" w:hAnsi="Garamond" w:cstheme="majorBidi"/>
          <w:color w:val="0D0D0D" w:themeColor="text1" w:themeTint="F2"/>
        </w:rPr>
        <w:t>projektrregullor</w:t>
      </w:r>
      <w:r w:rsidRPr="00770F9D">
        <w:rPr>
          <w:rFonts w:ascii="Garamond" w:eastAsia="Arial" w:hAnsi="Garamond" w:cstheme="majorBidi"/>
          <w:color w:val="0D0D0D" w:themeColor="text1" w:themeTint="F2"/>
        </w:rPr>
        <w:t xml:space="preserve">eje, ndërsa kapitujt e </w:t>
      </w:r>
      <w:r w:rsidR="00046AF4" w:rsidRPr="00770F9D">
        <w:rPr>
          <w:rFonts w:ascii="Garamond" w:eastAsia="Arial" w:hAnsi="Garamond" w:cstheme="majorBidi"/>
          <w:color w:val="0D0D0D" w:themeColor="text1" w:themeTint="F2"/>
        </w:rPr>
        <w:t xml:space="preserve">direktivës </w:t>
      </w:r>
      <w:r w:rsidRPr="00770F9D">
        <w:rPr>
          <w:rFonts w:ascii="Garamond" w:eastAsia="Arial" w:hAnsi="Garamond" w:cstheme="majorBidi"/>
          <w:color w:val="0D0D0D" w:themeColor="text1" w:themeTint="F2"/>
        </w:rPr>
        <w:t xml:space="preserve">PAD që kanë të bëjnë me aksesin në llogarinë e pagesave me shërbime bazike janë transpozuar në formën e një projektligji, i cili aktualisht është në proces konsultimi publik. Transpozimi i </w:t>
      </w:r>
      <w:r w:rsidR="00046AF4" w:rsidRPr="00770F9D">
        <w:rPr>
          <w:rFonts w:ascii="Garamond" w:eastAsia="Arial" w:hAnsi="Garamond" w:cstheme="majorBidi"/>
          <w:color w:val="0D0D0D" w:themeColor="text1" w:themeTint="F2"/>
        </w:rPr>
        <w:t xml:space="preserve">direktivës </w:t>
      </w:r>
      <w:r w:rsidRPr="00770F9D">
        <w:rPr>
          <w:rFonts w:ascii="Garamond" w:eastAsia="Arial" w:hAnsi="Garamond" w:cstheme="majorBidi"/>
          <w:color w:val="0D0D0D" w:themeColor="text1" w:themeTint="F2"/>
        </w:rPr>
        <w:t>PAD është parashikuar në PKIE 2022</w:t>
      </w:r>
      <w:r w:rsidR="00046AF4" w:rsidRPr="00770F9D">
        <w:rPr>
          <w:rFonts w:ascii="Garamond" w:eastAsia="Arial" w:hAnsi="Garamond" w:cstheme="majorBidi"/>
          <w:color w:val="0D0D0D" w:themeColor="text1" w:themeTint="F2"/>
        </w:rPr>
        <w:t>–</w:t>
      </w:r>
      <w:r w:rsidRPr="00770F9D">
        <w:rPr>
          <w:rFonts w:ascii="Garamond" w:eastAsia="Arial" w:hAnsi="Garamond" w:cstheme="majorBidi"/>
          <w:color w:val="0D0D0D" w:themeColor="text1" w:themeTint="F2"/>
        </w:rPr>
        <w:t>2024 dhe</w:t>
      </w:r>
      <w:r w:rsidR="00046AF4" w:rsidRPr="00770F9D">
        <w:rPr>
          <w:rFonts w:ascii="Garamond" w:eastAsia="Arial" w:hAnsi="Garamond" w:cstheme="majorBidi"/>
          <w:color w:val="0D0D0D" w:themeColor="text1" w:themeTint="F2"/>
        </w:rPr>
        <w:t>,</w:t>
      </w:r>
      <w:r w:rsidRPr="00770F9D">
        <w:rPr>
          <w:rFonts w:ascii="Garamond" w:eastAsia="Arial" w:hAnsi="Garamond" w:cstheme="majorBidi"/>
          <w:color w:val="0D0D0D" w:themeColor="text1" w:themeTint="F2"/>
        </w:rPr>
        <w:t xml:space="preserve"> gjithashtu</w:t>
      </w:r>
      <w:r w:rsidR="00046AF4" w:rsidRPr="00770F9D">
        <w:rPr>
          <w:rFonts w:ascii="Garamond" w:eastAsia="Arial" w:hAnsi="Garamond" w:cstheme="majorBidi"/>
          <w:color w:val="0D0D0D" w:themeColor="text1" w:themeTint="F2"/>
        </w:rPr>
        <w:t>,</w:t>
      </w:r>
      <w:r w:rsidRPr="00770F9D">
        <w:rPr>
          <w:rFonts w:ascii="Garamond" w:eastAsia="Arial" w:hAnsi="Garamond" w:cstheme="majorBidi"/>
          <w:color w:val="0D0D0D" w:themeColor="text1" w:themeTint="F2"/>
        </w:rPr>
        <w:t xml:space="preserve"> në strategjinë afatmesme të Bankës së Shqipërisë dhe në Strategjinë Kombëtare të Pagesave me Vlerë të Vogël në Shqipëri (2018</w:t>
      </w:r>
      <w:r w:rsidR="00046AF4" w:rsidRPr="00770F9D">
        <w:rPr>
          <w:rFonts w:ascii="Garamond" w:eastAsia="Arial" w:hAnsi="Garamond" w:cstheme="majorBidi"/>
          <w:color w:val="0D0D0D" w:themeColor="text1" w:themeTint="F2"/>
        </w:rPr>
        <w:t>–</w:t>
      </w:r>
      <w:r w:rsidRPr="00770F9D">
        <w:rPr>
          <w:rFonts w:ascii="Garamond" w:eastAsia="Arial" w:hAnsi="Garamond" w:cstheme="majorBidi"/>
          <w:color w:val="0D0D0D" w:themeColor="text1" w:themeTint="F2"/>
        </w:rPr>
        <w:t>2023), duke synuar rritjen e mëtejshme të përfshirjes financiare dhe mbrojtjen e konsumatorëve.</w:t>
      </w:r>
    </w:p>
    <w:p w14:paraId="1E010385" w14:textId="77777777" w:rsidR="009D5D31" w:rsidRPr="00770F9D" w:rsidRDefault="009D5D31" w:rsidP="005674F2">
      <w:pPr>
        <w:ind w:firstLine="284"/>
        <w:jc w:val="both"/>
        <w:rPr>
          <w:rFonts w:ascii="Garamond" w:hAnsi="Garamond" w:cstheme="majorBidi"/>
          <w:i/>
          <w:color w:val="0D0D0D" w:themeColor="text1" w:themeTint="F2"/>
        </w:rPr>
      </w:pPr>
      <w:r w:rsidRPr="00770F9D">
        <w:rPr>
          <w:rFonts w:ascii="Garamond" w:hAnsi="Garamond" w:cstheme="majorBidi"/>
          <w:i/>
          <w:color w:val="0D0D0D" w:themeColor="text1" w:themeTint="F2"/>
        </w:rPr>
        <w:t>Kuadri i ndërhyrjes së jashtëzakonshme në sektorin bankar si pjesë e reformave të sektorit financiar</w:t>
      </w:r>
    </w:p>
    <w:p w14:paraId="27F0D62A" w14:textId="2EEE6D47" w:rsidR="009D5D31" w:rsidRPr="00770F9D" w:rsidRDefault="0027139F" w:rsidP="005674F2">
      <w:pPr>
        <w:ind w:firstLine="284"/>
        <w:jc w:val="both"/>
        <w:rPr>
          <w:rFonts w:ascii="Garamond" w:hAnsi="Garamond" w:cstheme="majorBidi"/>
          <w:i/>
          <w:color w:val="0D0D0D" w:themeColor="text1" w:themeTint="F2"/>
        </w:rPr>
      </w:pPr>
      <w:r w:rsidRPr="00770F9D">
        <w:rPr>
          <w:rFonts w:ascii="Garamond" w:hAnsi="Garamond" w:cstheme="majorBidi"/>
          <w:i/>
          <w:color w:val="0D0D0D" w:themeColor="text1" w:themeTint="F2"/>
        </w:rPr>
        <w:t>-</w:t>
      </w:r>
      <w:r w:rsidR="00263132" w:rsidRPr="00770F9D">
        <w:rPr>
          <w:rFonts w:ascii="Garamond" w:hAnsi="Garamond" w:cstheme="majorBidi"/>
          <w:i/>
          <w:color w:val="0D0D0D" w:themeColor="text1" w:themeTint="F2"/>
        </w:rPr>
        <w:t xml:space="preserve"> </w:t>
      </w:r>
      <w:r w:rsidR="009D5D31" w:rsidRPr="00770F9D">
        <w:rPr>
          <w:rFonts w:ascii="Garamond" w:hAnsi="Garamond" w:cstheme="majorBidi"/>
          <w:i/>
          <w:color w:val="0D0D0D" w:themeColor="text1" w:themeTint="F2"/>
        </w:rPr>
        <w:t xml:space="preserve">Planifikimi dhe vlerësimi i aftësisë për ndërhyrje të jashtëzakonshme </w:t>
      </w:r>
    </w:p>
    <w:p w14:paraId="5D54E2B9" w14:textId="174ACEC4" w:rsidR="009D5D31" w:rsidRPr="00770F9D" w:rsidRDefault="009D5D31"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Ligji “Për rimëkëmbjen dhe ndërhyrjen e jashtëzakonshme në banka në Republikën e Shqipërisë” i jep Bankës së Shqipërisë kompetencën si </w:t>
      </w:r>
      <w:r w:rsidR="00F266FF" w:rsidRPr="00770F9D">
        <w:rPr>
          <w:rFonts w:ascii="Garamond" w:hAnsi="Garamond" w:cstheme="majorBidi"/>
          <w:color w:val="0D0D0D" w:themeColor="text1" w:themeTint="F2"/>
        </w:rPr>
        <w:t xml:space="preserve">Autoritet i Ndërhyrjes së Jashtëzakonshme </w:t>
      </w:r>
      <w:r w:rsidRPr="00770F9D">
        <w:rPr>
          <w:rFonts w:ascii="Garamond" w:hAnsi="Garamond" w:cstheme="majorBidi"/>
          <w:color w:val="0D0D0D" w:themeColor="text1" w:themeTint="F2"/>
        </w:rPr>
        <w:t>në vend. Ky mandat ligjor synon të sigurojë një ndërhyrje të jashtëzakonshme të organizuar të bankave në paaftësi paguese duke shmangur ndikimin e tyre negativ në ekonominë reale, minimizim të përdorimit të</w:t>
      </w:r>
      <w:r w:rsidR="00F266FF"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parave të taksapaguesve</w:t>
      </w:r>
      <w:r w:rsidR="00F266FF"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dhe mbrojtje të depozitave të siguruara dhe aktiveve të klientëve.</w:t>
      </w:r>
    </w:p>
    <w:p w14:paraId="0E6B3F0E" w14:textId="77B9AB50" w:rsidR="009D5D31" w:rsidRPr="00770F9D" w:rsidRDefault="009D5D31"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Si Autoriteti i Ndërhyrjes së Jashtëzakonshme, gjatë vitit 2021, Banka e Shqipëris</w:t>
      </w:r>
      <w:r w:rsidR="006B4AD5" w:rsidRPr="00770F9D">
        <w:rPr>
          <w:rFonts w:ascii="Garamond" w:hAnsi="Garamond" w:cstheme="majorBidi"/>
          <w:color w:val="0D0D0D" w:themeColor="text1" w:themeTint="F2"/>
        </w:rPr>
        <w:t>ë</w:t>
      </w:r>
      <w:r w:rsidRPr="00770F9D">
        <w:rPr>
          <w:rFonts w:ascii="Garamond" w:hAnsi="Garamond" w:cstheme="majorBidi"/>
          <w:color w:val="0D0D0D" w:themeColor="text1" w:themeTint="F2"/>
        </w:rPr>
        <w:t xml:space="preserve"> ka përfunduar ciklin e plotë të planeve të ndërhyrjes së jashtëzakonshme për të gjitha bankat që operojnë në tregun bankar shqiptar. Secilës bankë i është dërguar një përmbledhje e planit të ndërhyrjes së jashtëzakonshme, duke u fokusuar në analizën strategjike të biznesit të bankës, “kërkesën minimale për instrumentet e kapitalit rregullator dhe detyrimet e pranuara”</w:t>
      </w:r>
      <w:r w:rsidR="006B4AD5"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(MREL) që banka duhet të përmbushë për të përthithur humbjet dhe për t’u rikapitalizuar</w:t>
      </w:r>
      <w:r w:rsidR="006B4AD5"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në rast ndërhyrjeje të jashtëzakonshme, si dhe vlerësimin e aftësisë për ndërhyrje të jashtëzakonshme. Gjatë vitit 2022, Banka e Shqipërisë përditësoi ciklin e planeve të ndërhyrjes së jashtëzakonshme</w:t>
      </w:r>
      <w:r w:rsidR="006B4AD5"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sipas informacionit të raportuar nga bankat në muajin korrik 2022, në përputhje me formularët e raportimit</w:t>
      </w:r>
      <w:r w:rsidR="006B4AD5"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 qëllim të planeve të ndërhyrjes së</w:t>
      </w:r>
      <w:r w:rsidR="006B4AD5"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jashtëzakonshme. Gjithashtu, në kuadër të planeve të ndërhyrjes së jashtëza</w:t>
      </w:r>
      <w:r w:rsidR="00C25EA9" w:rsidRPr="00770F9D">
        <w:rPr>
          <w:rFonts w:ascii="Garamond" w:hAnsi="Garamond" w:cstheme="majorBidi"/>
          <w:color w:val="0D0D0D" w:themeColor="text1" w:themeTint="F2"/>
        </w:rPr>
        <w:t>konshme, për ciklin e vitit 2022,</w:t>
      </w:r>
      <w:r w:rsidRPr="00770F9D">
        <w:rPr>
          <w:rFonts w:ascii="Garamond" w:hAnsi="Garamond" w:cstheme="majorBidi"/>
          <w:color w:val="0D0D0D" w:themeColor="text1" w:themeTint="F2"/>
        </w:rPr>
        <w:t xml:space="preserve"> është realizuar identifikimi dhe vlerësimi i funksioneve ekonomike me rëndësi kritike</w:t>
      </w:r>
      <w:r w:rsidR="00377B5D"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dhe vlerësimi i interesit publik për të gjitha bankat. </w:t>
      </w:r>
    </w:p>
    <w:p w14:paraId="207C9044" w14:textId="77777777" w:rsidR="009D5D31" w:rsidRPr="00770F9D" w:rsidRDefault="009D5D31"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Banka e Shqipërisë ka vijuar punën e saj në fuqizimin e aftësisë për ndërhyrje të jashtëzakonshme në banka. Në këtë kuadër, ajo ka kryer ekzaminimin vjetor në vend pranë bankave, duke synuar rritjen e aftësisë për ndërhyrje të jashtëzakonshme. Në vijim të këtij ekzaminimi, Banka e Shqipërisë përgatiti raportet individuale për secilën bankë me fokus arritjen e aftësisë së bankës për të zbatuar ndërhyrjen e jashtëzakonshme, sipas strategjisë dhe instrumentit të përzgjedhur në planin e ndërhyrjes së jashtëzakonshme. Në këtë raport, Banka e Shqipërisë ka lënë një sërë rekomandimesh që duhet të përmbushen nga secila bankë, për të minimizuar pengesat e mundshme dhe për të rritur aftësinë e tyre për zbatimin e planit.</w:t>
      </w:r>
    </w:p>
    <w:p w14:paraId="4236C4EA" w14:textId="77777777" w:rsidR="009D5D31" w:rsidRPr="00770F9D" w:rsidRDefault="009D5D31"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Banka e Shqipërisë është ftuar nga Bordi i Përbashkët i Ndërhyrjes së Jashtëzakonshme – SRB, për të marrë pjesë në mbledhjet e Kolegjeve të Ndërhyrjes së Jashtëzakonshme, për dy grupe bankare me filiale që operojnë në Shqipëri, në përputhje me marrëveshjen e bashkëpunimit të nënshkruar ndërmjet dy institucioneve në tetor të vitit 2018. Sipas kësaj marrëveshjeje, institucionet shkëmbejnë informacion në lidhje me subjektet bankare që operojnë në Shqipëri dhe BE, duke mundësuar një planifikim efikas të ndërhyrjes së jashtëzakonshme për subjektet me veprimtari ndërkufitare.</w:t>
      </w:r>
    </w:p>
    <w:p w14:paraId="40EB3228" w14:textId="565B3C5D" w:rsidR="009D5D31" w:rsidRPr="00770F9D" w:rsidRDefault="0027139F" w:rsidP="005674F2">
      <w:pPr>
        <w:ind w:firstLine="284"/>
        <w:jc w:val="both"/>
        <w:rPr>
          <w:rFonts w:ascii="Garamond" w:hAnsi="Garamond" w:cstheme="majorBidi"/>
          <w:i/>
          <w:color w:val="0D0D0D" w:themeColor="text1" w:themeTint="F2"/>
        </w:rPr>
      </w:pPr>
      <w:r w:rsidRPr="00770F9D">
        <w:rPr>
          <w:rFonts w:ascii="Garamond" w:hAnsi="Garamond" w:cstheme="majorBidi"/>
          <w:i/>
          <w:color w:val="0D0D0D" w:themeColor="text1" w:themeTint="F2"/>
        </w:rPr>
        <w:t>-</w:t>
      </w:r>
      <w:r w:rsidR="009D5D31" w:rsidRPr="00770F9D">
        <w:rPr>
          <w:rFonts w:ascii="Garamond" w:hAnsi="Garamond" w:cstheme="majorBidi"/>
          <w:i/>
          <w:color w:val="0D0D0D" w:themeColor="text1" w:themeTint="F2"/>
        </w:rPr>
        <w:t xml:space="preserve"> Kuadri rregullativ dhe metodologjik</w:t>
      </w:r>
    </w:p>
    <w:p w14:paraId="19F01182" w14:textId="01C3FAC2" w:rsidR="009D5D31" w:rsidRPr="00770F9D" w:rsidRDefault="009D5D31"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Në zbatim të dispozitave të rregullores nr.</w:t>
      </w:r>
      <w:r w:rsidR="00377B5D"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78/2020</w:t>
      </w:r>
      <w:r w:rsidR="00377B5D"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 kërkesat minimale për instrumentet e kapitalit rregullator dhe detyrimet e pranuara”, Banka e Shqipërisë ka përditësuar dokumentin metodologjik për ciklin e planeve të ndërhyrjes së jashtëzakonshme për vitin 2022, për të përcaktuar mënyrën e llogaritjes së MREL-it për bankat. Kjo metodologji, mbështetet në dokumentin “Politika e MREL</w:t>
      </w:r>
      <w:r w:rsidR="00AA375B" w:rsidRPr="00770F9D">
        <w:rPr>
          <w:rFonts w:ascii="Garamond" w:hAnsi="Garamond" w:cstheme="majorBidi"/>
          <w:color w:val="0D0D0D" w:themeColor="text1" w:themeTint="F2"/>
        </w:rPr>
        <w:t>-it</w:t>
      </w:r>
      <w:r w:rsidRPr="00770F9D">
        <w:rPr>
          <w:rFonts w:ascii="Garamond" w:hAnsi="Garamond" w:cstheme="majorBidi"/>
          <w:color w:val="0D0D0D" w:themeColor="text1" w:themeTint="F2"/>
        </w:rPr>
        <w:t xml:space="preserve"> të SRB</w:t>
      </w:r>
      <w:r w:rsidR="00AA375B" w:rsidRPr="00770F9D">
        <w:rPr>
          <w:rFonts w:ascii="Garamond" w:hAnsi="Garamond" w:cstheme="majorBidi"/>
          <w:color w:val="0D0D0D" w:themeColor="text1" w:themeTint="F2"/>
        </w:rPr>
        <w:t>-së</w:t>
      </w:r>
      <w:r w:rsidRPr="00770F9D">
        <w:rPr>
          <w:rFonts w:ascii="Garamond" w:hAnsi="Garamond" w:cstheme="majorBidi"/>
          <w:color w:val="0D0D0D" w:themeColor="text1" w:themeTint="F2"/>
        </w:rPr>
        <w:t>”, e vitit 2020.</w:t>
      </w:r>
    </w:p>
    <w:p w14:paraId="08771A62" w14:textId="27394D25" w:rsidR="009D5D31" w:rsidRPr="00770F9D" w:rsidRDefault="009D5D31" w:rsidP="00AC5FD5">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Me synimin për të nxitur një kuadër të fortë të ndërhyrjes së jashtëzakonshme, Banka e Shqipërisë është përfshirë</w:t>
      </w:r>
      <w:r w:rsidR="00AC5FD5"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gjithashtu, edhe në hartimin e dy dokumenteve metodologjike, që lidhen përkatësisht me: i</w:t>
      </w:r>
      <w:r w:rsidR="00623F19"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vazhdimësinë operacionale në ndërhyrje e jashtëzakonshme, bazuar në </w:t>
      </w:r>
      <w:r w:rsidR="00AC5FD5" w:rsidRPr="00770F9D">
        <w:rPr>
          <w:rFonts w:ascii="Garamond" w:hAnsi="Garamond" w:cstheme="majorBidi"/>
          <w:color w:val="0D0D0D" w:themeColor="text1" w:themeTint="F2"/>
        </w:rPr>
        <w:t xml:space="preserve">udhëzimin operacional </w:t>
      </w:r>
      <w:r w:rsidRPr="00770F9D">
        <w:rPr>
          <w:rFonts w:ascii="Garamond" w:hAnsi="Garamond" w:cstheme="majorBidi"/>
          <w:color w:val="0D0D0D" w:themeColor="text1" w:themeTint="F2"/>
        </w:rPr>
        <w:t>të SRB-së</w:t>
      </w:r>
      <w:r w:rsidR="00AC5FD5"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 vazhdimësinë operacionale në ndërhyrje e jashtëzakonshme”</w:t>
      </w:r>
      <w:r w:rsidR="00623F19"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dhe ii</w:t>
      </w:r>
      <w:r w:rsidR="00623F19"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plani i riorganizimit të biznesit, i cili transpo</w:t>
      </w:r>
      <w:r w:rsidR="00AC5FD5" w:rsidRPr="00770F9D">
        <w:rPr>
          <w:rFonts w:ascii="Garamond" w:hAnsi="Garamond" w:cstheme="majorBidi"/>
          <w:color w:val="0D0D0D" w:themeColor="text1" w:themeTint="F2"/>
        </w:rPr>
        <w:t>z</w:t>
      </w:r>
      <w:r w:rsidRPr="00770F9D">
        <w:rPr>
          <w:rFonts w:ascii="Garamond" w:hAnsi="Garamond" w:cstheme="majorBidi"/>
          <w:color w:val="0D0D0D" w:themeColor="text1" w:themeTint="F2"/>
        </w:rPr>
        <w:t>on udhëzuesin EBA/GL/2015/21 dhe standardet teknike rregullatore EBA/RTS/2015/12</w:t>
      </w:r>
      <w:r w:rsidR="00F22128"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 elementet minimale të planit të riorganizimit të biznesit” që plotëson </w:t>
      </w:r>
      <w:r w:rsidR="00F22128" w:rsidRPr="00770F9D">
        <w:rPr>
          <w:rFonts w:ascii="Garamond" w:hAnsi="Garamond" w:cstheme="majorBidi"/>
          <w:color w:val="0D0D0D" w:themeColor="text1" w:themeTint="F2"/>
        </w:rPr>
        <w:t xml:space="preserve">direktivën </w:t>
      </w:r>
      <w:r w:rsidRPr="00770F9D">
        <w:rPr>
          <w:rFonts w:ascii="Garamond" w:hAnsi="Garamond" w:cstheme="majorBidi"/>
          <w:color w:val="0D0D0D" w:themeColor="text1" w:themeTint="F2"/>
        </w:rPr>
        <w:t>2014/59/BE (BRRD).</w:t>
      </w:r>
    </w:p>
    <w:p w14:paraId="7C8467CA" w14:textId="5FE545C6" w:rsidR="009D5D31" w:rsidRPr="00770F9D" w:rsidRDefault="0027139F" w:rsidP="005674F2">
      <w:pPr>
        <w:ind w:firstLine="284"/>
        <w:jc w:val="both"/>
        <w:rPr>
          <w:rFonts w:ascii="Garamond" w:hAnsi="Garamond" w:cstheme="majorBidi"/>
          <w:i/>
          <w:color w:val="0D0D0D" w:themeColor="text1" w:themeTint="F2"/>
        </w:rPr>
      </w:pPr>
      <w:r w:rsidRPr="00770F9D">
        <w:rPr>
          <w:rFonts w:ascii="Garamond" w:hAnsi="Garamond" w:cstheme="majorBidi"/>
          <w:i/>
          <w:color w:val="0D0D0D" w:themeColor="text1" w:themeTint="F2"/>
        </w:rPr>
        <w:t xml:space="preserve">- </w:t>
      </w:r>
      <w:r w:rsidR="009D5D31" w:rsidRPr="00770F9D">
        <w:rPr>
          <w:rFonts w:ascii="Garamond" w:hAnsi="Garamond" w:cstheme="majorBidi"/>
          <w:i/>
          <w:color w:val="0D0D0D" w:themeColor="text1" w:themeTint="F2"/>
        </w:rPr>
        <w:t xml:space="preserve">Fondi i ndërhyrjes së jashtëzakonshme </w:t>
      </w:r>
    </w:p>
    <w:p w14:paraId="7E8EB60D" w14:textId="3A990B62" w:rsidR="009D5D31" w:rsidRPr="00770F9D" w:rsidRDefault="009D5D31"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Niveli i synuar i Fondit të Ndërhyrjes së Jashtëzakonshme që duhet të arrihet deri në vitin 2027, është 0.5% e totalit të detyrimeve të sektorit bankar, e llogaritur si diferenca midis aktiveve dhe kapitalit të të gjitha bankave të licencuara në Shqipëri. Në bazë të vlerësimit më të fundit, niveli i synuar shënon aktualisht 7.12 miliardë lekë. Në përputhje me kërkesat ligjore, bankat paguajnë kontribute vjetore në </w:t>
      </w:r>
      <w:r w:rsidR="00144457" w:rsidRPr="00770F9D">
        <w:rPr>
          <w:rFonts w:ascii="Garamond" w:hAnsi="Garamond" w:cstheme="majorBidi"/>
          <w:color w:val="0D0D0D" w:themeColor="text1" w:themeTint="F2"/>
        </w:rPr>
        <w:t>fond,</w:t>
      </w:r>
      <w:r w:rsidRPr="00770F9D">
        <w:rPr>
          <w:rFonts w:ascii="Garamond" w:hAnsi="Garamond" w:cstheme="majorBidi"/>
          <w:color w:val="0D0D0D" w:themeColor="text1" w:themeTint="F2"/>
        </w:rPr>
        <w:t xml:space="preserve"> me qëllim përmbushjen e nivelit të synuar të </w:t>
      </w:r>
      <w:r w:rsidR="00144457" w:rsidRPr="00770F9D">
        <w:rPr>
          <w:rFonts w:ascii="Garamond" w:hAnsi="Garamond" w:cstheme="majorBidi"/>
          <w:color w:val="0D0D0D" w:themeColor="text1" w:themeTint="F2"/>
        </w:rPr>
        <w:t>fondit</w:t>
      </w:r>
      <w:r w:rsidRPr="00770F9D">
        <w:rPr>
          <w:rFonts w:ascii="Garamond" w:hAnsi="Garamond" w:cstheme="majorBidi"/>
          <w:color w:val="0D0D0D" w:themeColor="text1" w:themeTint="F2"/>
        </w:rPr>
        <w:t xml:space="preserve">. Sipas pasqyrave financiare të certifikuara të vitit 2021, </w:t>
      </w:r>
      <w:r w:rsidR="00144457" w:rsidRPr="00770F9D">
        <w:rPr>
          <w:rFonts w:ascii="Garamond" w:hAnsi="Garamond" w:cstheme="majorBidi"/>
          <w:color w:val="0D0D0D" w:themeColor="text1" w:themeTint="F2"/>
        </w:rPr>
        <w:t xml:space="preserve">fondi </w:t>
      </w:r>
      <w:r w:rsidRPr="00770F9D">
        <w:rPr>
          <w:rFonts w:ascii="Garamond" w:hAnsi="Garamond" w:cstheme="majorBidi"/>
          <w:color w:val="0D0D0D" w:themeColor="text1" w:themeTint="F2"/>
        </w:rPr>
        <w:t xml:space="preserve">shënonte 2.7 miliardë lekë. Me pagesën e kontributit vjetor të bankave në </w:t>
      </w:r>
      <w:r w:rsidR="00144457" w:rsidRPr="00770F9D">
        <w:rPr>
          <w:rFonts w:ascii="Garamond" w:hAnsi="Garamond" w:cstheme="majorBidi"/>
          <w:color w:val="0D0D0D" w:themeColor="text1" w:themeTint="F2"/>
        </w:rPr>
        <w:t xml:space="preserve">fond </w:t>
      </w:r>
      <w:r w:rsidRPr="00770F9D">
        <w:rPr>
          <w:rFonts w:ascii="Garamond" w:hAnsi="Garamond" w:cstheme="majorBidi"/>
          <w:color w:val="0D0D0D" w:themeColor="text1" w:themeTint="F2"/>
        </w:rPr>
        <w:t>gjatë vitit 2022, në nivelin 734.6 milionë lekë, Fondi i Ndërhyrjes së Jashtëzakonshme arrin në rreth 3.4 miliardë lekë në fund të tremujorit të dytë të vitit 2022.</w:t>
      </w:r>
    </w:p>
    <w:p w14:paraId="2C3A22BE" w14:textId="77777777" w:rsidR="009D5D31" w:rsidRPr="00770F9D" w:rsidRDefault="009D5D31"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Banka e Shqipërisë monitoron rregullisht ecurinë e aktiveve financiare të Fondit të Ndërhyrjes së Jashtëzakonshme, bazuar në raportimet tremujore të Agjencisë së Sigurimit të Depozitave, si Administrator i Fondit, mbështetur në politikën e investimit në fuqi. Politika e investimit është hartuar dhe ndjek parimet e aktiveve likuide, të rrezikut të ulët për letrat me vlerë të borxhit dhe kthimit të arsyeshëm nga investimet.</w:t>
      </w:r>
    </w:p>
    <w:p w14:paraId="1BC2A6FD" w14:textId="25E5ECB3" w:rsidR="009D5D31" w:rsidRPr="00770F9D" w:rsidRDefault="009D5D31" w:rsidP="0027139F">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Gjatë periudhës </w:t>
      </w:r>
      <w:r w:rsidR="003F4C96" w:rsidRPr="00770F9D">
        <w:rPr>
          <w:rFonts w:ascii="Garamond" w:hAnsi="Garamond" w:cstheme="majorBidi"/>
          <w:color w:val="0D0D0D" w:themeColor="text1" w:themeTint="F2"/>
        </w:rPr>
        <w:t>2023–2025</w:t>
      </w:r>
      <w:r w:rsidRPr="00770F9D">
        <w:rPr>
          <w:rFonts w:ascii="Garamond" w:hAnsi="Garamond" w:cstheme="majorBidi"/>
          <w:color w:val="0D0D0D" w:themeColor="text1" w:themeTint="F2"/>
        </w:rPr>
        <w:t>, Banka e Shqipërisë do ta përqendrojë aktivitetin e saj në këto fusha kryesore:</w:t>
      </w:r>
    </w:p>
    <w:p w14:paraId="5CB5C989" w14:textId="77777777" w:rsidR="009D5D31" w:rsidRPr="00770F9D" w:rsidRDefault="009D5D31" w:rsidP="0027139F">
      <w:pPr>
        <w:ind w:firstLine="284"/>
        <w:jc w:val="both"/>
        <w:rPr>
          <w:rFonts w:ascii="Garamond" w:hAnsi="Garamond" w:cstheme="majorBidi"/>
          <w:i/>
          <w:color w:val="0D0D0D" w:themeColor="text1" w:themeTint="F2"/>
        </w:rPr>
      </w:pPr>
      <w:r w:rsidRPr="00770F9D">
        <w:rPr>
          <w:rFonts w:ascii="Garamond" w:hAnsi="Garamond" w:cstheme="majorBidi"/>
          <w:i/>
          <w:color w:val="0D0D0D" w:themeColor="text1" w:themeTint="F2"/>
        </w:rPr>
        <w:t>- Cikli vjetor i planeve të ndërhyrjes së jashtëzakonshme</w:t>
      </w:r>
    </w:p>
    <w:p w14:paraId="45018601" w14:textId="6F946D52" w:rsidR="009D5D31" w:rsidRPr="00770F9D" w:rsidRDefault="009D5D31" w:rsidP="0027139F">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Banka e Shqipërisë do të përditësojë për çdo vit planin e ndërhyrjes së jashtëzakonshme për secilën bankë. Gjatë periudhës </w:t>
      </w:r>
      <w:r w:rsidR="003F4C96" w:rsidRPr="00770F9D">
        <w:rPr>
          <w:rFonts w:ascii="Garamond" w:hAnsi="Garamond" w:cstheme="majorBidi"/>
          <w:color w:val="0D0D0D" w:themeColor="text1" w:themeTint="F2"/>
        </w:rPr>
        <w:t>2023–2025</w:t>
      </w:r>
      <w:r w:rsidRPr="00770F9D">
        <w:rPr>
          <w:rFonts w:ascii="Garamond" w:hAnsi="Garamond" w:cstheme="majorBidi"/>
          <w:color w:val="0D0D0D" w:themeColor="text1" w:themeTint="F2"/>
        </w:rPr>
        <w:t>, planet vjetore do të përqendrohen në rritjen në vazhdimësi të aftësisë për ndërhyrje të jashtëzakonshme në banka. Me qëllim identifikimin dhe adresimin e pengesave të mundshme për zbatimin e ndërhyrjes së jashtëzakonshme në banka, do të hartohen plane veprimi për secilën prej tyre, duke u fokusuar në:</w:t>
      </w:r>
    </w:p>
    <w:p w14:paraId="667EAA27" w14:textId="402198B0" w:rsidR="009D5D31" w:rsidRPr="00770F9D" w:rsidRDefault="0027139F" w:rsidP="00144457">
      <w:pPr>
        <w:pStyle w:val="ListParagraph"/>
        <w:ind w:left="0" w:firstLine="284"/>
        <w:jc w:val="both"/>
        <w:rPr>
          <w:rFonts w:ascii="Garamond" w:hAnsi="Garamond" w:cstheme="majorBidi"/>
          <w:color w:val="0D0D0D" w:themeColor="text1" w:themeTint="F2"/>
          <w:sz w:val="24"/>
          <w:szCs w:val="24"/>
          <w:lang w:val="sq-AL"/>
        </w:rPr>
      </w:pPr>
      <w:r w:rsidRPr="00770F9D">
        <w:rPr>
          <w:rFonts w:ascii="Garamond" w:hAnsi="Garamond" w:cstheme="majorBidi"/>
          <w:color w:val="0D0D0D" w:themeColor="text1" w:themeTint="F2"/>
          <w:sz w:val="24"/>
          <w:szCs w:val="24"/>
          <w:lang w:val="sq-AL"/>
        </w:rPr>
        <w:t xml:space="preserve">- </w:t>
      </w:r>
      <w:r w:rsidR="009D5D31" w:rsidRPr="00770F9D">
        <w:rPr>
          <w:rFonts w:ascii="Garamond" w:hAnsi="Garamond" w:cstheme="majorBidi"/>
          <w:color w:val="0D0D0D" w:themeColor="text1" w:themeTint="F2"/>
          <w:sz w:val="24"/>
          <w:szCs w:val="24"/>
          <w:lang w:val="sq-AL"/>
        </w:rPr>
        <w:t>fuqizimin e qeverisjes së bankave me fokus ndërhyrjen e jashtëzakonshme</w:t>
      </w:r>
      <w:r w:rsidR="00144457" w:rsidRPr="00770F9D">
        <w:rPr>
          <w:rFonts w:ascii="Garamond" w:hAnsi="Garamond" w:cstheme="majorBidi"/>
          <w:color w:val="0D0D0D" w:themeColor="text1" w:themeTint="F2"/>
          <w:sz w:val="24"/>
          <w:szCs w:val="24"/>
          <w:lang w:val="sq-AL"/>
        </w:rPr>
        <w:t>;</w:t>
      </w:r>
    </w:p>
    <w:p w14:paraId="2C92E644" w14:textId="589006F3" w:rsidR="00072546" w:rsidRPr="00770F9D" w:rsidRDefault="00072546" w:rsidP="00144457">
      <w:pPr>
        <w:pStyle w:val="ListParagraph"/>
        <w:autoSpaceDE w:val="0"/>
        <w:autoSpaceDN w:val="0"/>
        <w:adjustRightInd w:val="0"/>
        <w:ind w:left="0" w:firstLine="284"/>
        <w:jc w:val="both"/>
        <w:rPr>
          <w:rFonts w:ascii="Garamond" w:hAnsi="Garamond" w:cs="Garamond"/>
          <w:color w:val="0D0D0D"/>
          <w:sz w:val="24"/>
          <w:szCs w:val="24"/>
          <w:lang w:val="sq-AL" w:eastAsia="sq-AL"/>
        </w:rPr>
      </w:pPr>
      <w:r w:rsidRPr="00770F9D">
        <w:rPr>
          <w:rFonts w:ascii="Garamond" w:hAnsi="Garamond" w:cs="Calibri"/>
          <w:color w:val="0D0D0D"/>
          <w:sz w:val="24"/>
          <w:szCs w:val="24"/>
          <w:lang w:val="sq-AL" w:eastAsia="sq-AL"/>
        </w:rPr>
        <w:t>-</w:t>
      </w:r>
      <w:r w:rsidR="00BA4F1A" w:rsidRPr="00770F9D">
        <w:rPr>
          <w:rFonts w:ascii="Garamond" w:hAnsi="Garamond" w:cs="Calibri"/>
          <w:color w:val="0D0D0D"/>
          <w:sz w:val="24"/>
          <w:szCs w:val="24"/>
          <w:lang w:val="sq-AL" w:eastAsia="sq-AL"/>
        </w:rPr>
        <w:t xml:space="preserve"> </w:t>
      </w:r>
      <w:r w:rsidRPr="00770F9D">
        <w:rPr>
          <w:rFonts w:ascii="Garamond" w:hAnsi="Garamond" w:cs="Garamond"/>
          <w:color w:val="0D0D0D"/>
          <w:sz w:val="24"/>
          <w:szCs w:val="24"/>
          <w:lang w:val="sq-AL" w:eastAsia="sq-AL"/>
        </w:rPr>
        <w:t>identifikimin e stafit kritik përgjegjës për vazhdimësinë e funksioneve kritike</w:t>
      </w:r>
      <w:r w:rsidR="00144457" w:rsidRPr="00770F9D">
        <w:rPr>
          <w:rFonts w:ascii="Garamond" w:hAnsi="Garamond" w:cs="Garamond"/>
          <w:color w:val="0D0D0D"/>
          <w:sz w:val="24"/>
          <w:szCs w:val="24"/>
          <w:lang w:val="sq-AL" w:eastAsia="sq-AL"/>
        </w:rPr>
        <w:t>;</w:t>
      </w:r>
    </w:p>
    <w:p w14:paraId="1A987A0D" w14:textId="2501AA05" w:rsidR="00072546" w:rsidRPr="00770F9D" w:rsidRDefault="00072546" w:rsidP="00144457">
      <w:pPr>
        <w:pStyle w:val="ListParagraph"/>
        <w:autoSpaceDE w:val="0"/>
        <w:autoSpaceDN w:val="0"/>
        <w:adjustRightInd w:val="0"/>
        <w:ind w:left="0" w:firstLine="284"/>
        <w:jc w:val="both"/>
        <w:rPr>
          <w:rFonts w:ascii="Garamond" w:hAnsi="Garamond" w:cs="Garamond"/>
          <w:color w:val="0D0D0D"/>
          <w:sz w:val="24"/>
          <w:szCs w:val="24"/>
          <w:lang w:val="sq-AL" w:eastAsia="sq-AL"/>
        </w:rPr>
      </w:pPr>
      <w:r w:rsidRPr="00770F9D">
        <w:rPr>
          <w:rFonts w:ascii="Garamond" w:hAnsi="Garamond" w:cs="Calibri"/>
          <w:color w:val="0D0D0D"/>
          <w:sz w:val="24"/>
          <w:szCs w:val="24"/>
          <w:lang w:val="sq-AL" w:eastAsia="sq-AL"/>
        </w:rPr>
        <w:t>-</w:t>
      </w:r>
      <w:r w:rsidR="00BA4F1A" w:rsidRPr="00770F9D">
        <w:rPr>
          <w:rFonts w:ascii="Garamond" w:hAnsi="Garamond" w:cs="Calibri"/>
          <w:color w:val="0D0D0D"/>
          <w:sz w:val="24"/>
          <w:szCs w:val="24"/>
          <w:lang w:val="sq-AL" w:eastAsia="sq-AL"/>
        </w:rPr>
        <w:t xml:space="preserve"> </w:t>
      </w:r>
      <w:r w:rsidRPr="00770F9D">
        <w:rPr>
          <w:rFonts w:ascii="Garamond" w:hAnsi="Garamond" w:cs="Garamond"/>
          <w:color w:val="0D0D0D"/>
          <w:sz w:val="24"/>
          <w:szCs w:val="24"/>
          <w:lang w:val="sq-AL" w:eastAsia="sq-AL"/>
        </w:rPr>
        <w:t>sigurimin e përshtatshmërisë së informacionit dhe sistemit të informacionit</w:t>
      </w:r>
      <w:r w:rsidR="00144457" w:rsidRPr="00770F9D">
        <w:rPr>
          <w:rFonts w:ascii="Garamond" w:hAnsi="Garamond" w:cs="Garamond"/>
          <w:color w:val="0D0D0D"/>
          <w:sz w:val="24"/>
          <w:szCs w:val="24"/>
          <w:lang w:val="sq-AL" w:eastAsia="sq-AL"/>
        </w:rPr>
        <w:t>;</w:t>
      </w:r>
    </w:p>
    <w:p w14:paraId="668EF2CD" w14:textId="266A2913" w:rsidR="00072546" w:rsidRPr="00770F9D" w:rsidRDefault="00072546" w:rsidP="0027139F">
      <w:pPr>
        <w:pStyle w:val="ListParagraph"/>
        <w:autoSpaceDE w:val="0"/>
        <w:autoSpaceDN w:val="0"/>
        <w:adjustRightInd w:val="0"/>
        <w:ind w:left="0" w:firstLine="284"/>
        <w:jc w:val="both"/>
        <w:rPr>
          <w:rFonts w:ascii="Garamond" w:hAnsi="Garamond" w:cs="Garamond"/>
          <w:color w:val="0D0D0D"/>
          <w:sz w:val="24"/>
          <w:szCs w:val="24"/>
          <w:lang w:val="sq-AL" w:eastAsia="sq-AL"/>
        </w:rPr>
      </w:pPr>
      <w:r w:rsidRPr="00770F9D">
        <w:rPr>
          <w:rFonts w:ascii="Garamond" w:hAnsi="Garamond" w:cs="Calibri"/>
          <w:color w:val="0D0D0D"/>
          <w:sz w:val="24"/>
          <w:szCs w:val="24"/>
          <w:lang w:val="sq-AL" w:eastAsia="sq-AL"/>
        </w:rPr>
        <w:t>-</w:t>
      </w:r>
      <w:r w:rsidR="00BA4F1A" w:rsidRPr="00770F9D">
        <w:rPr>
          <w:rFonts w:ascii="Garamond" w:hAnsi="Garamond" w:cs="Calibri"/>
          <w:color w:val="0D0D0D"/>
          <w:sz w:val="24"/>
          <w:szCs w:val="24"/>
          <w:lang w:val="sq-AL" w:eastAsia="sq-AL"/>
        </w:rPr>
        <w:t xml:space="preserve"> </w:t>
      </w:r>
      <w:r w:rsidRPr="00770F9D">
        <w:rPr>
          <w:rFonts w:ascii="Garamond" w:hAnsi="Garamond" w:cs="Garamond"/>
          <w:color w:val="0D0D0D"/>
          <w:sz w:val="24"/>
          <w:szCs w:val="24"/>
          <w:lang w:val="sq-AL" w:eastAsia="sq-AL"/>
        </w:rPr>
        <w:t>hartimin e planeve të kontigjencës për vazhdimësinë operacionale dhe financiare në ndërhyrje e jashtëzakonshme;</w:t>
      </w:r>
    </w:p>
    <w:p w14:paraId="12924BCB" w14:textId="0E23F94B" w:rsidR="00072546" w:rsidRPr="00770F9D" w:rsidRDefault="00072546" w:rsidP="0027139F">
      <w:pPr>
        <w:pStyle w:val="ListParagraph"/>
        <w:autoSpaceDE w:val="0"/>
        <w:autoSpaceDN w:val="0"/>
        <w:adjustRightInd w:val="0"/>
        <w:ind w:left="0" w:firstLine="284"/>
        <w:jc w:val="both"/>
        <w:rPr>
          <w:rFonts w:ascii="Garamond" w:hAnsi="Garamond" w:cs="Garamond"/>
          <w:color w:val="0D0D0D"/>
          <w:sz w:val="24"/>
          <w:szCs w:val="24"/>
          <w:lang w:val="sq-AL" w:eastAsia="sq-AL"/>
        </w:rPr>
      </w:pPr>
      <w:r w:rsidRPr="00770F9D">
        <w:rPr>
          <w:rFonts w:ascii="Garamond" w:hAnsi="Garamond" w:cs="Calibri"/>
          <w:color w:val="0D0D0D"/>
          <w:sz w:val="24"/>
          <w:szCs w:val="24"/>
          <w:lang w:val="sq-AL" w:eastAsia="sq-AL"/>
        </w:rPr>
        <w:t>-</w:t>
      </w:r>
      <w:r w:rsidR="00BA4F1A" w:rsidRPr="00770F9D">
        <w:rPr>
          <w:rFonts w:ascii="Garamond" w:hAnsi="Garamond" w:cs="Calibri"/>
          <w:color w:val="0D0D0D"/>
          <w:sz w:val="24"/>
          <w:szCs w:val="24"/>
          <w:lang w:val="sq-AL" w:eastAsia="sq-AL"/>
        </w:rPr>
        <w:t xml:space="preserve"> </w:t>
      </w:r>
      <w:r w:rsidRPr="00770F9D">
        <w:rPr>
          <w:rFonts w:ascii="Garamond" w:hAnsi="Garamond" w:cs="Garamond"/>
          <w:color w:val="0D0D0D"/>
          <w:sz w:val="24"/>
          <w:szCs w:val="24"/>
          <w:lang w:val="sq-AL" w:eastAsia="sq-AL"/>
        </w:rPr>
        <w:t>përmbushjen e nivelit të synuar të kërkesës minimale për instrumentet e kapitalit rregullator dhe detyrimet e pranuara.</w:t>
      </w:r>
    </w:p>
    <w:p w14:paraId="6B8CE2C4" w14:textId="1DFA3E98" w:rsidR="00072546" w:rsidRPr="00770F9D" w:rsidRDefault="00072546" w:rsidP="0027139F">
      <w:pPr>
        <w:pStyle w:val="ListParagraph"/>
        <w:autoSpaceDE w:val="0"/>
        <w:autoSpaceDN w:val="0"/>
        <w:adjustRightInd w:val="0"/>
        <w:ind w:left="0" w:firstLine="284"/>
        <w:jc w:val="both"/>
        <w:rPr>
          <w:rFonts w:ascii="Garamond" w:hAnsi="Garamond" w:cs="Garamond"/>
          <w:color w:val="0D0D0D"/>
          <w:sz w:val="24"/>
          <w:szCs w:val="24"/>
          <w:lang w:val="sq-AL" w:eastAsia="sq-AL"/>
        </w:rPr>
      </w:pPr>
      <w:r w:rsidRPr="00770F9D">
        <w:rPr>
          <w:rFonts w:ascii="Garamond" w:hAnsi="Garamond" w:cs="Garamond"/>
          <w:color w:val="0D0D0D"/>
          <w:sz w:val="24"/>
          <w:szCs w:val="24"/>
          <w:lang w:val="sq-AL" w:eastAsia="sq-AL"/>
        </w:rPr>
        <w:t>Banka e Shqipërisë do të monitorojë dhe mbështesë fuqizimin e aftësisë për ndërhyrje të jashtëzakonshme në banka, nëpërmjet një komunikimi aktiv dhe ekzaminimeve të rregullta, me qëllim operacionalizimin e planeve të ndërhyrjes së jashtëzakonshme.</w:t>
      </w:r>
    </w:p>
    <w:p w14:paraId="7F2DBA0B" w14:textId="77777777" w:rsidR="009D5D31" w:rsidRPr="00770F9D" w:rsidRDefault="009D5D31" w:rsidP="0027139F">
      <w:pPr>
        <w:ind w:firstLine="284"/>
        <w:jc w:val="both"/>
        <w:rPr>
          <w:rFonts w:ascii="Garamond" w:hAnsi="Garamond" w:cstheme="majorBidi"/>
          <w:i/>
          <w:color w:val="0D0D0D" w:themeColor="text1" w:themeTint="F2"/>
        </w:rPr>
      </w:pPr>
      <w:r w:rsidRPr="00770F9D">
        <w:rPr>
          <w:rFonts w:ascii="Garamond" w:hAnsi="Garamond" w:cstheme="majorBidi"/>
          <w:i/>
          <w:color w:val="0D0D0D" w:themeColor="text1" w:themeTint="F2"/>
        </w:rPr>
        <w:t>- Kërkesat minimale për instrumentet e kapitalit rregullator dhe detyrimet e pranuara</w:t>
      </w:r>
    </w:p>
    <w:p w14:paraId="18472279" w14:textId="20F47B0C" w:rsidR="009D5D31" w:rsidRPr="00770F9D" w:rsidRDefault="009D5D31" w:rsidP="0012189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Banka e Shqipërisë do të përditësojë rregullisht metodologjinë për përcaktimin e kërkesës minimale për instrumentet e kapitalit rregullator dhe detyrimet e pranuara </w:t>
      </w:r>
      <w:r w:rsidR="00B00F41"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MREL, duke marrë parasysh kërkesën për kapital në fuqi për çdo vit, deri në plotësimin përfundimtar të kërkesës minimale. Gjatë periudhës 2023</w:t>
      </w:r>
      <w:r w:rsidR="00121891" w:rsidRPr="00770F9D">
        <w:rPr>
          <w:rFonts w:ascii="Garamond" w:eastAsia="Arial" w:hAnsi="Garamond" w:cstheme="majorBidi"/>
          <w:color w:val="0D0D0D" w:themeColor="text1" w:themeTint="F2"/>
        </w:rPr>
        <w:t>–</w:t>
      </w:r>
      <w:r w:rsidRPr="00770F9D">
        <w:rPr>
          <w:rFonts w:ascii="Garamond" w:hAnsi="Garamond" w:cstheme="majorBidi"/>
          <w:color w:val="0D0D0D" w:themeColor="text1" w:themeTint="F2"/>
        </w:rPr>
        <w:t>2027, sektori bankar do të përmbushë gradualisht kërkesën minimale për instrumentet e kapitalit rregullator dhe detyrimet e pranuara.</w:t>
      </w:r>
    </w:p>
    <w:p w14:paraId="7B893F7E" w14:textId="77777777" w:rsidR="009D5D31" w:rsidRPr="00770F9D" w:rsidRDefault="009D5D31" w:rsidP="005674F2">
      <w:pPr>
        <w:ind w:firstLine="284"/>
        <w:jc w:val="both"/>
        <w:rPr>
          <w:rFonts w:ascii="Garamond" w:hAnsi="Garamond" w:cstheme="majorBidi"/>
          <w:i/>
          <w:color w:val="0D0D0D" w:themeColor="text1" w:themeTint="F2"/>
        </w:rPr>
      </w:pPr>
      <w:r w:rsidRPr="00770F9D">
        <w:rPr>
          <w:rFonts w:ascii="Garamond" w:hAnsi="Garamond" w:cstheme="majorBidi"/>
          <w:i/>
          <w:color w:val="0D0D0D" w:themeColor="text1" w:themeTint="F2"/>
        </w:rPr>
        <w:t>- Përmirësimi i kuadrit rregullator dhe metodologjik</w:t>
      </w:r>
    </w:p>
    <w:p w14:paraId="5B55BBAF" w14:textId="79E5272B" w:rsidR="009D5D31" w:rsidRPr="00770F9D" w:rsidRDefault="009D5D31"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Banka e Shqipërisë është e angazhuar të harmonizojë praktikat dhe kuadrin rregullator e metodologjik në fushën e ndërhyrjes së jashtëzakonshme me zhvillimet në legjislacionin </w:t>
      </w:r>
      <w:r w:rsidR="00DB5A3D" w:rsidRPr="00770F9D">
        <w:rPr>
          <w:rFonts w:ascii="Garamond" w:hAnsi="Garamond" w:cstheme="majorBidi"/>
          <w:color w:val="0D0D0D" w:themeColor="text1" w:themeTint="F2"/>
        </w:rPr>
        <w:t>evropian</w:t>
      </w:r>
      <w:r w:rsidRPr="00770F9D">
        <w:rPr>
          <w:rFonts w:ascii="Garamond" w:hAnsi="Garamond" w:cstheme="majorBidi"/>
          <w:color w:val="0D0D0D" w:themeColor="text1" w:themeTint="F2"/>
        </w:rPr>
        <w:t xml:space="preserve">. Banka e Shqipërisë do të përditësojë rregullisht metodologjinë vjetore për përcaktimin e kërkesës minimale për MREL, në përputhje me politikën e publikuar nga Bordi i Përbashkët i Ndërhyrjes së Jashtëzakonshme </w:t>
      </w:r>
      <w:r w:rsidR="00D37E42"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SRB.</w:t>
      </w:r>
    </w:p>
    <w:p w14:paraId="4D065C97" w14:textId="77777777" w:rsidR="009D5D31" w:rsidRPr="00770F9D" w:rsidRDefault="009D5D31" w:rsidP="005674F2">
      <w:pPr>
        <w:ind w:firstLine="284"/>
        <w:jc w:val="both"/>
        <w:rPr>
          <w:rFonts w:ascii="Garamond" w:hAnsi="Garamond" w:cstheme="majorBidi"/>
          <w:i/>
          <w:color w:val="0D0D0D" w:themeColor="text1" w:themeTint="F2"/>
        </w:rPr>
      </w:pPr>
      <w:r w:rsidRPr="00770F9D">
        <w:rPr>
          <w:rFonts w:ascii="Garamond" w:hAnsi="Garamond" w:cstheme="majorBidi"/>
          <w:i/>
          <w:color w:val="0D0D0D" w:themeColor="text1" w:themeTint="F2"/>
        </w:rPr>
        <w:t>- Monitorimi i Fondit të Ndërhyrjes së Jashtëzakonshme</w:t>
      </w:r>
    </w:p>
    <w:p w14:paraId="081AF53D" w14:textId="4546DF9A" w:rsidR="009D5D31" w:rsidRPr="00770F9D" w:rsidRDefault="002354C4"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Për sa</w:t>
      </w:r>
      <w:r w:rsidR="009D5D31" w:rsidRPr="00770F9D">
        <w:rPr>
          <w:rFonts w:ascii="Garamond" w:hAnsi="Garamond" w:cstheme="majorBidi"/>
          <w:color w:val="0D0D0D" w:themeColor="text1" w:themeTint="F2"/>
        </w:rPr>
        <w:t xml:space="preserve"> i përket Fondit të Ndërhyrjes së Jashtëzakonshme, Banka e Shqipërisë do të llogarisë nivelin e synuar dhe kontributin vjetor nga bankat dhe do të sigurojë mbledhjen e kontributeve vjetore për të përmbushur objektivin deri në vitin 2027, siç përcaktohet në kuadrin ligjor dhe rregullator. Banka e Shqipërisë do të vazhdojë të monitorojë investimin e mjeteve financiare të Fondit, në përputhje me politikën e investimit në fuqi.</w:t>
      </w:r>
    </w:p>
    <w:p w14:paraId="3DEA90D9" w14:textId="68F8F8A6" w:rsidR="009D5D31" w:rsidRPr="00770F9D" w:rsidRDefault="0027139F" w:rsidP="0027139F">
      <w:pPr>
        <w:pStyle w:val="Heading2"/>
        <w:snapToGrid w:val="0"/>
        <w:ind w:left="0" w:firstLine="284"/>
        <w:jc w:val="both"/>
        <w:rPr>
          <w:rFonts w:ascii="Garamond" w:hAnsi="Garamond" w:cstheme="majorBidi"/>
          <w:b/>
          <w:color w:val="0D0D0D" w:themeColor="text1" w:themeTint="F2"/>
        </w:rPr>
      </w:pPr>
      <w:bookmarkStart w:id="15" w:name="_Toc484076171"/>
      <w:bookmarkStart w:id="16" w:name="_Toc30661215"/>
      <w:bookmarkStart w:id="17" w:name="_Toc126050943"/>
      <w:r w:rsidRPr="00770F9D">
        <w:rPr>
          <w:rFonts w:ascii="Garamond" w:hAnsi="Garamond" w:cstheme="majorBidi"/>
          <w:b/>
          <w:color w:val="0D0D0D" w:themeColor="text1" w:themeTint="F2"/>
        </w:rPr>
        <w:t xml:space="preserve">3.3 </w:t>
      </w:r>
      <w:r w:rsidR="00F468C9" w:rsidRPr="00770F9D">
        <w:rPr>
          <w:rFonts w:ascii="Garamond" w:hAnsi="Garamond" w:cstheme="majorBidi"/>
          <w:b/>
          <w:color w:val="0D0D0D" w:themeColor="text1" w:themeTint="F2"/>
        </w:rPr>
        <w:t>Skenarët alternativë dhe risqet</w:t>
      </w:r>
      <w:bookmarkEnd w:id="15"/>
      <w:bookmarkEnd w:id="16"/>
      <w:bookmarkEnd w:id="17"/>
    </w:p>
    <w:p w14:paraId="6AC3A7DA" w14:textId="77777777" w:rsidR="009D5D31" w:rsidRPr="00770F9D" w:rsidRDefault="009D5D31" w:rsidP="0027139F">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Skenari bazë vlerësohet të ketë probabilitet më të lartë për t’u materializuar. Megjithatë parashikimi i skenarëve alternativë – duke supozuar se një pjesë e risqeve të ndryshme, që rrethojnë skenarin bazë mund të materializohen – është një komponent i rëndësishëm i planifikimit të financave publike. Në mënyrë që të rritet cilësia e planifikimit dhe të ketë një menaxhim më efikas të fondeve publike në çdo situatë që ka një probabilitet të caktuar për të ndodhur, më poshtë paraqiten shkurtimisht dy skenarë alternativë, në mënyrë specifike një skenar “pesimist” dhe një skenar “optimist”.</w:t>
      </w:r>
    </w:p>
    <w:p w14:paraId="6F0B39EC" w14:textId="77777777" w:rsidR="009D5D31" w:rsidRPr="00770F9D" w:rsidRDefault="009D5D31" w:rsidP="0027139F">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Secili nga skenarët alternativë supozon që një grup risqesh negative (në rastin e një skenari “pesimist”) ose risqesh pozitive (në rastin një skenari “optimist”) do të materializohen. Ky grup risqesh supozon devijime nga parashikimet në skenarin bazë për treguesit kryesorë makroekonomikë, duke përfshirë kreditimin e ekonomisë, ecurinë e ekonomisë së Eurozonës me efektet që ka në eksportin e mallrave dhe të shërbimeve, në remitanca, në flukset e kapitaleve të huaja, si dhe në kursin e këmbimit, normën e interesit, ritmin dhe ndikimin e reformave të politikave strukturore të planifikuara për periudhën afatmesme etj.</w:t>
      </w:r>
    </w:p>
    <w:p w14:paraId="281982A9" w14:textId="695A88C6" w:rsidR="009D5D31" w:rsidRPr="00770F9D" w:rsidRDefault="009D5D31" w:rsidP="00EB64CA">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Për thjeshtësinë e analizës (modelimit), efekti i përgjithshëm neto i të gjitha risqeve të supozuara, negative ose pozitive, jepet si një goditje fillestare në terma të një variabli të vetëm, “rritjes ekonomike reale”. Pra, skenarët alternativë bazohen në supozime të ndryshme të rritjes ekonomike nga skenari bazë për secilin vit 2023–2025(26). Në këtë seksion, si dhe në seksionin tjetër përkatës 4.7 (Analiza e ndjeshmërisë), në mënyrë që të kemi një pamje më gjithëpërfshirëse dhe të dobishme dhe qasjen e përballimit të secilit skenar alternativ,</w:t>
      </w:r>
      <w:r w:rsidR="00EB64CA">
        <w:rPr>
          <w:rFonts w:ascii="Garamond" w:hAnsi="Garamond" w:cstheme="majorBidi"/>
          <w:color w:val="0D0D0D" w:themeColor="text1" w:themeTint="F2"/>
        </w:rPr>
        <w:t xml:space="preserve"> </w:t>
      </w:r>
      <w:r w:rsidRPr="00770F9D">
        <w:rPr>
          <w:rFonts w:ascii="Garamond" w:hAnsi="Garamond" w:cstheme="majorBidi"/>
          <w:color w:val="0D0D0D" w:themeColor="text1" w:themeTint="F2"/>
        </w:rPr>
        <w:t>zgjasim horizontin e kohës së simulimit deri në vitin 2026. Tabela e mëposhtme paraqet supozimet e “rritjes reale” në skenarët alternativë, rritjen nominale të derivuar dhe nivelin nominal të PBB-së, si dhe disa supozime të tjera (implikimet e supozuara) mbi disa variabla kryesorë fiskalë që shpjegohen në seksionin 4.7.</w:t>
      </w:r>
    </w:p>
    <w:p w14:paraId="6DE60588" w14:textId="77777777" w:rsidR="009D5D31" w:rsidRPr="00770F9D" w:rsidRDefault="009D5D31"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Më shumë rëndësi i japim skenarit “pesimist” dhe përballimit të mundshëm të implikimeve të tij, si dhe prezantojmë në mënyrë asimetrike një goditje më të madhe negative në këtë skenar krahasuar me madhësinë e kundërt të goditjes pozitive që prezantojmë në atë “optimist”. Supozojmë se në skenarin “pesimist” rritja reale e PBB-së do të jetë 1.5 p.p. më e ulët për çdo vit (2023–2026) se sa parashikimet përkatëse të rritjes në skenarin “bazë”. Ndërsa në skenarin “optimist” supozojmë se rritja reale do të jetë 0.5 p.p. më i lartë për çdo vit se sa ajo që parashikojmë përkatësisht në skenarin “bazë”.</w:t>
      </w:r>
    </w:p>
    <w:p w14:paraId="183E1ABC" w14:textId="77777777" w:rsidR="009F44EE" w:rsidRPr="00770F9D" w:rsidRDefault="009F44EE" w:rsidP="009F44EE">
      <w:pPr>
        <w:widowControl w:val="0"/>
        <w:tabs>
          <w:tab w:val="left" w:pos="720"/>
        </w:tabs>
        <w:jc w:val="center"/>
        <w:rPr>
          <w:rFonts w:ascii="Garamond" w:eastAsia="Arial Narrow" w:hAnsi="Garamond" w:cstheme="majorBidi"/>
          <w:b/>
          <w:bCs/>
          <w:color w:val="0D0D0D" w:themeColor="text1" w:themeTint="F2"/>
        </w:rPr>
      </w:pPr>
    </w:p>
    <w:p w14:paraId="2194670E" w14:textId="77777777" w:rsidR="009F44EE" w:rsidRPr="00770F9D" w:rsidRDefault="009F44EE" w:rsidP="009F44EE">
      <w:pPr>
        <w:widowControl w:val="0"/>
        <w:tabs>
          <w:tab w:val="left" w:pos="720"/>
        </w:tabs>
        <w:jc w:val="center"/>
        <w:rPr>
          <w:rFonts w:ascii="Garamond" w:eastAsia="Arial Narrow" w:hAnsi="Garamond" w:cstheme="majorBidi"/>
          <w:b/>
          <w:bCs/>
          <w:i/>
          <w:iCs/>
          <w:color w:val="0D0D0D" w:themeColor="text1" w:themeTint="F2"/>
        </w:rPr>
      </w:pPr>
    </w:p>
    <w:p w14:paraId="554245DF" w14:textId="77777777" w:rsidR="009F44EE" w:rsidRPr="00770F9D" w:rsidRDefault="009F44EE" w:rsidP="009F44EE">
      <w:pPr>
        <w:widowControl w:val="0"/>
        <w:tabs>
          <w:tab w:val="left" w:pos="720"/>
        </w:tabs>
        <w:jc w:val="center"/>
        <w:rPr>
          <w:rFonts w:ascii="Garamond" w:eastAsia="Arial Narrow" w:hAnsi="Garamond" w:cstheme="majorBidi"/>
          <w:b/>
          <w:bCs/>
          <w:i/>
          <w:iCs/>
          <w:color w:val="0D0D0D" w:themeColor="text1" w:themeTint="F2"/>
        </w:rPr>
      </w:pPr>
    </w:p>
    <w:p w14:paraId="6A7F6848" w14:textId="77777777" w:rsidR="009F44EE" w:rsidRPr="00770F9D" w:rsidRDefault="009F44EE" w:rsidP="009F44EE">
      <w:pPr>
        <w:widowControl w:val="0"/>
        <w:tabs>
          <w:tab w:val="left" w:pos="720"/>
        </w:tabs>
        <w:jc w:val="center"/>
        <w:rPr>
          <w:rFonts w:ascii="Garamond" w:eastAsia="Arial Narrow" w:hAnsi="Garamond" w:cstheme="majorBidi"/>
          <w:b/>
          <w:bCs/>
          <w:i/>
          <w:iCs/>
          <w:color w:val="0D0D0D" w:themeColor="text1" w:themeTint="F2"/>
        </w:rPr>
      </w:pPr>
    </w:p>
    <w:p w14:paraId="34D07E0E" w14:textId="77777777" w:rsidR="009F44EE" w:rsidRPr="00770F9D" w:rsidRDefault="009F44EE" w:rsidP="009F44EE">
      <w:pPr>
        <w:widowControl w:val="0"/>
        <w:tabs>
          <w:tab w:val="left" w:pos="720"/>
        </w:tabs>
        <w:jc w:val="center"/>
        <w:rPr>
          <w:rFonts w:ascii="Garamond" w:eastAsia="Arial Narrow" w:hAnsi="Garamond" w:cstheme="majorBidi"/>
          <w:b/>
          <w:bCs/>
          <w:i/>
          <w:iCs/>
          <w:color w:val="0D0D0D" w:themeColor="text1" w:themeTint="F2"/>
        </w:rPr>
      </w:pPr>
    </w:p>
    <w:p w14:paraId="3D80A824" w14:textId="77777777" w:rsidR="009F44EE" w:rsidRPr="00770F9D" w:rsidRDefault="009F44EE" w:rsidP="009F44EE">
      <w:pPr>
        <w:widowControl w:val="0"/>
        <w:tabs>
          <w:tab w:val="left" w:pos="720"/>
        </w:tabs>
        <w:jc w:val="center"/>
        <w:rPr>
          <w:rFonts w:ascii="Garamond" w:eastAsia="Arial Narrow" w:hAnsi="Garamond" w:cstheme="majorBidi"/>
          <w:b/>
          <w:bCs/>
          <w:i/>
          <w:iCs/>
          <w:color w:val="0D0D0D" w:themeColor="text1" w:themeTint="F2"/>
        </w:rPr>
      </w:pPr>
    </w:p>
    <w:p w14:paraId="0BBF4ABE" w14:textId="77777777" w:rsidR="009F44EE" w:rsidRPr="00770F9D" w:rsidRDefault="009F44EE" w:rsidP="009F44EE">
      <w:pPr>
        <w:widowControl w:val="0"/>
        <w:tabs>
          <w:tab w:val="left" w:pos="720"/>
        </w:tabs>
        <w:jc w:val="center"/>
        <w:rPr>
          <w:rFonts w:ascii="Garamond" w:eastAsia="Arial Narrow" w:hAnsi="Garamond" w:cstheme="majorBidi"/>
          <w:b/>
          <w:bCs/>
          <w:i/>
          <w:iCs/>
          <w:color w:val="0D0D0D" w:themeColor="text1" w:themeTint="F2"/>
        </w:rPr>
      </w:pPr>
    </w:p>
    <w:p w14:paraId="44A31073" w14:textId="77777777" w:rsidR="009F44EE" w:rsidRPr="00770F9D" w:rsidRDefault="009F44EE" w:rsidP="009F44EE">
      <w:pPr>
        <w:widowControl w:val="0"/>
        <w:tabs>
          <w:tab w:val="left" w:pos="720"/>
        </w:tabs>
        <w:jc w:val="center"/>
        <w:rPr>
          <w:rFonts w:ascii="Garamond" w:eastAsia="Arial Narrow" w:hAnsi="Garamond" w:cstheme="majorBidi"/>
          <w:b/>
          <w:bCs/>
          <w:i/>
          <w:iCs/>
          <w:color w:val="0D0D0D" w:themeColor="text1" w:themeTint="F2"/>
        </w:rPr>
      </w:pPr>
    </w:p>
    <w:p w14:paraId="3EBAD2CF" w14:textId="77777777" w:rsidR="009F44EE" w:rsidRPr="00770F9D" w:rsidRDefault="009F44EE" w:rsidP="009F44EE">
      <w:pPr>
        <w:widowControl w:val="0"/>
        <w:tabs>
          <w:tab w:val="left" w:pos="720"/>
        </w:tabs>
        <w:jc w:val="center"/>
        <w:rPr>
          <w:rFonts w:ascii="Garamond" w:eastAsia="Arial Narrow" w:hAnsi="Garamond" w:cstheme="majorBidi"/>
          <w:b/>
          <w:bCs/>
          <w:i/>
          <w:iCs/>
          <w:color w:val="0D0D0D" w:themeColor="text1" w:themeTint="F2"/>
        </w:rPr>
      </w:pPr>
    </w:p>
    <w:p w14:paraId="20363089" w14:textId="77777777" w:rsidR="009F44EE" w:rsidRPr="00770F9D" w:rsidRDefault="009F44EE" w:rsidP="009F44EE">
      <w:pPr>
        <w:widowControl w:val="0"/>
        <w:tabs>
          <w:tab w:val="left" w:pos="720"/>
        </w:tabs>
        <w:jc w:val="center"/>
        <w:rPr>
          <w:rFonts w:ascii="Garamond" w:eastAsia="Arial Narrow" w:hAnsi="Garamond" w:cstheme="majorBidi"/>
          <w:b/>
          <w:bCs/>
          <w:i/>
          <w:iCs/>
          <w:color w:val="0D0D0D" w:themeColor="text1" w:themeTint="F2"/>
        </w:rPr>
      </w:pPr>
    </w:p>
    <w:p w14:paraId="59F0A95F" w14:textId="77777777" w:rsidR="009F44EE" w:rsidRPr="00770F9D" w:rsidRDefault="009F44EE" w:rsidP="009F44EE">
      <w:pPr>
        <w:widowControl w:val="0"/>
        <w:tabs>
          <w:tab w:val="left" w:pos="720"/>
        </w:tabs>
        <w:jc w:val="center"/>
        <w:rPr>
          <w:rFonts w:ascii="Garamond" w:eastAsia="Arial Narrow" w:hAnsi="Garamond" w:cstheme="majorBidi"/>
          <w:b/>
          <w:bCs/>
          <w:i/>
          <w:iCs/>
          <w:color w:val="0D0D0D" w:themeColor="text1" w:themeTint="F2"/>
        </w:rPr>
      </w:pPr>
    </w:p>
    <w:p w14:paraId="009E84CC" w14:textId="77777777" w:rsidR="009F44EE" w:rsidRPr="00770F9D" w:rsidRDefault="009F44EE" w:rsidP="009F44EE">
      <w:pPr>
        <w:widowControl w:val="0"/>
        <w:tabs>
          <w:tab w:val="left" w:pos="720"/>
        </w:tabs>
        <w:jc w:val="center"/>
        <w:rPr>
          <w:rFonts w:ascii="Garamond" w:eastAsia="Arial Narrow" w:hAnsi="Garamond" w:cstheme="majorBidi"/>
          <w:b/>
          <w:bCs/>
          <w:i/>
          <w:iCs/>
          <w:color w:val="0D0D0D" w:themeColor="text1" w:themeTint="F2"/>
        </w:rPr>
      </w:pPr>
    </w:p>
    <w:p w14:paraId="5C592D12" w14:textId="77777777" w:rsidR="009F44EE" w:rsidRPr="00770F9D" w:rsidRDefault="009F44EE" w:rsidP="009F44EE">
      <w:pPr>
        <w:widowControl w:val="0"/>
        <w:tabs>
          <w:tab w:val="left" w:pos="720"/>
        </w:tabs>
        <w:jc w:val="center"/>
        <w:rPr>
          <w:rFonts w:ascii="Garamond" w:eastAsia="Arial Narrow" w:hAnsi="Garamond" w:cstheme="majorBidi"/>
          <w:b/>
          <w:bCs/>
          <w:i/>
          <w:iCs/>
          <w:color w:val="0D0D0D" w:themeColor="text1" w:themeTint="F2"/>
        </w:rPr>
      </w:pPr>
    </w:p>
    <w:p w14:paraId="6422F6C3" w14:textId="77777777" w:rsidR="009F44EE" w:rsidRPr="00770F9D" w:rsidRDefault="009F44EE" w:rsidP="009F44EE">
      <w:pPr>
        <w:widowControl w:val="0"/>
        <w:tabs>
          <w:tab w:val="left" w:pos="720"/>
        </w:tabs>
        <w:jc w:val="center"/>
        <w:rPr>
          <w:rFonts w:ascii="Garamond" w:eastAsia="Arial Narrow" w:hAnsi="Garamond" w:cstheme="majorBidi"/>
          <w:b/>
          <w:bCs/>
          <w:i/>
          <w:iCs/>
          <w:color w:val="0D0D0D" w:themeColor="text1" w:themeTint="F2"/>
        </w:rPr>
      </w:pPr>
    </w:p>
    <w:p w14:paraId="2C61795F" w14:textId="77777777" w:rsidR="009F44EE" w:rsidRPr="00770F9D" w:rsidRDefault="009F44EE" w:rsidP="009F44EE">
      <w:pPr>
        <w:widowControl w:val="0"/>
        <w:tabs>
          <w:tab w:val="left" w:pos="720"/>
        </w:tabs>
        <w:jc w:val="center"/>
        <w:rPr>
          <w:rFonts w:ascii="Garamond" w:eastAsia="Arial Narrow" w:hAnsi="Garamond" w:cstheme="majorBidi"/>
          <w:b/>
          <w:bCs/>
          <w:i/>
          <w:iCs/>
          <w:color w:val="0D0D0D" w:themeColor="text1" w:themeTint="F2"/>
        </w:rPr>
      </w:pPr>
    </w:p>
    <w:p w14:paraId="5309CD62" w14:textId="1D51A813" w:rsidR="009D5D31" w:rsidRPr="00770F9D" w:rsidRDefault="009F44EE" w:rsidP="009F44EE">
      <w:pPr>
        <w:widowControl w:val="0"/>
        <w:tabs>
          <w:tab w:val="left" w:pos="720"/>
        </w:tabs>
        <w:jc w:val="center"/>
        <w:rPr>
          <w:rFonts w:ascii="Garamond" w:eastAsia="Arial Narrow" w:hAnsi="Garamond" w:cstheme="majorBidi"/>
          <w:i/>
          <w:iCs/>
          <w:color w:val="0D0D0D" w:themeColor="text1" w:themeTint="F2"/>
        </w:rPr>
      </w:pPr>
      <w:r w:rsidRPr="00770F9D">
        <w:rPr>
          <w:rFonts w:ascii="Garamond" w:hAnsi="Garamond" w:cstheme="majorBidi"/>
          <w:noProof/>
          <w:color w:val="0D0D0D" w:themeColor="text1" w:themeTint="F2"/>
          <w:lang w:eastAsia="sq-AL"/>
        </w:rPr>
        <w:drawing>
          <wp:anchor distT="0" distB="0" distL="114300" distR="114300" simplePos="0" relativeHeight="251658251" behindDoc="0" locked="0" layoutInCell="1" allowOverlap="1" wp14:anchorId="7F790840" wp14:editId="46CB2125">
            <wp:simplePos x="0" y="0"/>
            <wp:positionH relativeFrom="column">
              <wp:posOffset>-176530</wp:posOffset>
            </wp:positionH>
            <wp:positionV relativeFrom="paragraph">
              <wp:posOffset>240690</wp:posOffset>
            </wp:positionV>
            <wp:extent cx="6111240" cy="4581525"/>
            <wp:effectExtent l="0" t="0" r="3810" b="9525"/>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11240" cy="4581525"/>
                    </a:xfrm>
                    <a:prstGeom prst="rect">
                      <a:avLst/>
                    </a:prstGeom>
                    <a:noFill/>
                    <a:ln>
                      <a:noFill/>
                    </a:ln>
                  </pic:spPr>
                </pic:pic>
              </a:graphicData>
            </a:graphic>
            <wp14:sizeRelH relativeFrom="page">
              <wp14:pctWidth>0</wp14:pctWidth>
            </wp14:sizeRelH>
            <wp14:sizeRelV relativeFrom="page">
              <wp14:pctHeight>0</wp14:pctHeight>
            </wp14:sizeRelV>
          </wp:anchor>
        </w:drawing>
      </w:r>
      <w:r w:rsidR="009D5D31" w:rsidRPr="00770F9D">
        <w:rPr>
          <w:rFonts w:ascii="Garamond" w:eastAsia="Arial Narrow" w:hAnsi="Garamond" w:cstheme="majorBidi"/>
          <w:b/>
          <w:bCs/>
          <w:i/>
          <w:iCs/>
          <w:color w:val="0D0D0D" w:themeColor="text1" w:themeTint="F2"/>
        </w:rPr>
        <w:t>Tabelë 3.3.1:</w:t>
      </w:r>
      <w:r w:rsidR="009D5D31" w:rsidRPr="00770F9D">
        <w:rPr>
          <w:rFonts w:ascii="Garamond" w:eastAsia="Arial Narrow" w:hAnsi="Garamond" w:cstheme="majorBidi"/>
          <w:i/>
          <w:iCs/>
          <w:color w:val="0D0D0D" w:themeColor="text1" w:themeTint="F2"/>
        </w:rPr>
        <w:t xml:space="preserve"> Supozimet alternative për secilin skenar</w:t>
      </w:r>
    </w:p>
    <w:p w14:paraId="3A19085C" w14:textId="4772E1EA" w:rsidR="009D5D31" w:rsidRPr="00770F9D" w:rsidRDefault="009D5D31" w:rsidP="0027139F">
      <w:pPr>
        <w:snapToGrid w:val="0"/>
        <w:ind w:firstLine="284"/>
        <w:jc w:val="center"/>
        <w:rPr>
          <w:rFonts w:ascii="Garamond" w:hAnsi="Garamond" w:cstheme="majorBidi"/>
          <w:color w:val="0D0D0D" w:themeColor="text1" w:themeTint="F2"/>
        </w:rPr>
      </w:pPr>
    </w:p>
    <w:p w14:paraId="35ADB919" w14:textId="2BF166D9" w:rsidR="00DF1828" w:rsidRPr="00770F9D" w:rsidRDefault="0027139F" w:rsidP="0027139F">
      <w:pPr>
        <w:pStyle w:val="Heading1"/>
        <w:snapToGrid w:val="0"/>
        <w:ind w:left="0" w:firstLine="284"/>
        <w:jc w:val="both"/>
        <w:rPr>
          <w:rFonts w:ascii="Garamond" w:hAnsi="Garamond" w:cstheme="majorBidi"/>
          <w:b w:val="0"/>
          <w:bCs w:val="0"/>
          <w:color w:val="0D0D0D" w:themeColor="text1" w:themeTint="F2"/>
        </w:rPr>
      </w:pPr>
      <w:bookmarkStart w:id="18" w:name="_Toc484076172"/>
      <w:bookmarkStart w:id="19" w:name="_Toc62805581"/>
      <w:bookmarkStart w:id="20" w:name="_Toc126050944"/>
      <w:r w:rsidRPr="00770F9D">
        <w:rPr>
          <w:rFonts w:ascii="Garamond" w:hAnsi="Garamond" w:cstheme="majorBidi"/>
          <w:b w:val="0"/>
          <w:bCs w:val="0"/>
          <w:color w:val="0D0D0D" w:themeColor="text1" w:themeTint="F2"/>
        </w:rPr>
        <w:t>4</w:t>
      </w:r>
      <w:r w:rsidR="00072546" w:rsidRPr="00770F9D">
        <w:rPr>
          <w:rFonts w:ascii="Garamond" w:hAnsi="Garamond" w:cstheme="majorBidi"/>
          <w:b w:val="0"/>
          <w:bCs w:val="0"/>
          <w:color w:val="0D0D0D" w:themeColor="text1" w:themeTint="F2"/>
        </w:rPr>
        <w:t xml:space="preserve">. </w:t>
      </w:r>
      <w:r w:rsidR="004D1F24" w:rsidRPr="00770F9D">
        <w:rPr>
          <w:rFonts w:ascii="Garamond" w:hAnsi="Garamond" w:cstheme="majorBidi"/>
          <w:b w:val="0"/>
          <w:bCs w:val="0"/>
          <w:color w:val="0D0D0D" w:themeColor="text1" w:themeTint="F2"/>
        </w:rPr>
        <w:t xml:space="preserve">KUADRI </w:t>
      </w:r>
      <w:r w:rsidR="00DF1828" w:rsidRPr="00770F9D">
        <w:rPr>
          <w:rFonts w:ascii="Garamond" w:hAnsi="Garamond" w:cstheme="majorBidi"/>
          <w:b w:val="0"/>
          <w:bCs w:val="0"/>
          <w:color w:val="0D0D0D" w:themeColor="text1" w:themeTint="F2"/>
        </w:rPr>
        <w:t>FIS</w:t>
      </w:r>
      <w:r w:rsidR="004D1F24" w:rsidRPr="00770F9D">
        <w:rPr>
          <w:rFonts w:ascii="Garamond" w:hAnsi="Garamond" w:cstheme="majorBidi"/>
          <w:b w:val="0"/>
          <w:bCs w:val="0"/>
          <w:color w:val="0D0D0D" w:themeColor="text1" w:themeTint="F2"/>
        </w:rPr>
        <w:t>K</w:t>
      </w:r>
      <w:r w:rsidR="00DF1828" w:rsidRPr="00770F9D">
        <w:rPr>
          <w:rFonts w:ascii="Garamond" w:hAnsi="Garamond" w:cstheme="majorBidi"/>
          <w:b w:val="0"/>
          <w:bCs w:val="0"/>
          <w:color w:val="0D0D0D" w:themeColor="text1" w:themeTint="F2"/>
        </w:rPr>
        <w:t>AL</w:t>
      </w:r>
      <w:bookmarkEnd w:id="18"/>
      <w:bookmarkEnd w:id="19"/>
      <w:bookmarkEnd w:id="20"/>
    </w:p>
    <w:p w14:paraId="5460ECCD" w14:textId="00F0ADA2" w:rsidR="00F468C9" w:rsidRPr="00770F9D" w:rsidRDefault="0027139F" w:rsidP="0027139F">
      <w:pPr>
        <w:pStyle w:val="Heading2"/>
        <w:snapToGrid w:val="0"/>
        <w:ind w:left="0" w:firstLine="284"/>
        <w:jc w:val="both"/>
        <w:rPr>
          <w:rFonts w:ascii="Garamond" w:hAnsi="Garamond" w:cstheme="majorBidi"/>
          <w:b/>
          <w:color w:val="0D0D0D" w:themeColor="text1" w:themeTint="F2"/>
        </w:rPr>
      </w:pPr>
      <w:bookmarkStart w:id="21" w:name="_Toc484076173"/>
      <w:bookmarkStart w:id="22" w:name="_Toc30661217"/>
      <w:bookmarkStart w:id="23" w:name="_Toc126050945"/>
      <w:r w:rsidRPr="00770F9D">
        <w:rPr>
          <w:rFonts w:ascii="Garamond" w:hAnsi="Garamond" w:cstheme="majorBidi"/>
          <w:b/>
          <w:color w:val="0D0D0D" w:themeColor="text1" w:themeTint="F2"/>
        </w:rPr>
        <w:t>4</w:t>
      </w:r>
      <w:r w:rsidR="00072546" w:rsidRPr="00770F9D">
        <w:rPr>
          <w:rFonts w:ascii="Garamond" w:hAnsi="Garamond" w:cstheme="majorBidi"/>
          <w:b/>
          <w:color w:val="0D0D0D" w:themeColor="text1" w:themeTint="F2"/>
        </w:rPr>
        <w:t xml:space="preserve">.1 </w:t>
      </w:r>
      <w:r w:rsidR="00F468C9" w:rsidRPr="00770F9D">
        <w:rPr>
          <w:rFonts w:ascii="Garamond" w:hAnsi="Garamond" w:cstheme="majorBidi"/>
          <w:b/>
          <w:color w:val="0D0D0D" w:themeColor="text1" w:themeTint="F2"/>
        </w:rPr>
        <w:t>Politikat strategjike dhe objektivat afatmes</w:t>
      </w:r>
      <w:r w:rsidR="00184C32" w:rsidRPr="00770F9D">
        <w:rPr>
          <w:rFonts w:ascii="Garamond" w:hAnsi="Garamond" w:cstheme="majorBidi"/>
          <w:b/>
          <w:color w:val="0D0D0D" w:themeColor="text1" w:themeTint="F2"/>
        </w:rPr>
        <w:t>ë</w:t>
      </w:r>
      <w:r w:rsidR="00F468C9" w:rsidRPr="00770F9D">
        <w:rPr>
          <w:rFonts w:ascii="Garamond" w:hAnsi="Garamond" w:cstheme="majorBidi"/>
          <w:b/>
          <w:color w:val="0D0D0D" w:themeColor="text1" w:themeTint="F2"/>
        </w:rPr>
        <w:t>m</w:t>
      </w:r>
      <w:bookmarkEnd w:id="21"/>
      <w:bookmarkEnd w:id="22"/>
      <w:bookmarkEnd w:id="23"/>
    </w:p>
    <w:p w14:paraId="256966E4" w14:textId="06133269" w:rsidR="00F468C9" w:rsidRPr="00770F9D" w:rsidRDefault="00F468C9" w:rsidP="00CB1AD3">
      <w:pPr>
        <w:ind w:firstLine="284"/>
        <w:jc w:val="both"/>
        <w:rPr>
          <w:rStyle w:val="jlqj4b"/>
          <w:rFonts w:ascii="Garamond" w:hAnsi="Garamond" w:cstheme="majorBidi"/>
          <w:color w:val="0D0D0D" w:themeColor="text1" w:themeTint="F2"/>
        </w:rPr>
      </w:pPr>
      <w:r w:rsidRPr="00770F9D">
        <w:rPr>
          <w:rStyle w:val="jlqj4b"/>
          <w:rFonts w:ascii="Garamond" w:hAnsi="Garamond" w:cstheme="majorBidi"/>
          <w:color w:val="0D0D0D" w:themeColor="text1" w:themeTint="F2"/>
        </w:rPr>
        <w:t>Në vitet e fundit, deri përpara goditjes nga pandemia, financat publike kishin hyrë në një trajektore të sigurt dhe optimale të konsolidimit fiskal, të materializuar në parametrat më të rëndësishëm të qëndrueshmërisë. Së pari, kjo u materializua në uljen e deficitit të përgjithshëm buxhetor nga 5% e PBB-së në vitin 2013, në poshtë nivelit prej 2% në vitin 2019. Ndërsa në vitin 2020, si kundërpërgjigje kryesore</w:t>
      </w:r>
      <w:r w:rsidR="00CB1AD3" w:rsidRPr="00770F9D">
        <w:rPr>
          <w:rStyle w:val="jlqj4b"/>
          <w:rFonts w:ascii="Garamond" w:hAnsi="Garamond" w:cstheme="majorBidi"/>
          <w:color w:val="0D0D0D" w:themeColor="text1" w:themeTint="F2"/>
        </w:rPr>
        <w:t>,</w:t>
      </w:r>
      <w:r w:rsidRPr="00770F9D">
        <w:rPr>
          <w:rStyle w:val="jlqj4b"/>
          <w:rFonts w:ascii="Garamond" w:hAnsi="Garamond" w:cstheme="majorBidi"/>
          <w:color w:val="0D0D0D" w:themeColor="text1" w:themeTint="F2"/>
        </w:rPr>
        <w:t xml:space="preserve"> me qëllim amortizimin e goditjeve negative (nga tërmeti dhe sidomos pandemia), u ndërmor një politikë fiskale mjaft ekspansioniste. Për rrjedhojë, deficiti total buxhetor arriti në rreth 6.7% të PBB-së dhe borxhi publik u rrit në rreth 74.5% të PBB-së, pra me rreth 9 </w:t>
      </w:r>
      <w:r w:rsidR="00EE365D" w:rsidRPr="00770F9D">
        <w:rPr>
          <w:rStyle w:val="jlqj4b"/>
          <w:rFonts w:ascii="Garamond" w:hAnsi="Garamond" w:cstheme="majorBidi"/>
          <w:color w:val="0D0D0D" w:themeColor="text1" w:themeTint="F2"/>
        </w:rPr>
        <w:t>pikë përqindjej</w:t>
      </w:r>
      <w:r w:rsidR="00CB1AD3" w:rsidRPr="00770F9D">
        <w:rPr>
          <w:rStyle w:val="jlqj4b"/>
          <w:rFonts w:ascii="Garamond" w:hAnsi="Garamond" w:cstheme="majorBidi"/>
          <w:color w:val="0D0D0D" w:themeColor="text1" w:themeTint="F2"/>
        </w:rPr>
        <w:t>e</w:t>
      </w:r>
      <w:r w:rsidRPr="00770F9D">
        <w:rPr>
          <w:rStyle w:val="jlqj4b"/>
          <w:rFonts w:ascii="Garamond" w:hAnsi="Garamond" w:cstheme="majorBidi"/>
          <w:color w:val="0D0D0D" w:themeColor="text1" w:themeTint="F2"/>
        </w:rPr>
        <w:t xml:space="preserve"> krahasuar me fundin e 2019-ës. </w:t>
      </w:r>
    </w:p>
    <w:p w14:paraId="3C3BC5D3" w14:textId="15C8EFB9" w:rsidR="00F468C9" w:rsidRPr="00770F9D" w:rsidRDefault="00F468C9" w:rsidP="005674F2">
      <w:pPr>
        <w:ind w:firstLine="284"/>
        <w:jc w:val="both"/>
        <w:rPr>
          <w:rFonts w:ascii="Garamond" w:hAnsi="Garamond" w:cstheme="majorBidi"/>
          <w:color w:val="0D0D0D" w:themeColor="text1" w:themeTint="F2"/>
        </w:rPr>
      </w:pPr>
      <w:r w:rsidRPr="00770F9D">
        <w:rPr>
          <w:rStyle w:val="jlqj4b"/>
          <w:rFonts w:ascii="Garamond" w:hAnsi="Garamond" w:cstheme="majorBidi"/>
          <w:color w:val="0D0D0D" w:themeColor="text1" w:themeTint="F2"/>
        </w:rPr>
        <w:t xml:space="preserve">Për të realizuar një politikë fiskale të tillë ekspansioniste në përgjigje të goditjes, qeverisë iu desh të aktivizonte “klauzolat e devijimit” nga rregullat fiskale gjatë vitit 2020, si klauzola të parashikuara tashmë në </w:t>
      </w:r>
      <w:r w:rsidR="007A3A70" w:rsidRPr="00770F9D">
        <w:rPr>
          <w:rStyle w:val="jlqj4b"/>
          <w:rFonts w:ascii="Garamond" w:hAnsi="Garamond" w:cstheme="majorBidi"/>
          <w:color w:val="0D0D0D" w:themeColor="text1" w:themeTint="F2"/>
        </w:rPr>
        <w:t xml:space="preserve">ligjin organik të buxhetit </w:t>
      </w:r>
      <w:r w:rsidRPr="00770F9D">
        <w:rPr>
          <w:rStyle w:val="jlqj4b"/>
          <w:rFonts w:ascii="Garamond" w:hAnsi="Garamond" w:cstheme="majorBidi"/>
          <w:color w:val="0D0D0D" w:themeColor="text1" w:themeTint="F2"/>
        </w:rPr>
        <w:t>(LOB), duke mos cenuar kështu besueshmërinë e financave publike në perceptimin e tregjeve dhe agjentëve ekonomikë. Gjithashtu, me synimin për të ruajtur sa më shumë të paprekur besueshmërinë e financave publike në perceptimin e tregjeve (që është një themel kryesor makroekonomik veçanërisht për vendet e vogla me nevoja relativisht të larta për financim bruto si Shqipëria)</w:t>
      </w:r>
      <w:r w:rsidR="00BB45FC" w:rsidRPr="00770F9D">
        <w:rPr>
          <w:rStyle w:val="jlqj4b"/>
          <w:rFonts w:ascii="Garamond" w:hAnsi="Garamond" w:cstheme="majorBidi"/>
          <w:color w:val="0D0D0D" w:themeColor="text1" w:themeTint="F2"/>
        </w:rPr>
        <w:t>,</w:t>
      </w:r>
      <w:r w:rsidRPr="00770F9D">
        <w:rPr>
          <w:rStyle w:val="jlqj4b"/>
          <w:rFonts w:ascii="Garamond" w:hAnsi="Garamond" w:cstheme="majorBidi"/>
          <w:color w:val="0D0D0D" w:themeColor="text1" w:themeTint="F2"/>
        </w:rPr>
        <w:t xml:space="preserve"> në korrik 2020 u ndërmor një nismë tjetër ligjore. duke futur një rregull të ri fiskal në LOB. Ky rregull fiskal i ri </w:t>
      </w:r>
      <w:r w:rsidRPr="00770F9D">
        <w:rPr>
          <w:rFonts w:ascii="Garamond" w:hAnsi="Garamond" w:cstheme="majorBidi"/>
          <w:color w:val="0D0D0D" w:themeColor="text1" w:themeTint="F2"/>
        </w:rPr>
        <w:t>bën të detyrueshëm ligjërisht tashmë që duke filluar që prej vitit buxhetor 2024 e në vijim balanca primare faktike nuk mund të rezultojë negative, pra duhet të jetë së paku e balancuar ose pozitive (suficit primar)</w:t>
      </w:r>
      <w:r w:rsidRPr="00770F9D">
        <w:rPr>
          <w:rStyle w:val="FootnoteReference"/>
          <w:rFonts w:ascii="Garamond" w:hAnsi="Garamond" w:cstheme="majorBidi"/>
          <w:color w:val="0D0D0D" w:themeColor="text1" w:themeTint="F2"/>
        </w:rPr>
        <w:footnoteReference w:id="10"/>
      </w:r>
      <w:r w:rsidRPr="00770F9D">
        <w:rPr>
          <w:rFonts w:ascii="Garamond" w:hAnsi="Garamond" w:cstheme="majorBidi"/>
          <w:color w:val="0D0D0D" w:themeColor="text1" w:themeTint="F2"/>
        </w:rPr>
        <w:t>.</w:t>
      </w:r>
    </w:p>
    <w:p w14:paraId="79E35F0A" w14:textId="36567596" w:rsidR="00F468C9" w:rsidRPr="00770F9D" w:rsidRDefault="00F468C9" w:rsidP="005674F2">
      <w:pPr>
        <w:ind w:firstLine="284"/>
        <w:jc w:val="both"/>
        <w:rPr>
          <w:rStyle w:val="jlqj4b"/>
          <w:rFonts w:ascii="Garamond" w:hAnsi="Garamond" w:cstheme="majorBidi"/>
          <w:color w:val="0D0D0D" w:themeColor="text1" w:themeTint="F2"/>
        </w:rPr>
      </w:pPr>
      <w:r w:rsidRPr="00770F9D">
        <w:rPr>
          <w:rStyle w:val="jlqj4b"/>
          <w:rFonts w:ascii="Garamond" w:hAnsi="Garamond" w:cstheme="majorBidi"/>
          <w:color w:val="0D0D0D" w:themeColor="text1" w:themeTint="F2"/>
        </w:rPr>
        <w:t>Ky rregull u prit mjaft pozitivisht nga të gjitha institucionet ndërkombëtare (duke përfshirë patjetër agjencitë e vlerësimit) dhe rrjedhimisht nga aktorët ekonomikë në tërësi, si një nismë shumë e përshtatshme dhe efektive për të ruajtur besueshmërinë dhe stabilitetin e financave publike, jo vetëm në periudh</w:t>
      </w:r>
      <w:r w:rsidR="00F95131" w:rsidRPr="00770F9D">
        <w:rPr>
          <w:rStyle w:val="jlqj4b"/>
          <w:rFonts w:ascii="Garamond" w:hAnsi="Garamond" w:cstheme="majorBidi"/>
          <w:color w:val="0D0D0D" w:themeColor="text1" w:themeTint="F2"/>
        </w:rPr>
        <w:t>ën afatmesme dhe afatgjatë post</w:t>
      </w:r>
      <w:r w:rsidRPr="00770F9D">
        <w:rPr>
          <w:rStyle w:val="jlqj4b"/>
          <w:rFonts w:ascii="Garamond" w:hAnsi="Garamond" w:cstheme="majorBidi"/>
          <w:color w:val="0D0D0D" w:themeColor="text1" w:themeTint="F2"/>
        </w:rPr>
        <w:t xml:space="preserve">pandemike, por rezultoi mjaft i dobishëm edhe në terma afatshkurtër në atë të sigurimit të një financimi (huamarrjeje) relativisht të qetë gjatë goditjes, pra gjatë vitit 2020 dhe më tej, pavarësisht magnitudës dukshëm më të lartë të huamarrjes gjatë kësaj periudhe sesa zakonisht. </w:t>
      </w:r>
    </w:p>
    <w:p w14:paraId="04E2E0E0" w14:textId="2DE9C479" w:rsidR="00F468C9" w:rsidRPr="00770F9D" w:rsidRDefault="00F468C9" w:rsidP="005674F2">
      <w:pPr>
        <w:ind w:firstLine="284"/>
        <w:jc w:val="both"/>
        <w:rPr>
          <w:rStyle w:val="jlqj4b"/>
          <w:rFonts w:ascii="Garamond" w:hAnsi="Garamond" w:cstheme="majorBidi"/>
          <w:color w:val="0D0D0D" w:themeColor="text1" w:themeTint="F2"/>
        </w:rPr>
      </w:pPr>
      <w:r w:rsidRPr="00770F9D">
        <w:rPr>
          <w:rStyle w:val="jlqj4b"/>
          <w:rFonts w:ascii="Garamond" w:hAnsi="Garamond" w:cstheme="majorBidi"/>
          <w:color w:val="0D0D0D" w:themeColor="text1" w:themeTint="F2"/>
        </w:rPr>
        <w:t>Konsolidimi fiskal vijon të jetë objektivi themelor i politikës fiskale, në funksion të drejtpërdrejtë të sigurimit të stabilitetit makroekonomik të vendit, si një premisë thelbësore për sigurimin e një rritje</w:t>
      </w:r>
      <w:r w:rsidR="00F95131" w:rsidRPr="00770F9D">
        <w:rPr>
          <w:rStyle w:val="jlqj4b"/>
          <w:rFonts w:ascii="Garamond" w:hAnsi="Garamond" w:cstheme="majorBidi"/>
          <w:color w:val="0D0D0D" w:themeColor="text1" w:themeTint="F2"/>
        </w:rPr>
        <w:t>je</w:t>
      </w:r>
      <w:r w:rsidRPr="00770F9D">
        <w:rPr>
          <w:rStyle w:val="jlqj4b"/>
          <w:rFonts w:ascii="Garamond" w:hAnsi="Garamond" w:cstheme="majorBidi"/>
          <w:color w:val="0D0D0D" w:themeColor="text1" w:themeTint="F2"/>
        </w:rPr>
        <w:t xml:space="preserve"> ekonomike të qëndrueshme e gjithëpërfshirëse.</w:t>
      </w:r>
    </w:p>
    <w:p w14:paraId="4CBBC635" w14:textId="64340842" w:rsidR="00F468C9" w:rsidRPr="00770F9D" w:rsidRDefault="00F468C9" w:rsidP="006B79AC">
      <w:pPr>
        <w:ind w:firstLine="284"/>
        <w:jc w:val="both"/>
        <w:rPr>
          <w:rStyle w:val="jlqj4b"/>
          <w:rFonts w:ascii="Garamond" w:hAnsi="Garamond" w:cstheme="majorBidi"/>
          <w:color w:val="0D0D0D" w:themeColor="text1" w:themeTint="F2"/>
        </w:rPr>
      </w:pPr>
      <w:r w:rsidRPr="00770F9D">
        <w:rPr>
          <w:rStyle w:val="jlqj4b"/>
          <w:rFonts w:ascii="Garamond" w:hAnsi="Garamond" w:cstheme="majorBidi"/>
          <w:color w:val="0D0D0D" w:themeColor="text1" w:themeTint="F2"/>
        </w:rPr>
        <w:t xml:space="preserve">Politika fiskale do </w:t>
      </w:r>
      <w:r w:rsidR="006B79AC" w:rsidRPr="00770F9D">
        <w:rPr>
          <w:rStyle w:val="jlqj4b"/>
          <w:rFonts w:ascii="Garamond" w:hAnsi="Garamond" w:cstheme="majorBidi"/>
          <w:color w:val="0D0D0D" w:themeColor="text1" w:themeTint="F2"/>
        </w:rPr>
        <w:t xml:space="preserve">të </w:t>
      </w:r>
      <w:r w:rsidRPr="00770F9D">
        <w:rPr>
          <w:rStyle w:val="jlqj4b"/>
          <w:rFonts w:ascii="Garamond" w:hAnsi="Garamond" w:cstheme="majorBidi"/>
          <w:color w:val="0D0D0D" w:themeColor="text1" w:themeTint="F2"/>
        </w:rPr>
        <w:t>targetojë një trajektore rënëse të borxhit publik, pra një trajektore rënëse graduale por e përvitshme, ndërsa balanca primare do të rikthehet në nivel pozitiv që prej vitit të ardhshëm 2023 dhe do të vijojë e tillë në vijim, në përputhje edhe me rregullat fiskal</w:t>
      </w:r>
      <w:r w:rsidR="006B79AC" w:rsidRPr="00770F9D">
        <w:rPr>
          <w:rStyle w:val="jlqj4b"/>
          <w:rFonts w:ascii="Garamond" w:hAnsi="Garamond" w:cstheme="majorBidi"/>
          <w:color w:val="0D0D0D" w:themeColor="text1" w:themeTint="F2"/>
        </w:rPr>
        <w:t>e</w:t>
      </w:r>
      <w:r w:rsidRPr="00770F9D">
        <w:rPr>
          <w:rStyle w:val="jlqj4b"/>
          <w:rFonts w:ascii="Garamond" w:hAnsi="Garamond" w:cstheme="majorBidi"/>
          <w:color w:val="0D0D0D" w:themeColor="text1" w:themeTint="F2"/>
        </w:rPr>
        <w:t xml:space="preserve"> në LOB.</w:t>
      </w:r>
    </w:p>
    <w:p w14:paraId="20B61267" w14:textId="57ED306A" w:rsidR="00F468C9" w:rsidRPr="00770F9D" w:rsidRDefault="00F468C9" w:rsidP="005674F2">
      <w:pPr>
        <w:ind w:firstLine="284"/>
        <w:jc w:val="both"/>
        <w:rPr>
          <w:rStyle w:val="jlqj4b"/>
          <w:rFonts w:ascii="Garamond" w:hAnsi="Garamond" w:cstheme="majorBidi"/>
          <w:color w:val="0D0D0D" w:themeColor="text1" w:themeTint="F2"/>
        </w:rPr>
      </w:pPr>
      <w:r w:rsidRPr="00770F9D">
        <w:rPr>
          <w:rStyle w:val="jlqj4b"/>
          <w:rFonts w:ascii="Garamond" w:hAnsi="Garamond" w:cstheme="majorBidi"/>
          <w:color w:val="0D0D0D" w:themeColor="text1" w:themeTint="F2"/>
        </w:rPr>
        <w:t xml:space="preserve">Në të njëjtën kohë, krahas konsolidimit fiskal, do </w:t>
      </w:r>
      <w:r w:rsidR="007C704D" w:rsidRPr="00770F9D">
        <w:rPr>
          <w:rStyle w:val="jlqj4b"/>
          <w:rFonts w:ascii="Garamond" w:hAnsi="Garamond" w:cstheme="majorBidi"/>
          <w:color w:val="0D0D0D" w:themeColor="text1" w:themeTint="F2"/>
        </w:rPr>
        <w:t xml:space="preserve">të </w:t>
      </w:r>
      <w:r w:rsidRPr="00770F9D">
        <w:rPr>
          <w:rStyle w:val="jlqj4b"/>
          <w:rFonts w:ascii="Garamond" w:hAnsi="Garamond" w:cstheme="majorBidi"/>
          <w:color w:val="0D0D0D" w:themeColor="text1" w:themeTint="F2"/>
        </w:rPr>
        <w:t>synojmë që të ruajmë një raport të shëndetshëm të shpenzimeve buxhetore korrente dhe kapitale, ku shpenzimet kapitale (pra, investimet publike) do</w:t>
      </w:r>
      <w:r w:rsidR="007C704D" w:rsidRPr="00770F9D">
        <w:rPr>
          <w:rStyle w:val="jlqj4b"/>
          <w:rFonts w:ascii="Garamond" w:hAnsi="Garamond" w:cstheme="majorBidi"/>
          <w:color w:val="0D0D0D" w:themeColor="text1" w:themeTint="F2"/>
        </w:rPr>
        <w:t xml:space="preserve"> të</w:t>
      </w:r>
      <w:r w:rsidRPr="00770F9D">
        <w:rPr>
          <w:rStyle w:val="jlqj4b"/>
          <w:rFonts w:ascii="Garamond" w:hAnsi="Garamond" w:cstheme="majorBidi"/>
          <w:color w:val="0D0D0D" w:themeColor="text1" w:themeTint="F2"/>
        </w:rPr>
        <w:t xml:space="preserve"> targetohen të jenë rreth 5 </w:t>
      </w:r>
      <w:r w:rsidR="00623F19" w:rsidRPr="00770F9D">
        <w:rPr>
          <w:rStyle w:val="jlqj4b"/>
          <w:rFonts w:ascii="Garamond" w:hAnsi="Garamond" w:cstheme="majorBidi"/>
          <w:color w:val="0D0D0D" w:themeColor="text1" w:themeTint="F2"/>
        </w:rPr>
        <w:t>për qind</w:t>
      </w:r>
      <w:r w:rsidRPr="00770F9D">
        <w:rPr>
          <w:rStyle w:val="jlqj4b"/>
          <w:rFonts w:ascii="Garamond" w:hAnsi="Garamond" w:cstheme="majorBidi"/>
          <w:color w:val="0D0D0D" w:themeColor="text1" w:themeTint="F2"/>
        </w:rPr>
        <w:t xml:space="preserve"> e PBB në çdo vit buxhetor.</w:t>
      </w:r>
    </w:p>
    <w:p w14:paraId="2E2C8B43" w14:textId="3376D417" w:rsidR="00F468C9" w:rsidRPr="00770F9D" w:rsidRDefault="00F468C9" w:rsidP="00F30B86">
      <w:pPr>
        <w:ind w:firstLine="284"/>
        <w:jc w:val="both"/>
        <w:rPr>
          <w:rStyle w:val="jlqj4b"/>
          <w:rFonts w:ascii="Garamond" w:hAnsi="Garamond" w:cstheme="majorBidi"/>
          <w:color w:val="0D0D0D" w:themeColor="text1" w:themeTint="F2"/>
        </w:rPr>
      </w:pPr>
      <w:r w:rsidRPr="00770F9D">
        <w:rPr>
          <w:rStyle w:val="jlqj4b"/>
          <w:rFonts w:ascii="Garamond" w:hAnsi="Garamond" w:cstheme="majorBidi"/>
          <w:color w:val="0D0D0D" w:themeColor="text1" w:themeTint="F2"/>
        </w:rPr>
        <w:t>Defi</w:t>
      </w:r>
      <w:r w:rsidR="00F30B86" w:rsidRPr="00770F9D">
        <w:rPr>
          <w:rStyle w:val="jlqj4b"/>
          <w:rFonts w:ascii="Garamond" w:hAnsi="Garamond" w:cstheme="majorBidi"/>
          <w:color w:val="0D0D0D" w:themeColor="text1" w:themeTint="F2"/>
        </w:rPr>
        <w:t>c</w:t>
      </w:r>
      <w:r w:rsidRPr="00770F9D">
        <w:rPr>
          <w:rStyle w:val="jlqj4b"/>
          <w:rFonts w:ascii="Garamond" w:hAnsi="Garamond" w:cstheme="majorBidi"/>
          <w:color w:val="0D0D0D" w:themeColor="text1" w:themeTint="F2"/>
        </w:rPr>
        <w:t xml:space="preserve">iti buxhetor për vitin 2023 planifikohet të jetë në nivelin 2.6 </w:t>
      </w:r>
      <w:r w:rsidR="00623F19" w:rsidRPr="00770F9D">
        <w:rPr>
          <w:rStyle w:val="jlqj4b"/>
          <w:rFonts w:ascii="Garamond" w:hAnsi="Garamond" w:cstheme="majorBidi"/>
          <w:color w:val="0D0D0D" w:themeColor="text1" w:themeTint="F2"/>
        </w:rPr>
        <w:t>për qind</w:t>
      </w:r>
      <w:r w:rsidRPr="00770F9D">
        <w:rPr>
          <w:rStyle w:val="jlqj4b"/>
          <w:rFonts w:ascii="Garamond" w:hAnsi="Garamond" w:cstheme="majorBidi"/>
          <w:color w:val="0D0D0D" w:themeColor="text1" w:themeTint="F2"/>
        </w:rPr>
        <w:t xml:space="preserve"> të PBB nga rreth 3.2 </w:t>
      </w:r>
      <w:r w:rsidR="00623F19" w:rsidRPr="00770F9D">
        <w:rPr>
          <w:rStyle w:val="jlqj4b"/>
          <w:rFonts w:ascii="Garamond" w:hAnsi="Garamond" w:cstheme="majorBidi"/>
          <w:color w:val="0D0D0D" w:themeColor="text1" w:themeTint="F2"/>
        </w:rPr>
        <w:t>për qind</w:t>
      </w:r>
      <w:r w:rsidRPr="00770F9D">
        <w:rPr>
          <w:rStyle w:val="jlqj4b"/>
          <w:rFonts w:ascii="Garamond" w:hAnsi="Garamond" w:cstheme="majorBidi"/>
          <w:color w:val="0D0D0D" w:themeColor="text1" w:themeTint="F2"/>
        </w:rPr>
        <w:t xml:space="preserve"> i pritshëm për vitin 2022. Balanca primare pritet të jetë pozitive në rreth 0.3 </w:t>
      </w:r>
      <w:r w:rsidR="00623F19" w:rsidRPr="00770F9D">
        <w:rPr>
          <w:rStyle w:val="jlqj4b"/>
          <w:rFonts w:ascii="Garamond" w:hAnsi="Garamond" w:cstheme="majorBidi"/>
          <w:color w:val="0D0D0D" w:themeColor="text1" w:themeTint="F2"/>
        </w:rPr>
        <w:t>për qind</w:t>
      </w:r>
      <w:r w:rsidRPr="00770F9D">
        <w:rPr>
          <w:rStyle w:val="jlqj4b"/>
          <w:rFonts w:ascii="Garamond" w:hAnsi="Garamond" w:cstheme="majorBidi"/>
          <w:color w:val="0D0D0D" w:themeColor="text1" w:themeTint="F2"/>
        </w:rPr>
        <w:t xml:space="preserve">, në një përmirësim të qenësishëm nga niveli negativ prej rreth -1.2 </w:t>
      </w:r>
      <w:r w:rsidR="004A2BE9" w:rsidRPr="00770F9D">
        <w:rPr>
          <w:rStyle w:val="jlqj4b"/>
          <w:rFonts w:ascii="Garamond" w:hAnsi="Garamond" w:cstheme="majorBidi"/>
          <w:color w:val="0D0D0D" w:themeColor="text1" w:themeTint="F2"/>
        </w:rPr>
        <w:t>për</w:t>
      </w:r>
      <w:r w:rsidR="00623F19" w:rsidRPr="00770F9D">
        <w:rPr>
          <w:rStyle w:val="jlqj4b"/>
          <w:rFonts w:ascii="Garamond" w:hAnsi="Garamond" w:cstheme="majorBidi"/>
          <w:color w:val="0D0D0D" w:themeColor="text1" w:themeTint="F2"/>
        </w:rPr>
        <w:t>qind</w:t>
      </w:r>
      <w:r w:rsidR="004A2BE9" w:rsidRPr="00770F9D">
        <w:rPr>
          <w:rStyle w:val="jlqj4b"/>
          <w:rFonts w:ascii="Garamond" w:hAnsi="Garamond" w:cstheme="majorBidi"/>
          <w:color w:val="0D0D0D" w:themeColor="text1" w:themeTint="F2"/>
        </w:rPr>
        <w:t>ësh</w:t>
      </w:r>
      <w:r w:rsidRPr="00770F9D">
        <w:rPr>
          <w:rStyle w:val="jlqj4b"/>
          <w:rFonts w:ascii="Garamond" w:hAnsi="Garamond" w:cstheme="majorBidi"/>
          <w:color w:val="0D0D0D" w:themeColor="text1" w:themeTint="F2"/>
        </w:rPr>
        <w:t xml:space="preserve"> që pritet për vitin 2022. </w:t>
      </w:r>
    </w:p>
    <w:p w14:paraId="318F84FA" w14:textId="7F1D73CE" w:rsidR="00F468C9" w:rsidRPr="00770F9D" w:rsidRDefault="00F468C9" w:rsidP="00C40E9B">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Balanca korrente fiskale (diferenca midis investime publike dhe deficit fiskal) do të jetë pozitive në vitin e ardhshëm 2023, në nivelin prej 3.1 </w:t>
      </w:r>
      <w:r w:rsidR="009B146D" w:rsidRPr="00770F9D">
        <w:rPr>
          <w:rFonts w:ascii="Garamond" w:hAnsi="Garamond" w:cstheme="majorBidi"/>
          <w:color w:val="0D0D0D" w:themeColor="text1" w:themeTint="F2"/>
        </w:rPr>
        <w:t>për</w:t>
      </w:r>
      <w:r w:rsidR="00623F19" w:rsidRPr="00770F9D">
        <w:rPr>
          <w:rFonts w:ascii="Garamond" w:hAnsi="Garamond" w:cstheme="majorBidi"/>
          <w:color w:val="0D0D0D" w:themeColor="text1" w:themeTint="F2"/>
        </w:rPr>
        <w:t>qind</w:t>
      </w:r>
      <w:r w:rsidR="009B146D" w:rsidRPr="00770F9D">
        <w:rPr>
          <w:rFonts w:ascii="Garamond" w:hAnsi="Garamond" w:cstheme="majorBidi"/>
          <w:color w:val="0D0D0D" w:themeColor="text1" w:themeTint="F2"/>
        </w:rPr>
        <w:t>ësh</w:t>
      </w:r>
      <w:r w:rsidRPr="00770F9D">
        <w:rPr>
          <w:rFonts w:ascii="Garamond" w:hAnsi="Garamond" w:cstheme="majorBidi"/>
          <w:color w:val="0D0D0D" w:themeColor="text1" w:themeTint="F2"/>
        </w:rPr>
        <w:t xml:space="preserve"> të PBB nga një nivel i pritshëm përsëri pozitiv prej 2.4 </w:t>
      </w:r>
      <w:r w:rsidR="005231A8" w:rsidRPr="00770F9D">
        <w:rPr>
          <w:rFonts w:ascii="Garamond" w:hAnsi="Garamond" w:cstheme="majorBidi"/>
          <w:color w:val="0D0D0D" w:themeColor="text1" w:themeTint="F2"/>
        </w:rPr>
        <w:t>për</w:t>
      </w:r>
      <w:r w:rsidR="00623F19" w:rsidRPr="00770F9D">
        <w:rPr>
          <w:rFonts w:ascii="Garamond" w:hAnsi="Garamond" w:cstheme="majorBidi"/>
          <w:color w:val="0D0D0D" w:themeColor="text1" w:themeTint="F2"/>
        </w:rPr>
        <w:t>qind</w:t>
      </w:r>
      <w:r w:rsidR="005231A8" w:rsidRPr="00770F9D">
        <w:rPr>
          <w:rFonts w:ascii="Garamond" w:hAnsi="Garamond" w:cstheme="majorBidi"/>
          <w:color w:val="0D0D0D" w:themeColor="text1" w:themeTint="F2"/>
        </w:rPr>
        <w:t>ësh</w:t>
      </w:r>
      <w:r w:rsidRPr="00770F9D">
        <w:rPr>
          <w:rFonts w:ascii="Garamond" w:hAnsi="Garamond" w:cstheme="majorBidi"/>
          <w:color w:val="0D0D0D" w:themeColor="text1" w:themeTint="F2"/>
        </w:rPr>
        <w:t xml:space="preserve"> këtë vit (2022), në përputhje kjo me rregullin respektiv fiskal (“rregull</w:t>
      </w:r>
      <w:r w:rsidR="00C40E9B" w:rsidRPr="00770F9D">
        <w:rPr>
          <w:rFonts w:ascii="Garamond" w:hAnsi="Garamond" w:cstheme="majorBidi"/>
          <w:color w:val="0D0D0D" w:themeColor="text1" w:themeTint="F2"/>
        </w:rPr>
        <w:t>a</w:t>
      </w:r>
      <w:r w:rsidRPr="00770F9D">
        <w:rPr>
          <w:rFonts w:ascii="Garamond" w:hAnsi="Garamond" w:cstheme="majorBidi"/>
          <w:color w:val="0D0D0D" w:themeColor="text1" w:themeTint="F2"/>
        </w:rPr>
        <w:t xml:space="preserve"> e artë” </w:t>
      </w:r>
      <w:r w:rsidR="00C40E9B" w:rsidRPr="00770F9D">
        <w:rPr>
          <w:rFonts w:ascii="Garamond" w:hAnsi="Garamond" w:cstheme="majorBidi"/>
          <w:color w:val="0D0D0D" w:themeColor="text1" w:themeTint="F2"/>
        </w:rPr>
        <w:t>e</w:t>
      </w:r>
      <w:r w:rsidRPr="00770F9D">
        <w:rPr>
          <w:rFonts w:ascii="Garamond" w:hAnsi="Garamond" w:cstheme="majorBidi"/>
          <w:color w:val="0D0D0D" w:themeColor="text1" w:themeTint="F2"/>
        </w:rPr>
        <w:t xml:space="preserve"> buxhetit).</w:t>
      </w:r>
    </w:p>
    <w:p w14:paraId="4E7B588C" w14:textId="34106C08" w:rsidR="00F468C9" w:rsidRPr="00770F9D" w:rsidRDefault="00F468C9" w:rsidP="005674F2">
      <w:pPr>
        <w:ind w:firstLine="284"/>
        <w:jc w:val="both"/>
        <w:rPr>
          <w:rStyle w:val="jlqj4b"/>
          <w:rFonts w:ascii="Garamond" w:hAnsi="Garamond" w:cstheme="majorBidi"/>
          <w:color w:val="0D0D0D" w:themeColor="text1" w:themeTint="F2"/>
        </w:rPr>
      </w:pPr>
      <w:r w:rsidRPr="00770F9D">
        <w:rPr>
          <w:rStyle w:val="jlqj4b"/>
          <w:rFonts w:ascii="Garamond" w:hAnsi="Garamond" w:cstheme="majorBidi"/>
          <w:color w:val="0D0D0D" w:themeColor="text1" w:themeTint="F2"/>
        </w:rPr>
        <w:t xml:space="preserve">Për periudhën afatmesme </w:t>
      </w:r>
      <w:r w:rsidR="003F4C96" w:rsidRPr="00770F9D">
        <w:rPr>
          <w:rStyle w:val="jlqj4b"/>
          <w:rFonts w:ascii="Garamond" w:hAnsi="Garamond" w:cstheme="majorBidi"/>
          <w:color w:val="0D0D0D" w:themeColor="text1" w:themeTint="F2"/>
        </w:rPr>
        <w:t>2023–2025</w:t>
      </w:r>
      <w:r w:rsidRPr="00770F9D">
        <w:rPr>
          <w:rStyle w:val="jlqj4b"/>
          <w:rFonts w:ascii="Garamond" w:hAnsi="Garamond" w:cstheme="majorBidi"/>
          <w:color w:val="0D0D0D" w:themeColor="text1" w:themeTint="F2"/>
        </w:rPr>
        <w:t xml:space="preserve">, deficiti buxhetor parashikohet mesatarisht në rreth 2.3 </w:t>
      </w:r>
      <w:r w:rsidR="00623F19" w:rsidRPr="00770F9D">
        <w:rPr>
          <w:rStyle w:val="jlqj4b"/>
          <w:rFonts w:ascii="Garamond" w:hAnsi="Garamond" w:cstheme="majorBidi"/>
          <w:color w:val="0D0D0D" w:themeColor="text1" w:themeTint="F2"/>
        </w:rPr>
        <w:t>për qind</w:t>
      </w:r>
      <w:r w:rsidRPr="00770F9D">
        <w:rPr>
          <w:rStyle w:val="jlqj4b"/>
          <w:rFonts w:ascii="Garamond" w:hAnsi="Garamond" w:cstheme="majorBidi"/>
          <w:color w:val="0D0D0D" w:themeColor="text1" w:themeTint="F2"/>
        </w:rPr>
        <w:t xml:space="preserve"> në vit. Më konkretisht bilanci i përgjithshëm fiskal synohet në -2.6 </w:t>
      </w:r>
      <w:r w:rsidR="00623F19" w:rsidRPr="00770F9D">
        <w:rPr>
          <w:rStyle w:val="jlqj4b"/>
          <w:rFonts w:ascii="Garamond" w:hAnsi="Garamond" w:cstheme="majorBidi"/>
          <w:color w:val="0D0D0D" w:themeColor="text1" w:themeTint="F2"/>
        </w:rPr>
        <w:t>për qind</w:t>
      </w:r>
      <w:r w:rsidRPr="00770F9D">
        <w:rPr>
          <w:rStyle w:val="jlqj4b"/>
          <w:rFonts w:ascii="Garamond" w:hAnsi="Garamond" w:cstheme="majorBidi"/>
          <w:color w:val="0D0D0D" w:themeColor="text1" w:themeTint="F2"/>
        </w:rPr>
        <w:t xml:space="preserve"> për 2023, dhe-2.2 </w:t>
      </w:r>
      <w:r w:rsidR="00623F19" w:rsidRPr="00770F9D">
        <w:rPr>
          <w:rStyle w:val="jlqj4b"/>
          <w:rFonts w:ascii="Garamond" w:hAnsi="Garamond" w:cstheme="majorBidi"/>
          <w:color w:val="0D0D0D" w:themeColor="text1" w:themeTint="F2"/>
        </w:rPr>
        <w:t>për qind</w:t>
      </w:r>
      <w:r w:rsidRPr="00770F9D">
        <w:rPr>
          <w:rStyle w:val="jlqj4b"/>
          <w:rFonts w:ascii="Garamond" w:hAnsi="Garamond" w:cstheme="majorBidi"/>
          <w:color w:val="0D0D0D" w:themeColor="text1" w:themeTint="F2"/>
        </w:rPr>
        <w:t xml:space="preserve"> për 2024 dhe 2025. </w:t>
      </w:r>
    </w:p>
    <w:p w14:paraId="55EFDBB6" w14:textId="02850AC5" w:rsidR="00F468C9" w:rsidRPr="00770F9D" w:rsidRDefault="00F468C9" w:rsidP="005674F2">
      <w:pPr>
        <w:ind w:firstLine="284"/>
        <w:jc w:val="both"/>
        <w:rPr>
          <w:rStyle w:val="jlqj4b"/>
          <w:rFonts w:ascii="Garamond" w:hAnsi="Garamond" w:cstheme="majorBidi"/>
          <w:color w:val="0D0D0D" w:themeColor="text1" w:themeTint="F2"/>
        </w:rPr>
      </w:pPr>
      <w:r w:rsidRPr="00770F9D">
        <w:rPr>
          <w:rStyle w:val="jlqj4b"/>
          <w:rFonts w:ascii="Garamond" w:hAnsi="Garamond" w:cstheme="majorBidi"/>
          <w:color w:val="0D0D0D" w:themeColor="text1" w:themeTint="F2"/>
        </w:rPr>
        <w:t xml:space="preserve">Balanca primare parashikohet mesatarisht në rreth 0.8 </w:t>
      </w:r>
      <w:r w:rsidR="00623F19" w:rsidRPr="00770F9D">
        <w:rPr>
          <w:rStyle w:val="jlqj4b"/>
          <w:rFonts w:ascii="Garamond" w:hAnsi="Garamond" w:cstheme="majorBidi"/>
          <w:color w:val="0D0D0D" w:themeColor="text1" w:themeTint="F2"/>
        </w:rPr>
        <w:t>për qind</w:t>
      </w:r>
      <w:r w:rsidRPr="00770F9D">
        <w:rPr>
          <w:rStyle w:val="jlqj4b"/>
          <w:rFonts w:ascii="Garamond" w:hAnsi="Garamond" w:cstheme="majorBidi"/>
          <w:color w:val="0D0D0D" w:themeColor="text1" w:themeTint="F2"/>
        </w:rPr>
        <w:t xml:space="preserve"> në vit gjatë periudhës afatmesme vijuese </w:t>
      </w:r>
      <w:r w:rsidR="003F4C96" w:rsidRPr="00770F9D">
        <w:rPr>
          <w:rStyle w:val="jlqj4b"/>
          <w:rFonts w:ascii="Garamond" w:hAnsi="Garamond" w:cstheme="majorBidi"/>
          <w:color w:val="0D0D0D" w:themeColor="text1" w:themeTint="F2"/>
        </w:rPr>
        <w:t>2023–2025</w:t>
      </w:r>
      <w:r w:rsidRPr="00770F9D">
        <w:rPr>
          <w:rStyle w:val="jlqj4b"/>
          <w:rFonts w:ascii="Garamond" w:hAnsi="Garamond" w:cstheme="majorBidi"/>
          <w:color w:val="0D0D0D" w:themeColor="text1" w:themeTint="F2"/>
        </w:rPr>
        <w:t xml:space="preserve"> . </w:t>
      </w:r>
      <w:r w:rsidRPr="00770F9D">
        <w:rPr>
          <w:rFonts w:ascii="Garamond" w:hAnsi="Garamond" w:cstheme="majorBidi"/>
          <w:color w:val="0D0D0D" w:themeColor="text1" w:themeTint="F2"/>
        </w:rPr>
        <w:t>Balanca primare do të rikthehet në nivel pozitiv (suficit primar) që prej vitit 2023 e në vijim. Ndërkohë që, duke filluar prej vitit buxhetor 2024 e në vijim ky target do të jetë edhe ligjërisht i detyrueshëm, ku në LOB përcaktohet që duke filluar nga viti buxhetor 2024 e për çdo vit në vijim balanca primare të rezultojë jo më e vogël se sa zero (pra së paku e balancuar ose pozitive).</w:t>
      </w:r>
      <w:r w:rsidRPr="00770F9D">
        <w:rPr>
          <w:rStyle w:val="jlqj4b"/>
          <w:rFonts w:ascii="Garamond" w:hAnsi="Garamond" w:cstheme="majorBidi"/>
          <w:color w:val="0D0D0D" w:themeColor="text1" w:themeTint="F2"/>
        </w:rPr>
        <w:t xml:space="preserve"> Në vitin 2023, bilanci primar është projektuar në rreth 0.3 </w:t>
      </w:r>
      <w:r w:rsidR="00623F19" w:rsidRPr="00770F9D">
        <w:rPr>
          <w:rStyle w:val="jlqj4b"/>
          <w:rFonts w:ascii="Garamond" w:hAnsi="Garamond" w:cstheme="majorBidi"/>
          <w:color w:val="0D0D0D" w:themeColor="text1" w:themeTint="F2"/>
        </w:rPr>
        <w:t>për qind</w:t>
      </w:r>
      <w:r w:rsidRPr="00770F9D">
        <w:rPr>
          <w:rStyle w:val="jlqj4b"/>
          <w:rFonts w:ascii="Garamond" w:hAnsi="Garamond" w:cstheme="majorBidi"/>
          <w:color w:val="0D0D0D" w:themeColor="text1" w:themeTint="F2"/>
        </w:rPr>
        <w:t xml:space="preserve"> të PBB-së dhe të vazhdojë të zgjerohet më tej në normën prej 0.9 </w:t>
      </w:r>
      <w:r w:rsidR="001E0947" w:rsidRPr="00770F9D">
        <w:rPr>
          <w:rStyle w:val="jlqj4b"/>
          <w:rFonts w:ascii="Garamond" w:hAnsi="Garamond" w:cstheme="majorBidi"/>
          <w:color w:val="0D0D0D" w:themeColor="text1" w:themeTint="F2"/>
        </w:rPr>
        <w:t>për</w:t>
      </w:r>
      <w:r w:rsidR="00623F19" w:rsidRPr="00770F9D">
        <w:rPr>
          <w:rStyle w:val="jlqj4b"/>
          <w:rFonts w:ascii="Garamond" w:hAnsi="Garamond" w:cstheme="majorBidi"/>
          <w:color w:val="0D0D0D" w:themeColor="text1" w:themeTint="F2"/>
        </w:rPr>
        <w:t>qind</w:t>
      </w:r>
      <w:r w:rsidR="001E0947" w:rsidRPr="00770F9D">
        <w:rPr>
          <w:rStyle w:val="jlqj4b"/>
          <w:rFonts w:ascii="Garamond" w:hAnsi="Garamond" w:cstheme="majorBidi"/>
          <w:color w:val="0D0D0D" w:themeColor="text1" w:themeTint="F2"/>
        </w:rPr>
        <w:t>ësh</w:t>
      </w:r>
      <w:r w:rsidRPr="00770F9D">
        <w:rPr>
          <w:rStyle w:val="jlqj4b"/>
          <w:rFonts w:ascii="Garamond" w:hAnsi="Garamond" w:cstheme="majorBidi"/>
          <w:color w:val="0D0D0D" w:themeColor="text1" w:themeTint="F2"/>
        </w:rPr>
        <w:t xml:space="preserve"> në vitin 2024 dhe në 1.2 </w:t>
      </w:r>
      <w:r w:rsidR="00623F19" w:rsidRPr="00770F9D">
        <w:rPr>
          <w:rStyle w:val="jlqj4b"/>
          <w:rFonts w:ascii="Garamond" w:hAnsi="Garamond" w:cstheme="majorBidi"/>
          <w:color w:val="0D0D0D" w:themeColor="text1" w:themeTint="F2"/>
        </w:rPr>
        <w:t>për qind</w:t>
      </w:r>
      <w:r w:rsidRPr="00770F9D">
        <w:rPr>
          <w:rStyle w:val="jlqj4b"/>
          <w:rFonts w:ascii="Garamond" w:hAnsi="Garamond" w:cstheme="majorBidi"/>
          <w:color w:val="0D0D0D" w:themeColor="text1" w:themeTint="F2"/>
        </w:rPr>
        <w:t xml:space="preserve"> në vitin 2025. Shpenzimet kapitale parashikohen përkatësisht në 5.7, 5.1 dhe 5.2 </w:t>
      </w:r>
      <w:r w:rsidR="00623F19" w:rsidRPr="00770F9D">
        <w:rPr>
          <w:rStyle w:val="jlqj4b"/>
          <w:rFonts w:ascii="Garamond" w:hAnsi="Garamond" w:cstheme="majorBidi"/>
          <w:color w:val="0D0D0D" w:themeColor="text1" w:themeTint="F2"/>
        </w:rPr>
        <w:t>për qind</w:t>
      </w:r>
      <w:r w:rsidRPr="00770F9D">
        <w:rPr>
          <w:rStyle w:val="jlqj4b"/>
          <w:rFonts w:ascii="Garamond" w:hAnsi="Garamond" w:cstheme="majorBidi"/>
          <w:color w:val="0D0D0D" w:themeColor="text1" w:themeTint="F2"/>
        </w:rPr>
        <w:t xml:space="preserve"> për vitet 2023, 2024 dhe 2025. Bilanci korrent fiskal synohet mesatarisht në rreth +3.0 </w:t>
      </w:r>
      <w:r w:rsidR="00623F19" w:rsidRPr="00770F9D">
        <w:rPr>
          <w:rStyle w:val="jlqj4b"/>
          <w:rFonts w:ascii="Garamond" w:hAnsi="Garamond" w:cstheme="majorBidi"/>
          <w:color w:val="0D0D0D" w:themeColor="text1" w:themeTint="F2"/>
        </w:rPr>
        <w:t>për qind</w:t>
      </w:r>
      <w:r w:rsidRPr="00770F9D">
        <w:rPr>
          <w:rStyle w:val="jlqj4b"/>
          <w:rFonts w:ascii="Garamond" w:hAnsi="Garamond" w:cstheme="majorBidi"/>
          <w:color w:val="0D0D0D" w:themeColor="text1" w:themeTint="F2"/>
        </w:rPr>
        <w:t xml:space="preserve"> në vit gjatë periudhës afatmesme </w:t>
      </w:r>
      <w:r w:rsidR="003F4C96" w:rsidRPr="00770F9D">
        <w:rPr>
          <w:rStyle w:val="jlqj4b"/>
          <w:rFonts w:ascii="Garamond" w:hAnsi="Garamond" w:cstheme="majorBidi"/>
          <w:color w:val="0D0D0D" w:themeColor="text1" w:themeTint="F2"/>
        </w:rPr>
        <w:t>2023–2025</w:t>
      </w:r>
      <w:r w:rsidRPr="00770F9D">
        <w:rPr>
          <w:rStyle w:val="jlqj4b"/>
          <w:rFonts w:ascii="Garamond" w:hAnsi="Garamond" w:cstheme="majorBidi"/>
          <w:color w:val="0D0D0D" w:themeColor="text1" w:themeTint="F2"/>
        </w:rPr>
        <w:t xml:space="preserve">. Më konkretisht, bilanci korrent fiskal është parashikuar përkatësisht në 3.1, 2.9 dhe 3.0 </w:t>
      </w:r>
      <w:r w:rsidR="00623F19" w:rsidRPr="00770F9D">
        <w:rPr>
          <w:rStyle w:val="jlqj4b"/>
          <w:rFonts w:ascii="Garamond" w:hAnsi="Garamond" w:cstheme="majorBidi"/>
          <w:color w:val="0D0D0D" w:themeColor="text1" w:themeTint="F2"/>
        </w:rPr>
        <w:t>për qind</w:t>
      </w:r>
      <w:r w:rsidRPr="00770F9D">
        <w:rPr>
          <w:rStyle w:val="jlqj4b"/>
          <w:rFonts w:ascii="Garamond" w:hAnsi="Garamond" w:cstheme="majorBidi"/>
          <w:color w:val="0D0D0D" w:themeColor="text1" w:themeTint="F2"/>
        </w:rPr>
        <w:t xml:space="preserve"> për vitet 2023, 2024 dhe 2025. </w:t>
      </w:r>
    </w:p>
    <w:p w14:paraId="61E7AD16" w14:textId="727BB126" w:rsidR="00F468C9" w:rsidRPr="00770F9D" w:rsidRDefault="00F468C9" w:rsidP="005674F2">
      <w:pPr>
        <w:ind w:firstLine="284"/>
        <w:jc w:val="both"/>
        <w:rPr>
          <w:rStyle w:val="jlqj4b"/>
          <w:rFonts w:ascii="Garamond" w:hAnsi="Garamond" w:cstheme="majorBidi"/>
          <w:color w:val="0D0D0D" w:themeColor="text1" w:themeTint="F2"/>
        </w:rPr>
      </w:pPr>
      <w:r w:rsidRPr="00770F9D">
        <w:rPr>
          <w:rStyle w:val="jlqj4b"/>
          <w:rFonts w:ascii="Garamond" w:hAnsi="Garamond" w:cstheme="majorBidi"/>
          <w:color w:val="0D0D0D" w:themeColor="text1" w:themeTint="F2"/>
        </w:rPr>
        <w:t xml:space="preserve">Si rrjedhojë, borxhi publik ndaj PBB-së do të vazhdojë trajektoren rënëse të filluar që në vitin 2021, pas pandemisë, dhe në përputhje me rregullin fiskal përkatës. </w:t>
      </w:r>
      <w:r w:rsidRPr="00770F9D">
        <w:rPr>
          <w:rStyle w:val="rynqvb"/>
          <w:rFonts w:ascii="Garamond" w:hAnsi="Garamond" w:cstheme="majorBidi"/>
          <w:color w:val="0D0D0D" w:themeColor="text1" w:themeTint="F2"/>
        </w:rPr>
        <w:t>Në vitin 2022, borxhi publik pritet të bjerë në rreth 68.8 për qind të PBB-së nga rreth 73.2 për qind në vitin 2021 dhe pritet të vazhdojë të bjerë më tej në rreth 67.5 për qind në vitin 2023.</w:t>
      </w:r>
      <w:r w:rsidRPr="00770F9D">
        <w:rPr>
          <w:rStyle w:val="jlqj4b"/>
          <w:rFonts w:ascii="Garamond" w:hAnsi="Garamond" w:cstheme="majorBidi"/>
          <w:color w:val="0D0D0D" w:themeColor="text1" w:themeTint="F2"/>
        </w:rPr>
        <w:t xml:space="preserve"> Sipas skenarit bazë, borxhi publik pritet të bjerë në rreth 64.2 për</w:t>
      </w:r>
      <w:r w:rsidR="00623F19" w:rsidRPr="00770F9D">
        <w:rPr>
          <w:rStyle w:val="jlqj4b"/>
          <w:rFonts w:ascii="Garamond" w:hAnsi="Garamond" w:cstheme="majorBidi"/>
          <w:color w:val="0D0D0D" w:themeColor="text1" w:themeTint="F2"/>
        </w:rPr>
        <w:t xml:space="preserve"> </w:t>
      </w:r>
      <w:r w:rsidRPr="00770F9D">
        <w:rPr>
          <w:rStyle w:val="jlqj4b"/>
          <w:rFonts w:ascii="Garamond" w:hAnsi="Garamond" w:cstheme="majorBidi"/>
          <w:color w:val="0D0D0D" w:themeColor="text1" w:themeTint="F2"/>
        </w:rPr>
        <w:t xml:space="preserve">qind në vitin 2026 dhe më tej në rreth 54.9 </w:t>
      </w:r>
      <w:r w:rsidR="00623F19" w:rsidRPr="00770F9D">
        <w:rPr>
          <w:rStyle w:val="jlqj4b"/>
          <w:rFonts w:ascii="Garamond" w:hAnsi="Garamond" w:cstheme="majorBidi"/>
          <w:color w:val="0D0D0D" w:themeColor="text1" w:themeTint="F2"/>
        </w:rPr>
        <w:t>për qind</w:t>
      </w:r>
      <w:r w:rsidRPr="00770F9D">
        <w:rPr>
          <w:rStyle w:val="jlqj4b"/>
          <w:rFonts w:ascii="Garamond" w:hAnsi="Garamond" w:cstheme="majorBidi"/>
          <w:color w:val="0D0D0D" w:themeColor="text1" w:themeTint="F2"/>
        </w:rPr>
        <w:t xml:space="preserve"> deri në vitin 2031. </w:t>
      </w:r>
    </w:p>
    <w:p w14:paraId="6BD2AED3" w14:textId="77777777" w:rsidR="003334CD" w:rsidRPr="00770F9D" w:rsidRDefault="003334CD" w:rsidP="006912D6">
      <w:pPr>
        <w:ind w:firstLine="284"/>
        <w:jc w:val="center"/>
        <w:rPr>
          <w:rFonts w:ascii="Garamond" w:hAnsi="Garamond" w:cstheme="majorBidi"/>
          <w:color w:val="0D0D0D" w:themeColor="text1" w:themeTint="F2"/>
        </w:rPr>
      </w:pPr>
    </w:p>
    <w:p w14:paraId="1F3BEBC8" w14:textId="77777777" w:rsidR="00A054E3" w:rsidRPr="00770F9D" w:rsidRDefault="00A054E3" w:rsidP="006912D6">
      <w:pPr>
        <w:ind w:firstLine="284"/>
        <w:jc w:val="center"/>
        <w:rPr>
          <w:rFonts w:ascii="Garamond" w:hAnsi="Garamond" w:cstheme="majorBidi"/>
          <w:color w:val="0D0D0D" w:themeColor="text1" w:themeTint="F2"/>
        </w:rPr>
      </w:pPr>
    </w:p>
    <w:p w14:paraId="69CCA4AE" w14:textId="77777777" w:rsidR="00A054E3" w:rsidRPr="00770F9D" w:rsidRDefault="00A054E3" w:rsidP="006912D6">
      <w:pPr>
        <w:ind w:firstLine="284"/>
        <w:jc w:val="center"/>
        <w:rPr>
          <w:rFonts w:ascii="Garamond" w:hAnsi="Garamond" w:cstheme="majorBidi"/>
          <w:color w:val="0D0D0D" w:themeColor="text1" w:themeTint="F2"/>
        </w:rPr>
      </w:pPr>
    </w:p>
    <w:p w14:paraId="7B271D2D" w14:textId="58D12030" w:rsidR="006912D6" w:rsidRPr="00770F9D" w:rsidRDefault="006912D6" w:rsidP="006912D6">
      <w:pPr>
        <w:ind w:firstLine="284"/>
        <w:jc w:val="center"/>
        <w:rPr>
          <w:rFonts w:ascii="Garamond" w:hAnsi="Garamond" w:cstheme="majorBidi"/>
          <w:color w:val="0D0D0D" w:themeColor="text1" w:themeTint="F2"/>
        </w:rPr>
      </w:pPr>
      <w:r w:rsidRPr="00770F9D">
        <w:rPr>
          <w:rFonts w:ascii="Garamond" w:hAnsi="Garamond" w:cstheme="majorBidi"/>
          <w:color w:val="0D0D0D" w:themeColor="text1" w:themeTint="F2"/>
        </w:rPr>
        <w:t>PARIMET DHE RREGULLAT FISKALE</w:t>
      </w:r>
    </w:p>
    <w:p w14:paraId="10E0A92B" w14:textId="34C15A12" w:rsidR="006912D6" w:rsidRPr="00770F9D" w:rsidRDefault="006912D6" w:rsidP="006912D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Në përputhje të plotë me obligimet që rrjedhin prej ligjit organik të buxhetit (LOB) nr. 9936/2008, të ndryshuar, KMF </w:t>
      </w:r>
      <w:r w:rsidR="003F4C96" w:rsidRPr="00770F9D">
        <w:rPr>
          <w:rFonts w:ascii="Garamond" w:hAnsi="Garamond" w:cstheme="majorBidi"/>
          <w:color w:val="0D0D0D" w:themeColor="text1" w:themeTint="F2"/>
        </w:rPr>
        <w:t>2023–2025</w:t>
      </w:r>
      <w:r w:rsidRPr="00770F9D">
        <w:rPr>
          <w:rFonts w:ascii="Garamond" w:hAnsi="Garamond" w:cstheme="majorBidi"/>
          <w:color w:val="0D0D0D" w:themeColor="text1" w:themeTint="F2"/>
        </w:rPr>
        <w:t xml:space="preserve"> materializon parimet dhe rregullat fiskale të mëposhtme:</w:t>
      </w:r>
    </w:p>
    <w:p w14:paraId="7CF48F84" w14:textId="4692E14C" w:rsidR="006912D6" w:rsidRPr="00770F9D" w:rsidRDefault="006912D6" w:rsidP="00151315">
      <w:pPr>
        <w:ind w:firstLine="284"/>
        <w:jc w:val="both"/>
        <w:rPr>
          <w:rFonts w:ascii="Garamond" w:hAnsi="Garamond" w:cstheme="majorBidi"/>
          <w:i/>
          <w:iCs/>
          <w:color w:val="0D0D0D" w:themeColor="text1" w:themeTint="F2"/>
        </w:rPr>
      </w:pPr>
      <w:r w:rsidRPr="00770F9D">
        <w:rPr>
          <w:rFonts w:ascii="Garamond" w:hAnsi="Garamond" w:cstheme="majorBidi"/>
          <w:i/>
          <w:iCs/>
          <w:color w:val="0D0D0D" w:themeColor="text1" w:themeTint="F2"/>
        </w:rPr>
        <w:t xml:space="preserve">1. Në çdo ligj vjetor të buxhetit, fillestar apo të rishikuar, si dhe në planifikimet e buxhetit afatmesëm, raporti i borxhit publik ndaj Produktit të Brendshëm Bruto do të planifikohet më i ulët se niveli i vlerësuar për vitin pararendës, deri atëherë kur niveli i borxhit të arrijë dhe qëndrojë poshtë nivelit 45 </w:t>
      </w:r>
      <w:r w:rsidR="00623F19" w:rsidRPr="00770F9D">
        <w:rPr>
          <w:rFonts w:ascii="Garamond" w:hAnsi="Garamond" w:cstheme="majorBidi"/>
          <w:i/>
          <w:iCs/>
          <w:color w:val="0D0D0D" w:themeColor="text1" w:themeTint="F2"/>
        </w:rPr>
        <w:t>për qind</w:t>
      </w:r>
      <w:r w:rsidRPr="00770F9D">
        <w:rPr>
          <w:rFonts w:ascii="Garamond" w:hAnsi="Garamond" w:cstheme="majorBidi"/>
          <w:i/>
          <w:iCs/>
          <w:color w:val="0D0D0D" w:themeColor="text1" w:themeTint="F2"/>
        </w:rPr>
        <w:t xml:space="preserve"> të Produktit të Brendshëm Bruto</w:t>
      </w:r>
      <w:r w:rsidR="00151315" w:rsidRPr="00770F9D">
        <w:rPr>
          <w:rFonts w:ascii="Garamond" w:hAnsi="Garamond" w:cstheme="majorBidi"/>
          <w:i/>
          <w:iCs/>
          <w:color w:val="0D0D0D" w:themeColor="text1" w:themeTint="F2"/>
        </w:rPr>
        <w:t>.</w:t>
      </w:r>
    </w:p>
    <w:p w14:paraId="30004B4F" w14:textId="1BD30433" w:rsidR="006912D6" w:rsidRPr="00770F9D" w:rsidRDefault="006912D6" w:rsidP="006912D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Në përputhje me këtë dispozitë (rregull fiskal) të LOB, KMF </w:t>
      </w:r>
      <w:r w:rsidR="003F4C96" w:rsidRPr="00770F9D">
        <w:rPr>
          <w:rFonts w:ascii="Garamond" w:hAnsi="Garamond" w:cstheme="majorBidi"/>
          <w:color w:val="0D0D0D" w:themeColor="text1" w:themeTint="F2"/>
        </w:rPr>
        <w:t>2023–2025</w:t>
      </w:r>
      <w:r w:rsidRPr="00770F9D">
        <w:rPr>
          <w:rFonts w:ascii="Garamond" w:hAnsi="Garamond" w:cstheme="majorBidi"/>
          <w:color w:val="0D0D0D" w:themeColor="text1" w:themeTint="F2"/>
        </w:rPr>
        <w:t xml:space="preserve"> </w:t>
      </w:r>
      <w:r w:rsidRPr="00770F9D">
        <w:rPr>
          <w:rFonts w:ascii="Garamond" w:hAnsi="Garamond" w:cstheme="majorBidi"/>
          <w:b/>
          <w:bCs/>
          <w:i/>
          <w:iCs/>
          <w:color w:val="0D0D0D" w:themeColor="text1" w:themeTint="F2"/>
        </w:rPr>
        <w:t xml:space="preserve">targeton çdo vit një nivel të borxhit publik total në </w:t>
      </w:r>
      <w:r w:rsidR="007A2FF2" w:rsidRPr="00770F9D">
        <w:rPr>
          <w:rFonts w:ascii="Garamond" w:hAnsi="Garamond" w:cstheme="majorBidi"/>
          <w:b/>
          <w:bCs/>
          <w:i/>
          <w:iCs/>
          <w:color w:val="0D0D0D" w:themeColor="text1" w:themeTint="F2"/>
        </w:rPr>
        <w:t xml:space="preserve">përqindje </w:t>
      </w:r>
      <w:r w:rsidRPr="00770F9D">
        <w:rPr>
          <w:rFonts w:ascii="Garamond" w:hAnsi="Garamond" w:cstheme="majorBidi"/>
          <w:b/>
          <w:bCs/>
          <w:i/>
          <w:iCs/>
          <w:color w:val="0D0D0D" w:themeColor="text1" w:themeTint="F2"/>
        </w:rPr>
        <w:t>të PBB më të ulët se sa niveli i</w:t>
      </w:r>
      <w:r w:rsidR="00263132" w:rsidRPr="00770F9D">
        <w:rPr>
          <w:rFonts w:ascii="Garamond" w:hAnsi="Garamond" w:cstheme="majorBidi"/>
          <w:b/>
          <w:bCs/>
          <w:i/>
          <w:iCs/>
          <w:color w:val="0D0D0D" w:themeColor="text1" w:themeTint="F2"/>
        </w:rPr>
        <w:t xml:space="preserve"> </w:t>
      </w:r>
      <w:r w:rsidRPr="00770F9D">
        <w:rPr>
          <w:rFonts w:ascii="Garamond" w:hAnsi="Garamond" w:cstheme="majorBidi"/>
          <w:b/>
          <w:bCs/>
          <w:i/>
          <w:iCs/>
          <w:color w:val="0D0D0D" w:themeColor="text1" w:themeTint="F2"/>
        </w:rPr>
        <w:t>vitit pararendës.</w:t>
      </w:r>
    </w:p>
    <w:p w14:paraId="781B8697" w14:textId="5DA9E127" w:rsidR="006912D6" w:rsidRPr="00770F9D" w:rsidRDefault="006912D6" w:rsidP="006912D6">
      <w:pPr>
        <w:ind w:firstLine="284"/>
        <w:jc w:val="both"/>
        <w:rPr>
          <w:rFonts w:ascii="Garamond" w:hAnsi="Garamond" w:cstheme="majorBidi"/>
          <w:i/>
          <w:iCs/>
          <w:color w:val="0D0D0D" w:themeColor="text1" w:themeTint="F2"/>
        </w:rPr>
      </w:pPr>
      <w:r w:rsidRPr="00770F9D">
        <w:rPr>
          <w:rFonts w:ascii="Garamond" w:hAnsi="Garamond" w:cstheme="majorBidi"/>
          <w:i/>
          <w:iCs/>
          <w:color w:val="0D0D0D" w:themeColor="text1" w:themeTint="F2"/>
        </w:rPr>
        <w:t xml:space="preserve">2. Vlera e Produktit të Brendshëm Bruto, nominale në lekë, e cila do të përdoret për llogaritjen e raportit të borxhit publik ndaj Produktit të Brendshëm Bruto për vitet buxhetore që planifikohen dhe për vitin pararendës, nuk mund të jetë më e lartë se vlera respektive e parashikuar ose </w:t>
      </w:r>
      <w:r w:rsidR="009E11C8" w:rsidRPr="00770F9D">
        <w:rPr>
          <w:rFonts w:ascii="Garamond" w:hAnsi="Garamond" w:cstheme="majorBidi"/>
          <w:i/>
          <w:iCs/>
          <w:color w:val="0D0D0D" w:themeColor="text1" w:themeTint="F2"/>
        </w:rPr>
        <w:t xml:space="preserve">e </w:t>
      </w:r>
      <w:r w:rsidRPr="00770F9D">
        <w:rPr>
          <w:rFonts w:ascii="Garamond" w:hAnsi="Garamond" w:cstheme="majorBidi"/>
          <w:i/>
          <w:iCs/>
          <w:color w:val="0D0D0D" w:themeColor="text1" w:themeTint="F2"/>
        </w:rPr>
        <w:t xml:space="preserve">vlerësuar në raportin “Perspektiva ekonomike botërore” (World Economic Outlook), të Fondit Monetar Ndërkombëtar, më i fundit i publikuar në kohën kur ligji vjetor i buxhetit dorëzohet për miratim në Kuvend. Kjo dokumentohet qartësisht në relacionin shoqërues të ligjit vjetor të buxhetit; </w:t>
      </w:r>
    </w:p>
    <w:p w14:paraId="5720CA45" w14:textId="123A7FFA" w:rsidR="006912D6" w:rsidRPr="00770F9D" w:rsidRDefault="00A054E3" w:rsidP="006912D6">
      <w:pPr>
        <w:ind w:firstLine="284"/>
        <w:jc w:val="both"/>
        <w:rPr>
          <w:rFonts w:ascii="Garamond" w:hAnsi="Garamond" w:cstheme="majorBidi"/>
          <w:b/>
          <w:bCs/>
          <w:i/>
          <w:iCs/>
          <w:color w:val="0D0D0D" w:themeColor="text1" w:themeTint="F2"/>
        </w:rPr>
      </w:pPr>
      <w:r w:rsidRPr="00770F9D">
        <w:rPr>
          <w:noProof/>
          <w:lang w:eastAsia="sq-AL"/>
        </w:rPr>
        <w:drawing>
          <wp:anchor distT="0" distB="0" distL="114300" distR="114300" simplePos="0" relativeHeight="251658253" behindDoc="0" locked="0" layoutInCell="1" allowOverlap="1" wp14:anchorId="7607A026" wp14:editId="5A335815">
            <wp:simplePos x="0" y="0"/>
            <wp:positionH relativeFrom="column">
              <wp:posOffset>-125730</wp:posOffset>
            </wp:positionH>
            <wp:positionV relativeFrom="paragraph">
              <wp:posOffset>788670</wp:posOffset>
            </wp:positionV>
            <wp:extent cx="5930900" cy="1374140"/>
            <wp:effectExtent l="0" t="0" r="0" b="0"/>
            <wp:wrapTopAndBottom/>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30900" cy="1374140"/>
                    </a:xfrm>
                    <a:prstGeom prst="rect">
                      <a:avLst/>
                    </a:prstGeom>
                    <a:noFill/>
                    <a:ln>
                      <a:noFill/>
                    </a:ln>
                  </pic:spPr>
                </pic:pic>
              </a:graphicData>
            </a:graphic>
            <wp14:sizeRelH relativeFrom="page">
              <wp14:pctWidth>0</wp14:pctWidth>
            </wp14:sizeRelH>
            <wp14:sizeRelV relativeFrom="page">
              <wp14:pctHeight>0</wp14:pctHeight>
            </wp14:sizeRelV>
          </wp:anchor>
        </w:drawing>
      </w:r>
      <w:r w:rsidR="006912D6" w:rsidRPr="00770F9D">
        <w:rPr>
          <w:rFonts w:ascii="Garamond" w:hAnsi="Garamond" w:cstheme="majorBidi"/>
          <w:color w:val="0D0D0D" w:themeColor="text1" w:themeTint="F2"/>
        </w:rPr>
        <w:t>Në përputhje me këtë dispozitë (rregull fiskal)</w:t>
      </w:r>
      <w:r w:rsidR="00263132" w:rsidRPr="00770F9D">
        <w:rPr>
          <w:rFonts w:ascii="Garamond" w:hAnsi="Garamond" w:cstheme="majorBidi"/>
          <w:color w:val="0D0D0D" w:themeColor="text1" w:themeTint="F2"/>
        </w:rPr>
        <w:t xml:space="preserve"> </w:t>
      </w:r>
      <w:r w:rsidR="006912D6" w:rsidRPr="00770F9D">
        <w:rPr>
          <w:rFonts w:ascii="Garamond" w:hAnsi="Garamond" w:cstheme="majorBidi"/>
          <w:color w:val="0D0D0D" w:themeColor="text1" w:themeTint="F2"/>
        </w:rPr>
        <w:t xml:space="preserve">të LOB, KMF </w:t>
      </w:r>
      <w:r w:rsidR="003F4C96" w:rsidRPr="00770F9D">
        <w:rPr>
          <w:rFonts w:ascii="Garamond" w:hAnsi="Garamond" w:cstheme="majorBidi"/>
          <w:color w:val="0D0D0D" w:themeColor="text1" w:themeTint="F2"/>
        </w:rPr>
        <w:t>2023–2025</w:t>
      </w:r>
      <w:r w:rsidR="006912D6" w:rsidRPr="00770F9D">
        <w:rPr>
          <w:rFonts w:ascii="Garamond" w:hAnsi="Garamond" w:cstheme="majorBidi"/>
          <w:color w:val="0D0D0D" w:themeColor="text1" w:themeTint="F2"/>
        </w:rPr>
        <w:t xml:space="preserve"> </w:t>
      </w:r>
      <w:r w:rsidR="006912D6" w:rsidRPr="00770F9D">
        <w:rPr>
          <w:rFonts w:ascii="Garamond" w:hAnsi="Garamond" w:cstheme="majorBidi"/>
          <w:b/>
          <w:bCs/>
          <w:i/>
          <w:iCs/>
          <w:color w:val="0D0D0D" w:themeColor="text1" w:themeTint="F2"/>
        </w:rPr>
        <w:t>bazohet në projeksionet e mëposhtme të PBB nominale, të cilat paraqiten në mënyrë krahasimore kundrejt projeksioneve të FMN</w:t>
      </w:r>
      <w:r w:rsidR="009E11C8" w:rsidRPr="00770F9D">
        <w:rPr>
          <w:rFonts w:ascii="Garamond" w:hAnsi="Garamond" w:cstheme="majorBidi"/>
          <w:b/>
          <w:bCs/>
          <w:i/>
          <w:iCs/>
          <w:color w:val="0D0D0D" w:themeColor="text1" w:themeTint="F2"/>
        </w:rPr>
        <w:t>-së`</w:t>
      </w:r>
      <w:r w:rsidR="006912D6" w:rsidRPr="00770F9D">
        <w:rPr>
          <w:rFonts w:ascii="Garamond" w:hAnsi="Garamond" w:cstheme="majorBidi"/>
          <w:b/>
          <w:bCs/>
          <w:i/>
          <w:iCs/>
          <w:color w:val="0D0D0D" w:themeColor="text1" w:themeTint="F2"/>
        </w:rPr>
        <w:t xml:space="preserve"> të raportit “Perspektiva Ekonomike Botërore” (World Economic Outlook)</w:t>
      </w:r>
      <w:r w:rsidR="00C07742" w:rsidRPr="00770F9D">
        <w:rPr>
          <w:rStyle w:val="FootnoteReference"/>
          <w:rFonts w:ascii="Garamond" w:hAnsi="Garamond" w:cstheme="majorBidi"/>
          <w:b/>
          <w:bCs/>
          <w:i/>
          <w:iCs/>
          <w:color w:val="0D0D0D" w:themeColor="text1" w:themeTint="F2"/>
        </w:rPr>
        <w:footnoteReference w:id="11"/>
      </w:r>
      <w:r w:rsidR="006912D6" w:rsidRPr="00770F9D">
        <w:rPr>
          <w:rFonts w:ascii="Garamond" w:hAnsi="Garamond" w:cstheme="majorBidi"/>
          <w:b/>
          <w:bCs/>
          <w:i/>
          <w:iCs/>
          <w:color w:val="0D0D0D" w:themeColor="text1" w:themeTint="F2"/>
        </w:rPr>
        <w:t xml:space="preserve">, të </w:t>
      </w:r>
      <w:r w:rsidR="009E11C8" w:rsidRPr="00770F9D">
        <w:rPr>
          <w:rFonts w:ascii="Garamond" w:hAnsi="Garamond" w:cstheme="majorBidi"/>
          <w:b/>
          <w:bCs/>
          <w:i/>
          <w:iCs/>
          <w:color w:val="0D0D0D" w:themeColor="text1" w:themeTint="F2"/>
        </w:rPr>
        <w:t xml:space="preserve">tetorit </w:t>
      </w:r>
      <w:r w:rsidR="006912D6" w:rsidRPr="00770F9D">
        <w:rPr>
          <w:rFonts w:ascii="Garamond" w:hAnsi="Garamond" w:cstheme="majorBidi"/>
          <w:b/>
          <w:bCs/>
          <w:i/>
          <w:iCs/>
          <w:color w:val="0D0D0D" w:themeColor="text1" w:themeTint="F2"/>
        </w:rPr>
        <w:t xml:space="preserve">2022. </w:t>
      </w:r>
    </w:p>
    <w:p w14:paraId="1FFCACE8" w14:textId="68C2BF87" w:rsidR="006912D6" w:rsidRPr="00770F9D" w:rsidRDefault="006912D6" w:rsidP="006912D6">
      <w:pPr>
        <w:ind w:firstLine="284"/>
        <w:jc w:val="both"/>
        <w:rPr>
          <w:rFonts w:ascii="Garamond" w:hAnsi="Garamond" w:cstheme="majorBidi"/>
          <w:b/>
          <w:bCs/>
          <w:i/>
          <w:iCs/>
          <w:color w:val="0D0D0D" w:themeColor="text1" w:themeTint="F2"/>
        </w:rPr>
      </w:pPr>
    </w:p>
    <w:p w14:paraId="368A107E" w14:textId="09E815F5" w:rsidR="006912D6" w:rsidRPr="00770F9D" w:rsidRDefault="006912D6" w:rsidP="003F46E1">
      <w:pPr>
        <w:ind w:firstLine="284"/>
        <w:jc w:val="both"/>
        <w:rPr>
          <w:rFonts w:ascii="Garamond" w:hAnsi="Garamond" w:cstheme="majorBidi"/>
          <w:i/>
          <w:iCs/>
          <w:color w:val="0D0D0D" w:themeColor="text1" w:themeTint="F2"/>
        </w:rPr>
      </w:pPr>
      <w:r w:rsidRPr="00770F9D">
        <w:rPr>
          <w:rFonts w:ascii="Garamond" w:hAnsi="Garamond" w:cstheme="majorBidi"/>
          <w:i/>
          <w:iCs/>
          <w:color w:val="0D0D0D" w:themeColor="text1" w:themeTint="F2"/>
        </w:rPr>
        <w:t>3. Në çdo vit buxhetor të planifikuar duhet të përfshihet një kontingjencë e veçantë, prej jo më pak se 0.7 për qind e shpenzimeve totale të buxhetit, për të kompensuar rreziqe potenciale nga luhatjet në kurset e këmbimit ose normat e interesit, me ndikim në nivelin e borxhit.</w:t>
      </w:r>
    </w:p>
    <w:p w14:paraId="5A5F0652" w14:textId="4814A7B2" w:rsidR="006912D6" w:rsidRPr="00770F9D" w:rsidRDefault="006912D6"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Në përputhje me këtë dispozitë (rregull fiskal)</w:t>
      </w:r>
      <w:r w:rsidR="00263132"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 xml:space="preserve">të LOB, </w:t>
      </w:r>
      <w:r w:rsidR="008B33D1" w:rsidRPr="00770F9D">
        <w:rPr>
          <w:rFonts w:ascii="Garamond" w:hAnsi="Garamond" w:cstheme="majorBidi"/>
          <w:color w:val="0D0D0D" w:themeColor="text1" w:themeTint="F2"/>
        </w:rPr>
        <w:t xml:space="preserve">kuadri </w:t>
      </w:r>
      <w:r w:rsidR="003F4C96" w:rsidRPr="00770F9D">
        <w:rPr>
          <w:rFonts w:ascii="Garamond" w:hAnsi="Garamond" w:cstheme="majorBidi"/>
          <w:color w:val="0D0D0D" w:themeColor="text1" w:themeTint="F2"/>
        </w:rPr>
        <w:t>2023–2025</w:t>
      </w:r>
      <w:r w:rsidRPr="00770F9D">
        <w:rPr>
          <w:rFonts w:ascii="Garamond" w:hAnsi="Garamond" w:cstheme="majorBidi"/>
          <w:color w:val="0D0D0D" w:themeColor="text1" w:themeTint="F2"/>
        </w:rPr>
        <w:t xml:space="preserve"> përfshin për çdo vit në një zë të veçantë të tij, emërtuar </w:t>
      </w:r>
      <w:r w:rsidRPr="00770F9D">
        <w:rPr>
          <w:rFonts w:ascii="Garamond" w:hAnsi="Garamond" w:cstheme="majorBidi"/>
          <w:i/>
          <w:iCs/>
          <w:color w:val="0D0D0D" w:themeColor="text1" w:themeTint="F2"/>
        </w:rPr>
        <w:t>“Kontigjencë për luhatjet e normave të interesit</w:t>
      </w:r>
      <w:r w:rsidR="003469F3" w:rsidRPr="00770F9D">
        <w:rPr>
          <w:rFonts w:ascii="Garamond" w:hAnsi="Garamond" w:cstheme="majorBidi"/>
          <w:i/>
          <w:iCs/>
          <w:color w:val="0D0D0D" w:themeColor="text1" w:themeTint="F2"/>
        </w:rPr>
        <w:t xml:space="preserve"> etj</w:t>
      </w:r>
      <w:r w:rsidRPr="00770F9D">
        <w:rPr>
          <w:rFonts w:ascii="Garamond" w:hAnsi="Garamond" w:cstheme="majorBidi"/>
          <w:i/>
          <w:iCs/>
          <w:color w:val="0D0D0D" w:themeColor="text1" w:themeTint="F2"/>
        </w:rPr>
        <w:t xml:space="preserve">.” </w:t>
      </w:r>
      <w:r w:rsidRPr="00770F9D">
        <w:rPr>
          <w:rFonts w:ascii="Garamond" w:hAnsi="Garamond" w:cstheme="majorBidi"/>
          <w:b/>
          <w:bCs/>
          <w:i/>
          <w:iCs/>
          <w:color w:val="0D0D0D" w:themeColor="text1" w:themeTint="F2"/>
        </w:rPr>
        <w:t xml:space="preserve">një kontigjencë prej jo më pak se 0.7 </w:t>
      </w:r>
      <w:r w:rsidR="00623F19" w:rsidRPr="00770F9D">
        <w:rPr>
          <w:rFonts w:ascii="Garamond" w:hAnsi="Garamond" w:cstheme="majorBidi"/>
          <w:b/>
          <w:bCs/>
          <w:i/>
          <w:iCs/>
          <w:color w:val="0D0D0D" w:themeColor="text1" w:themeTint="F2"/>
        </w:rPr>
        <w:t>për qind</w:t>
      </w:r>
      <w:r w:rsidRPr="00770F9D">
        <w:rPr>
          <w:rFonts w:ascii="Garamond" w:hAnsi="Garamond" w:cstheme="majorBidi"/>
          <w:b/>
          <w:bCs/>
          <w:i/>
          <w:iCs/>
          <w:color w:val="0D0D0D" w:themeColor="text1" w:themeTint="F2"/>
        </w:rPr>
        <w:t xml:space="preserve"> e shpenzimeve totale</w:t>
      </w:r>
      <w:r w:rsidRPr="00770F9D">
        <w:rPr>
          <w:rFonts w:ascii="Garamond" w:hAnsi="Garamond" w:cstheme="majorBidi"/>
          <w:color w:val="0D0D0D" w:themeColor="text1" w:themeTint="F2"/>
        </w:rPr>
        <w:t xml:space="preserve">. </w:t>
      </w:r>
    </w:p>
    <w:p w14:paraId="453D36C1" w14:textId="24A83E02" w:rsidR="006912D6" w:rsidRPr="00770F9D" w:rsidRDefault="006912D6" w:rsidP="003F46E1">
      <w:pPr>
        <w:ind w:firstLine="284"/>
        <w:jc w:val="both"/>
        <w:rPr>
          <w:rFonts w:ascii="Garamond" w:hAnsi="Garamond" w:cstheme="majorBidi"/>
          <w:i/>
          <w:iCs/>
          <w:color w:val="0D0D0D" w:themeColor="text1" w:themeTint="F2"/>
        </w:rPr>
      </w:pPr>
      <w:r w:rsidRPr="00770F9D">
        <w:rPr>
          <w:rFonts w:ascii="Garamond" w:hAnsi="Garamond" w:cstheme="majorBidi"/>
          <w:i/>
          <w:iCs/>
          <w:color w:val="0D0D0D" w:themeColor="text1" w:themeTint="F2"/>
        </w:rPr>
        <w:t xml:space="preserve">4. Të ardhurat nga privatizimi nuk janë pjesë e procesit të programimit buxhetor. Në rastet e arkëtimit ato përdoren, jo më pak se 50 </w:t>
      </w:r>
      <w:r w:rsidR="00623F19" w:rsidRPr="00770F9D">
        <w:rPr>
          <w:rFonts w:ascii="Garamond" w:hAnsi="Garamond" w:cstheme="majorBidi"/>
          <w:i/>
          <w:iCs/>
          <w:color w:val="0D0D0D" w:themeColor="text1" w:themeTint="F2"/>
        </w:rPr>
        <w:t>për qind</w:t>
      </w:r>
      <w:r w:rsidRPr="00770F9D">
        <w:rPr>
          <w:rFonts w:ascii="Garamond" w:hAnsi="Garamond" w:cstheme="majorBidi"/>
          <w:i/>
          <w:iCs/>
          <w:color w:val="0D0D0D" w:themeColor="text1" w:themeTint="F2"/>
        </w:rPr>
        <w:t xml:space="preserve">, për uljen e borxhit publik dhe pjesa tjetër për investime publike. Pas arritjes së nivelit të borxhit publik, sipas përcaktimeve të shkronjës “a”, të pikës 1, të nenit 4/1 të </w:t>
      </w:r>
      <w:r w:rsidR="00346D67" w:rsidRPr="00770F9D">
        <w:rPr>
          <w:rFonts w:ascii="Garamond" w:hAnsi="Garamond" w:cstheme="majorBidi"/>
          <w:i/>
          <w:iCs/>
          <w:color w:val="0D0D0D" w:themeColor="text1" w:themeTint="F2"/>
        </w:rPr>
        <w:t xml:space="preserve">ligjit organik </w:t>
      </w:r>
      <w:r w:rsidRPr="00770F9D">
        <w:rPr>
          <w:rFonts w:ascii="Garamond" w:hAnsi="Garamond" w:cstheme="majorBidi"/>
          <w:i/>
          <w:iCs/>
          <w:color w:val="0D0D0D" w:themeColor="text1" w:themeTint="F2"/>
        </w:rPr>
        <w:t xml:space="preserve">të </w:t>
      </w:r>
      <w:r w:rsidR="00346D67" w:rsidRPr="00770F9D">
        <w:rPr>
          <w:rFonts w:ascii="Garamond" w:hAnsi="Garamond" w:cstheme="majorBidi"/>
          <w:i/>
          <w:iCs/>
          <w:color w:val="0D0D0D" w:themeColor="text1" w:themeTint="F2"/>
        </w:rPr>
        <w:t xml:space="preserve">buxhetit </w:t>
      </w:r>
      <w:r w:rsidRPr="00770F9D">
        <w:rPr>
          <w:rFonts w:ascii="Garamond" w:hAnsi="Garamond" w:cstheme="majorBidi"/>
          <w:i/>
          <w:iCs/>
          <w:color w:val="0D0D0D" w:themeColor="text1" w:themeTint="F2"/>
        </w:rPr>
        <w:t>nr</w:t>
      </w:r>
      <w:r w:rsidR="00346D67" w:rsidRPr="00770F9D">
        <w:rPr>
          <w:rFonts w:ascii="Garamond" w:hAnsi="Garamond" w:cstheme="majorBidi"/>
          <w:i/>
          <w:iCs/>
          <w:color w:val="0D0D0D" w:themeColor="text1" w:themeTint="F2"/>
        </w:rPr>
        <w:t>.</w:t>
      </w:r>
      <w:r w:rsidRPr="00770F9D">
        <w:rPr>
          <w:rFonts w:ascii="Garamond" w:hAnsi="Garamond" w:cstheme="majorBidi"/>
          <w:i/>
          <w:iCs/>
          <w:color w:val="0D0D0D" w:themeColor="text1" w:themeTint="F2"/>
        </w:rPr>
        <w:t xml:space="preserve"> 57/2016, përdorimi i të ardhurave të arkëtuara nga privatizimet përcaktohet në ligjin vjetor të buxhetit.</w:t>
      </w:r>
    </w:p>
    <w:p w14:paraId="0491F8EE" w14:textId="44F57922" w:rsidR="006912D6" w:rsidRPr="00770F9D" w:rsidRDefault="006912D6"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Në përputhje me këtë dispozitë (rregull fiskal) të LOB, Kuadri </w:t>
      </w:r>
      <w:r w:rsidR="003F4C96" w:rsidRPr="00770F9D">
        <w:rPr>
          <w:rFonts w:ascii="Garamond" w:hAnsi="Garamond" w:cstheme="majorBidi"/>
          <w:color w:val="0D0D0D" w:themeColor="text1" w:themeTint="F2"/>
        </w:rPr>
        <w:t>2023–2025</w:t>
      </w:r>
      <w:r w:rsidRPr="00770F9D">
        <w:rPr>
          <w:rFonts w:ascii="Garamond" w:hAnsi="Garamond" w:cstheme="majorBidi"/>
          <w:b/>
          <w:bCs/>
          <w:i/>
          <w:iCs/>
          <w:color w:val="0D0D0D" w:themeColor="text1" w:themeTint="F2"/>
        </w:rPr>
        <w:t xml:space="preserve"> nuk përfshin të hyra nga privatizimet e mundshme</w:t>
      </w:r>
      <w:r w:rsidRPr="00770F9D">
        <w:rPr>
          <w:rFonts w:ascii="Garamond" w:hAnsi="Garamond" w:cstheme="majorBidi"/>
          <w:color w:val="0D0D0D" w:themeColor="text1" w:themeTint="F2"/>
        </w:rPr>
        <w:t>.</w:t>
      </w:r>
    </w:p>
    <w:p w14:paraId="0A58BFFA" w14:textId="6A409ABC" w:rsidR="006912D6" w:rsidRPr="00770F9D" w:rsidRDefault="006912D6" w:rsidP="003F46E1">
      <w:pPr>
        <w:ind w:firstLine="284"/>
        <w:jc w:val="both"/>
        <w:rPr>
          <w:rFonts w:ascii="Garamond" w:hAnsi="Garamond" w:cstheme="majorBidi"/>
          <w:i/>
          <w:iCs/>
          <w:color w:val="0D0D0D" w:themeColor="text1" w:themeTint="F2"/>
        </w:rPr>
      </w:pPr>
      <w:r w:rsidRPr="00770F9D">
        <w:rPr>
          <w:rFonts w:ascii="Garamond" w:hAnsi="Garamond" w:cstheme="majorBidi"/>
          <w:i/>
          <w:iCs/>
          <w:color w:val="0D0D0D" w:themeColor="text1" w:themeTint="F2"/>
        </w:rPr>
        <w:t>5. Masa e deficitit buxhetor nuk mund të tejkalojë masën e shpenzimeve kapitale të parashikuara çdo vit në ligjin e buxhetit.</w:t>
      </w:r>
    </w:p>
    <w:p w14:paraId="164F567D" w14:textId="1E0A3CE7" w:rsidR="006912D6" w:rsidRPr="00770F9D" w:rsidRDefault="006912D6" w:rsidP="000405A7">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Në përputhje me këtë dispozitë (rregull fiskal – “rregull</w:t>
      </w:r>
      <w:r w:rsidR="000405A7" w:rsidRPr="00770F9D">
        <w:rPr>
          <w:rFonts w:ascii="Garamond" w:hAnsi="Garamond" w:cstheme="majorBidi"/>
          <w:color w:val="0D0D0D" w:themeColor="text1" w:themeTint="F2"/>
        </w:rPr>
        <w:t>a</w:t>
      </w:r>
      <w:r w:rsidRPr="00770F9D">
        <w:rPr>
          <w:rFonts w:ascii="Garamond" w:hAnsi="Garamond" w:cstheme="majorBidi"/>
          <w:color w:val="0D0D0D" w:themeColor="text1" w:themeTint="F2"/>
        </w:rPr>
        <w:t xml:space="preserve"> </w:t>
      </w:r>
      <w:r w:rsidR="000405A7" w:rsidRPr="00770F9D">
        <w:rPr>
          <w:rFonts w:ascii="Garamond" w:hAnsi="Garamond" w:cstheme="majorBidi"/>
          <w:color w:val="0D0D0D" w:themeColor="text1" w:themeTint="F2"/>
        </w:rPr>
        <w:t>e</w:t>
      </w:r>
      <w:r w:rsidRPr="00770F9D">
        <w:rPr>
          <w:rFonts w:ascii="Garamond" w:hAnsi="Garamond" w:cstheme="majorBidi"/>
          <w:color w:val="0D0D0D" w:themeColor="text1" w:themeTint="F2"/>
        </w:rPr>
        <w:t xml:space="preserve"> artë”) të LOB</w:t>
      </w:r>
      <w:r w:rsidR="00AA561F" w:rsidRPr="00770F9D">
        <w:rPr>
          <w:rFonts w:ascii="Garamond" w:hAnsi="Garamond" w:cstheme="majorBidi"/>
          <w:color w:val="0D0D0D" w:themeColor="text1" w:themeTint="F2"/>
        </w:rPr>
        <w:t>-së</w:t>
      </w:r>
      <w:r w:rsidRPr="00770F9D">
        <w:rPr>
          <w:rFonts w:ascii="Garamond" w:hAnsi="Garamond" w:cstheme="majorBidi"/>
          <w:color w:val="0D0D0D" w:themeColor="text1" w:themeTint="F2"/>
        </w:rPr>
        <w:t xml:space="preserve">, deficiti i targetuar në </w:t>
      </w:r>
      <w:r w:rsidR="00AA561F" w:rsidRPr="00770F9D">
        <w:rPr>
          <w:rFonts w:ascii="Garamond" w:hAnsi="Garamond" w:cstheme="majorBidi"/>
          <w:color w:val="0D0D0D" w:themeColor="text1" w:themeTint="F2"/>
        </w:rPr>
        <w:t xml:space="preserve">kuadrin </w:t>
      </w:r>
      <w:r w:rsidR="003F4C96" w:rsidRPr="00770F9D">
        <w:rPr>
          <w:rFonts w:ascii="Garamond" w:hAnsi="Garamond" w:cstheme="majorBidi"/>
          <w:color w:val="0D0D0D" w:themeColor="text1" w:themeTint="F2"/>
        </w:rPr>
        <w:t>2023–2025</w:t>
      </w:r>
      <w:r w:rsidRPr="00770F9D">
        <w:rPr>
          <w:rFonts w:ascii="Garamond" w:hAnsi="Garamond" w:cstheme="majorBidi"/>
          <w:color w:val="0D0D0D" w:themeColor="text1" w:themeTint="F2"/>
        </w:rPr>
        <w:t xml:space="preserve"> </w:t>
      </w:r>
      <w:r w:rsidRPr="00770F9D">
        <w:rPr>
          <w:rFonts w:ascii="Garamond" w:hAnsi="Garamond" w:cstheme="majorBidi"/>
          <w:b/>
          <w:bCs/>
          <w:i/>
          <w:iCs/>
          <w:color w:val="0D0D0D" w:themeColor="text1" w:themeTint="F2"/>
        </w:rPr>
        <w:t xml:space="preserve">është çdo vit më i ulët se sa shpenzimet kapitale të planifikuara. </w:t>
      </w:r>
      <w:r w:rsidRPr="00770F9D">
        <w:rPr>
          <w:rFonts w:ascii="Garamond" w:hAnsi="Garamond" w:cstheme="majorBidi"/>
          <w:color w:val="0D0D0D" w:themeColor="text1" w:themeTint="F2"/>
        </w:rPr>
        <w:t xml:space="preserve">Rrjedhimisht, balanca korrente e targetuar është pozitive prej mesatarisht 3.0 </w:t>
      </w:r>
      <w:r w:rsidR="00623F19" w:rsidRPr="00770F9D">
        <w:rPr>
          <w:rFonts w:ascii="Garamond" w:hAnsi="Garamond" w:cstheme="majorBidi"/>
          <w:color w:val="0D0D0D" w:themeColor="text1" w:themeTint="F2"/>
        </w:rPr>
        <w:t>për qind</w:t>
      </w:r>
      <w:r w:rsidRPr="00770F9D">
        <w:rPr>
          <w:rFonts w:ascii="Garamond" w:hAnsi="Garamond" w:cstheme="majorBidi"/>
          <w:color w:val="0D0D0D" w:themeColor="text1" w:themeTint="F2"/>
        </w:rPr>
        <w:t xml:space="preserve"> të PBB në çdo vit të programuar.</w:t>
      </w:r>
    </w:p>
    <w:p w14:paraId="61FE0364" w14:textId="6B5DE6C4" w:rsidR="006912D6" w:rsidRPr="00770F9D" w:rsidRDefault="006912D6" w:rsidP="003F46E1">
      <w:pPr>
        <w:ind w:firstLine="284"/>
        <w:jc w:val="both"/>
        <w:rPr>
          <w:rFonts w:ascii="Garamond" w:hAnsi="Garamond" w:cstheme="majorBidi"/>
          <w:color w:val="0D0D0D" w:themeColor="text1" w:themeTint="F2"/>
        </w:rPr>
      </w:pPr>
      <w:r w:rsidRPr="00770F9D">
        <w:rPr>
          <w:rFonts w:ascii="Garamond" w:hAnsi="Garamond" w:cstheme="majorBidi"/>
          <w:i/>
          <w:iCs/>
          <w:color w:val="0D0D0D" w:themeColor="text1" w:themeTint="F2"/>
        </w:rPr>
        <w:t>6.</w:t>
      </w:r>
      <w:r w:rsidR="00263132" w:rsidRPr="00770F9D">
        <w:rPr>
          <w:rFonts w:ascii="Garamond" w:hAnsi="Garamond" w:cstheme="majorBidi"/>
          <w:i/>
          <w:iCs/>
          <w:color w:val="0D0D0D" w:themeColor="text1" w:themeTint="F2"/>
        </w:rPr>
        <w:t xml:space="preserve"> </w:t>
      </w:r>
      <w:r w:rsidRPr="00770F9D">
        <w:rPr>
          <w:rFonts w:ascii="Garamond" w:hAnsi="Garamond" w:cstheme="majorBidi"/>
          <w:i/>
          <w:iCs/>
          <w:color w:val="0D0D0D" w:themeColor="text1" w:themeTint="F2"/>
        </w:rPr>
        <w:t>Në çdo vit buxhetor që prej vitit 2024 e në vijim, balanca primare faktike nuk mund të rezultojë negative, pra duhet të jetë të paktën e balancuar ose pozitive (suficit primar).</w:t>
      </w:r>
    </w:p>
    <w:p w14:paraId="4FDFAB26" w14:textId="04B7C9A9" w:rsidR="006912D6" w:rsidRPr="00770F9D" w:rsidRDefault="006912D6"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Në përputhje me këtë dispozitë, </w:t>
      </w:r>
      <w:r w:rsidR="00243BC0" w:rsidRPr="00770F9D">
        <w:rPr>
          <w:rFonts w:ascii="Garamond" w:hAnsi="Garamond" w:cstheme="majorBidi"/>
          <w:color w:val="0D0D0D" w:themeColor="text1" w:themeTint="F2"/>
        </w:rPr>
        <w:t xml:space="preserve">kuadri </w:t>
      </w:r>
      <w:r w:rsidR="003F4C96" w:rsidRPr="00770F9D">
        <w:rPr>
          <w:rFonts w:ascii="Garamond" w:hAnsi="Garamond" w:cstheme="majorBidi"/>
          <w:color w:val="0D0D0D" w:themeColor="text1" w:themeTint="F2"/>
        </w:rPr>
        <w:t>2023–2025</w:t>
      </w:r>
      <w:r w:rsidR="00263132" w:rsidRPr="00770F9D">
        <w:rPr>
          <w:rFonts w:ascii="Garamond" w:hAnsi="Garamond" w:cstheme="majorBidi"/>
          <w:color w:val="0D0D0D" w:themeColor="text1" w:themeTint="F2"/>
        </w:rPr>
        <w:t xml:space="preserve"> </w:t>
      </w:r>
      <w:r w:rsidRPr="00770F9D">
        <w:rPr>
          <w:rFonts w:ascii="Garamond" w:hAnsi="Garamond" w:cstheme="majorBidi"/>
          <w:b/>
          <w:bCs/>
          <w:color w:val="0D0D0D" w:themeColor="text1" w:themeTint="F2"/>
        </w:rPr>
        <w:t xml:space="preserve">targeton një balancë primare pozitive në vitin 2023 me 0.3 </w:t>
      </w:r>
      <w:r w:rsidR="00623F19" w:rsidRPr="00770F9D">
        <w:rPr>
          <w:rFonts w:ascii="Garamond" w:hAnsi="Garamond" w:cstheme="majorBidi"/>
          <w:b/>
          <w:bCs/>
          <w:color w:val="0D0D0D" w:themeColor="text1" w:themeTint="F2"/>
        </w:rPr>
        <w:t>për qind</w:t>
      </w:r>
      <w:r w:rsidRPr="00770F9D">
        <w:rPr>
          <w:rFonts w:ascii="Garamond" w:hAnsi="Garamond" w:cstheme="majorBidi"/>
          <w:b/>
          <w:bCs/>
          <w:color w:val="0D0D0D" w:themeColor="text1" w:themeTint="F2"/>
        </w:rPr>
        <w:t xml:space="preserve">, 0.9 </w:t>
      </w:r>
      <w:r w:rsidR="00623F19" w:rsidRPr="00770F9D">
        <w:rPr>
          <w:rFonts w:ascii="Garamond" w:hAnsi="Garamond" w:cstheme="majorBidi"/>
          <w:b/>
          <w:bCs/>
          <w:color w:val="0D0D0D" w:themeColor="text1" w:themeTint="F2"/>
        </w:rPr>
        <w:t>për qind</w:t>
      </w:r>
      <w:r w:rsidRPr="00770F9D">
        <w:rPr>
          <w:rFonts w:ascii="Garamond" w:hAnsi="Garamond" w:cstheme="majorBidi"/>
          <w:b/>
          <w:bCs/>
          <w:color w:val="0D0D0D" w:themeColor="text1" w:themeTint="F2"/>
        </w:rPr>
        <w:t xml:space="preserve"> në vitin 2024 dhe 1.2 </w:t>
      </w:r>
      <w:r w:rsidR="00623F19" w:rsidRPr="00770F9D">
        <w:rPr>
          <w:rFonts w:ascii="Garamond" w:hAnsi="Garamond" w:cstheme="majorBidi"/>
          <w:b/>
          <w:bCs/>
          <w:color w:val="0D0D0D" w:themeColor="text1" w:themeTint="F2"/>
        </w:rPr>
        <w:t>për qind</w:t>
      </w:r>
      <w:r w:rsidRPr="00770F9D">
        <w:rPr>
          <w:rFonts w:ascii="Garamond" w:hAnsi="Garamond" w:cstheme="majorBidi"/>
          <w:b/>
          <w:bCs/>
          <w:color w:val="0D0D0D" w:themeColor="text1" w:themeTint="F2"/>
        </w:rPr>
        <w:t xml:space="preserve"> në vitin 2025</w:t>
      </w:r>
      <w:r w:rsidRPr="00770F9D">
        <w:rPr>
          <w:rFonts w:ascii="Garamond" w:hAnsi="Garamond" w:cstheme="majorBidi"/>
          <w:color w:val="0D0D0D" w:themeColor="text1" w:themeTint="F2"/>
        </w:rPr>
        <w:t>.</w:t>
      </w:r>
    </w:p>
    <w:p w14:paraId="51F2F5AE" w14:textId="59C25920" w:rsidR="00F468C9" w:rsidRPr="00770F9D" w:rsidRDefault="006912D6" w:rsidP="003F46E1">
      <w:pPr>
        <w:pStyle w:val="Heading2"/>
        <w:snapToGrid w:val="0"/>
        <w:ind w:left="0" w:firstLine="284"/>
        <w:jc w:val="both"/>
        <w:rPr>
          <w:rFonts w:ascii="Garamond" w:hAnsi="Garamond" w:cstheme="majorBidi"/>
          <w:b/>
          <w:color w:val="0D0D0D" w:themeColor="text1" w:themeTint="F2"/>
        </w:rPr>
      </w:pPr>
      <w:bookmarkStart w:id="24" w:name="_Toc484076174"/>
      <w:bookmarkStart w:id="25" w:name="_Toc30661218"/>
      <w:bookmarkStart w:id="26" w:name="_Toc126050946"/>
      <w:r w:rsidRPr="00770F9D">
        <w:rPr>
          <w:rFonts w:ascii="Garamond" w:hAnsi="Garamond" w:cstheme="majorBidi"/>
          <w:b/>
          <w:color w:val="0D0D0D" w:themeColor="text1" w:themeTint="F2"/>
        </w:rPr>
        <w:t>4</w:t>
      </w:r>
      <w:r w:rsidR="00072546" w:rsidRPr="00770F9D">
        <w:rPr>
          <w:rFonts w:ascii="Garamond" w:hAnsi="Garamond" w:cstheme="majorBidi"/>
          <w:b/>
          <w:color w:val="0D0D0D" w:themeColor="text1" w:themeTint="F2"/>
        </w:rPr>
        <w:t xml:space="preserve">.2 </w:t>
      </w:r>
      <w:r w:rsidR="00F468C9" w:rsidRPr="00770F9D">
        <w:rPr>
          <w:rFonts w:ascii="Garamond" w:hAnsi="Garamond" w:cstheme="majorBidi"/>
          <w:b/>
          <w:color w:val="0D0D0D" w:themeColor="text1" w:themeTint="F2"/>
        </w:rPr>
        <w:t>Implementimi i buxhetit për vitin 20</w:t>
      </w:r>
      <w:bookmarkEnd w:id="24"/>
      <w:bookmarkEnd w:id="25"/>
      <w:r w:rsidR="00F468C9" w:rsidRPr="00770F9D">
        <w:rPr>
          <w:rFonts w:ascii="Garamond" w:hAnsi="Garamond" w:cstheme="majorBidi"/>
          <w:b/>
          <w:color w:val="0D0D0D" w:themeColor="text1" w:themeTint="F2"/>
        </w:rPr>
        <w:t>22</w:t>
      </w:r>
      <w:bookmarkEnd w:id="26"/>
    </w:p>
    <w:p w14:paraId="4487F1EA" w14:textId="56194C0A" w:rsidR="00F468C9" w:rsidRPr="00770F9D" w:rsidRDefault="00F468C9" w:rsidP="003F46E1">
      <w:pPr>
        <w:ind w:firstLine="284"/>
        <w:jc w:val="both"/>
        <w:rPr>
          <w:rFonts w:ascii="Garamond" w:eastAsia="Times New Roman" w:hAnsi="Garamond" w:cstheme="majorBidi"/>
          <w:b/>
          <w:color w:val="0D0D0D" w:themeColor="text1" w:themeTint="F2"/>
          <w:kern w:val="36"/>
        </w:rPr>
      </w:pPr>
      <w:r w:rsidRPr="00770F9D">
        <w:rPr>
          <w:rFonts w:ascii="Garamond" w:eastAsia="Times New Roman" w:hAnsi="Garamond" w:cstheme="majorBidi"/>
          <w:b/>
          <w:color w:val="0D0D0D" w:themeColor="text1" w:themeTint="F2"/>
          <w:kern w:val="36"/>
        </w:rPr>
        <w:t xml:space="preserve">Të ardhurat për periudhën </w:t>
      </w:r>
      <w:r w:rsidR="004A70E1" w:rsidRPr="00770F9D">
        <w:rPr>
          <w:rFonts w:ascii="Garamond" w:eastAsia="Times New Roman" w:hAnsi="Garamond" w:cstheme="majorBidi"/>
          <w:b/>
          <w:color w:val="0D0D0D" w:themeColor="text1" w:themeTint="F2"/>
          <w:kern w:val="36"/>
        </w:rPr>
        <w:t xml:space="preserve">janar–nëntor </w:t>
      </w:r>
      <w:r w:rsidRPr="00770F9D">
        <w:rPr>
          <w:rFonts w:ascii="Garamond" w:eastAsia="Times New Roman" w:hAnsi="Garamond" w:cstheme="majorBidi"/>
          <w:b/>
          <w:color w:val="0D0D0D" w:themeColor="text1" w:themeTint="F2"/>
          <w:kern w:val="36"/>
        </w:rPr>
        <w:t>2022</w:t>
      </w:r>
    </w:p>
    <w:p w14:paraId="2E5885EF" w14:textId="0A6CB7C7" w:rsidR="00F468C9" w:rsidRPr="00770F9D" w:rsidRDefault="00F468C9" w:rsidP="009A5C55">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Të ardhurat tatimore totale të mbledhura për periudhën </w:t>
      </w:r>
      <w:r w:rsidR="00E8034C" w:rsidRPr="00770F9D">
        <w:rPr>
          <w:rFonts w:ascii="Garamond" w:hAnsi="Garamond" w:cstheme="majorBidi"/>
          <w:color w:val="0D0D0D" w:themeColor="text1" w:themeTint="F2"/>
        </w:rPr>
        <w:t xml:space="preserve">janar–nëntor </w:t>
      </w:r>
      <w:r w:rsidRPr="00770F9D">
        <w:rPr>
          <w:rFonts w:ascii="Garamond" w:hAnsi="Garamond" w:cstheme="majorBidi"/>
          <w:color w:val="0D0D0D" w:themeColor="text1" w:themeTint="F2"/>
        </w:rPr>
        <w:t>2022 janë 495 miliardë lekë, duke shënuar një rritje prej 15.3% ose 65.7 miliardë lekë</w:t>
      </w:r>
      <w:r w:rsidR="009A5C55" w:rsidRPr="00770F9D">
        <w:rPr>
          <w:rFonts w:ascii="Garamond" w:hAnsi="Garamond" w:cstheme="majorBidi"/>
          <w:color w:val="0D0D0D" w:themeColor="text1" w:themeTint="F2"/>
        </w:rPr>
        <w:t>sh</w:t>
      </w:r>
      <w:r w:rsidRPr="00770F9D">
        <w:rPr>
          <w:rFonts w:ascii="Garamond" w:hAnsi="Garamond" w:cstheme="majorBidi"/>
          <w:color w:val="0D0D0D" w:themeColor="text1" w:themeTint="F2"/>
        </w:rPr>
        <w:t xml:space="preserve"> më shumë se një vit më parë. Të ardhurat nga grantet arritën në 7.5 miliardë lekë ose 85% të planit dhe -1.9 miliardë lekë më pak se e njëjta periudhë e një viti më parë. Të ardhurat e mbledhura nga Drejtoria e Përgjithshme e Doganave (DPD) dhe Drejtoria e Përgjithshme e Tatimeve (DPT), përfshirë kontributet sociale të mbledhura nga DPT për periudhën </w:t>
      </w:r>
      <w:r w:rsidR="009A5C55" w:rsidRPr="00770F9D">
        <w:rPr>
          <w:rFonts w:ascii="Garamond" w:hAnsi="Garamond" w:cstheme="majorBidi"/>
          <w:color w:val="0D0D0D" w:themeColor="text1" w:themeTint="F2"/>
        </w:rPr>
        <w:t xml:space="preserve">janar–nëntor </w:t>
      </w:r>
      <w:r w:rsidRPr="00770F9D">
        <w:rPr>
          <w:rFonts w:ascii="Garamond" w:hAnsi="Garamond" w:cstheme="majorBidi"/>
          <w:color w:val="0D0D0D" w:themeColor="text1" w:themeTint="F2"/>
        </w:rPr>
        <w:t>2022, janë 465.1 miliardë lekë, me një realizim prej 100.9% të planit dhe 16.2% ose 64.8 miliardë lekë më shumë se e njëjta periudhë e vitit të kaluar. Faktorët kryesorë që kanë ndikuar në rritjen e të ardhurave janë: Lufta ndaj informalitetit, niveli i lartë i inflacionit, kursi i këmbimit, rritja e çmimeve të të gjith</w:t>
      </w:r>
      <w:r w:rsidR="009A5C55" w:rsidRPr="00770F9D">
        <w:rPr>
          <w:rFonts w:ascii="Garamond" w:hAnsi="Garamond" w:cstheme="majorBidi"/>
          <w:color w:val="0D0D0D" w:themeColor="text1" w:themeTint="F2"/>
        </w:rPr>
        <w:t>a</w:t>
      </w:r>
      <w:r w:rsidRPr="00770F9D">
        <w:rPr>
          <w:rFonts w:ascii="Garamond" w:hAnsi="Garamond" w:cstheme="majorBidi"/>
          <w:color w:val="0D0D0D" w:themeColor="text1" w:themeTint="F2"/>
        </w:rPr>
        <w:t xml:space="preserve"> produkteve dhe kryesisht të karburantit e energjisë elektrike të cilët kanë një peshë të konsiderueshme në arketimin e të ardhurave si dhe rritja e konsumit të brendshëm. </w:t>
      </w:r>
    </w:p>
    <w:p w14:paraId="1516F932" w14:textId="77777777" w:rsidR="00F468C9" w:rsidRPr="00770F9D" w:rsidRDefault="00F468C9" w:rsidP="003F46E1">
      <w:pPr>
        <w:ind w:firstLine="284"/>
        <w:jc w:val="both"/>
        <w:rPr>
          <w:rFonts w:ascii="Garamond" w:hAnsi="Garamond" w:cstheme="majorBidi"/>
          <w:color w:val="0D0D0D" w:themeColor="text1" w:themeTint="F2"/>
        </w:rPr>
      </w:pPr>
    </w:p>
    <w:p w14:paraId="2D629EB3" w14:textId="07D30711" w:rsidR="00F468C9" w:rsidRPr="00770F9D" w:rsidRDefault="00F468C9" w:rsidP="009A5C55">
      <w:pPr>
        <w:jc w:val="center"/>
        <w:rPr>
          <w:rFonts w:ascii="Garamond" w:hAnsi="Garamond" w:cstheme="majorBidi"/>
          <w:i/>
          <w:iCs/>
          <w:color w:val="0D0D0D" w:themeColor="text1" w:themeTint="F2"/>
          <w:sz w:val="20"/>
          <w:szCs w:val="20"/>
        </w:rPr>
      </w:pPr>
      <w:r w:rsidRPr="00770F9D">
        <w:rPr>
          <w:rFonts w:ascii="Garamond" w:eastAsia="Times New Roman" w:hAnsi="Garamond" w:cstheme="majorBidi"/>
          <w:b/>
          <w:bCs/>
          <w:i/>
          <w:iCs/>
          <w:color w:val="0D0D0D" w:themeColor="text1" w:themeTint="F2"/>
          <w:sz w:val="20"/>
          <w:szCs w:val="20"/>
        </w:rPr>
        <w:t>Tabela 4.2.1:</w:t>
      </w:r>
      <w:r w:rsidRPr="00770F9D">
        <w:rPr>
          <w:rFonts w:ascii="Garamond" w:eastAsia="Times New Roman" w:hAnsi="Garamond" w:cstheme="majorBidi"/>
          <w:i/>
          <w:iCs/>
          <w:color w:val="0D0D0D" w:themeColor="text1" w:themeTint="F2"/>
          <w:sz w:val="20"/>
          <w:szCs w:val="20"/>
        </w:rPr>
        <w:t xml:space="preserve"> </w:t>
      </w:r>
      <w:r w:rsidRPr="00770F9D">
        <w:rPr>
          <w:rFonts w:ascii="Garamond" w:hAnsi="Garamond" w:cstheme="majorBidi"/>
          <w:i/>
          <w:iCs/>
          <w:color w:val="0D0D0D" w:themeColor="text1" w:themeTint="F2"/>
          <w:sz w:val="20"/>
          <w:szCs w:val="20"/>
        </w:rPr>
        <w:t>Të ardhurat totale nga tatimet dhe doganat</w:t>
      </w:r>
    </w:p>
    <w:p w14:paraId="3B6F00F6" w14:textId="17061A83" w:rsidR="00F468C9" w:rsidRPr="000F4E5B" w:rsidRDefault="00F468C9" w:rsidP="009A5C55">
      <w:pPr>
        <w:ind w:firstLine="284"/>
        <w:jc w:val="right"/>
        <w:rPr>
          <w:rFonts w:ascii="Garamond" w:eastAsia="Times New Roman" w:hAnsi="Garamond" w:cstheme="majorBidi"/>
          <w:i/>
          <w:iCs/>
          <w:color w:val="0D0D0D" w:themeColor="text1" w:themeTint="F2"/>
          <w:sz w:val="20"/>
          <w:szCs w:val="20"/>
        </w:rPr>
      </w:pPr>
      <w:r w:rsidRPr="000F4E5B">
        <w:rPr>
          <w:rFonts w:ascii="Garamond" w:eastAsia="Times New Roman" w:hAnsi="Garamond" w:cstheme="majorBidi"/>
          <w:i/>
          <w:iCs/>
          <w:color w:val="0D0D0D" w:themeColor="text1" w:themeTint="F2"/>
          <w:sz w:val="20"/>
          <w:szCs w:val="20"/>
        </w:rPr>
        <w:t>(</w:t>
      </w:r>
      <w:r w:rsidR="000F4E5B" w:rsidRPr="000F4E5B">
        <w:rPr>
          <w:rFonts w:ascii="Garamond" w:hAnsi="Garamond" w:cstheme="majorBidi"/>
          <w:i/>
          <w:iCs/>
          <w:color w:val="0D0D0D" w:themeColor="text1" w:themeTint="F2"/>
          <w:sz w:val="20"/>
          <w:szCs w:val="20"/>
        </w:rPr>
        <w:t>në milion lek</w:t>
      </w:r>
      <w:r w:rsidRPr="000F4E5B">
        <w:rPr>
          <w:rFonts w:ascii="Garamond" w:eastAsia="Times New Roman" w:hAnsi="Garamond" w:cstheme="majorBidi"/>
          <w:i/>
          <w:iCs/>
          <w:color w:val="0D0D0D" w:themeColor="text1" w:themeTint="F2"/>
          <w:sz w:val="20"/>
          <w:szCs w:val="20"/>
        </w:rPr>
        <w:t>)</w:t>
      </w:r>
    </w:p>
    <w:tbl>
      <w:tblPr>
        <w:tblW w:w="9717" w:type="dxa"/>
        <w:jc w:val="center"/>
        <w:tblBorders>
          <w:top w:val="single" w:sz="8" w:space="0" w:color="auto"/>
          <w:bottom w:val="single" w:sz="8" w:space="0" w:color="auto"/>
        </w:tblBorders>
        <w:shd w:val="clear" w:color="auto" w:fill="FFFFFF" w:themeFill="background1"/>
        <w:tblLook w:val="04A0" w:firstRow="1" w:lastRow="0" w:firstColumn="1" w:lastColumn="0" w:noHBand="0" w:noVBand="1"/>
      </w:tblPr>
      <w:tblGrid>
        <w:gridCol w:w="3621"/>
        <w:gridCol w:w="1363"/>
        <w:gridCol w:w="1690"/>
        <w:gridCol w:w="2027"/>
        <w:gridCol w:w="1016"/>
      </w:tblGrid>
      <w:tr w:rsidR="00F468C9" w:rsidRPr="00770F9D" w14:paraId="0E79DDC3" w14:textId="77777777" w:rsidTr="004669D1">
        <w:trPr>
          <w:trHeight w:val="20"/>
          <w:jc w:val="center"/>
        </w:trPr>
        <w:tc>
          <w:tcPr>
            <w:tcW w:w="3621" w:type="dxa"/>
            <w:vMerge w:val="restart"/>
            <w:tcBorders>
              <w:top w:val="single" w:sz="8" w:space="0" w:color="auto"/>
              <w:bottom w:val="nil"/>
            </w:tcBorders>
            <w:shd w:val="clear" w:color="auto" w:fill="FFFFFF" w:themeFill="background1"/>
            <w:vAlign w:val="center"/>
            <w:hideMark/>
          </w:tcPr>
          <w:p w14:paraId="2C849F3B" w14:textId="77777777" w:rsidR="00F468C9" w:rsidRPr="00770F9D" w:rsidRDefault="00F468C9" w:rsidP="009A5C55">
            <w:pPr>
              <w:jc w:val="center"/>
              <w:rPr>
                <w:rFonts w:ascii="Garamond" w:eastAsia="Times New Roman" w:hAnsi="Garamond" w:cstheme="majorBidi"/>
                <w:b/>
                <w:bCs/>
                <w:color w:val="0D0D0D" w:themeColor="text1" w:themeTint="F2"/>
                <w:sz w:val="18"/>
              </w:rPr>
            </w:pPr>
            <w:bookmarkStart w:id="27" w:name="page44"/>
            <w:bookmarkEnd w:id="27"/>
            <w:r w:rsidRPr="00770F9D">
              <w:rPr>
                <w:rFonts w:ascii="Garamond" w:eastAsia="Times New Roman" w:hAnsi="Garamond" w:cstheme="majorBidi"/>
                <w:b/>
                <w:bCs/>
                <w:color w:val="0D0D0D" w:themeColor="text1" w:themeTint="F2"/>
                <w:sz w:val="18"/>
              </w:rPr>
              <w:t>Lloji i taksës</w:t>
            </w:r>
          </w:p>
        </w:tc>
        <w:tc>
          <w:tcPr>
            <w:tcW w:w="1363" w:type="dxa"/>
            <w:vMerge w:val="restart"/>
            <w:tcBorders>
              <w:top w:val="single" w:sz="8" w:space="0" w:color="auto"/>
              <w:bottom w:val="nil"/>
            </w:tcBorders>
            <w:shd w:val="clear" w:color="auto" w:fill="FFFFFF" w:themeFill="background1"/>
            <w:vAlign w:val="center"/>
            <w:hideMark/>
          </w:tcPr>
          <w:p w14:paraId="76DD674F" w14:textId="77777777" w:rsidR="00F468C9" w:rsidRPr="00770F9D" w:rsidRDefault="00F468C9" w:rsidP="009A5C55">
            <w:pPr>
              <w:jc w:val="center"/>
              <w:rPr>
                <w:rFonts w:ascii="Garamond" w:eastAsia="Times New Roman" w:hAnsi="Garamond" w:cstheme="majorBidi"/>
                <w:b/>
                <w:bCs/>
                <w:color w:val="0D0D0D" w:themeColor="text1" w:themeTint="F2"/>
                <w:sz w:val="18"/>
              </w:rPr>
            </w:pPr>
            <w:r w:rsidRPr="00770F9D">
              <w:rPr>
                <w:rFonts w:ascii="Garamond" w:eastAsia="Times New Roman" w:hAnsi="Garamond" w:cstheme="majorBidi"/>
                <w:b/>
                <w:bCs/>
                <w:color w:val="0D0D0D" w:themeColor="text1" w:themeTint="F2"/>
                <w:sz w:val="18"/>
              </w:rPr>
              <w:t>Fakt 11M 2022</w:t>
            </w:r>
          </w:p>
        </w:tc>
        <w:tc>
          <w:tcPr>
            <w:tcW w:w="1690" w:type="dxa"/>
            <w:vMerge w:val="restart"/>
            <w:tcBorders>
              <w:top w:val="single" w:sz="8" w:space="0" w:color="auto"/>
              <w:bottom w:val="nil"/>
            </w:tcBorders>
            <w:shd w:val="clear" w:color="auto" w:fill="FFFFFF" w:themeFill="background1"/>
            <w:vAlign w:val="center"/>
            <w:hideMark/>
          </w:tcPr>
          <w:p w14:paraId="26D1297A" w14:textId="77777777" w:rsidR="00F468C9" w:rsidRPr="00770F9D" w:rsidRDefault="00F468C9" w:rsidP="009A5C55">
            <w:pPr>
              <w:jc w:val="center"/>
              <w:rPr>
                <w:rFonts w:ascii="Garamond" w:eastAsia="Times New Roman" w:hAnsi="Garamond" w:cstheme="majorBidi"/>
                <w:b/>
                <w:bCs/>
                <w:color w:val="0D0D0D" w:themeColor="text1" w:themeTint="F2"/>
                <w:sz w:val="18"/>
              </w:rPr>
            </w:pPr>
            <w:r w:rsidRPr="00770F9D">
              <w:rPr>
                <w:rFonts w:ascii="Garamond" w:eastAsia="Times New Roman" w:hAnsi="Garamond" w:cstheme="majorBidi"/>
                <w:b/>
                <w:bCs/>
                <w:color w:val="0D0D0D" w:themeColor="text1" w:themeTint="F2"/>
                <w:sz w:val="18"/>
              </w:rPr>
              <w:t>Plan 11M 2022</w:t>
            </w:r>
          </w:p>
        </w:tc>
        <w:tc>
          <w:tcPr>
            <w:tcW w:w="3043" w:type="dxa"/>
            <w:gridSpan w:val="2"/>
            <w:tcBorders>
              <w:top w:val="single" w:sz="8" w:space="0" w:color="auto"/>
              <w:bottom w:val="nil"/>
            </w:tcBorders>
            <w:shd w:val="clear" w:color="auto" w:fill="FFFFFF" w:themeFill="background1"/>
            <w:vAlign w:val="center"/>
            <w:hideMark/>
          </w:tcPr>
          <w:p w14:paraId="4130F6D3" w14:textId="77777777" w:rsidR="00F468C9" w:rsidRPr="00770F9D" w:rsidRDefault="00F468C9" w:rsidP="009A5C55">
            <w:pPr>
              <w:jc w:val="center"/>
              <w:rPr>
                <w:rFonts w:ascii="Garamond" w:eastAsia="Times New Roman" w:hAnsi="Garamond" w:cstheme="majorBidi"/>
                <w:b/>
                <w:bCs/>
                <w:color w:val="0D0D0D" w:themeColor="text1" w:themeTint="F2"/>
                <w:sz w:val="18"/>
              </w:rPr>
            </w:pPr>
            <w:r w:rsidRPr="00770F9D">
              <w:rPr>
                <w:rFonts w:ascii="Garamond" w:eastAsia="Times New Roman" w:hAnsi="Garamond" w:cstheme="majorBidi"/>
                <w:b/>
                <w:bCs/>
                <w:color w:val="0D0D0D" w:themeColor="text1" w:themeTint="F2"/>
                <w:sz w:val="18"/>
              </w:rPr>
              <w:t>Diferenca Fakt / Plan 11 M 2022</w:t>
            </w:r>
          </w:p>
        </w:tc>
      </w:tr>
      <w:tr w:rsidR="00F468C9" w:rsidRPr="00770F9D" w14:paraId="033133D5" w14:textId="77777777" w:rsidTr="004669D1">
        <w:trPr>
          <w:trHeight w:val="20"/>
          <w:jc w:val="center"/>
        </w:trPr>
        <w:tc>
          <w:tcPr>
            <w:tcW w:w="3621" w:type="dxa"/>
            <w:vMerge/>
            <w:tcBorders>
              <w:top w:val="nil"/>
              <w:bottom w:val="nil"/>
            </w:tcBorders>
            <w:shd w:val="clear" w:color="auto" w:fill="FFFFFF" w:themeFill="background1"/>
            <w:vAlign w:val="center"/>
            <w:hideMark/>
          </w:tcPr>
          <w:p w14:paraId="743D44E6" w14:textId="77777777" w:rsidR="00F468C9" w:rsidRPr="00770F9D" w:rsidRDefault="00F468C9" w:rsidP="009A5C55">
            <w:pPr>
              <w:jc w:val="center"/>
              <w:rPr>
                <w:rFonts w:ascii="Garamond" w:eastAsia="Times New Roman" w:hAnsi="Garamond" w:cstheme="majorBidi"/>
                <w:b/>
                <w:bCs/>
                <w:color w:val="0D0D0D" w:themeColor="text1" w:themeTint="F2"/>
                <w:sz w:val="18"/>
              </w:rPr>
            </w:pPr>
          </w:p>
        </w:tc>
        <w:tc>
          <w:tcPr>
            <w:tcW w:w="1363" w:type="dxa"/>
            <w:vMerge/>
            <w:tcBorders>
              <w:top w:val="nil"/>
              <w:bottom w:val="nil"/>
            </w:tcBorders>
            <w:shd w:val="clear" w:color="auto" w:fill="FFFFFF" w:themeFill="background1"/>
            <w:vAlign w:val="center"/>
            <w:hideMark/>
          </w:tcPr>
          <w:p w14:paraId="6D891B32" w14:textId="77777777" w:rsidR="00F468C9" w:rsidRPr="00770F9D" w:rsidRDefault="00F468C9" w:rsidP="009A5C55">
            <w:pPr>
              <w:jc w:val="center"/>
              <w:rPr>
                <w:rFonts w:ascii="Garamond" w:eastAsia="Times New Roman" w:hAnsi="Garamond" w:cstheme="majorBidi"/>
                <w:b/>
                <w:bCs/>
                <w:color w:val="0D0D0D" w:themeColor="text1" w:themeTint="F2"/>
                <w:sz w:val="18"/>
              </w:rPr>
            </w:pPr>
          </w:p>
        </w:tc>
        <w:tc>
          <w:tcPr>
            <w:tcW w:w="1690" w:type="dxa"/>
            <w:vMerge/>
            <w:tcBorders>
              <w:top w:val="nil"/>
              <w:bottom w:val="nil"/>
            </w:tcBorders>
            <w:shd w:val="clear" w:color="auto" w:fill="FFFFFF" w:themeFill="background1"/>
            <w:vAlign w:val="center"/>
            <w:hideMark/>
          </w:tcPr>
          <w:p w14:paraId="3FE53FE1" w14:textId="77777777" w:rsidR="00F468C9" w:rsidRPr="00770F9D" w:rsidRDefault="00F468C9" w:rsidP="009A5C55">
            <w:pPr>
              <w:jc w:val="center"/>
              <w:rPr>
                <w:rFonts w:ascii="Garamond" w:eastAsia="Times New Roman" w:hAnsi="Garamond" w:cstheme="majorBidi"/>
                <w:b/>
                <w:bCs/>
                <w:color w:val="0D0D0D" w:themeColor="text1" w:themeTint="F2"/>
                <w:sz w:val="18"/>
              </w:rPr>
            </w:pPr>
          </w:p>
        </w:tc>
        <w:tc>
          <w:tcPr>
            <w:tcW w:w="2027" w:type="dxa"/>
            <w:vMerge w:val="restart"/>
            <w:tcBorders>
              <w:top w:val="nil"/>
              <w:bottom w:val="nil"/>
            </w:tcBorders>
            <w:shd w:val="clear" w:color="auto" w:fill="FFFFFF" w:themeFill="background1"/>
            <w:vAlign w:val="center"/>
            <w:hideMark/>
          </w:tcPr>
          <w:p w14:paraId="58D0782C" w14:textId="77777777" w:rsidR="00F468C9" w:rsidRPr="00770F9D" w:rsidRDefault="00F468C9" w:rsidP="009A5C55">
            <w:pPr>
              <w:jc w:val="center"/>
              <w:rPr>
                <w:rFonts w:ascii="Garamond" w:eastAsia="Times New Roman" w:hAnsi="Garamond" w:cstheme="majorBidi"/>
                <w:b/>
                <w:bCs/>
                <w:color w:val="0D0D0D" w:themeColor="text1" w:themeTint="F2"/>
                <w:sz w:val="18"/>
              </w:rPr>
            </w:pPr>
            <w:r w:rsidRPr="00770F9D">
              <w:rPr>
                <w:rFonts w:ascii="Garamond" w:eastAsia="Times New Roman" w:hAnsi="Garamond" w:cstheme="majorBidi"/>
                <w:b/>
                <w:bCs/>
                <w:color w:val="0D0D0D" w:themeColor="text1" w:themeTint="F2"/>
                <w:sz w:val="18"/>
              </w:rPr>
              <w:t>vlera</w:t>
            </w:r>
          </w:p>
        </w:tc>
        <w:tc>
          <w:tcPr>
            <w:tcW w:w="1015" w:type="dxa"/>
            <w:tcBorders>
              <w:top w:val="nil"/>
              <w:bottom w:val="nil"/>
            </w:tcBorders>
            <w:shd w:val="clear" w:color="auto" w:fill="FFFFFF" w:themeFill="background1"/>
            <w:vAlign w:val="center"/>
            <w:hideMark/>
          </w:tcPr>
          <w:p w14:paraId="509F1D3B" w14:textId="45C2CC60" w:rsidR="00F468C9" w:rsidRPr="00770F9D" w:rsidRDefault="00F468C9" w:rsidP="009A5C55">
            <w:pPr>
              <w:jc w:val="center"/>
              <w:rPr>
                <w:rFonts w:ascii="Garamond" w:eastAsia="Times New Roman" w:hAnsi="Garamond" w:cstheme="majorBidi"/>
                <w:b/>
                <w:bCs/>
                <w:color w:val="0D0D0D" w:themeColor="text1" w:themeTint="F2"/>
                <w:sz w:val="18"/>
              </w:rPr>
            </w:pPr>
          </w:p>
        </w:tc>
      </w:tr>
      <w:tr w:rsidR="00F468C9" w:rsidRPr="00770F9D" w14:paraId="132AA3F1" w14:textId="77777777" w:rsidTr="004669D1">
        <w:trPr>
          <w:trHeight w:val="20"/>
          <w:jc w:val="center"/>
        </w:trPr>
        <w:tc>
          <w:tcPr>
            <w:tcW w:w="3621" w:type="dxa"/>
            <w:vMerge/>
            <w:tcBorders>
              <w:top w:val="nil"/>
              <w:bottom w:val="single" w:sz="8" w:space="0" w:color="auto"/>
            </w:tcBorders>
            <w:shd w:val="clear" w:color="auto" w:fill="FFFFFF" w:themeFill="background1"/>
            <w:vAlign w:val="center"/>
            <w:hideMark/>
          </w:tcPr>
          <w:p w14:paraId="119E2C3A" w14:textId="77777777" w:rsidR="00F468C9" w:rsidRPr="00770F9D" w:rsidRDefault="00F468C9" w:rsidP="009A5C55">
            <w:pPr>
              <w:jc w:val="center"/>
              <w:rPr>
                <w:rFonts w:ascii="Garamond" w:eastAsia="Times New Roman" w:hAnsi="Garamond" w:cstheme="majorBidi"/>
                <w:b/>
                <w:bCs/>
                <w:color w:val="0D0D0D" w:themeColor="text1" w:themeTint="F2"/>
                <w:sz w:val="18"/>
              </w:rPr>
            </w:pPr>
          </w:p>
        </w:tc>
        <w:tc>
          <w:tcPr>
            <w:tcW w:w="1363" w:type="dxa"/>
            <w:vMerge/>
            <w:tcBorders>
              <w:top w:val="nil"/>
              <w:bottom w:val="single" w:sz="8" w:space="0" w:color="auto"/>
            </w:tcBorders>
            <w:shd w:val="clear" w:color="auto" w:fill="FFFFFF" w:themeFill="background1"/>
            <w:vAlign w:val="center"/>
            <w:hideMark/>
          </w:tcPr>
          <w:p w14:paraId="7C13693D" w14:textId="77777777" w:rsidR="00F468C9" w:rsidRPr="00770F9D" w:rsidRDefault="00F468C9" w:rsidP="009A5C55">
            <w:pPr>
              <w:jc w:val="center"/>
              <w:rPr>
                <w:rFonts w:ascii="Garamond" w:eastAsia="Times New Roman" w:hAnsi="Garamond" w:cstheme="majorBidi"/>
                <w:b/>
                <w:bCs/>
                <w:color w:val="0D0D0D" w:themeColor="text1" w:themeTint="F2"/>
                <w:sz w:val="18"/>
              </w:rPr>
            </w:pPr>
          </w:p>
        </w:tc>
        <w:tc>
          <w:tcPr>
            <w:tcW w:w="1690" w:type="dxa"/>
            <w:vMerge/>
            <w:tcBorders>
              <w:top w:val="nil"/>
              <w:bottom w:val="single" w:sz="8" w:space="0" w:color="auto"/>
            </w:tcBorders>
            <w:shd w:val="clear" w:color="auto" w:fill="FFFFFF" w:themeFill="background1"/>
            <w:vAlign w:val="center"/>
            <w:hideMark/>
          </w:tcPr>
          <w:p w14:paraId="0FB93489" w14:textId="77777777" w:rsidR="00F468C9" w:rsidRPr="00770F9D" w:rsidRDefault="00F468C9" w:rsidP="009A5C55">
            <w:pPr>
              <w:jc w:val="center"/>
              <w:rPr>
                <w:rFonts w:ascii="Garamond" w:eastAsia="Times New Roman" w:hAnsi="Garamond" w:cstheme="majorBidi"/>
                <w:b/>
                <w:bCs/>
                <w:color w:val="0D0D0D" w:themeColor="text1" w:themeTint="F2"/>
                <w:sz w:val="18"/>
              </w:rPr>
            </w:pPr>
          </w:p>
        </w:tc>
        <w:tc>
          <w:tcPr>
            <w:tcW w:w="2027" w:type="dxa"/>
            <w:vMerge/>
            <w:tcBorders>
              <w:top w:val="nil"/>
              <w:bottom w:val="single" w:sz="8" w:space="0" w:color="auto"/>
            </w:tcBorders>
            <w:shd w:val="clear" w:color="auto" w:fill="FFFFFF" w:themeFill="background1"/>
            <w:vAlign w:val="center"/>
            <w:hideMark/>
          </w:tcPr>
          <w:p w14:paraId="4F212A7C" w14:textId="77777777" w:rsidR="00F468C9" w:rsidRPr="00770F9D" w:rsidRDefault="00F468C9" w:rsidP="009A5C55">
            <w:pPr>
              <w:jc w:val="center"/>
              <w:rPr>
                <w:rFonts w:ascii="Garamond" w:eastAsia="Times New Roman" w:hAnsi="Garamond" w:cstheme="majorBidi"/>
                <w:b/>
                <w:bCs/>
                <w:color w:val="0D0D0D" w:themeColor="text1" w:themeTint="F2"/>
                <w:sz w:val="18"/>
              </w:rPr>
            </w:pPr>
          </w:p>
        </w:tc>
        <w:tc>
          <w:tcPr>
            <w:tcW w:w="1015" w:type="dxa"/>
            <w:tcBorders>
              <w:top w:val="nil"/>
              <w:bottom w:val="single" w:sz="8" w:space="0" w:color="auto"/>
            </w:tcBorders>
            <w:shd w:val="clear" w:color="auto" w:fill="FFFFFF" w:themeFill="background1"/>
            <w:vAlign w:val="center"/>
            <w:hideMark/>
          </w:tcPr>
          <w:p w14:paraId="4667B229" w14:textId="77777777" w:rsidR="00F468C9" w:rsidRPr="00770F9D" w:rsidRDefault="00F468C9" w:rsidP="009A5C55">
            <w:pPr>
              <w:jc w:val="center"/>
              <w:rPr>
                <w:rFonts w:ascii="Garamond" w:eastAsia="Times New Roman" w:hAnsi="Garamond" w:cstheme="majorBidi"/>
                <w:b/>
                <w:bCs/>
                <w:color w:val="0D0D0D" w:themeColor="text1" w:themeTint="F2"/>
                <w:sz w:val="18"/>
              </w:rPr>
            </w:pPr>
            <w:r w:rsidRPr="00770F9D">
              <w:rPr>
                <w:rFonts w:ascii="Garamond" w:eastAsia="Times New Roman" w:hAnsi="Garamond" w:cstheme="majorBidi"/>
                <w:b/>
                <w:bCs/>
                <w:color w:val="0D0D0D" w:themeColor="text1" w:themeTint="F2"/>
                <w:sz w:val="18"/>
              </w:rPr>
              <w:t>%</w:t>
            </w:r>
          </w:p>
        </w:tc>
      </w:tr>
      <w:tr w:rsidR="00F468C9" w:rsidRPr="00770F9D" w14:paraId="689238B8" w14:textId="77777777" w:rsidTr="004669D1">
        <w:trPr>
          <w:trHeight w:val="20"/>
          <w:jc w:val="center"/>
        </w:trPr>
        <w:tc>
          <w:tcPr>
            <w:tcW w:w="3621" w:type="dxa"/>
            <w:tcBorders>
              <w:top w:val="single" w:sz="8" w:space="0" w:color="auto"/>
            </w:tcBorders>
            <w:shd w:val="clear" w:color="auto" w:fill="FFFFFF" w:themeFill="background1"/>
            <w:vAlign w:val="center"/>
            <w:hideMark/>
          </w:tcPr>
          <w:p w14:paraId="65E00E3E" w14:textId="77777777" w:rsidR="00F468C9" w:rsidRPr="00770F9D" w:rsidRDefault="00F468C9" w:rsidP="006912D6">
            <w:pPr>
              <w:rPr>
                <w:rFonts w:ascii="Garamond" w:eastAsia="Times New Roman" w:hAnsi="Garamond" w:cstheme="majorBidi"/>
                <w:bCs/>
                <w:color w:val="0D0D0D" w:themeColor="text1" w:themeTint="F2"/>
                <w:sz w:val="18"/>
              </w:rPr>
            </w:pPr>
            <w:r w:rsidRPr="00770F9D">
              <w:rPr>
                <w:rFonts w:ascii="Garamond" w:eastAsia="Times New Roman" w:hAnsi="Garamond" w:cstheme="majorBidi"/>
                <w:bCs/>
                <w:color w:val="0D0D0D" w:themeColor="text1" w:themeTint="F2"/>
                <w:sz w:val="18"/>
              </w:rPr>
              <w:t>Totali i TVSH-së neto</w:t>
            </w:r>
          </w:p>
        </w:tc>
        <w:tc>
          <w:tcPr>
            <w:tcW w:w="1363" w:type="dxa"/>
            <w:tcBorders>
              <w:top w:val="single" w:sz="8" w:space="0" w:color="auto"/>
            </w:tcBorders>
            <w:shd w:val="clear" w:color="auto" w:fill="FFFFFF" w:themeFill="background1"/>
            <w:vAlign w:val="center"/>
            <w:hideMark/>
          </w:tcPr>
          <w:p w14:paraId="5F8F5B7B" w14:textId="77777777" w:rsidR="00F468C9" w:rsidRPr="00770F9D" w:rsidRDefault="00F468C9" w:rsidP="00136D7D">
            <w:pPr>
              <w:jc w:val="right"/>
              <w:rPr>
                <w:rFonts w:ascii="Garamond" w:eastAsia="Times New Roman" w:hAnsi="Garamond" w:cstheme="majorBidi"/>
                <w:color w:val="0D0D0D" w:themeColor="text1" w:themeTint="F2"/>
                <w:sz w:val="18"/>
              </w:rPr>
            </w:pPr>
            <w:r w:rsidRPr="00770F9D">
              <w:rPr>
                <w:rFonts w:ascii="Garamond" w:eastAsia="Times New Roman" w:hAnsi="Garamond" w:cstheme="majorBidi"/>
                <w:color w:val="0D0D0D" w:themeColor="text1" w:themeTint="F2"/>
                <w:sz w:val="18"/>
              </w:rPr>
              <w:t>176,799</w:t>
            </w:r>
          </w:p>
        </w:tc>
        <w:tc>
          <w:tcPr>
            <w:tcW w:w="1690" w:type="dxa"/>
            <w:tcBorders>
              <w:top w:val="single" w:sz="8" w:space="0" w:color="auto"/>
            </w:tcBorders>
            <w:shd w:val="clear" w:color="auto" w:fill="FFFFFF" w:themeFill="background1"/>
            <w:vAlign w:val="center"/>
            <w:hideMark/>
          </w:tcPr>
          <w:p w14:paraId="19B55A4C" w14:textId="77777777" w:rsidR="00F468C9" w:rsidRPr="00770F9D" w:rsidRDefault="00F468C9" w:rsidP="00136D7D">
            <w:pPr>
              <w:jc w:val="right"/>
              <w:rPr>
                <w:rFonts w:ascii="Garamond" w:eastAsia="Times New Roman" w:hAnsi="Garamond" w:cstheme="majorBidi"/>
                <w:color w:val="0D0D0D" w:themeColor="text1" w:themeTint="F2"/>
                <w:sz w:val="18"/>
              </w:rPr>
            </w:pPr>
            <w:r w:rsidRPr="00770F9D">
              <w:rPr>
                <w:rFonts w:ascii="Garamond" w:eastAsia="Times New Roman" w:hAnsi="Garamond" w:cstheme="majorBidi"/>
                <w:color w:val="0D0D0D" w:themeColor="text1" w:themeTint="F2"/>
                <w:sz w:val="18"/>
              </w:rPr>
              <w:t>171,760</w:t>
            </w:r>
          </w:p>
        </w:tc>
        <w:tc>
          <w:tcPr>
            <w:tcW w:w="2027" w:type="dxa"/>
            <w:tcBorders>
              <w:top w:val="single" w:sz="8" w:space="0" w:color="auto"/>
            </w:tcBorders>
            <w:shd w:val="clear" w:color="auto" w:fill="FFFFFF" w:themeFill="background1"/>
            <w:vAlign w:val="center"/>
            <w:hideMark/>
          </w:tcPr>
          <w:p w14:paraId="5D55DC91" w14:textId="77777777" w:rsidR="00F468C9" w:rsidRPr="00770F9D" w:rsidRDefault="00F468C9" w:rsidP="00136D7D">
            <w:pPr>
              <w:jc w:val="right"/>
              <w:rPr>
                <w:rFonts w:ascii="Garamond" w:eastAsia="Times New Roman" w:hAnsi="Garamond" w:cstheme="majorBidi"/>
                <w:color w:val="0D0D0D" w:themeColor="text1" w:themeTint="F2"/>
                <w:sz w:val="18"/>
              </w:rPr>
            </w:pPr>
            <w:r w:rsidRPr="00770F9D">
              <w:rPr>
                <w:rFonts w:ascii="Garamond" w:eastAsia="Times New Roman" w:hAnsi="Garamond" w:cstheme="majorBidi"/>
                <w:color w:val="0D0D0D" w:themeColor="text1" w:themeTint="F2"/>
                <w:sz w:val="18"/>
              </w:rPr>
              <w:t>5,039</w:t>
            </w:r>
          </w:p>
        </w:tc>
        <w:tc>
          <w:tcPr>
            <w:tcW w:w="1015" w:type="dxa"/>
            <w:tcBorders>
              <w:top w:val="single" w:sz="8" w:space="0" w:color="auto"/>
            </w:tcBorders>
            <w:shd w:val="clear" w:color="auto" w:fill="FFFFFF" w:themeFill="background1"/>
            <w:vAlign w:val="center"/>
            <w:hideMark/>
          </w:tcPr>
          <w:p w14:paraId="41FB810A" w14:textId="77777777" w:rsidR="00F468C9" w:rsidRPr="00770F9D" w:rsidRDefault="00F468C9" w:rsidP="00136D7D">
            <w:pPr>
              <w:jc w:val="right"/>
              <w:rPr>
                <w:rFonts w:ascii="Garamond" w:eastAsia="Times New Roman" w:hAnsi="Garamond" w:cstheme="majorBidi"/>
                <w:color w:val="0D0D0D" w:themeColor="text1" w:themeTint="F2"/>
                <w:sz w:val="18"/>
              </w:rPr>
            </w:pPr>
            <w:r w:rsidRPr="00770F9D">
              <w:rPr>
                <w:rFonts w:ascii="Garamond" w:eastAsia="Times New Roman" w:hAnsi="Garamond" w:cstheme="majorBidi"/>
                <w:color w:val="0D0D0D" w:themeColor="text1" w:themeTint="F2"/>
                <w:sz w:val="18"/>
              </w:rPr>
              <w:t>2.9%</w:t>
            </w:r>
          </w:p>
        </w:tc>
      </w:tr>
      <w:tr w:rsidR="00F468C9" w:rsidRPr="00770F9D" w14:paraId="53A82EB2" w14:textId="77777777" w:rsidTr="004669D1">
        <w:trPr>
          <w:trHeight w:val="20"/>
          <w:jc w:val="center"/>
        </w:trPr>
        <w:tc>
          <w:tcPr>
            <w:tcW w:w="3621" w:type="dxa"/>
            <w:shd w:val="clear" w:color="auto" w:fill="FFFFFF" w:themeFill="background1"/>
            <w:vAlign w:val="center"/>
            <w:hideMark/>
          </w:tcPr>
          <w:p w14:paraId="4C96CDC0" w14:textId="77777777" w:rsidR="00F468C9" w:rsidRPr="00770F9D" w:rsidRDefault="00F468C9" w:rsidP="006912D6">
            <w:pPr>
              <w:rPr>
                <w:rFonts w:ascii="Garamond" w:eastAsia="Times New Roman" w:hAnsi="Garamond" w:cstheme="majorBidi"/>
                <w:bCs/>
                <w:color w:val="0D0D0D" w:themeColor="text1" w:themeTint="F2"/>
                <w:sz w:val="18"/>
              </w:rPr>
            </w:pPr>
            <w:r w:rsidRPr="00770F9D">
              <w:rPr>
                <w:rFonts w:ascii="Garamond" w:eastAsia="Times New Roman" w:hAnsi="Garamond" w:cstheme="majorBidi"/>
                <w:bCs/>
                <w:color w:val="0D0D0D" w:themeColor="text1" w:themeTint="F2"/>
                <w:sz w:val="18"/>
              </w:rPr>
              <w:t>Tatimi mbi fitimin</w:t>
            </w:r>
          </w:p>
        </w:tc>
        <w:tc>
          <w:tcPr>
            <w:tcW w:w="1363" w:type="dxa"/>
            <w:shd w:val="clear" w:color="auto" w:fill="FFFFFF" w:themeFill="background1"/>
            <w:vAlign w:val="center"/>
            <w:hideMark/>
          </w:tcPr>
          <w:p w14:paraId="50600F99" w14:textId="77777777" w:rsidR="00F468C9" w:rsidRPr="00770F9D" w:rsidRDefault="00F468C9" w:rsidP="00136D7D">
            <w:pPr>
              <w:jc w:val="right"/>
              <w:rPr>
                <w:rFonts w:ascii="Garamond" w:eastAsia="Times New Roman" w:hAnsi="Garamond" w:cstheme="majorBidi"/>
                <w:color w:val="0D0D0D" w:themeColor="text1" w:themeTint="F2"/>
                <w:sz w:val="18"/>
              </w:rPr>
            </w:pPr>
            <w:r w:rsidRPr="00770F9D">
              <w:rPr>
                <w:rFonts w:ascii="Garamond" w:eastAsia="Times New Roman" w:hAnsi="Garamond" w:cstheme="majorBidi"/>
                <w:color w:val="0D0D0D" w:themeColor="text1" w:themeTint="F2"/>
                <w:sz w:val="18"/>
              </w:rPr>
              <w:t>40,909</w:t>
            </w:r>
          </w:p>
        </w:tc>
        <w:tc>
          <w:tcPr>
            <w:tcW w:w="1690" w:type="dxa"/>
            <w:shd w:val="clear" w:color="auto" w:fill="FFFFFF" w:themeFill="background1"/>
            <w:vAlign w:val="center"/>
            <w:hideMark/>
          </w:tcPr>
          <w:p w14:paraId="10433A0D" w14:textId="77777777" w:rsidR="00F468C9" w:rsidRPr="00770F9D" w:rsidRDefault="00F468C9" w:rsidP="00136D7D">
            <w:pPr>
              <w:jc w:val="right"/>
              <w:rPr>
                <w:rFonts w:ascii="Garamond" w:eastAsia="Times New Roman" w:hAnsi="Garamond" w:cstheme="majorBidi"/>
                <w:color w:val="0D0D0D" w:themeColor="text1" w:themeTint="F2"/>
                <w:sz w:val="18"/>
              </w:rPr>
            </w:pPr>
            <w:r w:rsidRPr="00770F9D">
              <w:rPr>
                <w:rFonts w:ascii="Garamond" w:eastAsia="Times New Roman" w:hAnsi="Garamond" w:cstheme="majorBidi"/>
                <w:color w:val="0D0D0D" w:themeColor="text1" w:themeTint="F2"/>
                <w:sz w:val="18"/>
              </w:rPr>
              <w:t>40,688</w:t>
            </w:r>
          </w:p>
        </w:tc>
        <w:tc>
          <w:tcPr>
            <w:tcW w:w="2027" w:type="dxa"/>
            <w:shd w:val="clear" w:color="auto" w:fill="FFFFFF" w:themeFill="background1"/>
            <w:vAlign w:val="center"/>
            <w:hideMark/>
          </w:tcPr>
          <w:p w14:paraId="7E16B38D" w14:textId="77777777" w:rsidR="00F468C9" w:rsidRPr="00770F9D" w:rsidRDefault="00F468C9" w:rsidP="00136D7D">
            <w:pPr>
              <w:jc w:val="right"/>
              <w:rPr>
                <w:rFonts w:ascii="Garamond" w:eastAsia="Times New Roman" w:hAnsi="Garamond" w:cstheme="majorBidi"/>
                <w:color w:val="0D0D0D" w:themeColor="text1" w:themeTint="F2"/>
                <w:sz w:val="18"/>
              </w:rPr>
            </w:pPr>
            <w:r w:rsidRPr="00770F9D">
              <w:rPr>
                <w:rFonts w:ascii="Garamond" w:eastAsia="Times New Roman" w:hAnsi="Garamond" w:cstheme="majorBidi"/>
                <w:color w:val="0D0D0D" w:themeColor="text1" w:themeTint="F2"/>
                <w:sz w:val="18"/>
              </w:rPr>
              <w:t>221</w:t>
            </w:r>
          </w:p>
        </w:tc>
        <w:tc>
          <w:tcPr>
            <w:tcW w:w="1015" w:type="dxa"/>
            <w:shd w:val="clear" w:color="auto" w:fill="FFFFFF" w:themeFill="background1"/>
            <w:vAlign w:val="center"/>
            <w:hideMark/>
          </w:tcPr>
          <w:p w14:paraId="47F31638" w14:textId="77777777" w:rsidR="00F468C9" w:rsidRPr="00770F9D" w:rsidRDefault="00F468C9" w:rsidP="00136D7D">
            <w:pPr>
              <w:jc w:val="right"/>
              <w:rPr>
                <w:rFonts w:ascii="Garamond" w:eastAsia="Times New Roman" w:hAnsi="Garamond" w:cstheme="majorBidi"/>
                <w:color w:val="0D0D0D" w:themeColor="text1" w:themeTint="F2"/>
                <w:sz w:val="18"/>
              </w:rPr>
            </w:pPr>
            <w:r w:rsidRPr="00770F9D">
              <w:rPr>
                <w:rFonts w:ascii="Garamond" w:eastAsia="Times New Roman" w:hAnsi="Garamond" w:cstheme="majorBidi"/>
                <w:color w:val="0D0D0D" w:themeColor="text1" w:themeTint="F2"/>
                <w:sz w:val="18"/>
              </w:rPr>
              <w:t>0.5%</w:t>
            </w:r>
          </w:p>
        </w:tc>
      </w:tr>
      <w:tr w:rsidR="00F468C9" w:rsidRPr="00770F9D" w14:paraId="3CB9C5AF" w14:textId="77777777" w:rsidTr="004669D1">
        <w:trPr>
          <w:trHeight w:val="20"/>
          <w:jc w:val="center"/>
        </w:trPr>
        <w:tc>
          <w:tcPr>
            <w:tcW w:w="3621" w:type="dxa"/>
            <w:shd w:val="clear" w:color="auto" w:fill="FFFFFF" w:themeFill="background1"/>
            <w:vAlign w:val="center"/>
            <w:hideMark/>
          </w:tcPr>
          <w:p w14:paraId="76144006" w14:textId="77777777" w:rsidR="00F468C9" w:rsidRPr="00770F9D" w:rsidRDefault="00F468C9" w:rsidP="006912D6">
            <w:pPr>
              <w:rPr>
                <w:rFonts w:ascii="Garamond" w:eastAsia="Times New Roman" w:hAnsi="Garamond" w:cstheme="majorBidi"/>
                <w:bCs/>
                <w:color w:val="0D0D0D" w:themeColor="text1" w:themeTint="F2"/>
                <w:sz w:val="18"/>
              </w:rPr>
            </w:pPr>
            <w:r w:rsidRPr="00770F9D">
              <w:rPr>
                <w:rFonts w:ascii="Garamond" w:eastAsia="Times New Roman" w:hAnsi="Garamond" w:cstheme="majorBidi"/>
                <w:bCs/>
                <w:color w:val="0D0D0D" w:themeColor="text1" w:themeTint="F2"/>
                <w:sz w:val="18"/>
              </w:rPr>
              <w:t>Akciza</w:t>
            </w:r>
          </w:p>
        </w:tc>
        <w:tc>
          <w:tcPr>
            <w:tcW w:w="1363" w:type="dxa"/>
            <w:shd w:val="clear" w:color="auto" w:fill="FFFFFF" w:themeFill="background1"/>
            <w:vAlign w:val="center"/>
            <w:hideMark/>
          </w:tcPr>
          <w:p w14:paraId="01E90C76" w14:textId="77777777" w:rsidR="00F468C9" w:rsidRPr="00770F9D" w:rsidRDefault="00F468C9" w:rsidP="00136D7D">
            <w:pPr>
              <w:jc w:val="right"/>
              <w:rPr>
                <w:rFonts w:ascii="Garamond" w:eastAsia="Times New Roman" w:hAnsi="Garamond" w:cstheme="majorBidi"/>
                <w:color w:val="0D0D0D" w:themeColor="text1" w:themeTint="F2"/>
                <w:sz w:val="18"/>
              </w:rPr>
            </w:pPr>
            <w:r w:rsidRPr="00770F9D">
              <w:rPr>
                <w:rFonts w:ascii="Garamond" w:eastAsia="Times New Roman" w:hAnsi="Garamond" w:cstheme="majorBidi"/>
                <w:color w:val="0D0D0D" w:themeColor="text1" w:themeTint="F2"/>
                <w:sz w:val="18"/>
              </w:rPr>
              <w:t>48,671</w:t>
            </w:r>
          </w:p>
        </w:tc>
        <w:tc>
          <w:tcPr>
            <w:tcW w:w="1690" w:type="dxa"/>
            <w:shd w:val="clear" w:color="auto" w:fill="FFFFFF" w:themeFill="background1"/>
            <w:vAlign w:val="center"/>
            <w:hideMark/>
          </w:tcPr>
          <w:p w14:paraId="648FBC18" w14:textId="77777777" w:rsidR="00F468C9" w:rsidRPr="00770F9D" w:rsidRDefault="00F468C9" w:rsidP="00136D7D">
            <w:pPr>
              <w:jc w:val="right"/>
              <w:rPr>
                <w:rFonts w:ascii="Garamond" w:eastAsia="Times New Roman" w:hAnsi="Garamond" w:cstheme="majorBidi"/>
                <w:color w:val="0D0D0D" w:themeColor="text1" w:themeTint="F2"/>
                <w:sz w:val="18"/>
              </w:rPr>
            </w:pPr>
            <w:r w:rsidRPr="00770F9D">
              <w:rPr>
                <w:rFonts w:ascii="Garamond" w:eastAsia="Times New Roman" w:hAnsi="Garamond" w:cstheme="majorBidi"/>
                <w:color w:val="0D0D0D" w:themeColor="text1" w:themeTint="F2"/>
                <w:sz w:val="18"/>
              </w:rPr>
              <w:t>49,507</w:t>
            </w:r>
          </w:p>
        </w:tc>
        <w:tc>
          <w:tcPr>
            <w:tcW w:w="2027" w:type="dxa"/>
            <w:shd w:val="clear" w:color="auto" w:fill="FFFFFF" w:themeFill="background1"/>
            <w:vAlign w:val="center"/>
            <w:hideMark/>
          </w:tcPr>
          <w:p w14:paraId="792FCB85" w14:textId="77777777" w:rsidR="00F468C9" w:rsidRPr="00770F9D" w:rsidRDefault="00F468C9" w:rsidP="00136D7D">
            <w:pPr>
              <w:jc w:val="right"/>
              <w:rPr>
                <w:rFonts w:ascii="Garamond" w:eastAsia="Times New Roman" w:hAnsi="Garamond" w:cstheme="majorBidi"/>
                <w:color w:val="0D0D0D" w:themeColor="text1" w:themeTint="F2"/>
                <w:sz w:val="18"/>
              </w:rPr>
            </w:pPr>
            <w:r w:rsidRPr="00770F9D">
              <w:rPr>
                <w:rFonts w:ascii="Garamond" w:eastAsia="Times New Roman" w:hAnsi="Garamond" w:cstheme="majorBidi"/>
                <w:color w:val="0D0D0D" w:themeColor="text1" w:themeTint="F2"/>
                <w:sz w:val="18"/>
              </w:rPr>
              <w:t>-836</w:t>
            </w:r>
          </w:p>
        </w:tc>
        <w:tc>
          <w:tcPr>
            <w:tcW w:w="1015" w:type="dxa"/>
            <w:shd w:val="clear" w:color="auto" w:fill="FFFFFF" w:themeFill="background1"/>
            <w:vAlign w:val="center"/>
            <w:hideMark/>
          </w:tcPr>
          <w:p w14:paraId="399FA640" w14:textId="77777777" w:rsidR="00F468C9" w:rsidRPr="00770F9D" w:rsidRDefault="00F468C9" w:rsidP="00136D7D">
            <w:pPr>
              <w:jc w:val="right"/>
              <w:rPr>
                <w:rFonts w:ascii="Garamond" w:eastAsia="Times New Roman" w:hAnsi="Garamond" w:cstheme="majorBidi"/>
                <w:color w:val="0D0D0D" w:themeColor="text1" w:themeTint="F2"/>
                <w:sz w:val="18"/>
              </w:rPr>
            </w:pPr>
            <w:r w:rsidRPr="00770F9D">
              <w:rPr>
                <w:rFonts w:ascii="Garamond" w:eastAsia="Times New Roman" w:hAnsi="Garamond" w:cstheme="majorBidi"/>
                <w:color w:val="0D0D0D" w:themeColor="text1" w:themeTint="F2"/>
                <w:sz w:val="18"/>
              </w:rPr>
              <w:t>-1.7%</w:t>
            </w:r>
          </w:p>
        </w:tc>
      </w:tr>
      <w:tr w:rsidR="00F468C9" w:rsidRPr="00770F9D" w14:paraId="6F4E6F15" w14:textId="77777777" w:rsidTr="004669D1">
        <w:trPr>
          <w:trHeight w:val="20"/>
          <w:jc w:val="center"/>
        </w:trPr>
        <w:tc>
          <w:tcPr>
            <w:tcW w:w="3621" w:type="dxa"/>
            <w:shd w:val="clear" w:color="auto" w:fill="FFFFFF" w:themeFill="background1"/>
            <w:vAlign w:val="center"/>
            <w:hideMark/>
          </w:tcPr>
          <w:p w14:paraId="3DE19BA6" w14:textId="5CB84B86" w:rsidR="00F468C9" w:rsidRPr="00770F9D" w:rsidRDefault="00F468C9" w:rsidP="006912D6">
            <w:pPr>
              <w:rPr>
                <w:rFonts w:ascii="Garamond" w:eastAsia="Times New Roman" w:hAnsi="Garamond" w:cstheme="majorBidi"/>
                <w:bCs/>
                <w:color w:val="0D0D0D" w:themeColor="text1" w:themeTint="F2"/>
                <w:sz w:val="18"/>
              </w:rPr>
            </w:pPr>
            <w:r w:rsidRPr="00770F9D">
              <w:rPr>
                <w:rFonts w:ascii="Garamond" w:eastAsia="Times New Roman" w:hAnsi="Garamond" w:cstheme="majorBidi"/>
                <w:bCs/>
                <w:color w:val="0D0D0D" w:themeColor="text1" w:themeTint="F2"/>
                <w:sz w:val="18"/>
              </w:rPr>
              <w:t xml:space="preserve">Tatimi mbi të </w:t>
            </w:r>
            <w:r w:rsidR="009A5C55" w:rsidRPr="00770F9D">
              <w:rPr>
                <w:rFonts w:ascii="Garamond" w:eastAsia="Times New Roman" w:hAnsi="Garamond" w:cstheme="majorBidi"/>
                <w:bCs/>
                <w:color w:val="0D0D0D" w:themeColor="text1" w:themeTint="F2"/>
                <w:sz w:val="18"/>
              </w:rPr>
              <w:t>ardhurat personale</w:t>
            </w:r>
          </w:p>
        </w:tc>
        <w:tc>
          <w:tcPr>
            <w:tcW w:w="1363" w:type="dxa"/>
            <w:shd w:val="clear" w:color="auto" w:fill="FFFFFF" w:themeFill="background1"/>
            <w:vAlign w:val="center"/>
            <w:hideMark/>
          </w:tcPr>
          <w:p w14:paraId="131CF750" w14:textId="77777777" w:rsidR="00F468C9" w:rsidRPr="00770F9D" w:rsidRDefault="00F468C9" w:rsidP="00136D7D">
            <w:pPr>
              <w:jc w:val="right"/>
              <w:rPr>
                <w:rFonts w:ascii="Garamond" w:eastAsia="Times New Roman" w:hAnsi="Garamond" w:cstheme="majorBidi"/>
                <w:color w:val="0D0D0D" w:themeColor="text1" w:themeTint="F2"/>
                <w:sz w:val="18"/>
              </w:rPr>
            </w:pPr>
            <w:r w:rsidRPr="00770F9D">
              <w:rPr>
                <w:rFonts w:ascii="Garamond" w:eastAsia="Times New Roman" w:hAnsi="Garamond" w:cstheme="majorBidi"/>
                <w:color w:val="0D0D0D" w:themeColor="text1" w:themeTint="F2"/>
                <w:sz w:val="18"/>
              </w:rPr>
              <w:t>41,146</w:t>
            </w:r>
          </w:p>
        </w:tc>
        <w:tc>
          <w:tcPr>
            <w:tcW w:w="1690" w:type="dxa"/>
            <w:shd w:val="clear" w:color="auto" w:fill="FFFFFF" w:themeFill="background1"/>
            <w:vAlign w:val="center"/>
            <w:hideMark/>
          </w:tcPr>
          <w:p w14:paraId="594880E4" w14:textId="77777777" w:rsidR="00F468C9" w:rsidRPr="00770F9D" w:rsidRDefault="00F468C9" w:rsidP="00136D7D">
            <w:pPr>
              <w:jc w:val="right"/>
              <w:rPr>
                <w:rFonts w:ascii="Garamond" w:eastAsia="Times New Roman" w:hAnsi="Garamond" w:cstheme="majorBidi"/>
                <w:color w:val="0D0D0D" w:themeColor="text1" w:themeTint="F2"/>
                <w:sz w:val="18"/>
              </w:rPr>
            </w:pPr>
            <w:r w:rsidRPr="00770F9D">
              <w:rPr>
                <w:rFonts w:ascii="Garamond" w:eastAsia="Times New Roman" w:hAnsi="Garamond" w:cstheme="majorBidi"/>
                <w:color w:val="0D0D0D" w:themeColor="text1" w:themeTint="F2"/>
                <w:sz w:val="18"/>
              </w:rPr>
              <w:t>42,368</w:t>
            </w:r>
          </w:p>
        </w:tc>
        <w:tc>
          <w:tcPr>
            <w:tcW w:w="2027" w:type="dxa"/>
            <w:shd w:val="clear" w:color="auto" w:fill="FFFFFF" w:themeFill="background1"/>
            <w:vAlign w:val="center"/>
            <w:hideMark/>
          </w:tcPr>
          <w:p w14:paraId="4D8599F2" w14:textId="77777777" w:rsidR="00F468C9" w:rsidRPr="00770F9D" w:rsidRDefault="00F468C9" w:rsidP="00136D7D">
            <w:pPr>
              <w:jc w:val="right"/>
              <w:rPr>
                <w:rFonts w:ascii="Garamond" w:eastAsia="Times New Roman" w:hAnsi="Garamond" w:cstheme="majorBidi"/>
                <w:color w:val="0D0D0D" w:themeColor="text1" w:themeTint="F2"/>
                <w:sz w:val="18"/>
              </w:rPr>
            </w:pPr>
            <w:r w:rsidRPr="00770F9D">
              <w:rPr>
                <w:rFonts w:ascii="Garamond" w:eastAsia="Times New Roman" w:hAnsi="Garamond" w:cstheme="majorBidi"/>
                <w:color w:val="0D0D0D" w:themeColor="text1" w:themeTint="F2"/>
                <w:sz w:val="18"/>
              </w:rPr>
              <w:t>-1,222</w:t>
            </w:r>
          </w:p>
        </w:tc>
        <w:tc>
          <w:tcPr>
            <w:tcW w:w="1015" w:type="dxa"/>
            <w:shd w:val="clear" w:color="auto" w:fill="FFFFFF" w:themeFill="background1"/>
            <w:vAlign w:val="center"/>
            <w:hideMark/>
          </w:tcPr>
          <w:p w14:paraId="196FC111" w14:textId="77777777" w:rsidR="00F468C9" w:rsidRPr="00770F9D" w:rsidRDefault="00F468C9" w:rsidP="00136D7D">
            <w:pPr>
              <w:jc w:val="right"/>
              <w:rPr>
                <w:rFonts w:ascii="Garamond" w:eastAsia="Times New Roman" w:hAnsi="Garamond" w:cstheme="majorBidi"/>
                <w:color w:val="0D0D0D" w:themeColor="text1" w:themeTint="F2"/>
                <w:sz w:val="18"/>
              </w:rPr>
            </w:pPr>
            <w:r w:rsidRPr="00770F9D">
              <w:rPr>
                <w:rFonts w:ascii="Garamond" w:eastAsia="Times New Roman" w:hAnsi="Garamond" w:cstheme="majorBidi"/>
                <w:color w:val="0D0D0D" w:themeColor="text1" w:themeTint="F2"/>
                <w:sz w:val="18"/>
              </w:rPr>
              <w:t>-2.9%</w:t>
            </w:r>
          </w:p>
        </w:tc>
      </w:tr>
      <w:tr w:rsidR="00F468C9" w:rsidRPr="00770F9D" w14:paraId="0F023E7C" w14:textId="77777777" w:rsidTr="004669D1">
        <w:trPr>
          <w:trHeight w:val="20"/>
          <w:jc w:val="center"/>
        </w:trPr>
        <w:tc>
          <w:tcPr>
            <w:tcW w:w="3621" w:type="dxa"/>
            <w:shd w:val="clear" w:color="auto" w:fill="FFFFFF" w:themeFill="background1"/>
            <w:vAlign w:val="center"/>
            <w:hideMark/>
          </w:tcPr>
          <w:p w14:paraId="2F086487" w14:textId="05F0C4CE" w:rsidR="00F468C9" w:rsidRPr="00770F9D" w:rsidRDefault="00F468C9" w:rsidP="006912D6">
            <w:pPr>
              <w:rPr>
                <w:rFonts w:ascii="Garamond" w:eastAsia="Times New Roman" w:hAnsi="Garamond" w:cstheme="majorBidi"/>
                <w:bCs/>
                <w:color w:val="0D0D0D" w:themeColor="text1" w:themeTint="F2"/>
                <w:sz w:val="18"/>
              </w:rPr>
            </w:pPr>
            <w:r w:rsidRPr="00770F9D">
              <w:rPr>
                <w:rFonts w:ascii="Garamond" w:eastAsia="Times New Roman" w:hAnsi="Garamond" w:cstheme="majorBidi"/>
                <w:bCs/>
                <w:color w:val="0D0D0D" w:themeColor="text1" w:themeTint="F2"/>
                <w:sz w:val="18"/>
              </w:rPr>
              <w:t xml:space="preserve">Totali i </w:t>
            </w:r>
            <w:r w:rsidR="009A5C55" w:rsidRPr="00770F9D">
              <w:rPr>
                <w:rFonts w:ascii="Garamond" w:eastAsia="Times New Roman" w:hAnsi="Garamond" w:cstheme="majorBidi"/>
                <w:bCs/>
                <w:color w:val="0D0D0D" w:themeColor="text1" w:themeTint="F2"/>
                <w:sz w:val="18"/>
              </w:rPr>
              <w:t>taksave kombëtare</w:t>
            </w:r>
          </w:p>
        </w:tc>
        <w:tc>
          <w:tcPr>
            <w:tcW w:w="1363" w:type="dxa"/>
            <w:shd w:val="clear" w:color="auto" w:fill="FFFFFF" w:themeFill="background1"/>
            <w:vAlign w:val="center"/>
            <w:hideMark/>
          </w:tcPr>
          <w:p w14:paraId="70055818" w14:textId="77777777" w:rsidR="00F468C9" w:rsidRPr="00770F9D" w:rsidRDefault="00F468C9" w:rsidP="00136D7D">
            <w:pPr>
              <w:jc w:val="right"/>
              <w:rPr>
                <w:rFonts w:ascii="Garamond" w:eastAsia="Times New Roman" w:hAnsi="Garamond" w:cstheme="majorBidi"/>
                <w:color w:val="0D0D0D" w:themeColor="text1" w:themeTint="F2"/>
                <w:sz w:val="18"/>
              </w:rPr>
            </w:pPr>
            <w:r w:rsidRPr="00770F9D">
              <w:rPr>
                <w:rFonts w:ascii="Garamond" w:eastAsia="Times New Roman" w:hAnsi="Garamond" w:cstheme="majorBidi"/>
                <w:color w:val="0D0D0D" w:themeColor="text1" w:themeTint="F2"/>
                <w:sz w:val="18"/>
              </w:rPr>
              <w:t>41,635</w:t>
            </w:r>
          </w:p>
        </w:tc>
        <w:tc>
          <w:tcPr>
            <w:tcW w:w="1690" w:type="dxa"/>
            <w:shd w:val="clear" w:color="auto" w:fill="FFFFFF" w:themeFill="background1"/>
            <w:vAlign w:val="center"/>
            <w:hideMark/>
          </w:tcPr>
          <w:p w14:paraId="181194BF" w14:textId="77777777" w:rsidR="00F468C9" w:rsidRPr="00770F9D" w:rsidRDefault="00F468C9" w:rsidP="00136D7D">
            <w:pPr>
              <w:jc w:val="right"/>
              <w:rPr>
                <w:rFonts w:ascii="Garamond" w:eastAsia="Times New Roman" w:hAnsi="Garamond" w:cstheme="majorBidi"/>
                <w:color w:val="0D0D0D" w:themeColor="text1" w:themeTint="F2"/>
                <w:sz w:val="18"/>
              </w:rPr>
            </w:pPr>
            <w:r w:rsidRPr="00770F9D">
              <w:rPr>
                <w:rFonts w:ascii="Garamond" w:eastAsia="Times New Roman" w:hAnsi="Garamond" w:cstheme="majorBidi"/>
                <w:color w:val="0D0D0D" w:themeColor="text1" w:themeTint="F2"/>
                <w:sz w:val="18"/>
              </w:rPr>
              <w:t>44,417</w:t>
            </w:r>
          </w:p>
        </w:tc>
        <w:tc>
          <w:tcPr>
            <w:tcW w:w="2027" w:type="dxa"/>
            <w:shd w:val="clear" w:color="auto" w:fill="FFFFFF" w:themeFill="background1"/>
            <w:vAlign w:val="center"/>
            <w:hideMark/>
          </w:tcPr>
          <w:p w14:paraId="758418F5" w14:textId="77777777" w:rsidR="00F468C9" w:rsidRPr="00770F9D" w:rsidRDefault="00F468C9" w:rsidP="00136D7D">
            <w:pPr>
              <w:jc w:val="right"/>
              <w:rPr>
                <w:rFonts w:ascii="Garamond" w:eastAsia="Times New Roman" w:hAnsi="Garamond" w:cstheme="majorBidi"/>
                <w:color w:val="0D0D0D" w:themeColor="text1" w:themeTint="F2"/>
                <w:sz w:val="18"/>
              </w:rPr>
            </w:pPr>
            <w:r w:rsidRPr="00770F9D">
              <w:rPr>
                <w:rFonts w:ascii="Garamond" w:eastAsia="Times New Roman" w:hAnsi="Garamond" w:cstheme="majorBidi"/>
                <w:color w:val="0D0D0D" w:themeColor="text1" w:themeTint="F2"/>
                <w:sz w:val="18"/>
              </w:rPr>
              <w:t>-2,782</w:t>
            </w:r>
          </w:p>
        </w:tc>
        <w:tc>
          <w:tcPr>
            <w:tcW w:w="1015" w:type="dxa"/>
            <w:shd w:val="clear" w:color="auto" w:fill="FFFFFF" w:themeFill="background1"/>
            <w:vAlign w:val="center"/>
            <w:hideMark/>
          </w:tcPr>
          <w:p w14:paraId="67BE6A55" w14:textId="77777777" w:rsidR="00F468C9" w:rsidRPr="00770F9D" w:rsidRDefault="00F468C9" w:rsidP="00136D7D">
            <w:pPr>
              <w:jc w:val="right"/>
              <w:rPr>
                <w:rFonts w:ascii="Garamond" w:eastAsia="Times New Roman" w:hAnsi="Garamond" w:cstheme="majorBidi"/>
                <w:color w:val="0D0D0D" w:themeColor="text1" w:themeTint="F2"/>
                <w:sz w:val="18"/>
              </w:rPr>
            </w:pPr>
            <w:r w:rsidRPr="00770F9D">
              <w:rPr>
                <w:rFonts w:ascii="Garamond" w:eastAsia="Times New Roman" w:hAnsi="Garamond" w:cstheme="majorBidi"/>
                <w:color w:val="0D0D0D" w:themeColor="text1" w:themeTint="F2"/>
                <w:sz w:val="18"/>
              </w:rPr>
              <w:t>-6.3%</w:t>
            </w:r>
          </w:p>
        </w:tc>
      </w:tr>
      <w:tr w:rsidR="00F468C9" w:rsidRPr="00770F9D" w14:paraId="1F8F4036" w14:textId="77777777" w:rsidTr="004669D1">
        <w:trPr>
          <w:trHeight w:val="20"/>
          <w:jc w:val="center"/>
        </w:trPr>
        <w:tc>
          <w:tcPr>
            <w:tcW w:w="3621" w:type="dxa"/>
            <w:shd w:val="clear" w:color="auto" w:fill="FFFFFF" w:themeFill="background1"/>
            <w:vAlign w:val="center"/>
            <w:hideMark/>
          </w:tcPr>
          <w:p w14:paraId="6423DB55" w14:textId="1E00D5BE" w:rsidR="00F468C9" w:rsidRPr="00770F9D" w:rsidRDefault="00F468C9" w:rsidP="006912D6">
            <w:pPr>
              <w:rPr>
                <w:rFonts w:ascii="Garamond" w:eastAsia="Times New Roman" w:hAnsi="Garamond" w:cstheme="majorBidi"/>
                <w:bCs/>
                <w:color w:val="0D0D0D" w:themeColor="text1" w:themeTint="F2"/>
                <w:sz w:val="18"/>
              </w:rPr>
            </w:pPr>
            <w:r w:rsidRPr="00770F9D">
              <w:rPr>
                <w:rFonts w:ascii="Garamond" w:eastAsia="Times New Roman" w:hAnsi="Garamond" w:cstheme="majorBidi"/>
                <w:bCs/>
                <w:color w:val="0D0D0D" w:themeColor="text1" w:themeTint="F2"/>
                <w:sz w:val="18"/>
              </w:rPr>
              <w:t xml:space="preserve">Taksa </w:t>
            </w:r>
            <w:r w:rsidR="009A5C55" w:rsidRPr="00770F9D">
              <w:rPr>
                <w:rFonts w:ascii="Garamond" w:eastAsia="Times New Roman" w:hAnsi="Garamond" w:cstheme="majorBidi"/>
                <w:bCs/>
                <w:color w:val="0D0D0D" w:themeColor="text1" w:themeTint="F2"/>
                <w:sz w:val="18"/>
              </w:rPr>
              <w:t>doganore</w:t>
            </w:r>
          </w:p>
        </w:tc>
        <w:tc>
          <w:tcPr>
            <w:tcW w:w="1363" w:type="dxa"/>
            <w:shd w:val="clear" w:color="auto" w:fill="FFFFFF" w:themeFill="background1"/>
            <w:vAlign w:val="center"/>
            <w:hideMark/>
          </w:tcPr>
          <w:p w14:paraId="4EA2463C" w14:textId="77777777" w:rsidR="00F468C9" w:rsidRPr="00770F9D" w:rsidRDefault="00F468C9" w:rsidP="00136D7D">
            <w:pPr>
              <w:jc w:val="right"/>
              <w:rPr>
                <w:rFonts w:ascii="Garamond" w:eastAsia="Times New Roman" w:hAnsi="Garamond" w:cstheme="majorBidi"/>
                <w:color w:val="0D0D0D" w:themeColor="text1" w:themeTint="F2"/>
                <w:sz w:val="18"/>
              </w:rPr>
            </w:pPr>
            <w:r w:rsidRPr="00770F9D">
              <w:rPr>
                <w:rFonts w:ascii="Garamond" w:eastAsia="Times New Roman" w:hAnsi="Garamond" w:cstheme="majorBidi"/>
                <w:color w:val="0D0D0D" w:themeColor="text1" w:themeTint="F2"/>
                <w:sz w:val="18"/>
              </w:rPr>
              <w:t>7,647</w:t>
            </w:r>
          </w:p>
        </w:tc>
        <w:tc>
          <w:tcPr>
            <w:tcW w:w="1690" w:type="dxa"/>
            <w:shd w:val="clear" w:color="auto" w:fill="FFFFFF" w:themeFill="background1"/>
            <w:vAlign w:val="center"/>
            <w:hideMark/>
          </w:tcPr>
          <w:p w14:paraId="426D5D63" w14:textId="77777777" w:rsidR="00F468C9" w:rsidRPr="00770F9D" w:rsidRDefault="00F468C9" w:rsidP="00136D7D">
            <w:pPr>
              <w:jc w:val="right"/>
              <w:rPr>
                <w:rFonts w:ascii="Garamond" w:eastAsia="Times New Roman" w:hAnsi="Garamond" w:cstheme="majorBidi"/>
                <w:color w:val="0D0D0D" w:themeColor="text1" w:themeTint="F2"/>
                <w:sz w:val="18"/>
              </w:rPr>
            </w:pPr>
            <w:r w:rsidRPr="00770F9D">
              <w:rPr>
                <w:rFonts w:ascii="Garamond" w:eastAsia="Times New Roman" w:hAnsi="Garamond" w:cstheme="majorBidi"/>
                <w:color w:val="0D0D0D" w:themeColor="text1" w:themeTint="F2"/>
                <w:sz w:val="18"/>
              </w:rPr>
              <w:t>7,679</w:t>
            </w:r>
          </w:p>
        </w:tc>
        <w:tc>
          <w:tcPr>
            <w:tcW w:w="2027" w:type="dxa"/>
            <w:shd w:val="clear" w:color="auto" w:fill="FFFFFF" w:themeFill="background1"/>
            <w:vAlign w:val="center"/>
            <w:hideMark/>
          </w:tcPr>
          <w:p w14:paraId="78A486E3" w14:textId="77777777" w:rsidR="00F468C9" w:rsidRPr="00770F9D" w:rsidRDefault="00F468C9" w:rsidP="00136D7D">
            <w:pPr>
              <w:jc w:val="right"/>
              <w:rPr>
                <w:rFonts w:ascii="Garamond" w:eastAsia="Times New Roman" w:hAnsi="Garamond" w:cstheme="majorBidi"/>
                <w:color w:val="0D0D0D" w:themeColor="text1" w:themeTint="F2"/>
                <w:sz w:val="18"/>
              </w:rPr>
            </w:pPr>
            <w:r w:rsidRPr="00770F9D">
              <w:rPr>
                <w:rFonts w:ascii="Garamond" w:eastAsia="Times New Roman" w:hAnsi="Garamond" w:cstheme="majorBidi"/>
                <w:color w:val="0D0D0D" w:themeColor="text1" w:themeTint="F2"/>
                <w:sz w:val="18"/>
              </w:rPr>
              <w:t>-32</w:t>
            </w:r>
          </w:p>
        </w:tc>
        <w:tc>
          <w:tcPr>
            <w:tcW w:w="1015" w:type="dxa"/>
            <w:shd w:val="clear" w:color="auto" w:fill="FFFFFF" w:themeFill="background1"/>
            <w:vAlign w:val="center"/>
            <w:hideMark/>
          </w:tcPr>
          <w:p w14:paraId="5AD7B031" w14:textId="77777777" w:rsidR="00F468C9" w:rsidRPr="00770F9D" w:rsidRDefault="00F468C9" w:rsidP="00136D7D">
            <w:pPr>
              <w:jc w:val="right"/>
              <w:rPr>
                <w:rFonts w:ascii="Garamond" w:eastAsia="Times New Roman" w:hAnsi="Garamond" w:cstheme="majorBidi"/>
                <w:color w:val="0D0D0D" w:themeColor="text1" w:themeTint="F2"/>
                <w:sz w:val="18"/>
              </w:rPr>
            </w:pPr>
            <w:r w:rsidRPr="00770F9D">
              <w:rPr>
                <w:rFonts w:ascii="Garamond" w:eastAsia="Times New Roman" w:hAnsi="Garamond" w:cstheme="majorBidi"/>
                <w:color w:val="0D0D0D" w:themeColor="text1" w:themeTint="F2"/>
                <w:sz w:val="18"/>
              </w:rPr>
              <w:t>-0.4%</w:t>
            </w:r>
          </w:p>
        </w:tc>
      </w:tr>
      <w:tr w:rsidR="00F468C9" w:rsidRPr="00770F9D" w14:paraId="5F6BB039" w14:textId="77777777" w:rsidTr="004669D1">
        <w:trPr>
          <w:trHeight w:val="20"/>
          <w:jc w:val="center"/>
        </w:trPr>
        <w:tc>
          <w:tcPr>
            <w:tcW w:w="3621" w:type="dxa"/>
            <w:shd w:val="clear" w:color="auto" w:fill="FFFFFF" w:themeFill="background1"/>
            <w:vAlign w:val="center"/>
            <w:hideMark/>
          </w:tcPr>
          <w:p w14:paraId="559F2D7C" w14:textId="77777777" w:rsidR="00F468C9" w:rsidRPr="00770F9D" w:rsidRDefault="00F468C9" w:rsidP="006912D6">
            <w:pPr>
              <w:rPr>
                <w:rFonts w:ascii="Garamond" w:eastAsia="Times New Roman" w:hAnsi="Garamond" w:cstheme="majorBidi"/>
                <w:b/>
                <w:bCs/>
                <w:color w:val="0D0D0D" w:themeColor="text1" w:themeTint="F2"/>
                <w:sz w:val="18"/>
              </w:rPr>
            </w:pPr>
            <w:r w:rsidRPr="00770F9D">
              <w:rPr>
                <w:rFonts w:ascii="Garamond" w:eastAsia="Times New Roman" w:hAnsi="Garamond" w:cstheme="majorBidi"/>
                <w:b/>
                <w:bCs/>
                <w:color w:val="0D0D0D" w:themeColor="text1" w:themeTint="F2"/>
                <w:sz w:val="18"/>
              </w:rPr>
              <w:t>TOTALI TAKSA + DOGANA</w:t>
            </w:r>
          </w:p>
        </w:tc>
        <w:tc>
          <w:tcPr>
            <w:tcW w:w="1363" w:type="dxa"/>
            <w:shd w:val="clear" w:color="auto" w:fill="FFFFFF" w:themeFill="background1"/>
            <w:vAlign w:val="center"/>
            <w:hideMark/>
          </w:tcPr>
          <w:p w14:paraId="56A0CE07" w14:textId="77777777" w:rsidR="00F468C9" w:rsidRPr="00770F9D" w:rsidRDefault="00F468C9" w:rsidP="00136D7D">
            <w:pPr>
              <w:jc w:val="right"/>
              <w:rPr>
                <w:rFonts w:ascii="Garamond" w:eastAsia="Times New Roman" w:hAnsi="Garamond" w:cstheme="majorBidi"/>
                <w:b/>
                <w:bCs/>
                <w:color w:val="0D0D0D" w:themeColor="text1" w:themeTint="F2"/>
                <w:sz w:val="18"/>
              </w:rPr>
            </w:pPr>
            <w:r w:rsidRPr="00770F9D">
              <w:rPr>
                <w:rFonts w:ascii="Garamond" w:eastAsia="Times New Roman" w:hAnsi="Garamond" w:cstheme="majorBidi"/>
                <w:b/>
                <w:bCs/>
                <w:color w:val="0D0D0D" w:themeColor="text1" w:themeTint="F2"/>
                <w:sz w:val="18"/>
              </w:rPr>
              <w:t>356,807</w:t>
            </w:r>
          </w:p>
        </w:tc>
        <w:tc>
          <w:tcPr>
            <w:tcW w:w="1690" w:type="dxa"/>
            <w:shd w:val="clear" w:color="auto" w:fill="FFFFFF" w:themeFill="background1"/>
            <w:vAlign w:val="center"/>
            <w:hideMark/>
          </w:tcPr>
          <w:p w14:paraId="720CD687" w14:textId="77777777" w:rsidR="00F468C9" w:rsidRPr="00770F9D" w:rsidRDefault="00F468C9" w:rsidP="00136D7D">
            <w:pPr>
              <w:jc w:val="right"/>
              <w:rPr>
                <w:rFonts w:ascii="Garamond" w:eastAsia="Times New Roman" w:hAnsi="Garamond" w:cstheme="majorBidi"/>
                <w:b/>
                <w:bCs/>
                <w:color w:val="0D0D0D" w:themeColor="text1" w:themeTint="F2"/>
                <w:sz w:val="18"/>
              </w:rPr>
            </w:pPr>
            <w:r w:rsidRPr="00770F9D">
              <w:rPr>
                <w:rFonts w:ascii="Garamond" w:eastAsia="Times New Roman" w:hAnsi="Garamond" w:cstheme="majorBidi"/>
                <w:b/>
                <w:bCs/>
                <w:color w:val="0D0D0D" w:themeColor="text1" w:themeTint="F2"/>
                <w:sz w:val="18"/>
              </w:rPr>
              <w:t>356,419</w:t>
            </w:r>
          </w:p>
        </w:tc>
        <w:tc>
          <w:tcPr>
            <w:tcW w:w="2027" w:type="dxa"/>
            <w:shd w:val="clear" w:color="auto" w:fill="FFFFFF" w:themeFill="background1"/>
            <w:vAlign w:val="center"/>
            <w:hideMark/>
          </w:tcPr>
          <w:p w14:paraId="718F0023" w14:textId="77777777" w:rsidR="00F468C9" w:rsidRPr="00770F9D" w:rsidRDefault="00F468C9" w:rsidP="00136D7D">
            <w:pPr>
              <w:jc w:val="right"/>
              <w:rPr>
                <w:rFonts w:ascii="Garamond" w:eastAsia="Times New Roman" w:hAnsi="Garamond" w:cstheme="majorBidi"/>
                <w:b/>
                <w:bCs/>
                <w:color w:val="0D0D0D" w:themeColor="text1" w:themeTint="F2"/>
                <w:sz w:val="18"/>
              </w:rPr>
            </w:pPr>
            <w:r w:rsidRPr="00770F9D">
              <w:rPr>
                <w:rFonts w:ascii="Garamond" w:eastAsia="Times New Roman" w:hAnsi="Garamond" w:cstheme="majorBidi"/>
                <w:b/>
                <w:bCs/>
                <w:color w:val="0D0D0D" w:themeColor="text1" w:themeTint="F2"/>
                <w:sz w:val="18"/>
              </w:rPr>
              <w:t>388</w:t>
            </w:r>
          </w:p>
        </w:tc>
        <w:tc>
          <w:tcPr>
            <w:tcW w:w="1015" w:type="dxa"/>
            <w:shd w:val="clear" w:color="auto" w:fill="FFFFFF" w:themeFill="background1"/>
            <w:vAlign w:val="center"/>
            <w:hideMark/>
          </w:tcPr>
          <w:p w14:paraId="16052BBD" w14:textId="77777777" w:rsidR="00F468C9" w:rsidRPr="00770F9D" w:rsidRDefault="00F468C9" w:rsidP="00136D7D">
            <w:pPr>
              <w:jc w:val="right"/>
              <w:rPr>
                <w:rFonts w:ascii="Garamond" w:eastAsia="Times New Roman" w:hAnsi="Garamond" w:cstheme="majorBidi"/>
                <w:b/>
                <w:bCs/>
                <w:color w:val="0D0D0D" w:themeColor="text1" w:themeTint="F2"/>
                <w:sz w:val="18"/>
              </w:rPr>
            </w:pPr>
            <w:r w:rsidRPr="00770F9D">
              <w:rPr>
                <w:rFonts w:ascii="Garamond" w:eastAsia="Times New Roman" w:hAnsi="Garamond" w:cstheme="majorBidi"/>
                <w:b/>
                <w:bCs/>
                <w:color w:val="0D0D0D" w:themeColor="text1" w:themeTint="F2"/>
                <w:sz w:val="18"/>
              </w:rPr>
              <w:t>0.1%</w:t>
            </w:r>
          </w:p>
        </w:tc>
      </w:tr>
      <w:tr w:rsidR="00F468C9" w:rsidRPr="00770F9D" w14:paraId="4AB38F65" w14:textId="77777777" w:rsidTr="004669D1">
        <w:trPr>
          <w:trHeight w:val="20"/>
          <w:jc w:val="center"/>
        </w:trPr>
        <w:tc>
          <w:tcPr>
            <w:tcW w:w="3621" w:type="dxa"/>
            <w:shd w:val="clear" w:color="auto" w:fill="FFFFFF" w:themeFill="background1"/>
            <w:vAlign w:val="center"/>
            <w:hideMark/>
          </w:tcPr>
          <w:p w14:paraId="41546E3F" w14:textId="77777777" w:rsidR="00F468C9" w:rsidRPr="00770F9D" w:rsidRDefault="00F468C9" w:rsidP="006912D6">
            <w:pPr>
              <w:rPr>
                <w:rFonts w:ascii="Garamond" w:eastAsia="Times New Roman" w:hAnsi="Garamond" w:cstheme="majorBidi"/>
                <w:bCs/>
                <w:color w:val="0D0D0D" w:themeColor="text1" w:themeTint="F2"/>
                <w:sz w:val="18"/>
              </w:rPr>
            </w:pPr>
            <w:r w:rsidRPr="00770F9D">
              <w:rPr>
                <w:rFonts w:ascii="Garamond" w:eastAsia="Times New Roman" w:hAnsi="Garamond" w:cstheme="majorBidi"/>
                <w:bCs/>
                <w:color w:val="0D0D0D" w:themeColor="text1" w:themeTint="F2"/>
                <w:sz w:val="18"/>
              </w:rPr>
              <w:t xml:space="preserve">Kontributet e mbledhura </w:t>
            </w:r>
          </w:p>
        </w:tc>
        <w:tc>
          <w:tcPr>
            <w:tcW w:w="1363" w:type="dxa"/>
            <w:shd w:val="clear" w:color="auto" w:fill="FFFFFF" w:themeFill="background1"/>
            <w:vAlign w:val="center"/>
            <w:hideMark/>
          </w:tcPr>
          <w:p w14:paraId="5F16442C" w14:textId="77777777" w:rsidR="00F468C9" w:rsidRPr="00770F9D" w:rsidRDefault="00F468C9" w:rsidP="00136D7D">
            <w:pPr>
              <w:jc w:val="right"/>
              <w:rPr>
                <w:rFonts w:ascii="Garamond" w:eastAsia="Times New Roman" w:hAnsi="Garamond" w:cstheme="majorBidi"/>
                <w:color w:val="0D0D0D" w:themeColor="text1" w:themeTint="F2"/>
                <w:sz w:val="18"/>
              </w:rPr>
            </w:pPr>
            <w:r w:rsidRPr="00770F9D">
              <w:rPr>
                <w:rFonts w:ascii="Garamond" w:eastAsia="Times New Roman" w:hAnsi="Garamond" w:cstheme="majorBidi"/>
                <w:color w:val="0D0D0D" w:themeColor="text1" w:themeTint="F2"/>
                <w:sz w:val="18"/>
              </w:rPr>
              <w:t>108,301</w:t>
            </w:r>
          </w:p>
        </w:tc>
        <w:tc>
          <w:tcPr>
            <w:tcW w:w="1690" w:type="dxa"/>
            <w:shd w:val="clear" w:color="auto" w:fill="FFFFFF" w:themeFill="background1"/>
            <w:vAlign w:val="center"/>
            <w:hideMark/>
          </w:tcPr>
          <w:p w14:paraId="74422B4A" w14:textId="77777777" w:rsidR="00F468C9" w:rsidRPr="00770F9D" w:rsidRDefault="00F468C9" w:rsidP="00136D7D">
            <w:pPr>
              <w:jc w:val="right"/>
              <w:rPr>
                <w:rFonts w:ascii="Garamond" w:eastAsia="Times New Roman" w:hAnsi="Garamond" w:cstheme="majorBidi"/>
                <w:color w:val="0D0D0D" w:themeColor="text1" w:themeTint="F2"/>
                <w:sz w:val="18"/>
              </w:rPr>
            </w:pPr>
            <w:r w:rsidRPr="00770F9D">
              <w:rPr>
                <w:rFonts w:ascii="Garamond" w:eastAsia="Times New Roman" w:hAnsi="Garamond" w:cstheme="majorBidi"/>
                <w:color w:val="0D0D0D" w:themeColor="text1" w:themeTint="F2"/>
                <w:sz w:val="18"/>
              </w:rPr>
              <w:t>104,547</w:t>
            </w:r>
          </w:p>
        </w:tc>
        <w:tc>
          <w:tcPr>
            <w:tcW w:w="2027" w:type="dxa"/>
            <w:shd w:val="clear" w:color="auto" w:fill="FFFFFF" w:themeFill="background1"/>
            <w:vAlign w:val="center"/>
            <w:hideMark/>
          </w:tcPr>
          <w:p w14:paraId="2983B7E3" w14:textId="77777777" w:rsidR="00F468C9" w:rsidRPr="00770F9D" w:rsidRDefault="00F468C9" w:rsidP="00136D7D">
            <w:pPr>
              <w:jc w:val="right"/>
              <w:rPr>
                <w:rFonts w:ascii="Garamond" w:eastAsia="Times New Roman" w:hAnsi="Garamond" w:cstheme="majorBidi"/>
                <w:color w:val="0D0D0D" w:themeColor="text1" w:themeTint="F2"/>
                <w:sz w:val="18"/>
              </w:rPr>
            </w:pPr>
            <w:r w:rsidRPr="00770F9D">
              <w:rPr>
                <w:rFonts w:ascii="Garamond" w:eastAsia="Times New Roman" w:hAnsi="Garamond" w:cstheme="majorBidi"/>
                <w:color w:val="0D0D0D" w:themeColor="text1" w:themeTint="F2"/>
                <w:sz w:val="18"/>
              </w:rPr>
              <w:t>3,754</w:t>
            </w:r>
          </w:p>
        </w:tc>
        <w:tc>
          <w:tcPr>
            <w:tcW w:w="1015" w:type="dxa"/>
            <w:shd w:val="clear" w:color="auto" w:fill="FFFFFF" w:themeFill="background1"/>
            <w:vAlign w:val="center"/>
            <w:hideMark/>
          </w:tcPr>
          <w:p w14:paraId="3D3238A3" w14:textId="77777777" w:rsidR="00F468C9" w:rsidRPr="00770F9D" w:rsidRDefault="00F468C9" w:rsidP="00136D7D">
            <w:pPr>
              <w:jc w:val="right"/>
              <w:rPr>
                <w:rFonts w:ascii="Garamond" w:eastAsia="Times New Roman" w:hAnsi="Garamond" w:cstheme="majorBidi"/>
                <w:color w:val="0D0D0D" w:themeColor="text1" w:themeTint="F2"/>
                <w:sz w:val="18"/>
              </w:rPr>
            </w:pPr>
            <w:r w:rsidRPr="00770F9D">
              <w:rPr>
                <w:rFonts w:ascii="Garamond" w:eastAsia="Times New Roman" w:hAnsi="Garamond" w:cstheme="majorBidi"/>
                <w:color w:val="0D0D0D" w:themeColor="text1" w:themeTint="F2"/>
                <w:sz w:val="18"/>
              </w:rPr>
              <w:t>3.6%</w:t>
            </w:r>
          </w:p>
        </w:tc>
      </w:tr>
      <w:tr w:rsidR="00F468C9" w:rsidRPr="00770F9D" w14:paraId="3A6088A1" w14:textId="77777777" w:rsidTr="004669D1">
        <w:trPr>
          <w:trHeight w:val="20"/>
          <w:jc w:val="center"/>
        </w:trPr>
        <w:tc>
          <w:tcPr>
            <w:tcW w:w="3621" w:type="dxa"/>
            <w:shd w:val="clear" w:color="auto" w:fill="FFFFFF" w:themeFill="background1"/>
            <w:vAlign w:val="center"/>
            <w:hideMark/>
          </w:tcPr>
          <w:p w14:paraId="6590E8C9" w14:textId="60053A40" w:rsidR="00F468C9" w:rsidRPr="00770F9D" w:rsidRDefault="00F468C9" w:rsidP="006912D6">
            <w:pPr>
              <w:rPr>
                <w:rFonts w:ascii="Garamond" w:eastAsia="Times New Roman" w:hAnsi="Garamond" w:cstheme="majorBidi"/>
                <w:b/>
                <w:bCs/>
                <w:color w:val="0D0D0D" w:themeColor="text1" w:themeTint="F2"/>
                <w:sz w:val="18"/>
              </w:rPr>
            </w:pPr>
            <w:r w:rsidRPr="00770F9D">
              <w:rPr>
                <w:rFonts w:ascii="Garamond" w:eastAsia="Times New Roman" w:hAnsi="Garamond" w:cstheme="majorBidi"/>
                <w:b/>
                <w:bCs/>
                <w:color w:val="0D0D0D" w:themeColor="text1" w:themeTint="F2"/>
                <w:sz w:val="18"/>
              </w:rPr>
              <w:t>TOTALI DPD + DPT (</w:t>
            </w:r>
            <w:r w:rsidR="009A5C55" w:rsidRPr="00770F9D">
              <w:rPr>
                <w:rFonts w:ascii="Garamond" w:eastAsia="Times New Roman" w:hAnsi="Garamond" w:cstheme="majorBidi"/>
                <w:b/>
                <w:bCs/>
                <w:color w:val="0D0D0D" w:themeColor="text1" w:themeTint="F2"/>
                <w:sz w:val="18"/>
              </w:rPr>
              <w:t>kontribute</w:t>
            </w:r>
            <w:r w:rsidRPr="00770F9D">
              <w:rPr>
                <w:rFonts w:ascii="Garamond" w:eastAsia="Times New Roman" w:hAnsi="Garamond" w:cstheme="majorBidi"/>
                <w:b/>
                <w:bCs/>
                <w:color w:val="0D0D0D" w:themeColor="text1" w:themeTint="F2"/>
                <w:sz w:val="18"/>
              </w:rPr>
              <w:t>)</w:t>
            </w:r>
          </w:p>
        </w:tc>
        <w:tc>
          <w:tcPr>
            <w:tcW w:w="1363" w:type="dxa"/>
            <w:shd w:val="clear" w:color="auto" w:fill="FFFFFF" w:themeFill="background1"/>
            <w:vAlign w:val="center"/>
            <w:hideMark/>
          </w:tcPr>
          <w:p w14:paraId="033F51B9" w14:textId="77777777" w:rsidR="00F468C9" w:rsidRPr="00770F9D" w:rsidRDefault="00F468C9" w:rsidP="00136D7D">
            <w:pPr>
              <w:jc w:val="right"/>
              <w:rPr>
                <w:rFonts w:ascii="Garamond" w:eastAsia="Times New Roman" w:hAnsi="Garamond" w:cstheme="majorBidi"/>
                <w:b/>
                <w:bCs/>
                <w:color w:val="0D0D0D" w:themeColor="text1" w:themeTint="F2"/>
                <w:sz w:val="18"/>
              </w:rPr>
            </w:pPr>
            <w:r w:rsidRPr="00770F9D">
              <w:rPr>
                <w:rFonts w:ascii="Garamond" w:eastAsia="Times New Roman" w:hAnsi="Garamond" w:cstheme="majorBidi"/>
                <w:b/>
                <w:bCs/>
                <w:color w:val="0D0D0D" w:themeColor="text1" w:themeTint="F2"/>
                <w:sz w:val="18"/>
              </w:rPr>
              <w:t>465,108</w:t>
            </w:r>
          </w:p>
        </w:tc>
        <w:tc>
          <w:tcPr>
            <w:tcW w:w="1690" w:type="dxa"/>
            <w:shd w:val="clear" w:color="auto" w:fill="FFFFFF" w:themeFill="background1"/>
            <w:vAlign w:val="center"/>
            <w:hideMark/>
          </w:tcPr>
          <w:p w14:paraId="2F2ECC7F" w14:textId="77777777" w:rsidR="00F468C9" w:rsidRPr="00770F9D" w:rsidRDefault="00F468C9" w:rsidP="00136D7D">
            <w:pPr>
              <w:jc w:val="right"/>
              <w:rPr>
                <w:rFonts w:ascii="Garamond" w:eastAsia="Times New Roman" w:hAnsi="Garamond" w:cstheme="majorBidi"/>
                <w:b/>
                <w:bCs/>
                <w:color w:val="0D0D0D" w:themeColor="text1" w:themeTint="F2"/>
                <w:sz w:val="18"/>
              </w:rPr>
            </w:pPr>
            <w:r w:rsidRPr="00770F9D">
              <w:rPr>
                <w:rFonts w:ascii="Garamond" w:eastAsia="Times New Roman" w:hAnsi="Garamond" w:cstheme="majorBidi"/>
                <w:b/>
                <w:bCs/>
                <w:color w:val="0D0D0D" w:themeColor="text1" w:themeTint="F2"/>
                <w:sz w:val="18"/>
              </w:rPr>
              <w:t>460,966</w:t>
            </w:r>
          </w:p>
        </w:tc>
        <w:tc>
          <w:tcPr>
            <w:tcW w:w="2027" w:type="dxa"/>
            <w:shd w:val="clear" w:color="auto" w:fill="FFFFFF" w:themeFill="background1"/>
            <w:vAlign w:val="center"/>
            <w:hideMark/>
          </w:tcPr>
          <w:p w14:paraId="3167F703" w14:textId="77777777" w:rsidR="00F468C9" w:rsidRPr="00770F9D" w:rsidRDefault="00F468C9" w:rsidP="00136D7D">
            <w:pPr>
              <w:jc w:val="right"/>
              <w:rPr>
                <w:rFonts w:ascii="Garamond" w:eastAsia="Times New Roman" w:hAnsi="Garamond" w:cstheme="majorBidi"/>
                <w:b/>
                <w:bCs/>
                <w:color w:val="0D0D0D" w:themeColor="text1" w:themeTint="F2"/>
                <w:sz w:val="18"/>
              </w:rPr>
            </w:pPr>
            <w:r w:rsidRPr="00770F9D">
              <w:rPr>
                <w:rFonts w:ascii="Garamond" w:eastAsia="Times New Roman" w:hAnsi="Garamond" w:cstheme="majorBidi"/>
                <w:b/>
                <w:bCs/>
                <w:color w:val="0D0D0D" w:themeColor="text1" w:themeTint="F2"/>
                <w:sz w:val="18"/>
              </w:rPr>
              <w:t>4,142</w:t>
            </w:r>
          </w:p>
        </w:tc>
        <w:tc>
          <w:tcPr>
            <w:tcW w:w="1015" w:type="dxa"/>
            <w:shd w:val="clear" w:color="auto" w:fill="FFFFFF" w:themeFill="background1"/>
            <w:vAlign w:val="center"/>
            <w:hideMark/>
          </w:tcPr>
          <w:p w14:paraId="7C7BF485" w14:textId="77777777" w:rsidR="00F468C9" w:rsidRPr="00770F9D" w:rsidRDefault="00F468C9" w:rsidP="00136D7D">
            <w:pPr>
              <w:jc w:val="right"/>
              <w:rPr>
                <w:rFonts w:ascii="Garamond" w:eastAsia="Times New Roman" w:hAnsi="Garamond" w:cstheme="majorBidi"/>
                <w:b/>
                <w:bCs/>
                <w:color w:val="0D0D0D" w:themeColor="text1" w:themeTint="F2"/>
                <w:sz w:val="18"/>
              </w:rPr>
            </w:pPr>
            <w:r w:rsidRPr="00770F9D">
              <w:rPr>
                <w:rFonts w:ascii="Garamond" w:eastAsia="Times New Roman" w:hAnsi="Garamond" w:cstheme="majorBidi"/>
                <w:b/>
                <w:bCs/>
                <w:color w:val="0D0D0D" w:themeColor="text1" w:themeTint="F2"/>
                <w:sz w:val="18"/>
              </w:rPr>
              <w:t>0.9%</w:t>
            </w:r>
          </w:p>
        </w:tc>
      </w:tr>
    </w:tbl>
    <w:p w14:paraId="24665B23" w14:textId="0EC2223E" w:rsidR="00F468C9" w:rsidRPr="00770F9D" w:rsidRDefault="00F468C9" w:rsidP="009A5C55">
      <w:pPr>
        <w:ind w:firstLine="284"/>
        <w:jc w:val="center"/>
        <w:rPr>
          <w:rFonts w:ascii="Garamond" w:eastAsia="Arial Narrow" w:hAnsi="Garamond" w:cstheme="majorBidi"/>
          <w:i/>
          <w:iCs/>
          <w:color w:val="0D0D0D" w:themeColor="text1" w:themeTint="F2"/>
          <w:sz w:val="20"/>
          <w:szCs w:val="20"/>
        </w:rPr>
      </w:pPr>
      <w:r w:rsidRPr="00770F9D">
        <w:rPr>
          <w:rFonts w:ascii="Garamond" w:eastAsia="Arial Narrow" w:hAnsi="Garamond" w:cstheme="majorBidi"/>
          <w:i/>
          <w:iCs/>
          <w:color w:val="0D0D0D" w:themeColor="text1" w:themeTint="F2"/>
          <w:sz w:val="20"/>
          <w:szCs w:val="20"/>
        </w:rPr>
        <w:t xml:space="preserve">Burimi: Ministria e </w:t>
      </w:r>
      <w:r w:rsidR="009A5C55" w:rsidRPr="00770F9D">
        <w:rPr>
          <w:rFonts w:ascii="Garamond" w:eastAsia="Arial Narrow" w:hAnsi="Garamond" w:cstheme="majorBidi"/>
          <w:i/>
          <w:iCs/>
          <w:color w:val="0D0D0D" w:themeColor="text1" w:themeTint="F2"/>
          <w:sz w:val="20"/>
          <w:szCs w:val="20"/>
        </w:rPr>
        <w:t>Financave</w:t>
      </w:r>
      <w:r w:rsidRPr="00770F9D">
        <w:rPr>
          <w:rFonts w:ascii="Garamond" w:eastAsia="Arial Narrow" w:hAnsi="Garamond" w:cstheme="majorBidi"/>
          <w:i/>
          <w:iCs/>
          <w:color w:val="0D0D0D" w:themeColor="text1" w:themeTint="F2"/>
          <w:sz w:val="20"/>
          <w:szCs w:val="20"/>
        </w:rPr>
        <w:t xml:space="preserve"> dhe Ekonomisë (2022)</w:t>
      </w:r>
    </w:p>
    <w:p w14:paraId="48A86FAD" w14:textId="77777777" w:rsidR="009A5C55" w:rsidRPr="00770F9D" w:rsidRDefault="009A5C55" w:rsidP="009A5C55">
      <w:pPr>
        <w:ind w:firstLine="284"/>
        <w:jc w:val="center"/>
        <w:rPr>
          <w:rFonts w:ascii="Garamond" w:eastAsia="Arial Narrow" w:hAnsi="Garamond" w:cstheme="majorBidi"/>
          <w:i/>
          <w:iCs/>
          <w:color w:val="0D0D0D" w:themeColor="text1" w:themeTint="F2"/>
          <w:sz w:val="20"/>
          <w:szCs w:val="20"/>
        </w:rPr>
      </w:pPr>
    </w:p>
    <w:p w14:paraId="51F98C6D" w14:textId="77777777"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Faktorët kryesorë që kanë ndikuar në ecurinë pozitive 11-mujore kundrejt planit janë:</w:t>
      </w:r>
    </w:p>
    <w:p w14:paraId="6D8D067D" w14:textId="3C2706A9"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Rritja e çmimit të karburanteve dhe energjisë elektrike si pasojë e luftës në Ukrainë.</w:t>
      </w:r>
    </w:p>
    <w:p w14:paraId="563EE1E5" w14:textId="276BD632"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Rritja e të ardhurave nga turizmi dhe të gjithë sektorëve të tjerë të ekonomisë që lidhen drejtpërdrejt ose indirekt me turizmin, ndikuan pozitivisht në rritjen ekonomike dhe të ardhurat që ekonomia ka krijuar për buxhetin e shtetit.</w:t>
      </w:r>
    </w:p>
    <w:p w14:paraId="456CEB07" w14:textId="2C10F0C0"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Niveli i lartë i inflacionit.</w:t>
      </w:r>
    </w:p>
    <w:p w14:paraId="7E814767" w14:textId="20DC4D5C"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Ecuria pozitive e sektorit të ndërtimit që kanë rritur xhiron, importet, prodhimin </w:t>
      </w:r>
      <w:r w:rsidR="002A4878" w:rsidRPr="00770F9D">
        <w:rPr>
          <w:rFonts w:ascii="Garamond" w:hAnsi="Garamond" w:cs="Garamond"/>
          <w:color w:val="0D0D0D"/>
          <w:lang w:eastAsia="sq-AL"/>
        </w:rPr>
        <w:t>vendës</w:t>
      </w:r>
      <w:r w:rsidRPr="00770F9D">
        <w:rPr>
          <w:rFonts w:ascii="Garamond" w:hAnsi="Garamond" w:cs="Garamond"/>
          <w:color w:val="0D0D0D"/>
          <w:lang w:eastAsia="sq-AL"/>
        </w:rPr>
        <w:t xml:space="preserve"> dhe të ardhurat buxhetore.</w:t>
      </w:r>
    </w:p>
    <w:p w14:paraId="6DC34EA9" w14:textId="11DE5BEF"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b/>
          <w:color w:val="0D0D0D" w:themeColor="text1" w:themeTint="F2"/>
        </w:rPr>
        <w:t>Të ardhurat nga Drejtoria e Përgjithshme e Doganave</w:t>
      </w:r>
      <w:r w:rsidRPr="00770F9D">
        <w:rPr>
          <w:rFonts w:ascii="Garamond" w:hAnsi="Garamond" w:cstheme="majorBidi"/>
          <w:color w:val="0D0D0D" w:themeColor="text1" w:themeTint="F2"/>
        </w:rPr>
        <w:t xml:space="preserve"> arritën në 201,1 miliardë lekë, me një realizim prej 100.6% të planit. Krahasuar me të njëjtën periudhë të </w:t>
      </w:r>
      <w:r w:rsidR="00136D7D" w:rsidRPr="00770F9D">
        <w:rPr>
          <w:rFonts w:ascii="Garamond" w:hAnsi="Garamond" w:cstheme="majorBidi"/>
          <w:color w:val="0D0D0D" w:themeColor="text1" w:themeTint="F2"/>
        </w:rPr>
        <w:t>vitit 2021, janë arkëtuar 16.7%</w:t>
      </w:r>
      <w:r w:rsidRPr="00770F9D">
        <w:rPr>
          <w:rFonts w:ascii="Garamond" w:hAnsi="Garamond" w:cstheme="majorBidi"/>
          <w:color w:val="0D0D0D" w:themeColor="text1" w:themeTint="F2"/>
        </w:rPr>
        <w:t xml:space="preserve"> ose 28,8 miliardë lekë më shumë.</w:t>
      </w:r>
    </w:p>
    <w:p w14:paraId="1A798956" w14:textId="77777777" w:rsidR="00136D7D" w:rsidRPr="00770F9D" w:rsidRDefault="00136D7D" w:rsidP="00136D7D">
      <w:pPr>
        <w:jc w:val="center"/>
        <w:rPr>
          <w:rFonts w:ascii="Garamond" w:eastAsia="Times New Roman" w:hAnsi="Garamond" w:cstheme="majorBidi"/>
          <w:color w:val="0D0D0D" w:themeColor="text1" w:themeTint="F2"/>
        </w:rPr>
      </w:pPr>
    </w:p>
    <w:p w14:paraId="3495FADA" w14:textId="77777777" w:rsidR="00F468C9" w:rsidRPr="00770F9D" w:rsidRDefault="00F468C9" w:rsidP="00136D7D">
      <w:pPr>
        <w:jc w:val="center"/>
        <w:rPr>
          <w:rFonts w:ascii="Garamond" w:hAnsi="Garamond" w:cstheme="majorBidi"/>
          <w:i/>
          <w:iCs/>
          <w:color w:val="0D0D0D" w:themeColor="text1" w:themeTint="F2"/>
          <w:sz w:val="20"/>
          <w:szCs w:val="20"/>
        </w:rPr>
      </w:pPr>
      <w:r w:rsidRPr="00770F9D">
        <w:rPr>
          <w:rFonts w:ascii="Garamond" w:eastAsia="Times New Roman" w:hAnsi="Garamond" w:cstheme="majorBidi"/>
          <w:b/>
          <w:bCs/>
          <w:i/>
          <w:iCs/>
          <w:color w:val="0D0D0D" w:themeColor="text1" w:themeTint="F2"/>
          <w:sz w:val="20"/>
          <w:szCs w:val="20"/>
        </w:rPr>
        <w:t>Tabela 4.2.2:</w:t>
      </w:r>
      <w:r w:rsidRPr="00770F9D">
        <w:rPr>
          <w:rFonts w:ascii="Garamond" w:eastAsia="Times New Roman" w:hAnsi="Garamond" w:cstheme="majorBidi"/>
          <w:i/>
          <w:iCs/>
          <w:color w:val="0D0D0D" w:themeColor="text1" w:themeTint="F2"/>
          <w:sz w:val="20"/>
          <w:szCs w:val="20"/>
        </w:rPr>
        <w:t xml:space="preserve"> </w:t>
      </w:r>
      <w:r w:rsidRPr="00770F9D">
        <w:rPr>
          <w:rFonts w:ascii="Garamond" w:hAnsi="Garamond" w:cstheme="majorBidi"/>
          <w:i/>
          <w:iCs/>
          <w:color w:val="0D0D0D" w:themeColor="text1" w:themeTint="F2"/>
          <w:sz w:val="20"/>
          <w:szCs w:val="20"/>
        </w:rPr>
        <w:t>Të ardhurat e mbledhura nga Drejtoria e Përgjithshme e Doganave</w:t>
      </w:r>
    </w:p>
    <w:p w14:paraId="78C546D9" w14:textId="46567A66" w:rsidR="00F468C9" w:rsidRPr="00770F9D" w:rsidRDefault="00F468C9" w:rsidP="00136D7D">
      <w:pPr>
        <w:ind w:firstLine="284"/>
        <w:jc w:val="right"/>
        <w:rPr>
          <w:rFonts w:ascii="Garamond" w:eastAsia="Times New Roman" w:hAnsi="Garamond" w:cstheme="majorBidi"/>
          <w:i/>
          <w:iCs/>
          <w:color w:val="0D0D0D" w:themeColor="text1" w:themeTint="F2"/>
          <w:sz w:val="20"/>
          <w:szCs w:val="20"/>
        </w:rPr>
      </w:pPr>
      <w:r w:rsidRPr="00770F9D">
        <w:rPr>
          <w:rFonts w:ascii="Garamond" w:eastAsia="Times New Roman" w:hAnsi="Garamond" w:cstheme="majorBidi"/>
          <w:i/>
          <w:iCs/>
          <w:color w:val="0D0D0D" w:themeColor="text1" w:themeTint="F2"/>
          <w:sz w:val="20"/>
          <w:szCs w:val="20"/>
        </w:rPr>
        <w:t>(</w:t>
      </w:r>
      <w:r w:rsidR="000F4E5B">
        <w:rPr>
          <w:rFonts w:ascii="Garamond" w:hAnsi="Garamond" w:cstheme="majorBidi"/>
          <w:i/>
          <w:iCs/>
          <w:color w:val="0D0D0D" w:themeColor="text1" w:themeTint="F2"/>
          <w:sz w:val="20"/>
          <w:szCs w:val="20"/>
        </w:rPr>
        <w:t>në milion lek</w:t>
      </w:r>
      <w:r w:rsidRPr="00770F9D">
        <w:rPr>
          <w:rFonts w:ascii="Garamond" w:eastAsia="Times New Roman" w:hAnsi="Garamond" w:cstheme="majorBidi"/>
          <w:i/>
          <w:iCs/>
          <w:color w:val="0D0D0D" w:themeColor="text1" w:themeTint="F2"/>
          <w:sz w:val="20"/>
          <w:szCs w:val="20"/>
        </w:rPr>
        <w:t>)</w:t>
      </w:r>
    </w:p>
    <w:tbl>
      <w:tblPr>
        <w:tblW w:w="9238" w:type="dxa"/>
        <w:jc w:val="center"/>
        <w:shd w:val="clear" w:color="auto" w:fill="FFFFFF" w:themeFill="background1"/>
        <w:tblLook w:val="04A0" w:firstRow="1" w:lastRow="0" w:firstColumn="1" w:lastColumn="0" w:noHBand="0" w:noVBand="1"/>
      </w:tblPr>
      <w:tblGrid>
        <w:gridCol w:w="2497"/>
        <w:gridCol w:w="1620"/>
        <w:gridCol w:w="1890"/>
        <w:gridCol w:w="1260"/>
        <w:gridCol w:w="1971"/>
      </w:tblGrid>
      <w:tr w:rsidR="00F468C9" w:rsidRPr="00770F9D" w14:paraId="5FA7570C" w14:textId="77777777" w:rsidTr="00136D7D">
        <w:trPr>
          <w:trHeight w:val="20"/>
          <w:jc w:val="center"/>
        </w:trPr>
        <w:tc>
          <w:tcPr>
            <w:tcW w:w="2497" w:type="dxa"/>
            <w:vMerge w:val="restart"/>
            <w:tcBorders>
              <w:top w:val="single" w:sz="4" w:space="0" w:color="auto"/>
              <w:bottom w:val="single" w:sz="4" w:space="0" w:color="auto"/>
            </w:tcBorders>
            <w:shd w:val="clear" w:color="auto" w:fill="FFFFFF" w:themeFill="background1"/>
            <w:vAlign w:val="center"/>
            <w:hideMark/>
          </w:tcPr>
          <w:p w14:paraId="6B552FB4" w14:textId="77777777" w:rsidR="00F468C9" w:rsidRPr="00770F9D" w:rsidRDefault="00F468C9" w:rsidP="00136D7D">
            <w:pPr>
              <w:jc w:val="center"/>
              <w:rPr>
                <w:rFonts w:ascii="Garamond" w:eastAsia="Times New Roman" w:hAnsi="Garamond" w:cstheme="majorBidi"/>
                <w:b/>
                <w:bCs/>
                <w:color w:val="0D0D0D" w:themeColor="text1" w:themeTint="F2"/>
                <w:sz w:val="20"/>
              </w:rPr>
            </w:pPr>
            <w:r w:rsidRPr="00770F9D">
              <w:rPr>
                <w:rFonts w:ascii="Garamond" w:hAnsi="Garamond" w:cstheme="majorBidi"/>
                <w:b/>
                <w:bCs/>
                <w:color w:val="0D0D0D" w:themeColor="text1" w:themeTint="F2"/>
                <w:sz w:val="20"/>
              </w:rPr>
              <w:t>Lloji i taksës</w:t>
            </w:r>
          </w:p>
        </w:tc>
        <w:tc>
          <w:tcPr>
            <w:tcW w:w="1620" w:type="dxa"/>
            <w:vMerge w:val="restart"/>
            <w:tcBorders>
              <w:top w:val="single" w:sz="4" w:space="0" w:color="auto"/>
              <w:bottom w:val="single" w:sz="4" w:space="0" w:color="auto"/>
            </w:tcBorders>
            <w:shd w:val="clear" w:color="auto" w:fill="FFFFFF" w:themeFill="background1"/>
            <w:vAlign w:val="center"/>
            <w:hideMark/>
          </w:tcPr>
          <w:p w14:paraId="21EC1847" w14:textId="77777777" w:rsidR="00F468C9" w:rsidRPr="00770F9D" w:rsidRDefault="00F468C9" w:rsidP="00136D7D">
            <w:pPr>
              <w:jc w:val="center"/>
              <w:rPr>
                <w:rFonts w:ascii="Garamond" w:eastAsia="Times New Roman" w:hAnsi="Garamond" w:cstheme="majorBidi"/>
                <w:b/>
                <w:bCs/>
                <w:color w:val="0D0D0D" w:themeColor="text1" w:themeTint="F2"/>
                <w:sz w:val="20"/>
              </w:rPr>
            </w:pPr>
            <w:r w:rsidRPr="00770F9D">
              <w:rPr>
                <w:rFonts w:ascii="Garamond" w:eastAsia="Times New Roman" w:hAnsi="Garamond" w:cstheme="majorBidi"/>
                <w:b/>
                <w:bCs/>
                <w:color w:val="0D0D0D" w:themeColor="text1" w:themeTint="F2"/>
                <w:sz w:val="20"/>
              </w:rPr>
              <w:t>Fakt 11M 2022</w:t>
            </w:r>
          </w:p>
        </w:tc>
        <w:tc>
          <w:tcPr>
            <w:tcW w:w="1890" w:type="dxa"/>
            <w:vMerge w:val="restart"/>
            <w:tcBorders>
              <w:top w:val="single" w:sz="4" w:space="0" w:color="auto"/>
              <w:bottom w:val="single" w:sz="4" w:space="0" w:color="auto"/>
            </w:tcBorders>
            <w:shd w:val="clear" w:color="auto" w:fill="FFFFFF" w:themeFill="background1"/>
            <w:vAlign w:val="center"/>
            <w:hideMark/>
          </w:tcPr>
          <w:p w14:paraId="796C10B0" w14:textId="77777777" w:rsidR="00F468C9" w:rsidRPr="00770F9D" w:rsidRDefault="00F468C9" w:rsidP="00136D7D">
            <w:pPr>
              <w:jc w:val="center"/>
              <w:rPr>
                <w:rFonts w:ascii="Garamond" w:eastAsia="Times New Roman" w:hAnsi="Garamond" w:cstheme="majorBidi"/>
                <w:b/>
                <w:bCs/>
                <w:color w:val="0D0D0D" w:themeColor="text1" w:themeTint="F2"/>
                <w:sz w:val="20"/>
              </w:rPr>
            </w:pPr>
            <w:r w:rsidRPr="00770F9D">
              <w:rPr>
                <w:rFonts w:ascii="Garamond" w:eastAsia="Times New Roman" w:hAnsi="Garamond" w:cstheme="majorBidi"/>
                <w:b/>
                <w:bCs/>
                <w:color w:val="0D0D0D" w:themeColor="text1" w:themeTint="F2"/>
                <w:sz w:val="20"/>
              </w:rPr>
              <w:t>Plan 11M 2022</w:t>
            </w:r>
          </w:p>
        </w:tc>
        <w:tc>
          <w:tcPr>
            <w:tcW w:w="3231" w:type="dxa"/>
            <w:gridSpan w:val="2"/>
            <w:tcBorders>
              <w:top w:val="single" w:sz="4" w:space="0" w:color="auto"/>
              <w:bottom w:val="single" w:sz="4" w:space="0" w:color="auto"/>
            </w:tcBorders>
            <w:shd w:val="clear" w:color="auto" w:fill="FFFFFF" w:themeFill="background1"/>
            <w:vAlign w:val="center"/>
            <w:hideMark/>
          </w:tcPr>
          <w:p w14:paraId="41C93948" w14:textId="4AB3FD7E" w:rsidR="00F468C9" w:rsidRPr="00770F9D" w:rsidRDefault="00136D7D" w:rsidP="00136D7D">
            <w:pPr>
              <w:jc w:val="center"/>
              <w:rPr>
                <w:rFonts w:ascii="Garamond" w:eastAsia="Times New Roman" w:hAnsi="Garamond" w:cstheme="majorBidi"/>
                <w:b/>
                <w:bCs/>
                <w:color w:val="0D0D0D" w:themeColor="text1" w:themeTint="F2"/>
                <w:sz w:val="20"/>
              </w:rPr>
            </w:pPr>
            <w:r w:rsidRPr="00770F9D">
              <w:rPr>
                <w:rFonts w:ascii="Garamond" w:eastAsia="Times New Roman" w:hAnsi="Garamond" w:cstheme="majorBidi"/>
                <w:b/>
                <w:bCs/>
                <w:color w:val="0D0D0D" w:themeColor="text1" w:themeTint="F2"/>
                <w:sz w:val="20"/>
              </w:rPr>
              <w:t xml:space="preserve">Diferenca fakt/plan </w:t>
            </w:r>
            <w:r w:rsidR="00F468C9" w:rsidRPr="00770F9D">
              <w:rPr>
                <w:rFonts w:ascii="Garamond" w:eastAsia="Times New Roman" w:hAnsi="Garamond" w:cstheme="majorBidi"/>
                <w:b/>
                <w:bCs/>
                <w:color w:val="0D0D0D" w:themeColor="text1" w:themeTint="F2"/>
                <w:sz w:val="20"/>
              </w:rPr>
              <w:t>2022</w:t>
            </w:r>
          </w:p>
        </w:tc>
      </w:tr>
      <w:tr w:rsidR="00F468C9" w:rsidRPr="00770F9D" w14:paraId="6BD96521" w14:textId="77777777" w:rsidTr="00136D7D">
        <w:trPr>
          <w:trHeight w:val="20"/>
          <w:jc w:val="center"/>
        </w:trPr>
        <w:tc>
          <w:tcPr>
            <w:tcW w:w="2497" w:type="dxa"/>
            <w:vMerge/>
            <w:tcBorders>
              <w:top w:val="single" w:sz="4" w:space="0" w:color="auto"/>
              <w:bottom w:val="single" w:sz="4" w:space="0" w:color="auto"/>
            </w:tcBorders>
            <w:shd w:val="clear" w:color="auto" w:fill="FFFFFF" w:themeFill="background1"/>
            <w:vAlign w:val="center"/>
            <w:hideMark/>
          </w:tcPr>
          <w:p w14:paraId="31C343AC" w14:textId="77777777" w:rsidR="00F468C9" w:rsidRPr="00770F9D" w:rsidRDefault="00F468C9" w:rsidP="00136D7D">
            <w:pPr>
              <w:jc w:val="center"/>
              <w:rPr>
                <w:rFonts w:ascii="Garamond" w:eastAsia="Times New Roman" w:hAnsi="Garamond" w:cstheme="majorBidi"/>
                <w:b/>
                <w:bCs/>
                <w:color w:val="0D0D0D" w:themeColor="text1" w:themeTint="F2"/>
                <w:sz w:val="20"/>
              </w:rPr>
            </w:pPr>
          </w:p>
        </w:tc>
        <w:tc>
          <w:tcPr>
            <w:tcW w:w="1620" w:type="dxa"/>
            <w:vMerge/>
            <w:tcBorders>
              <w:top w:val="single" w:sz="4" w:space="0" w:color="auto"/>
              <w:bottom w:val="single" w:sz="4" w:space="0" w:color="auto"/>
            </w:tcBorders>
            <w:shd w:val="clear" w:color="auto" w:fill="FFFFFF" w:themeFill="background1"/>
            <w:vAlign w:val="center"/>
            <w:hideMark/>
          </w:tcPr>
          <w:p w14:paraId="2B07EEEF" w14:textId="77777777" w:rsidR="00F468C9" w:rsidRPr="00770F9D" w:rsidRDefault="00F468C9" w:rsidP="00136D7D">
            <w:pPr>
              <w:jc w:val="center"/>
              <w:rPr>
                <w:rFonts w:ascii="Garamond" w:eastAsia="Times New Roman" w:hAnsi="Garamond" w:cstheme="majorBidi"/>
                <w:b/>
                <w:bCs/>
                <w:color w:val="0D0D0D" w:themeColor="text1" w:themeTint="F2"/>
                <w:sz w:val="20"/>
              </w:rPr>
            </w:pPr>
          </w:p>
        </w:tc>
        <w:tc>
          <w:tcPr>
            <w:tcW w:w="1890" w:type="dxa"/>
            <w:vMerge/>
            <w:tcBorders>
              <w:top w:val="single" w:sz="4" w:space="0" w:color="auto"/>
              <w:bottom w:val="single" w:sz="4" w:space="0" w:color="auto"/>
            </w:tcBorders>
            <w:shd w:val="clear" w:color="auto" w:fill="FFFFFF" w:themeFill="background1"/>
            <w:vAlign w:val="center"/>
            <w:hideMark/>
          </w:tcPr>
          <w:p w14:paraId="6A660B4E" w14:textId="77777777" w:rsidR="00F468C9" w:rsidRPr="00770F9D" w:rsidRDefault="00F468C9" w:rsidP="00136D7D">
            <w:pPr>
              <w:jc w:val="center"/>
              <w:rPr>
                <w:rFonts w:ascii="Garamond" w:eastAsia="Times New Roman" w:hAnsi="Garamond" w:cstheme="majorBidi"/>
                <w:b/>
                <w:bCs/>
                <w:color w:val="0D0D0D" w:themeColor="text1" w:themeTint="F2"/>
                <w:sz w:val="20"/>
              </w:rPr>
            </w:pPr>
          </w:p>
        </w:tc>
        <w:tc>
          <w:tcPr>
            <w:tcW w:w="1260" w:type="dxa"/>
            <w:tcBorders>
              <w:top w:val="single" w:sz="4" w:space="0" w:color="auto"/>
              <w:bottom w:val="single" w:sz="4" w:space="0" w:color="auto"/>
            </w:tcBorders>
            <w:shd w:val="clear" w:color="auto" w:fill="FFFFFF" w:themeFill="background1"/>
            <w:vAlign w:val="center"/>
            <w:hideMark/>
          </w:tcPr>
          <w:p w14:paraId="67CCB049" w14:textId="77777777" w:rsidR="00F468C9" w:rsidRPr="00770F9D" w:rsidRDefault="00F468C9" w:rsidP="00136D7D">
            <w:pPr>
              <w:jc w:val="center"/>
              <w:rPr>
                <w:rFonts w:ascii="Garamond" w:eastAsia="Times New Roman" w:hAnsi="Garamond" w:cstheme="majorBidi"/>
                <w:b/>
                <w:bCs/>
                <w:color w:val="0D0D0D" w:themeColor="text1" w:themeTint="F2"/>
                <w:sz w:val="20"/>
              </w:rPr>
            </w:pPr>
            <w:r w:rsidRPr="00770F9D">
              <w:rPr>
                <w:rFonts w:ascii="Garamond" w:eastAsia="Times New Roman" w:hAnsi="Garamond" w:cstheme="majorBidi"/>
                <w:b/>
                <w:bCs/>
                <w:color w:val="0D0D0D" w:themeColor="text1" w:themeTint="F2"/>
                <w:sz w:val="20"/>
              </w:rPr>
              <w:t>vlera</w:t>
            </w:r>
          </w:p>
        </w:tc>
        <w:tc>
          <w:tcPr>
            <w:tcW w:w="1971" w:type="dxa"/>
            <w:tcBorders>
              <w:top w:val="single" w:sz="4" w:space="0" w:color="auto"/>
              <w:bottom w:val="single" w:sz="4" w:space="0" w:color="auto"/>
            </w:tcBorders>
            <w:shd w:val="clear" w:color="auto" w:fill="FFFFFF" w:themeFill="background1"/>
            <w:vAlign w:val="center"/>
            <w:hideMark/>
          </w:tcPr>
          <w:p w14:paraId="3293D183" w14:textId="77777777" w:rsidR="00F468C9" w:rsidRPr="00770F9D" w:rsidRDefault="00F468C9" w:rsidP="00136D7D">
            <w:pPr>
              <w:jc w:val="center"/>
              <w:rPr>
                <w:rFonts w:ascii="Garamond" w:eastAsia="Times New Roman" w:hAnsi="Garamond" w:cstheme="majorBidi"/>
                <w:b/>
                <w:bCs/>
                <w:color w:val="0D0D0D" w:themeColor="text1" w:themeTint="F2"/>
                <w:sz w:val="20"/>
              </w:rPr>
            </w:pPr>
            <w:r w:rsidRPr="00770F9D">
              <w:rPr>
                <w:rFonts w:ascii="Garamond" w:eastAsia="Times New Roman" w:hAnsi="Garamond" w:cstheme="majorBidi"/>
                <w:b/>
                <w:bCs/>
                <w:color w:val="0D0D0D" w:themeColor="text1" w:themeTint="F2"/>
                <w:sz w:val="20"/>
              </w:rPr>
              <w:t>%</w:t>
            </w:r>
          </w:p>
        </w:tc>
      </w:tr>
      <w:tr w:rsidR="00F468C9" w:rsidRPr="00770F9D" w14:paraId="27C122E1" w14:textId="77777777" w:rsidTr="00136D7D">
        <w:trPr>
          <w:trHeight w:val="20"/>
          <w:jc w:val="center"/>
        </w:trPr>
        <w:tc>
          <w:tcPr>
            <w:tcW w:w="2497" w:type="dxa"/>
            <w:tcBorders>
              <w:top w:val="single" w:sz="4" w:space="0" w:color="auto"/>
            </w:tcBorders>
            <w:shd w:val="clear" w:color="auto" w:fill="FFFFFF" w:themeFill="background1"/>
            <w:vAlign w:val="center"/>
            <w:hideMark/>
          </w:tcPr>
          <w:p w14:paraId="0E099B54" w14:textId="77777777" w:rsidR="00F468C9" w:rsidRPr="00770F9D" w:rsidRDefault="00F468C9" w:rsidP="00BB0492">
            <w:pPr>
              <w:rPr>
                <w:rFonts w:ascii="Garamond" w:eastAsia="Times New Roman" w:hAnsi="Garamond" w:cstheme="majorBidi"/>
                <w:b/>
                <w:color w:val="0D0D0D" w:themeColor="text1" w:themeTint="F2"/>
                <w:sz w:val="20"/>
              </w:rPr>
            </w:pPr>
            <w:r w:rsidRPr="00770F9D">
              <w:rPr>
                <w:rFonts w:ascii="Garamond" w:hAnsi="Garamond" w:cstheme="majorBidi"/>
                <w:color w:val="0D0D0D" w:themeColor="text1" w:themeTint="F2"/>
                <w:sz w:val="20"/>
              </w:rPr>
              <w:t>TVSH në import</w:t>
            </w:r>
          </w:p>
        </w:tc>
        <w:tc>
          <w:tcPr>
            <w:tcW w:w="1620" w:type="dxa"/>
            <w:tcBorders>
              <w:top w:val="single" w:sz="4" w:space="0" w:color="auto"/>
            </w:tcBorders>
            <w:shd w:val="clear" w:color="auto" w:fill="FFFFFF" w:themeFill="background1"/>
            <w:vAlign w:val="center"/>
            <w:hideMark/>
          </w:tcPr>
          <w:p w14:paraId="21988E34" w14:textId="77777777" w:rsidR="00F468C9" w:rsidRPr="00770F9D" w:rsidRDefault="00F468C9" w:rsidP="00136D7D">
            <w:pPr>
              <w:jc w:val="right"/>
              <w:rPr>
                <w:rFonts w:ascii="Garamond" w:hAnsi="Garamond" w:cstheme="majorBidi"/>
                <w:color w:val="0D0D0D" w:themeColor="text1" w:themeTint="F2"/>
                <w:sz w:val="20"/>
              </w:rPr>
            </w:pPr>
            <w:r w:rsidRPr="00770F9D">
              <w:rPr>
                <w:rFonts w:ascii="Garamond" w:hAnsi="Garamond" w:cstheme="majorBidi"/>
                <w:color w:val="0D0D0D" w:themeColor="text1" w:themeTint="F2"/>
                <w:sz w:val="20"/>
              </w:rPr>
              <w:t>140,892</w:t>
            </w:r>
          </w:p>
        </w:tc>
        <w:tc>
          <w:tcPr>
            <w:tcW w:w="1890" w:type="dxa"/>
            <w:tcBorders>
              <w:top w:val="single" w:sz="4" w:space="0" w:color="auto"/>
            </w:tcBorders>
            <w:shd w:val="clear" w:color="auto" w:fill="FFFFFF" w:themeFill="background1"/>
            <w:vAlign w:val="center"/>
            <w:hideMark/>
          </w:tcPr>
          <w:p w14:paraId="74942C91" w14:textId="77777777" w:rsidR="00F468C9" w:rsidRPr="00770F9D" w:rsidRDefault="00F468C9" w:rsidP="00136D7D">
            <w:pPr>
              <w:jc w:val="right"/>
              <w:rPr>
                <w:rFonts w:ascii="Garamond" w:hAnsi="Garamond" w:cstheme="majorBidi"/>
                <w:color w:val="0D0D0D" w:themeColor="text1" w:themeTint="F2"/>
                <w:sz w:val="20"/>
              </w:rPr>
            </w:pPr>
            <w:r w:rsidRPr="00770F9D">
              <w:rPr>
                <w:rFonts w:ascii="Garamond" w:hAnsi="Garamond" w:cstheme="majorBidi"/>
                <w:color w:val="0D0D0D" w:themeColor="text1" w:themeTint="F2"/>
                <w:sz w:val="20"/>
              </w:rPr>
              <w:t>138,649</w:t>
            </w:r>
          </w:p>
        </w:tc>
        <w:tc>
          <w:tcPr>
            <w:tcW w:w="1260" w:type="dxa"/>
            <w:tcBorders>
              <w:top w:val="single" w:sz="4" w:space="0" w:color="auto"/>
            </w:tcBorders>
            <w:shd w:val="clear" w:color="auto" w:fill="FFFFFF" w:themeFill="background1"/>
            <w:vAlign w:val="center"/>
          </w:tcPr>
          <w:p w14:paraId="737EA20C" w14:textId="77777777" w:rsidR="00F468C9" w:rsidRPr="00770F9D" w:rsidRDefault="00F468C9" w:rsidP="00136D7D">
            <w:pPr>
              <w:jc w:val="right"/>
              <w:rPr>
                <w:rFonts w:ascii="Garamond" w:hAnsi="Garamond" w:cstheme="majorBidi"/>
                <w:color w:val="0D0D0D" w:themeColor="text1" w:themeTint="F2"/>
                <w:sz w:val="20"/>
              </w:rPr>
            </w:pPr>
            <w:r w:rsidRPr="00770F9D">
              <w:rPr>
                <w:rFonts w:ascii="Garamond" w:hAnsi="Garamond" w:cstheme="majorBidi"/>
                <w:color w:val="0D0D0D" w:themeColor="text1" w:themeTint="F2"/>
                <w:sz w:val="20"/>
              </w:rPr>
              <w:t>2,243</w:t>
            </w:r>
          </w:p>
        </w:tc>
        <w:tc>
          <w:tcPr>
            <w:tcW w:w="1971" w:type="dxa"/>
            <w:tcBorders>
              <w:top w:val="single" w:sz="4" w:space="0" w:color="auto"/>
            </w:tcBorders>
            <w:shd w:val="clear" w:color="auto" w:fill="FFFFFF" w:themeFill="background1"/>
            <w:vAlign w:val="center"/>
            <w:hideMark/>
          </w:tcPr>
          <w:p w14:paraId="5C1B8B70" w14:textId="77777777" w:rsidR="00F468C9" w:rsidRPr="00770F9D" w:rsidRDefault="00F468C9" w:rsidP="00136D7D">
            <w:pPr>
              <w:jc w:val="right"/>
              <w:rPr>
                <w:rFonts w:ascii="Garamond" w:hAnsi="Garamond" w:cstheme="majorBidi"/>
                <w:color w:val="0D0D0D" w:themeColor="text1" w:themeTint="F2"/>
                <w:sz w:val="20"/>
              </w:rPr>
            </w:pPr>
            <w:r w:rsidRPr="00770F9D">
              <w:rPr>
                <w:rFonts w:ascii="Garamond" w:hAnsi="Garamond" w:cstheme="majorBidi"/>
                <w:color w:val="0D0D0D" w:themeColor="text1" w:themeTint="F2"/>
                <w:sz w:val="20"/>
              </w:rPr>
              <w:t>1.6%</w:t>
            </w:r>
          </w:p>
        </w:tc>
      </w:tr>
      <w:tr w:rsidR="00F468C9" w:rsidRPr="00770F9D" w14:paraId="1F858136" w14:textId="77777777" w:rsidTr="00136D7D">
        <w:trPr>
          <w:trHeight w:val="20"/>
          <w:jc w:val="center"/>
        </w:trPr>
        <w:tc>
          <w:tcPr>
            <w:tcW w:w="2497" w:type="dxa"/>
            <w:shd w:val="clear" w:color="auto" w:fill="FFFFFF" w:themeFill="background1"/>
            <w:vAlign w:val="center"/>
            <w:hideMark/>
          </w:tcPr>
          <w:p w14:paraId="3763C763" w14:textId="77777777" w:rsidR="00F468C9" w:rsidRPr="00770F9D" w:rsidRDefault="00F468C9" w:rsidP="00BB0492">
            <w:pPr>
              <w:rPr>
                <w:rFonts w:ascii="Garamond" w:eastAsia="Times New Roman" w:hAnsi="Garamond" w:cstheme="majorBidi"/>
                <w:b/>
                <w:color w:val="0D0D0D" w:themeColor="text1" w:themeTint="F2"/>
                <w:sz w:val="20"/>
              </w:rPr>
            </w:pPr>
            <w:r w:rsidRPr="00770F9D">
              <w:rPr>
                <w:rFonts w:ascii="Garamond" w:hAnsi="Garamond" w:cstheme="majorBidi"/>
                <w:color w:val="0D0D0D" w:themeColor="text1" w:themeTint="F2"/>
                <w:sz w:val="20"/>
              </w:rPr>
              <w:t>Akciza</w:t>
            </w:r>
          </w:p>
        </w:tc>
        <w:tc>
          <w:tcPr>
            <w:tcW w:w="1620" w:type="dxa"/>
            <w:shd w:val="clear" w:color="auto" w:fill="FFFFFF" w:themeFill="background1"/>
            <w:vAlign w:val="center"/>
            <w:hideMark/>
          </w:tcPr>
          <w:p w14:paraId="09E4FCE8" w14:textId="77777777" w:rsidR="00F468C9" w:rsidRPr="00770F9D" w:rsidRDefault="00F468C9" w:rsidP="00136D7D">
            <w:pPr>
              <w:jc w:val="right"/>
              <w:rPr>
                <w:rFonts w:ascii="Garamond" w:hAnsi="Garamond" w:cstheme="majorBidi"/>
                <w:color w:val="0D0D0D" w:themeColor="text1" w:themeTint="F2"/>
                <w:sz w:val="20"/>
              </w:rPr>
            </w:pPr>
            <w:r w:rsidRPr="00770F9D">
              <w:rPr>
                <w:rFonts w:ascii="Garamond" w:hAnsi="Garamond" w:cstheme="majorBidi"/>
                <w:color w:val="0D0D0D" w:themeColor="text1" w:themeTint="F2"/>
                <w:sz w:val="20"/>
              </w:rPr>
              <w:t>48,679</w:t>
            </w:r>
          </w:p>
        </w:tc>
        <w:tc>
          <w:tcPr>
            <w:tcW w:w="1890" w:type="dxa"/>
            <w:shd w:val="clear" w:color="auto" w:fill="FFFFFF" w:themeFill="background1"/>
            <w:vAlign w:val="center"/>
            <w:hideMark/>
          </w:tcPr>
          <w:p w14:paraId="30C6FEE3" w14:textId="77777777" w:rsidR="00F468C9" w:rsidRPr="00770F9D" w:rsidRDefault="00F468C9" w:rsidP="00136D7D">
            <w:pPr>
              <w:jc w:val="right"/>
              <w:rPr>
                <w:rFonts w:ascii="Garamond" w:hAnsi="Garamond" w:cstheme="majorBidi"/>
                <w:color w:val="0D0D0D" w:themeColor="text1" w:themeTint="F2"/>
                <w:sz w:val="20"/>
              </w:rPr>
            </w:pPr>
            <w:r w:rsidRPr="00770F9D">
              <w:rPr>
                <w:rFonts w:ascii="Garamond" w:hAnsi="Garamond" w:cstheme="majorBidi"/>
                <w:color w:val="0D0D0D" w:themeColor="text1" w:themeTint="F2"/>
                <w:sz w:val="20"/>
              </w:rPr>
              <w:t>49,507</w:t>
            </w:r>
          </w:p>
        </w:tc>
        <w:tc>
          <w:tcPr>
            <w:tcW w:w="1260" w:type="dxa"/>
            <w:shd w:val="clear" w:color="auto" w:fill="FFFFFF" w:themeFill="background1"/>
            <w:vAlign w:val="center"/>
          </w:tcPr>
          <w:p w14:paraId="5D2D238E" w14:textId="77777777" w:rsidR="00F468C9" w:rsidRPr="00770F9D" w:rsidRDefault="00F468C9" w:rsidP="00136D7D">
            <w:pPr>
              <w:jc w:val="right"/>
              <w:rPr>
                <w:rFonts w:ascii="Garamond" w:hAnsi="Garamond" w:cstheme="majorBidi"/>
                <w:color w:val="0D0D0D" w:themeColor="text1" w:themeTint="F2"/>
                <w:sz w:val="20"/>
              </w:rPr>
            </w:pPr>
            <w:r w:rsidRPr="00770F9D">
              <w:rPr>
                <w:rFonts w:ascii="Garamond" w:hAnsi="Garamond" w:cstheme="majorBidi"/>
                <w:color w:val="0D0D0D" w:themeColor="text1" w:themeTint="F2"/>
                <w:sz w:val="20"/>
              </w:rPr>
              <w:t>-828</w:t>
            </w:r>
          </w:p>
        </w:tc>
        <w:tc>
          <w:tcPr>
            <w:tcW w:w="1971" w:type="dxa"/>
            <w:shd w:val="clear" w:color="auto" w:fill="FFFFFF" w:themeFill="background1"/>
            <w:vAlign w:val="center"/>
            <w:hideMark/>
          </w:tcPr>
          <w:p w14:paraId="27B9D74E" w14:textId="77777777" w:rsidR="00F468C9" w:rsidRPr="00770F9D" w:rsidRDefault="00F468C9" w:rsidP="00136D7D">
            <w:pPr>
              <w:jc w:val="right"/>
              <w:rPr>
                <w:rFonts w:ascii="Garamond" w:hAnsi="Garamond" w:cstheme="majorBidi"/>
                <w:color w:val="0D0D0D" w:themeColor="text1" w:themeTint="F2"/>
                <w:sz w:val="20"/>
              </w:rPr>
            </w:pPr>
            <w:r w:rsidRPr="00770F9D">
              <w:rPr>
                <w:rFonts w:ascii="Garamond" w:hAnsi="Garamond" w:cstheme="majorBidi"/>
                <w:color w:val="0D0D0D" w:themeColor="text1" w:themeTint="F2"/>
                <w:sz w:val="20"/>
              </w:rPr>
              <w:t>-1.7%</w:t>
            </w:r>
          </w:p>
        </w:tc>
      </w:tr>
      <w:tr w:rsidR="00F468C9" w:rsidRPr="00770F9D" w14:paraId="3B904F5F" w14:textId="77777777" w:rsidTr="00136D7D">
        <w:trPr>
          <w:trHeight w:val="20"/>
          <w:jc w:val="center"/>
        </w:trPr>
        <w:tc>
          <w:tcPr>
            <w:tcW w:w="2497" w:type="dxa"/>
            <w:shd w:val="clear" w:color="auto" w:fill="FFFFFF" w:themeFill="background1"/>
            <w:vAlign w:val="center"/>
            <w:hideMark/>
          </w:tcPr>
          <w:p w14:paraId="5FBABF18" w14:textId="77777777" w:rsidR="00F468C9" w:rsidRPr="00770F9D" w:rsidRDefault="00F468C9" w:rsidP="00BB0492">
            <w:pPr>
              <w:rPr>
                <w:rFonts w:ascii="Garamond" w:eastAsia="Times New Roman" w:hAnsi="Garamond" w:cstheme="majorBidi"/>
                <w:b/>
                <w:color w:val="0D0D0D" w:themeColor="text1" w:themeTint="F2"/>
                <w:sz w:val="20"/>
              </w:rPr>
            </w:pPr>
            <w:r w:rsidRPr="00770F9D">
              <w:rPr>
                <w:rFonts w:ascii="Garamond" w:hAnsi="Garamond" w:cstheme="majorBidi"/>
                <w:color w:val="0D0D0D" w:themeColor="text1" w:themeTint="F2"/>
                <w:sz w:val="20"/>
              </w:rPr>
              <w:t>Të drejtat e autorit</w:t>
            </w:r>
          </w:p>
        </w:tc>
        <w:tc>
          <w:tcPr>
            <w:tcW w:w="1620" w:type="dxa"/>
            <w:shd w:val="clear" w:color="auto" w:fill="FFFFFF" w:themeFill="background1"/>
            <w:vAlign w:val="center"/>
            <w:hideMark/>
          </w:tcPr>
          <w:p w14:paraId="1A41EAB1" w14:textId="77777777" w:rsidR="00F468C9" w:rsidRPr="00770F9D" w:rsidRDefault="00F468C9" w:rsidP="00136D7D">
            <w:pPr>
              <w:jc w:val="right"/>
              <w:rPr>
                <w:rFonts w:ascii="Garamond" w:hAnsi="Garamond" w:cstheme="majorBidi"/>
                <w:color w:val="0D0D0D" w:themeColor="text1" w:themeTint="F2"/>
                <w:sz w:val="20"/>
              </w:rPr>
            </w:pPr>
            <w:r w:rsidRPr="00770F9D">
              <w:rPr>
                <w:rFonts w:ascii="Garamond" w:hAnsi="Garamond" w:cstheme="majorBidi"/>
                <w:color w:val="0D0D0D" w:themeColor="text1" w:themeTint="F2"/>
                <w:sz w:val="20"/>
              </w:rPr>
              <w:t>3,909</w:t>
            </w:r>
          </w:p>
        </w:tc>
        <w:tc>
          <w:tcPr>
            <w:tcW w:w="1890" w:type="dxa"/>
            <w:shd w:val="clear" w:color="auto" w:fill="FFFFFF" w:themeFill="background1"/>
            <w:vAlign w:val="center"/>
            <w:hideMark/>
          </w:tcPr>
          <w:p w14:paraId="6DD53C26" w14:textId="77777777" w:rsidR="00F468C9" w:rsidRPr="00770F9D" w:rsidRDefault="00F468C9" w:rsidP="00136D7D">
            <w:pPr>
              <w:jc w:val="right"/>
              <w:rPr>
                <w:rFonts w:ascii="Garamond" w:hAnsi="Garamond" w:cstheme="majorBidi"/>
                <w:color w:val="0D0D0D" w:themeColor="text1" w:themeTint="F2"/>
                <w:sz w:val="20"/>
              </w:rPr>
            </w:pPr>
            <w:r w:rsidRPr="00770F9D">
              <w:rPr>
                <w:rFonts w:ascii="Garamond" w:hAnsi="Garamond" w:cstheme="majorBidi"/>
                <w:color w:val="0D0D0D" w:themeColor="text1" w:themeTint="F2"/>
                <w:sz w:val="20"/>
              </w:rPr>
              <w:t>4,106</w:t>
            </w:r>
          </w:p>
        </w:tc>
        <w:tc>
          <w:tcPr>
            <w:tcW w:w="1260" w:type="dxa"/>
            <w:shd w:val="clear" w:color="auto" w:fill="FFFFFF" w:themeFill="background1"/>
            <w:vAlign w:val="center"/>
          </w:tcPr>
          <w:p w14:paraId="28717252" w14:textId="77777777" w:rsidR="00F468C9" w:rsidRPr="00770F9D" w:rsidRDefault="00F468C9" w:rsidP="00136D7D">
            <w:pPr>
              <w:jc w:val="right"/>
              <w:rPr>
                <w:rFonts w:ascii="Garamond" w:hAnsi="Garamond" w:cstheme="majorBidi"/>
                <w:color w:val="0D0D0D" w:themeColor="text1" w:themeTint="F2"/>
                <w:sz w:val="20"/>
              </w:rPr>
            </w:pPr>
            <w:r w:rsidRPr="00770F9D">
              <w:rPr>
                <w:rFonts w:ascii="Garamond" w:hAnsi="Garamond" w:cstheme="majorBidi"/>
                <w:color w:val="0D0D0D" w:themeColor="text1" w:themeTint="F2"/>
                <w:sz w:val="20"/>
              </w:rPr>
              <w:t>-197</w:t>
            </w:r>
          </w:p>
        </w:tc>
        <w:tc>
          <w:tcPr>
            <w:tcW w:w="1971" w:type="dxa"/>
            <w:shd w:val="clear" w:color="auto" w:fill="FFFFFF" w:themeFill="background1"/>
            <w:vAlign w:val="center"/>
            <w:hideMark/>
          </w:tcPr>
          <w:p w14:paraId="233B78A6" w14:textId="77777777" w:rsidR="00F468C9" w:rsidRPr="00770F9D" w:rsidRDefault="00F468C9" w:rsidP="00136D7D">
            <w:pPr>
              <w:jc w:val="right"/>
              <w:rPr>
                <w:rFonts w:ascii="Garamond" w:hAnsi="Garamond" w:cstheme="majorBidi"/>
                <w:color w:val="0D0D0D" w:themeColor="text1" w:themeTint="F2"/>
                <w:sz w:val="20"/>
              </w:rPr>
            </w:pPr>
            <w:r w:rsidRPr="00770F9D">
              <w:rPr>
                <w:rFonts w:ascii="Garamond" w:hAnsi="Garamond" w:cstheme="majorBidi"/>
                <w:color w:val="0D0D0D" w:themeColor="text1" w:themeTint="F2"/>
                <w:sz w:val="20"/>
              </w:rPr>
              <w:t>-4.8%</w:t>
            </w:r>
          </w:p>
        </w:tc>
      </w:tr>
      <w:tr w:rsidR="00F468C9" w:rsidRPr="00770F9D" w14:paraId="1EE25825" w14:textId="77777777" w:rsidTr="00136D7D">
        <w:trPr>
          <w:trHeight w:val="20"/>
          <w:jc w:val="center"/>
        </w:trPr>
        <w:tc>
          <w:tcPr>
            <w:tcW w:w="2497" w:type="dxa"/>
            <w:tcBorders>
              <w:bottom w:val="single" w:sz="4" w:space="0" w:color="auto"/>
            </w:tcBorders>
            <w:shd w:val="clear" w:color="auto" w:fill="FFFFFF" w:themeFill="background1"/>
            <w:vAlign w:val="center"/>
            <w:hideMark/>
          </w:tcPr>
          <w:p w14:paraId="2A41CBE6" w14:textId="77777777" w:rsidR="00F468C9" w:rsidRPr="00770F9D" w:rsidRDefault="00F468C9" w:rsidP="00BB0492">
            <w:pPr>
              <w:rPr>
                <w:rFonts w:ascii="Garamond" w:eastAsia="Times New Roman" w:hAnsi="Garamond" w:cstheme="majorBidi"/>
                <w:b/>
                <w:color w:val="0D0D0D" w:themeColor="text1" w:themeTint="F2"/>
                <w:sz w:val="20"/>
              </w:rPr>
            </w:pPr>
            <w:r w:rsidRPr="00770F9D">
              <w:rPr>
                <w:rFonts w:ascii="Garamond" w:hAnsi="Garamond" w:cstheme="majorBidi"/>
                <w:color w:val="0D0D0D" w:themeColor="text1" w:themeTint="F2"/>
                <w:sz w:val="20"/>
              </w:rPr>
              <w:t>Taksa doganore</w:t>
            </w:r>
          </w:p>
        </w:tc>
        <w:tc>
          <w:tcPr>
            <w:tcW w:w="1620" w:type="dxa"/>
            <w:tcBorders>
              <w:bottom w:val="single" w:sz="4" w:space="0" w:color="auto"/>
            </w:tcBorders>
            <w:shd w:val="clear" w:color="auto" w:fill="FFFFFF" w:themeFill="background1"/>
            <w:vAlign w:val="center"/>
            <w:hideMark/>
          </w:tcPr>
          <w:p w14:paraId="39380EF9" w14:textId="77777777" w:rsidR="00F468C9" w:rsidRPr="00770F9D" w:rsidRDefault="00F468C9" w:rsidP="00136D7D">
            <w:pPr>
              <w:jc w:val="right"/>
              <w:rPr>
                <w:rFonts w:ascii="Garamond" w:hAnsi="Garamond" w:cstheme="majorBidi"/>
                <w:color w:val="0D0D0D" w:themeColor="text1" w:themeTint="F2"/>
                <w:sz w:val="20"/>
              </w:rPr>
            </w:pPr>
            <w:r w:rsidRPr="00770F9D">
              <w:rPr>
                <w:rFonts w:ascii="Garamond" w:hAnsi="Garamond" w:cstheme="majorBidi"/>
                <w:color w:val="0D0D0D" w:themeColor="text1" w:themeTint="F2"/>
                <w:sz w:val="20"/>
              </w:rPr>
              <w:t>7,647</w:t>
            </w:r>
          </w:p>
        </w:tc>
        <w:tc>
          <w:tcPr>
            <w:tcW w:w="1890" w:type="dxa"/>
            <w:tcBorders>
              <w:bottom w:val="single" w:sz="4" w:space="0" w:color="auto"/>
            </w:tcBorders>
            <w:shd w:val="clear" w:color="auto" w:fill="FFFFFF" w:themeFill="background1"/>
            <w:vAlign w:val="center"/>
            <w:hideMark/>
          </w:tcPr>
          <w:p w14:paraId="36A326D2" w14:textId="77777777" w:rsidR="00F468C9" w:rsidRPr="00770F9D" w:rsidRDefault="00F468C9" w:rsidP="00136D7D">
            <w:pPr>
              <w:jc w:val="right"/>
              <w:rPr>
                <w:rFonts w:ascii="Garamond" w:hAnsi="Garamond" w:cstheme="majorBidi"/>
                <w:color w:val="0D0D0D" w:themeColor="text1" w:themeTint="F2"/>
                <w:sz w:val="20"/>
              </w:rPr>
            </w:pPr>
            <w:r w:rsidRPr="00770F9D">
              <w:rPr>
                <w:rFonts w:ascii="Garamond" w:hAnsi="Garamond" w:cstheme="majorBidi"/>
                <w:color w:val="0D0D0D" w:themeColor="text1" w:themeTint="F2"/>
                <w:sz w:val="20"/>
              </w:rPr>
              <w:t>7,679</w:t>
            </w:r>
          </w:p>
        </w:tc>
        <w:tc>
          <w:tcPr>
            <w:tcW w:w="1260" w:type="dxa"/>
            <w:tcBorders>
              <w:bottom w:val="single" w:sz="4" w:space="0" w:color="auto"/>
            </w:tcBorders>
            <w:shd w:val="clear" w:color="auto" w:fill="FFFFFF" w:themeFill="background1"/>
            <w:vAlign w:val="center"/>
          </w:tcPr>
          <w:p w14:paraId="2C152141" w14:textId="77777777" w:rsidR="00F468C9" w:rsidRPr="00770F9D" w:rsidRDefault="00F468C9" w:rsidP="00136D7D">
            <w:pPr>
              <w:jc w:val="right"/>
              <w:rPr>
                <w:rFonts w:ascii="Garamond" w:hAnsi="Garamond" w:cstheme="majorBidi"/>
                <w:color w:val="0D0D0D" w:themeColor="text1" w:themeTint="F2"/>
                <w:sz w:val="20"/>
              </w:rPr>
            </w:pPr>
            <w:r w:rsidRPr="00770F9D">
              <w:rPr>
                <w:rFonts w:ascii="Garamond" w:hAnsi="Garamond" w:cstheme="majorBidi"/>
                <w:color w:val="0D0D0D" w:themeColor="text1" w:themeTint="F2"/>
                <w:sz w:val="20"/>
              </w:rPr>
              <w:t>-32</w:t>
            </w:r>
          </w:p>
        </w:tc>
        <w:tc>
          <w:tcPr>
            <w:tcW w:w="1971" w:type="dxa"/>
            <w:tcBorders>
              <w:bottom w:val="single" w:sz="4" w:space="0" w:color="auto"/>
            </w:tcBorders>
            <w:shd w:val="clear" w:color="auto" w:fill="FFFFFF" w:themeFill="background1"/>
            <w:vAlign w:val="center"/>
            <w:hideMark/>
          </w:tcPr>
          <w:p w14:paraId="41A981B8" w14:textId="77777777" w:rsidR="00F468C9" w:rsidRPr="00770F9D" w:rsidRDefault="00F468C9" w:rsidP="00136D7D">
            <w:pPr>
              <w:jc w:val="right"/>
              <w:rPr>
                <w:rFonts w:ascii="Garamond" w:hAnsi="Garamond" w:cstheme="majorBidi"/>
                <w:color w:val="0D0D0D" w:themeColor="text1" w:themeTint="F2"/>
                <w:sz w:val="20"/>
              </w:rPr>
            </w:pPr>
            <w:r w:rsidRPr="00770F9D">
              <w:rPr>
                <w:rFonts w:ascii="Garamond" w:hAnsi="Garamond" w:cstheme="majorBidi"/>
                <w:color w:val="0D0D0D" w:themeColor="text1" w:themeTint="F2"/>
                <w:sz w:val="20"/>
              </w:rPr>
              <w:t>-0.4%</w:t>
            </w:r>
          </w:p>
        </w:tc>
      </w:tr>
      <w:tr w:rsidR="00F468C9" w:rsidRPr="00770F9D" w14:paraId="18F2E88E" w14:textId="77777777" w:rsidTr="00136D7D">
        <w:trPr>
          <w:trHeight w:val="20"/>
          <w:jc w:val="center"/>
        </w:trPr>
        <w:tc>
          <w:tcPr>
            <w:tcW w:w="2497" w:type="dxa"/>
            <w:tcBorders>
              <w:top w:val="single" w:sz="4" w:space="0" w:color="auto"/>
              <w:bottom w:val="single" w:sz="4" w:space="0" w:color="auto"/>
            </w:tcBorders>
            <w:shd w:val="clear" w:color="auto" w:fill="FFFFFF" w:themeFill="background1"/>
            <w:vAlign w:val="center"/>
            <w:hideMark/>
          </w:tcPr>
          <w:p w14:paraId="6C5C5749" w14:textId="77777777" w:rsidR="00F468C9" w:rsidRPr="00770F9D" w:rsidRDefault="00F468C9" w:rsidP="00BB0492">
            <w:pPr>
              <w:rPr>
                <w:rFonts w:ascii="Garamond" w:eastAsia="Times New Roman" w:hAnsi="Garamond" w:cstheme="majorBidi"/>
                <w:b/>
                <w:bCs/>
                <w:color w:val="0D0D0D" w:themeColor="text1" w:themeTint="F2"/>
                <w:sz w:val="20"/>
              </w:rPr>
            </w:pPr>
            <w:r w:rsidRPr="00770F9D">
              <w:rPr>
                <w:rFonts w:ascii="Garamond" w:eastAsia="Times New Roman" w:hAnsi="Garamond" w:cstheme="majorBidi"/>
                <w:b/>
                <w:bCs/>
                <w:color w:val="0D0D0D" w:themeColor="text1" w:themeTint="F2"/>
                <w:sz w:val="20"/>
              </w:rPr>
              <w:t>TOTAL DPD</w:t>
            </w:r>
          </w:p>
        </w:tc>
        <w:tc>
          <w:tcPr>
            <w:tcW w:w="1620" w:type="dxa"/>
            <w:tcBorders>
              <w:top w:val="single" w:sz="4" w:space="0" w:color="auto"/>
              <w:bottom w:val="single" w:sz="8" w:space="0" w:color="auto"/>
            </w:tcBorders>
            <w:shd w:val="clear" w:color="auto" w:fill="FFFFFF" w:themeFill="background1"/>
            <w:vAlign w:val="center"/>
            <w:hideMark/>
          </w:tcPr>
          <w:p w14:paraId="2D8D6F2D" w14:textId="77777777" w:rsidR="00F468C9" w:rsidRPr="00770F9D" w:rsidRDefault="00F468C9" w:rsidP="00136D7D">
            <w:pPr>
              <w:jc w:val="right"/>
              <w:rPr>
                <w:rFonts w:ascii="Garamond" w:hAnsi="Garamond" w:cstheme="majorBidi"/>
                <w:b/>
                <w:bCs/>
                <w:color w:val="0D0D0D" w:themeColor="text1" w:themeTint="F2"/>
                <w:sz w:val="20"/>
              </w:rPr>
            </w:pPr>
            <w:r w:rsidRPr="00770F9D">
              <w:rPr>
                <w:rFonts w:ascii="Garamond" w:hAnsi="Garamond" w:cstheme="majorBidi"/>
                <w:b/>
                <w:bCs/>
                <w:color w:val="0D0D0D" w:themeColor="text1" w:themeTint="F2"/>
                <w:sz w:val="20"/>
              </w:rPr>
              <w:t>201,127</w:t>
            </w:r>
          </w:p>
        </w:tc>
        <w:tc>
          <w:tcPr>
            <w:tcW w:w="1890" w:type="dxa"/>
            <w:tcBorders>
              <w:top w:val="single" w:sz="4" w:space="0" w:color="auto"/>
              <w:bottom w:val="single" w:sz="8" w:space="0" w:color="auto"/>
            </w:tcBorders>
            <w:shd w:val="clear" w:color="auto" w:fill="FFFFFF" w:themeFill="background1"/>
            <w:vAlign w:val="center"/>
            <w:hideMark/>
          </w:tcPr>
          <w:p w14:paraId="25EEDB4E" w14:textId="77777777" w:rsidR="00F468C9" w:rsidRPr="00770F9D" w:rsidRDefault="00F468C9" w:rsidP="00136D7D">
            <w:pPr>
              <w:jc w:val="right"/>
              <w:rPr>
                <w:rFonts w:ascii="Garamond" w:hAnsi="Garamond" w:cstheme="majorBidi"/>
                <w:b/>
                <w:bCs/>
                <w:color w:val="0D0D0D" w:themeColor="text1" w:themeTint="F2"/>
                <w:sz w:val="20"/>
              </w:rPr>
            </w:pPr>
            <w:r w:rsidRPr="00770F9D">
              <w:rPr>
                <w:rFonts w:ascii="Garamond" w:hAnsi="Garamond" w:cstheme="majorBidi"/>
                <w:b/>
                <w:bCs/>
                <w:color w:val="0D0D0D" w:themeColor="text1" w:themeTint="F2"/>
                <w:sz w:val="20"/>
              </w:rPr>
              <w:t>199,941</w:t>
            </w:r>
          </w:p>
        </w:tc>
        <w:tc>
          <w:tcPr>
            <w:tcW w:w="1260" w:type="dxa"/>
            <w:tcBorders>
              <w:top w:val="single" w:sz="4" w:space="0" w:color="auto"/>
              <w:bottom w:val="single" w:sz="8" w:space="0" w:color="auto"/>
            </w:tcBorders>
            <w:shd w:val="clear" w:color="auto" w:fill="FFFFFF" w:themeFill="background1"/>
            <w:vAlign w:val="center"/>
            <w:hideMark/>
          </w:tcPr>
          <w:p w14:paraId="575FFD86" w14:textId="77777777" w:rsidR="00F468C9" w:rsidRPr="00770F9D" w:rsidRDefault="00F468C9" w:rsidP="00136D7D">
            <w:pPr>
              <w:jc w:val="right"/>
              <w:rPr>
                <w:rFonts w:ascii="Garamond" w:hAnsi="Garamond" w:cstheme="majorBidi"/>
                <w:b/>
                <w:bCs/>
                <w:color w:val="0D0D0D" w:themeColor="text1" w:themeTint="F2"/>
                <w:sz w:val="20"/>
              </w:rPr>
            </w:pPr>
            <w:r w:rsidRPr="00770F9D">
              <w:rPr>
                <w:rFonts w:ascii="Garamond" w:hAnsi="Garamond" w:cstheme="majorBidi"/>
                <w:b/>
                <w:bCs/>
                <w:color w:val="0D0D0D" w:themeColor="text1" w:themeTint="F2"/>
                <w:sz w:val="20"/>
              </w:rPr>
              <w:t>1,186</w:t>
            </w:r>
          </w:p>
        </w:tc>
        <w:tc>
          <w:tcPr>
            <w:tcW w:w="1971" w:type="dxa"/>
            <w:tcBorders>
              <w:top w:val="single" w:sz="4" w:space="0" w:color="auto"/>
              <w:bottom w:val="single" w:sz="8" w:space="0" w:color="auto"/>
            </w:tcBorders>
            <w:shd w:val="clear" w:color="auto" w:fill="FFFFFF" w:themeFill="background1"/>
            <w:vAlign w:val="center"/>
            <w:hideMark/>
          </w:tcPr>
          <w:p w14:paraId="188DF4BE" w14:textId="77777777" w:rsidR="00F468C9" w:rsidRPr="00770F9D" w:rsidRDefault="00F468C9" w:rsidP="00136D7D">
            <w:pPr>
              <w:jc w:val="right"/>
              <w:rPr>
                <w:rFonts w:ascii="Garamond" w:hAnsi="Garamond" w:cstheme="majorBidi"/>
                <w:b/>
                <w:bCs/>
                <w:color w:val="0D0D0D" w:themeColor="text1" w:themeTint="F2"/>
                <w:sz w:val="20"/>
              </w:rPr>
            </w:pPr>
            <w:r w:rsidRPr="00770F9D">
              <w:rPr>
                <w:rFonts w:ascii="Garamond" w:hAnsi="Garamond" w:cstheme="majorBidi"/>
                <w:b/>
                <w:bCs/>
                <w:color w:val="0D0D0D" w:themeColor="text1" w:themeTint="F2"/>
                <w:sz w:val="20"/>
              </w:rPr>
              <w:t>0.6%</w:t>
            </w:r>
          </w:p>
        </w:tc>
      </w:tr>
    </w:tbl>
    <w:p w14:paraId="39D046A9" w14:textId="341440DE" w:rsidR="00F468C9" w:rsidRPr="00770F9D" w:rsidRDefault="00F468C9" w:rsidP="00136D7D">
      <w:pPr>
        <w:ind w:firstLine="284"/>
        <w:jc w:val="center"/>
        <w:rPr>
          <w:rFonts w:ascii="Garamond" w:eastAsia="Arial Narrow" w:hAnsi="Garamond" w:cstheme="majorBidi"/>
          <w:i/>
          <w:iCs/>
          <w:color w:val="0D0D0D" w:themeColor="text1" w:themeTint="F2"/>
          <w:sz w:val="20"/>
          <w:szCs w:val="20"/>
        </w:rPr>
      </w:pPr>
      <w:r w:rsidRPr="00770F9D">
        <w:rPr>
          <w:rFonts w:ascii="Garamond" w:eastAsia="Arial Narrow" w:hAnsi="Garamond" w:cstheme="majorBidi"/>
          <w:i/>
          <w:iCs/>
          <w:color w:val="0D0D0D" w:themeColor="text1" w:themeTint="F2"/>
          <w:sz w:val="20"/>
          <w:szCs w:val="20"/>
        </w:rPr>
        <w:t xml:space="preserve">Burimi: Ministria e </w:t>
      </w:r>
      <w:r w:rsidR="00136D7D" w:rsidRPr="00770F9D">
        <w:rPr>
          <w:rFonts w:ascii="Garamond" w:eastAsia="Arial Narrow" w:hAnsi="Garamond" w:cstheme="majorBidi"/>
          <w:i/>
          <w:iCs/>
          <w:color w:val="0D0D0D" w:themeColor="text1" w:themeTint="F2"/>
          <w:sz w:val="20"/>
          <w:szCs w:val="20"/>
        </w:rPr>
        <w:t>Financave</w:t>
      </w:r>
      <w:r w:rsidRPr="00770F9D">
        <w:rPr>
          <w:rFonts w:ascii="Garamond" w:eastAsia="Arial Narrow" w:hAnsi="Garamond" w:cstheme="majorBidi"/>
          <w:i/>
          <w:iCs/>
          <w:color w:val="0D0D0D" w:themeColor="text1" w:themeTint="F2"/>
          <w:sz w:val="20"/>
          <w:szCs w:val="20"/>
        </w:rPr>
        <w:t xml:space="preserve"> dhe Ekonomisë (2022)</w:t>
      </w:r>
    </w:p>
    <w:p w14:paraId="08094F35" w14:textId="77777777" w:rsidR="00136D7D" w:rsidRPr="00770F9D" w:rsidRDefault="00136D7D" w:rsidP="00136D7D">
      <w:pPr>
        <w:ind w:firstLine="284"/>
        <w:jc w:val="center"/>
        <w:rPr>
          <w:rFonts w:ascii="Garamond" w:eastAsia="Arial Narrow" w:hAnsi="Garamond" w:cstheme="majorBidi"/>
          <w:i/>
          <w:iCs/>
          <w:color w:val="0D0D0D" w:themeColor="text1" w:themeTint="F2"/>
          <w:sz w:val="20"/>
          <w:szCs w:val="20"/>
        </w:rPr>
      </w:pPr>
    </w:p>
    <w:p w14:paraId="06338848" w14:textId="4F24E47D" w:rsidR="00F468C9" w:rsidRPr="00770F9D" w:rsidRDefault="00F468C9" w:rsidP="003F46E1">
      <w:pPr>
        <w:ind w:firstLine="284"/>
        <w:jc w:val="both"/>
        <w:rPr>
          <w:rFonts w:ascii="Garamond" w:eastAsia="Times New Roman" w:hAnsi="Garamond" w:cstheme="majorBidi"/>
          <w:color w:val="0D0D0D" w:themeColor="text1" w:themeTint="F2"/>
        </w:rPr>
      </w:pPr>
      <w:r w:rsidRPr="00770F9D">
        <w:rPr>
          <w:rFonts w:ascii="Garamond" w:eastAsia="Times New Roman" w:hAnsi="Garamond" w:cstheme="majorBidi"/>
          <w:b/>
          <w:color w:val="0D0D0D" w:themeColor="text1" w:themeTint="F2"/>
        </w:rPr>
        <w:t>Të ardhurat nga tatimi mbi vlerën e shtuar</w:t>
      </w:r>
      <w:r w:rsidRPr="00770F9D">
        <w:rPr>
          <w:rFonts w:ascii="Garamond" w:eastAsia="Times New Roman" w:hAnsi="Garamond" w:cstheme="majorBidi"/>
          <w:color w:val="0D0D0D" w:themeColor="text1" w:themeTint="F2"/>
        </w:rPr>
        <w:t xml:space="preserve"> nga importet janë 140.9 miliardë lekë me një realizim 101.6% të planit me një rritje prej 24.1 miliardë lekë ose 20.6% krahasuar me të njëjtën periudhë të vitit të kaluar. Ecuria e TVSH-së në importe ndikohet nga disa faktorë</w:t>
      </w:r>
      <w:r w:rsidR="003D298D" w:rsidRPr="00770F9D">
        <w:rPr>
          <w:rFonts w:ascii="Garamond" w:eastAsia="Times New Roman" w:hAnsi="Garamond" w:cstheme="majorBidi"/>
          <w:color w:val="0D0D0D" w:themeColor="text1" w:themeTint="F2"/>
        </w:rPr>
        <w:t>,</w:t>
      </w:r>
      <w:r w:rsidRPr="00770F9D">
        <w:rPr>
          <w:rFonts w:ascii="Garamond" w:eastAsia="Times New Roman" w:hAnsi="Garamond" w:cstheme="majorBidi"/>
          <w:color w:val="0D0D0D" w:themeColor="text1" w:themeTint="F2"/>
        </w:rPr>
        <w:t xml:space="preserve"> si:</w:t>
      </w:r>
    </w:p>
    <w:p w14:paraId="01FFDF31" w14:textId="22E72331" w:rsidR="00F468C9" w:rsidRPr="00770F9D" w:rsidRDefault="00BB0492" w:rsidP="003F46E1">
      <w:pPr>
        <w:ind w:firstLine="284"/>
        <w:jc w:val="both"/>
        <w:rPr>
          <w:rFonts w:ascii="Garamond" w:eastAsia="Times New Roman" w:hAnsi="Garamond" w:cstheme="majorBidi"/>
          <w:color w:val="0D0D0D" w:themeColor="text1" w:themeTint="F2"/>
        </w:rPr>
      </w:pPr>
      <w:r w:rsidRPr="00770F9D">
        <w:rPr>
          <w:rFonts w:ascii="Garamond" w:eastAsia="Times New Roman" w:hAnsi="Garamond" w:cstheme="majorBidi"/>
          <w:color w:val="0D0D0D" w:themeColor="text1" w:themeTint="F2"/>
        </w:rPr>
        <w:t xml:space="preserve">- </w:t>
      </w:r>
      <w:r w:rsidR="00F468C9" w:rsidRPr="00770F9D">
        <w:rPr>
          <w:rFonts w:ascii="Garamond" w:eastAsia="Times New Roman" w:hAnsi="Garamond" w:cstheme="majorBidi"/>
          <w:color w:val="0D0D0D" w:themeColor="text1" w:themeTint="F2"/>
        </w:rPr>
        <w:t xml:space="preserve">Rritje e volumit të importeve, e cila ka sjellë një rritje të të ardhurave me 174.3 miliardë lekë ose 35% më shumë </w:t>
      </w:r>
      <w:r w:rsidR="003D298D" w:rsidRPr="00770F9D">
        <w:rPr>
          <w:rFonts w:ascii="Garamond" w:eastAsia="Times New Roman" w:hAnsi="Garamond" w:cstheme="majorBidi"/>
          <w:color w:val="0D0D0D" w:themeColor="text1" w:themeTint="F2"/>
        </w:rPr>
        <w:t>krahasuar me 11-mujorin e 2021-</w:t>
      </w:r>
      <w:r w:rsidR="00F468C9" w:rsidRPr="00770F9D">
        <w:rPr>
          <w:rFonts w:ascii="Garamond" w:eastAsia="Times New Roman" w:hAnsi="Garamond" w:cstheme="majorBidi"/>
          <w:color w:val="0D0D0D" w:themeColor="text1" w:themeTint="F2"/>
        </w:rPr>
        <w:t>s.</w:t>
      </w:r>
    </w:p>
    <w:p w14:paraId="502214A5" w14:textId="183DC50D" w:rsidR="00F468C9" w:rsidRPr="00770F9D" w:rsidRDefault="00BB0492" w:rsidP="003F46E1">
      <w:pPr>
        <w:ind w:firstLine="284"/>
        <w:jc w:val="both"/>
        <w:rPr>
          <w:rFonts w:ascii="Garamond" w:eastAsia="Times New Roman" w:hAnsi="Garamond" w:cstheme="majorBidi"/>
          <w:color w:val="0D0D0D" w:themeColor="text1" w:themeTint="F2"/>
        </w:rPr>
      </w:pPr>
      <w:r w:rsidRPr="00770F9D">
        <w:rPr>
          <w:rFonts w:ascii="Garamond" w:eastAsia="Times New Roman" w:hAnsi="Garamond" w:cstheme="majorBidi"/>
          <w:color w:val="0D0D0D" w:themeColor="text1" w:themeTint="F2"/>
        </w:rPr>
        <w:t xml:space="preserve">- </w:t>
      </w:r>
      <w:r w:rsidR="00F468C9" w:rsidRPr="00770F9D">
        <w:rPr>
          <w:rFonts w:ascii="Garamond" w:eastAsia="Times New Roman" w:hAnsi="Garamond" w:cstheme="majorBidi"/>
          <w:color w:val="0D0D0D" w:themeColor="text1" w:themeTint="F2"/>
        </w:rPr>
        <w:t>Rritje e çmimeve të karburanteve në tregjet ndërkombëtare krahasuar me vitin 2021, të cilat zënë një peshë të konsiderueshme prej rreth 20.6% në strukturën e TVSH-së në importe, duke dhënë një efekt pozitiv prej 5.1 miliardë lekë</w:t>
      </w:r>
      <w:r w:rsidR="003D298D" w:rsidRPr="00770F9D">
        <w:rPr>
          <w:rFonts w:ascii="Garamond" w:eastAsia="Times New Roman" w:hAnsi="Garamond" w:cstheme="majorBidi"/>
          <w:color w:val="0D0D0D" w:themeColor="text1" w:themeTint="F2"/>
        </w:rPr>
        <w:t>sh</w:t>
      </w:r>
      <w:r w:rsidR="00F468C9" w:rsidRPr="00770F9D">
        <w:rPr>
          <w:rFonts w:ascii="Garamond" w:eastAsia="Times New Roman" w:hAnsi="Garamond" w:cstheme="majorBidi"/>
          <w:color w:val="0D0D0D" w:themeColor="text1" w:themeTint="F2"/>
        </w:rPr>
        <w:t>.</w:t>
      </w:r>
    </w:p>
    <w:p w14:paraId="467EE079" w14:textId="1802A41C" w:rsidR="00F468C9" w:rsidRPr="00770F9D" w:rsidRDefault="00BB0492" w:rsidP="003F46E1">
      <w:pPr>
        <w:ind w:firstLine="284"/>
        <w:jc w:val="both"/>
        <w:rPr>
          <w:rFonts w:ascii="Garamond" w:eastAsia="Times New Roman" w:hAnsi="Garamond" w:cstheme="majorBidi"/>
          <w:color w:val="0D0D0D" w:themeColor="text1" w:themeTint="F2"/>
        </w:rPr>
      </w:pPr>
      <w:r w:rsidRPr="00770F9D">
        <w:rPr>
          <w:rFonts w:ascii="Garamond" w:eastAsia="Times New Roman" w:hAnsi="Garamond" w:cstheme="majorBidi"/>
          <w:color w:val="0D0D0D" w:themeColor="text1" w:themeTint="F2"/>
        </w:rPr>
        <w:t xml:space="preserve">- </w:t>
      </w:r>
      <w:r w:rsidR="00F468C9" w:rsidRPr="00770F9D">
        <w:rPr>
          <w:rFonts w:ascii="Garamond" w:eastAsia="Times New Roman" w:hAnsi="Garamond" w:cstheme="majorBidi"/>
          <w:color w:val="0D0D0D" w:themeColor="text1" w:themeTint="F2"/>
        </w:rPr>
        <w:t xml:space="preserve">Rritja e çmimit të energjisë elektrike e cila ndikon shumë në </w:t>
      </w:r>
      <w:r w:rsidR="007A2C1F" w:rsidRPr="00770F9D">
        <w:rPr>
          <w:rFonts w:ascii="Garamond" w:eastAsia="Times New Roman" w:hAnsi="Garamond" w:cstheme="majorBidi"/>
          <w:color w:val="0D0D0D" w:themeColor="text1" w:themeTint="F2"/>
        </w:rPr>
        <w:t xml:space="preserve">TVSH </w:t>
      </w:r>
      <w:r w:rsidR="00F468C9" w:rsidRPr="00770F9D">
        <w:rPr>
          <w:rFonts w:ascii="Garamond" w:eastAsia="Times New Roman" w:hAnsi="Garamond" w:cstheme="majorBidi"/>
          <w:color w:val="0D0D0D" w:themeColor="text1" w:themeTint="F2"/>
        </w:rPr>
        <w:t>e importit ka sjell një rritje 3.6 miliardë lekë krahasuar me 11-mujorin e vitit 2021.</w:t>
      </w:r>
    </w:p>
    <w:p w14:paraId="6F7D8C6D" w14:textId="50D378BC"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b/>
          <w:bCs/>
          <w:color w:val="0D0D0D"/>
          <w:lang w:eastAsia="sq-AL"/>
        </w:rPr>
        <w:t>Të ardhurat nga akciza</w:t>
      </w:r>
      <w:r w:rsidRPr="00770F9D">
        <w:rPr>
          <w:rFonts w:ascii="Garamond" w:hAnsi="Garamond" w:cs="Garamond"/>
          <w:color w:val="0D0D0D"/>
          <w:lang w:eastAsia="sq-AL"/>
        </w:rPr>
        <w:t xml:space="preserve"> janë 48,7 miliardë lekë, me një realizim 101.6% të planit ose 4.4% më shumë se e njëjta periudhë e vitit 2021. Ecuria e akcizës për periudhën </w:t>
      </w:r>
      <w:r w:rsidR="003A1ADD" w:rsidRPr="00770F9D">
        <w:rPr>
          <w:rFonts w:ascii="Garamond" w:hAnsi="Garamond" w:cs="Garamond"/>
          <w:color w:val="0D0D0D"/>
          <w:lang w:eastAsia="sq-AL"/>
        </w:rPr>
        <w:t xml:space="preserve">janar–nëntor </w:t>
      </w:r>
      <w:r w:rsidRPr="00770F9D">
        <w:rPr>
          <w:rFonts w:ascii="Garamond" w:hAnsi="Garamond" w:cs="Garamond"/>
          <w:color w:val="0D0D0D"/>
          <w:lang w:eastAsia="sq-AL"/>
        </w:rPr>
        <w:t>ndikohet nga disa faktorë:</w:t>
      </w:r>
    </w:p>
    <w:p w14:paraId="3E812716" w14:textId="318D6868"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Rritje e importit të cigareve me 9% krahasuar me një vit më parë, duke sjellë një efekt pozitiv në akcizë me +2.6 miliardë lekë.</w:t>
      </w:r>
    </w:p>
    <w:p w14:paraId="7BC549A3" w14:textId="12D89F67"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Rritje e importit të pijeve alkoolike, me 42.7% krahasuar me një vit më parë, duke sjellë një efekt pozitiv në akcizë me +144 milionë lekë.</w:t>
      </w:r>
    </w:p>
    <w:p w14:paraId="4DF18FC2" w14:textId="77777777"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Akciza e rimbursuar është 223 milionë lekë ose 18% e akcizës së rimbursuar më pak në të njëjtën periudhë të vitit 2021.</w:t>
      </w:r>
    </w:p>
    <w:p w14:paraId="6D4D0FF3" w14:textId="09618825" w:rsidR="00072546" w:rsidRPr="00770F9D" w:rsidRDefault="00072546" w:rsidP="003A1ADD">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 xml:space="preserve">Ecuria e të </w:t>
      </w:r>
      <w:r w:rsidRPr="00770F9D">
        <w:rPr>
          <w:rFonts w:ascii="Garamond" w:hAnsi="Garamond" w:cs="Garamond"/>
          <w:b/>
          <w:bCs/>
          <w:color w:val="0D0D0D"/>
          <w:lang w:eastAsia="sq-AL"/>
        </w:rPr>
        <w:t xml:space="preserve">ardhurave nga </w:t>
      </w:r>
      <w:r w:rsidR="003A1ADD" w:rsidRPr="00770F9D">
        <w:rPr>
          <w:rFonts w:ascii="Garamond" w:hAnsi="Garamond" w:cs="Garamond"/>
          <w:b/>
          <w:bCs/>
          <w:color w:val="0D0D0D"/>
          <w:lang w:eastAsia="sq-AL"/>
        </w:rPr>
        <w:t>renta minerale</w:t>
      </w:r>
      <w:r w:rsidR="003A1ADD" w:rsidRPr="00770F9D">
        <w:rPr>
          <w:rFonts w:ascii="Garamond" w:hAnsi="Garamond" w:cs="Garamond"/>
          <w:color w:val="0D0D0D"/>
          <w:lang w:eastAsia="sq-AL"/>
        </w:rPr>
        <w:t xml:space="preserve"> </w:t>
      </w:r>
      <w:r w:rsidRPr="00770F9D">
        <w:rPr>
          <w:rFonts w:ascii="Garamond" w:hAnsi="Garamond" w:cs="Garamond"/>
          <w:color w:val="0D0D0D"/>
          <w:lang w:eastAsia="sq-AL"/>
        </w:rPr>
        <w:t xml:space="preserve">gjatë periudhës </w:t>
      </w:r>
      <w:r w:rsidR="003A1ADD" w:rsidRPr="00770F9D">
        <w:rPr>
          <w:rFonts w:ascii="Garamond" w:hAnsi="Garamond" w:cs="Garamond"/>
          <w:color w:val="0D0D0D"/>
          <w:lang w:eastAsia="sq-AL"/>
        </w:rPr>
        <w:t>janar</w:t>
      </w:r>
      <w:r w:rsidR="003A1ADD" w:rsidRPr="00770F9D">
        <w:rPr>
          <w:rFonts w:ascii="Garamond" w:hAnsi="Garamond" w:cstheme="majorBidi"/>
          <w:color w:val="0D0D0D" w:themeColor="text1" w:themeTint="F2"/>
        </w:rPr>
        <w:t>–</w:t>
      </w:r>
      <w:r w:rsidR="003A1ADD" w:rsidRPr="00770F9D">
        <w:rPr>
          <w:rFonts w:ascii="Garamond" w:hAnsi="Garamond" w:cs="Garamond"/>
          <w:color w:val="0D0D0D"/>
          <w:lang w:eastAsia="sq-AL"/>
        </w:rPr>
        <w:t xml:space="preserve">nëntor </w:t>
      </w:r>
      <w:r w:rsidRPr="00770F9D">
        <w:rPr>
          <w:rFonts w:ascii="Garamond" w:hAnsi="Garamond" w:cs="Garamond"/>
          <w:color w:val="0D0D0D"/>
          <w:lang w:eastAsia="sq-AL"/>
        </w:rPr>
        <w:t xml:space="preserve">2022 është 3,9 miliardë lekë me një realizim në masën 95.2% të planit, duke shënuar një rritje prej 77% ose 1,7 miliardë lekë më shumë se e njëjta periudhë e vitit të kaluar. Performanca e </w:t>
      </w:r>
      <w:r w:rsidR="003A1ADD" w:rsidRPr="00770F9D">
        <w:rPr>
          <w:rFonts w:ascii="Garamond" w:hAnsi="Garamond" w:cs="Garamond"/>
          <w:color w:val="0D0D0D"/>
          <w:lang w:eastAsia="sq-AL"/>
        </w:rPr>
        <w:t xml:space="preserve">tarifave të minierave </w:t>
      </w:r>
      <w:r w:rsidRPr="00770F9D">
        <w:rPr>
          <w:rFonts w:ascii="Garamond" w:hAnsi="Garamond" w:cs="Garamond"/>
          <w:color w:val="0D0D0D"/>
          <w:lang w:eastAsia="sq-AL"/>
        </w:rPr>
        <w:t>është ndikuar nga disa faktorë</w:t>
      </w:r>
      <w:r w:rsidR="003A1ADD" w:rsidRPr="00770F9D">
        <w:rPr>
          <w:rFonts w:ascii="Garamond" w:hAnsi="Garamond" w:cs="Garamond"/>
          <w:color w:val="0D0D0D"/>
          <w:lang w:eastAsia="sq-AL"/>
        </w:rPr>
        <w:t>,</w:t>
      </w:r>
      <w:r w:rsidRPr="00770F9D">
        <w:rPr>
          <w:rFonts w:ascii="Garamond" w:hAnsi="Garamond" w:cs="Garamond"/>
          <w:color w:val="0D0D0D"/>
          <w:lang w:eastAsia="sq-AL"/>
        </w:rPr>
        <w:t xml:space="preserve"> si:</w:t>
      </w:r>
    </w:p>
    <w:p w14:paraId="4069BF95" w14:textId="7CA90B53"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Rritje e çmimit të naftës bruto në tregjet ndërkombëtare, me efekt 1,318 milionë lekë, por edhe i shoqëruar me uljen e sasisë së naftës bruto të eksportuar me -3.5% më pak se vitin e kaluar me efekt -58.2 milionë lekë.</w:t>
      </w:r>
    </w:p>
    <w:p w14:paraId="33E79CF5" w14:textId="7D9B900E"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Rritja e çmimit të mine</w:t>
      </w:r>
      <w:r w:rsidR="003A1ADD" w:rsidRPr="00770F9D">
        <w:rPr>
          <w:rFonts w:ascii="Garamond" w:hAnsi="Garamond" w:cs="Garamond"/>
          <w:color w:val="0D0D0D"/>
          <w:lang w:eastAsia="sq-AL"/>
        </w:rPr>
        <w:t>raleve në tregjet ndërkombëtare</w:t>
      </w:r>
      <w:r w:rsidRPr="00770F9D">
        <w:rPr>
          <w:rFonts w:ascii="Garamond" w:hAnsi="Garamond" w:cs="Garamond"/>
          <w:color w:val="0D0D0D"/>
          <w:lang w:eastAsia="sq-AL"/>
        </w:rPr>
        <w:t xml:space="preserve"> është shoqëruar me uljen e sasisë së mineraleve të eksportuara me një me efekt +511,1 milionë lekë.</w:t>
      </w:r>
    </w:p>
    <w:p w14:paraId="2E085014" w14:textId="77777777" w:rsidR="00F468C9" w:rsidRPr="00770F9D" w:rsidRDefault="00F468C9" w:rsidP="003F46E1">
      <w:pPr>
        <w:ind w:firstLine="284"/>
        <w:jc w:val="both"/>
        <w:rPr>
          <w:rFonts w:ascii="Garamond" w:eastAsia="Times New Roman" w:hAnsi="Garamond" w:cstheme="majorBidi"/>
          <w:color w:val="0D0D0D" w:themeColor="text1" w:themeTint="F2"/>
        </w:rPr>
      </w:pPr>
      <w:r w:rsidRPr="00770F9D">
        <w:rPr>
          <w:rFonts w:ascii="Garamond" w:eastAsia="Times New Roman" w:hAnsi="Garamond" w:cstheme="majorBidi"/>
          <w:b/>
          <w:color w:val="0D0D0D" w:themeColor="text1" w:themeTint="F2"/>
        </w:rPr>
        <w:t>Të ardhurat nga taksat doganore</w:t>
      </w:r>
      <w:r w:rsidRPr="00770F9D">
        <w:rPr>
          <w:rFonts w:ascii="Garamond" w:eastAsia="Times New Roman" w:hAnsi="Garamond" w:cstheme="majorBidi"/>
          <w:color w:val="0D0D0D" w:themeColor="text1" w:themeTint="F2"/>
        </w:rPr>
        <w:t xml:space="preserve"> janë 7,6 miliardë lekë, me një realizim prej 99.6% të planit dhe 14.1% ose 946 milionë lekë më shumë se e njëjta periudhë e një viti më parë.</w:t>
      </w:r>
    </w:p>
    <w:p w14:paraId="3E4CA8C3" w14:textId="67EE9B37" w:rsidR="00F468C9" w:rsidRPr="00770F9D" w:rsidRDefault="002C27E8" w:rsidP="002C27E8">
      <w:pPr>
        <w:ind w:firstLine="284"/>
        <w:jc w:val="center"/>
        <w:rPr>
          <w:rFonts w:ascii="Garamond" w:eastAsia="Times New Roman" w:hAnsi="Garamond" w:cstheme="majorBidi"/>
          <w:i/>
          <w:iCs/>
          <w:color w:val="0D0D0D" w:themeColor="text1" w:themeTint="F2"/>
          <w:sz w:val="20"/>
          <w:szCs w:val="20"/>
        </w:rPr>
      </w:pPr>
      <w:r w:rsidRPr="00770F9D">
        <w:rPr>
          <w:rFonts w:ascii="Garamond" w:eastAsia="Times New Roman" w:hAnsi="Garamond" w:cstheme="majorBidi"/>
          <w:noProof/>
          <w:color w:val="0D0D0D" w:themeColor="text1" w:themeTint="F2"/>
          <w:lang w:eastAsia="sq-AL"/>
        </w:rPr>
        <w:drawing>
          <wp:anchor distT="0" distB="0" distL="114300" distR="114300" simplePos="0" relativeHeight="251658262" behindDoc="0" locked="0" layoutInCell="1" allowOverlap="1" wp14:anchorId="1EE0A373" wp14:editId="451C6A17">
            <wp:simplePos x="0" y="0"/>
            <wp:positionH relativeFrom="column">
              <wp:posOffset>-206096</wp:posOffset>
            </wp:positionH>
            <wp:positionV relativeFrom="paragraph">
              <wp:posOffset>204572</wp:posOffset>
            </wp:positionV>
            <wp:extent cx="6082748" cy="1677725"/>
            <wp:effectExtent l="0" t="0" r="0" b="0"/>
            <wp:wrapTopAndBottom/>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H relativeFrom="page">
              <wp14:pctWidth>0</wp14:pctWidth>
            </wp14:sizeRelH>
            <wp14:sizeRelV relativeFrom="page">
              <wp14:pctHeight>0</wp14:pctHeight>
            </wp14:sizeRelV>
          </wp:anchor>
        </w:drawing>
      </w:r>
      <w:r w:rsidR="00F468C9" w:rsidRPr="00770F9D">
        <w:rPr>
          <w:rFonts w:ascii="Garamond" w:eastAsia="Times New Roman" w:hAnsi="Garamond" w:cstheme="majorBidi"/>
          <w:b/>
          <w:bCs/>
          <w:i/>
          <w:iCs/>
          <w:color w:val="0D0D0D" w:themeColor="text1" w:themeTint="F2"/>
          <w:sz w:val="20"/>
          <w:szCs w:val="20"/>
        </w:rPr>
        <w:t>Grafiku 4.2.1:</w:t>
      </w:r>
      <w:r w:rsidR="00F468C9" w:rsidRPr="00770F9D">
        <w:rPr>
          <w:rFonts w:ascii="Garamond" w:eastAsia="Times New Roman" w:hAnsi="Garamond" w:cstheme="majorBidi"/>
          <w:i/>
          <w:iCs/>
          <w:color w:val="0D0D0D" w:themeColor="text1" w:themeTint="F2"/>
          <w:sz w:val="20"/>
          <w:szCs w:val="20"/>
        </w:rPr>
        <w:t xml:space="preserve"> </w:t>
      </w:r>
      <w:r w:rsidR="00F468C9" w:rsidRPr="00770F9D">
        <w:rPr>
          <w:rFonts w:ascii="Garamond" w:hAnsi="Garamond" w:cstheme="majorBidi"/>
          <w:i/>
          <w:iCs/>
          <w:color w:val="0D0D0D" w:themeColor="text1" w:themeTint="F2"/>
          <w:sz w:val="20"/>
          <w:szCs w:val="20"/>
        </w:rPr>
        <w:t>Kontribuesit kryesorë të të ardhurave doganore</w:t>
      </w:r>
      <w:r w:rsidR="00F468C9" w:rsidRPr="00770F9D">
        <w:rPr>
          <w:rFonts w:ascii="Garamond" w:eastAsia="Times New Roman" w:hAnsi="Garamond" w:cstheme="majorBidi"/>
          <w:i/>
          <w:iCs/>
          <w:color w:val="0D0D0D" w:themeColor="text1" w:themeTint="F2"/>
          <w:sz w:val="20"/>
          <w:szCs w:val="20"/>
        </w:rPr>
        <w:t xml:space="preserve"> (</w:t>
      </w:r>
      <w:r w:rsidRPr="00770F9D">
        <w:rPr>
          <w:rFonts w:ascii="Garamond" w:eastAsia="Times New Roman" w:hAnsi="Garamond" w:cstheme="majorBidi"/>
          <w:i/>
          <w:iCs/>
          <w:color w:val="0D0D0D" w:themeColor="text1" w:themeTint="F2"/>
          <w:sz w:val="20"/>
          <w:szCs w:val="20"/>
        </w:rPr>
        <w:t>janar</w:t>
      </w:r>
      <w:r w:rsidRPr="00770F9D">
        <w:rPr>
          <w:rFonts w:ascii="Garamond" w:hAnsi="Garamond" w:cstheme="majorBidi"/>
          <w:i/>
          <w:iCs/>
          <w:color w:val="0D0D0D" w:themeColor="text1" w:themeTint="F2"/>
          <w:sz w:val="20"/>
          <w:szCs w:val="20"/>
        </w:rPr>
        <w:t>–</w:t>
      </w:r>
      <w:r w:rsidRPr="00770F9D">
        <w:rPr>
          <w:rFonts w:ascii="Garamond" w:eastAsia="Times New Roman" w:hAnsi="Garamond" w:cstheme="majorBidi"/>
          <w:i/>
          <w:iCs/>
          <w:color w:val="0D0D0D" w:themeColor="text1" w:themeTint="F2"/>
          <w:sz w:val="20"/>
          <w:szCs w:val="20"/>
        </w:rPr>
        <w:t xml:space="preserve">nëntor </w:t>
      </w:r>
      <w:r w:rsidR="00F468C9" w:rsidRPr="00770F9D">
        <w:rPr>
          <w:rFonts w:ascii="Garamond" w:eastAsia="Times New Roman" w:hAnsi="Garamond" w:cstheme="majorBidi"/>
          <w:i/>
          <w:iCs/>
          <w:color w:val="0D0D0D" w:themeColor="text1" w:themeTint="F2"/>
          <w:sz w:val="20"/>
          <w:szCs w:val="20"/>
        </w:rPr>
        <w:t>2022/2021)</w:t>
      </w:r>
    </w:p>
    <w:p w14:paraId="1117251D" w14:textId="79AEBC1C" w:rsidR="00F468C9" w:rsidRPr="00770F9D" w:rsidRDefault="00F468C9" w:rsidP="002C27E8">
      <w:pPr>
        <w:ind w:firstLine="284"/>
        <w:jc w:val="center"/>
        <w:rPr>
          <w:rFonts w:ascii="Garamond" w:eastAsia="Times New Roman" w:hAnsi="Garamond" w:cstheme="majorBidi"/>
          <w:color w:val="0D0D0D" w:themeColor="text1" w:themeTint="F2"/>
          <w:sz w:val="20"/>
          <w:szCs w:val="20"/>
        </w:rPr>
      </w:pPr>
      <w:r w:rsidRPr="00770F9D">
        <w:rPr>
          <w:rFonts w:ascii="Garamond" w:eastAsia="Arial Narrow" w:hAnsi="Garamond" w:cstheme="majorBidi"/>
          <w:i/>
          <w:iCs/>
          <w:color w:val="0D0D0D" w:themeColor="text1" w:themeTint="F2"/>
          <w:sz w:val="20"/>
          <w:szCs w:val="20"/>
        </w:rPr>
        <w:t xml:space="preserve">Burimi: Ministria e </w:t>
      </w:r>
      <w:r w:rsidR="002C27E8" w:rsidRPr="00770F9D">
        <w:rPr>
          <w:rFonts w:ascii="Garamond" w:eastAsia="Arial Narrow" w:hAnsi="Garamond" w:cstheme="majorBidi"/>
          <w:i/>
          <w:iCs/>
          <w:color w:val="0D0D0D" w:themeColor="text1" w:themeTint="F2"/>
          <w:sz w:val="20"/>
          <w:szCs w:val="20"/>
        </w:rPr>
        <w:t>Financave</w:t>
      </w:r>
      <w:r w:rsidRPr="00770F9D">
        <w:rPr>
          <w:rFonts w:ascii="Garamond" w:eastAsia="Arial Narrow" w:hAnsi="Garamond" w:cstheme="majorBidi"/>
          <w:i/>
          <w:iCs/>
          <w:color w:val="0D0D0D" w:themeColor="text1" w:themeTint="F2"/>
          <w:sz w:val="20"/>
          <w:szCs w:val="20"/>
        </w:rPr>
        <w:t xml:space="preserve"> dhe Ekonomisë (2022)</w:t>
      </w:r>
    </w:p>
    <w:p w14:paraId="3FF77585" w14:textId="77777777" w:rsidR="00F468C9" w:rsidRPr="00770F9D" w:rsidRDefault="00F468C9" w:rsidP="005674F2">
      <w:pPr>
        <w:ind w:firstLine="284"/>
        <w:jc w:val="both"/>
        <w:rPr>
          <w:rFonts w:ascii="Garamond" w:eastAsia="Times New Roman" w:hAnsi="Garamond" w:cstheme="majorBidi"/>
          <w:color w:val="0D0D0D" w:themeColor="text1" w:themeTint="F2"/>
        </w:rPr>
      </w:pPr>
    </w:p>
    <w:p w14:paraId="13643AB3" w14:textId="142D98CF" w:rsidR="00F468C9" w:rsidRPr="00770F9D" w:rsidRDefault="00F468C9" w:rsidP="00AE01CA">
      <w:pPr>
        <w:ind w:firstLine="284"/>
        <w:jc w:val="both"/>
        <w:rPr>
          <w:rFonts w:ascii="Garamond" w:eastAsia="Times New Roman" w:hAnsi="Garamond" w:cstheme="majorBidi"/>
          <w:color w:val="0D0D0D" w:themeColor="text1" w:themeTint="F2"/>
        </w:rPr>
      </w:pPr>
      <w:r w:rsidRPr="00770F9D">
        <w:rPr>
          <w:rFonts w:ascii="Garamond" w:eastAsia="Times New Roman" w:hAnsi="Garamond" w:cstheme="majorBidi"/>
          <w:b/>
          <w:color w:val="0D0D0D" w:themeColor="text1" w:themeTint="F2"/>
        </w:rPr>
        <w:t>Të ardhurat e mbledhura nga Drejtoria e Përgjithshme e Tatimeve</w:t>
      </w:r>
      <w:r w:rsidRPr="00770F9D">
        <w:rPr>
          <w:rFonts w:ascii="Garamond" w:eastAsia="Times New Roman" w:hAnsi="Garamond" w:cstheme="majorBidi"/>
          <w:color w:val="0D0D0D" w:themeColor="text1" w:themeTint="F2"/>
        </w:rPr>
        <w:t xml:space="preserve"> (duke përfshirë kontributet e sigurimeve shoqërore dhe shëndetësore të mbledhura nga DPT) për periudhën </w:t>
      </w:r>
      <w:r w:rsidR="00AE01CA" w:rsidRPr="00770F9D">
        <w:rPr>
          <w:rFonts w:ascii="Garamond" w:eastAsia="Times New Roman" w:hAnsi="Garamond" w:cstheme="majorBidi"/>
          <w:color w:val="0D0D0D" w:themeColor="text1" w:themeTint="F2"/>
        </w:rPr>
        <w:t>janar</w:t>
      </w:r>
      <w:r w:rsidR="00AE01CA" w:rsidRPr="00770F9D">
        <w:rPr>
          <w:rFonts w:ascii="Garamond" w:hAnsi="Garamond" w:cstheme="majorBidi"/>
          <w:color w:val="0D0D0D" w:themeColor="text1" w:themeTint="F2"/>
        </w:rPr>
        <w:t>–</w:t>
      </w:r>
      <w:r w:rsidR="00AE01CA" w:rsidRPr="00770F9D">
        <w:rPr>
          <w:rFonts w:ascii="Garamond" w:eastAsia="Times New Roman" w:hAnsi="Garamond" w:cstheme="majorBidi"/>
          <w:color w:val="0D0D0D" w:themeColor="text1" w:themeTint="F2"/>
        </w:rPr>
        <w:t xml:space="preserve">nëntor </w:t>
      </w:r>
      <w:r w:rsidRPr="00770F9D">
        <w:rPr>
          <w:rFonts w:ascii="Garamond" w:eastAsia="Times New Roman" w:hAnsi="Garamond" w:cstheme="majorBidi"/>
          <w:color w:val="0D0D0D" w:themeColor="text1" w:themeTint="F2"/>
        </w:rPr>
        <w:t>2022 janë 264 miliardë lekë, me një realizim 101.1% të planit vjetor dhe 15.8% ose 36 miliardë lekë më shumë se të njëjtën periudhë të një viti më parë. Tabela e mëposhtme tregon të dhëna të detajuara mbi performancën tatimore:</w:t>
      </w:r>
    </w:p>
    <w:p w14:paraId="344BFAF1" w14:textId="77777777" w:rsidR="00AE01CA" w:rsidRPr="00770F9D" w:rsidRDefault="00AE01CA" w:rsidP="00AE01CA">
      <w:pPr>
        <w:ind w:firstLine="284"/>
        <w:jc w:val="both"/>
        <w:rPr>
          <w:rFonts w:ascii="Garamond" w:eastAsia="Times New Roman" w:hAnsi="Garamond" w:cstheme="majorBidi"/>
          <w:i/>
          <w:iCs/>
          <w:color w:val="0D0D0D" w:themeColor="text1" w:themeTint="F2"/>
          <w:sz w:val="20"/>
          <w:szCs w:val="20"/>
        </w:rPr>
      </w:pPr>
    </w:p>
    <w:p w14:paraId="5356B062" w14:textId="77777777" w:rsidR="00F468C9" w:rsidRPr="00770F9D" w:rsidRDefault="00F468C9" w:rsidP="00AE01CA">
      <w:pPr>
        <w:jc w:val="center"/>
        <w:rPr>
          <w:rFonts w:ascii="Garamond" w:hAnsi="Garamond" w:cstheme="majorBidi"/>
          <w:i/>
          <w:iCs/>
          <w:color w:val="0D0D0D" w:themeColor="text1" w:themeTint="F2"/>
          <w:sz w:val="20"/>
          <w:szCs w:val="20"/>
        </w:rPr>
      </w:pPr>
      <w:r w:rsidRPr="00770F9D">
        <w:rPr>
          <w:rFonts w:ascii="Garamond" w:eastAsia="Times New Roman" w:hAnsi="Garamond" w:cstheme="majorBidi"/>
          <w:b/>
          <w:bCs/>
          <w:i/>
          <w:iCs/>
          <w:color w:val="0D0D0D" w:themeColor="text1" w:themeTint="F2"/>
          <w:sz w:val="20"/>
          <w:szCs w:val="20"/>
        </w:rPr>
        <w:t>Tabela 4.2.3:</w:t>
      </w:r>
      <w:r w:rsidRPr="00770F9D">
        <w:rPr>
          <w:rFonts w:ascii="Garamond" w:eastAsia="Times New Roman" w:hAnsi="Garamond" w:cstheme="majorBidi"/>
          <w:i/>
          <w:iCs/>
          <w:color w:val="0D0D0D" w:themeColor="text1" w:themeTint="F2"/>
          <w:sz w:val="20"/>
          <w:szCs w:val="20"/>
        </w:rPr>
        <w:t xml:space="preserve"> </w:t>
      </w:r>
      <w:r w:rsidRPr="00770F9D">
        <w:rPr>
          <w:rFonts w:ascii="Garamond" w:hAnsi="Garamond" w:cstheme="majorBidi"/>
          <w:i/>
          <w:iCs/>
          <w:color w:val="0D0D0D" w:themeColor="text1" w:themeTint="F2"/>
          <w:sz w:val="20"/>
          <w:szCs w:val="20"/>
        </w:rPr>
        <w:t>Të ardhurat e mbledhura nga DPT</w:t>
      </w:r>
    </w:p>
    <w:p w14:paraId="3FB9723F" w14:textId="61DD4E7D" w:rsidR="00F468C9" w:rsidRPr="00770F9D" w:rsidRDefault="00F468C9" w:rsidP="00AE01CA">
      <w:pPr>
        <w:ind w:firstLine="284"/>
        <w:jc w:val="right"/>
        <w:rPr>
          <w:rFonts w:ascii="Garamond" w:eastAsia="Times New Roman" w:hAnsi="Garamond" w:cstheme="majorBidi"/>
          <w:i/>
          <w:iCs/>
          <w:color w:val="0D0D0D" w:themeColor="text1" w:themeTint="F2"/>
          <w:sz w:val="20"/>
          <w:szCs w:val="20"/>
        </w:rPr>
      </w:pPr>
      <w:r w:rsidRPr="00770F9D">
        <w:rPr>
          <w:rFonts w:ascii="Garamond" w:eastAsia="Times New Roman" w:hAnsi="Garamond" w:cstheme="majorBidi"/>
          <w:i/>
          <w:iCs/>
          <w:color w:val="0D0D0D" w:themeColor="text1" w:themeTint="F2"/>
          <w:sz w:val="20"/>
          <w:szCs w:val="20"/>
        </w:rPr>
        <w:t>(</w:t>
      </w:r>
      <w:r w:rsidRPr="00770F9D">
        <w:rPr>
          <w:rFonts w:ascii="Garamond" w:hAnsi="Garamond" w:cstheme="majorBidi"/>
          <w:i/>
          <w:iCs/>
          <w:color w:val="0D0D0D" w:themeColor="text1" w:themeTint="F2"/>
          <w:sz w:val="20"/>
          <w:szCs w:val="20"/>
        </w:rPr>
        <w:t>në</w:t>
      </w:r>
      <w:r w:rsidR="000F4E5B">
        <w:rPr>
          <w:rFonts w:ascii="Garamond" w:hAnsi="Garamond" w:cstheme="majorBidi"/>
          <w:i/>
          <w:iCs/>
          <w:color w:val="0D0D0D" w:themeColor="text1" w:themeTint="F2"/>
          <w:sz w:val="20"/>
          <w:szCs w:val="20"/>
        </w:rPr>
        <w:t xml:space="preserve"> milion </w:t>
      </w:r>
      <w:r w:rsidR="00AE01CA" w:rsidRPr="00770F9D">
        <w:rPr>
          <w:rFonts w:ascii="Garamond" w:hAnsi="Garamond" w:cstheme="majorBidi"/>
          <w:i/>
          <w:iCs/>
          <w:color w:val="0D0D0D" w:themeColor="text1" w:themeTint="F2"/>
          <w:sz w:val="20"/>
          <w:szCs w:val="20"/>
        </w:rPr>
        <w:t>lek</w:t>
      </w:r>
      <w:r w:rsidRPr="00770F9D">
        <w:rPr>
          <w:rFonts w:ascii="Garamond" w:eastAsia="Times New Roman" w:hAnsi="Garamond" w:cstheme="majorBidi"/>
          <w:i/>
          <w:iCs/>
          <w:color w:val="0D0D0D" w:themeColor="text1" w:themeTint="F2"/>
          <w:sz w:val="20"/>
          <w:szCs w:val="20"/>
        </w:rPr>
        <w:t>)</w:t>
      </w:r>
    </w:p>
    <w:tbl>
      <w:tblPr>
        <w:tblW w:w="9574" w:type="dxa"/>
        <w:jc w:val="center"/>
        <w:tblLook w:val="04A0" w:firstRow="1" w:lastRow="0" w:firstColumn="1" w:lastColumn="0" w:noHBand="0" w:noVBand="1"/>
      </w:tblPr>
      <w:tblGrid>
        <w:gridCol w:w="3393"/>
        <w:gridCol w:w="1519"/>
        <w:gridCol w:w="1664"/>
        <w:gridCol w:w="1998"/>
        <w:gridCol w:w="1000"/>
      </w:tblGrid>
      <w:tr w:rsidR="00F468C9" w:rsidRPr="00770F9D" w14:paraId="26B5479A" w14:textId="77777777" w:rsidTr="00AE01CA">
        <w:trPr>
          <w:trHeight w:val="20"/>
          <w:jc w:val="center"/>
        </w:trPr>
        <w:tc>
          <w:tcPr>
            <w:tcW w:w="3393" w:type="dxa"/>
            <w:vMerge w:val="restart"/>
            <w:tcBorders>
              <w:top w:val="single" w:sz="8" w:space="0" w:color="auto"/>
              <w:bottom w:val="single" w:sz="8" w:space="0" w:color="000000"/>
            </w:tcBorders>
            <w:shd w:val="clear" w:color="000000" w:fill="EDEDED"/>
            <w:vAlign w:val="center"/>
            <w:hideMark/>
          </w:tcPr>
          <w:p w14:paraId="4860C223" w14:textId="77777777" w:rsidR="00F468C9" w:rsidRPr="00770F9D" w:rsidRDefault="00F468C9" w:rsidP="00AE01CA">
            <w:pPr>
              <w:jc w:val="center"/>
              <w:rPr>
                <w:rFonts w:ascii="Garamond" w:eastAsia="Times New Roman" w:hAnsi="Garamond" w:cstheme="majorBidi"/>
                <w:b/>
                <w:bCs/>
                <w:color w:val="0D0D0D" w:themeColor="text1" w:themeTint="F2"/>
                <w:sz w:val="20"/>
                <w:szCs w:val="20"/>
              </w:rPr>
            </w:pPr>
            <w:r w:rsidRPr="00770F9D">
              <w:rPr>
                <w:rFonts w:ascii="Garamond" w:eastAsia="Times New Roman" w:hAnsi="Garamond" w:cstheme="majorBidi"/>
                <w:b/>
                <w:bCs/>
                <w:color w:val="0D0D0D" w:themeColor="text1" w:themeTint="F2"/>
                <w:sz w:val="20"/>
                <w:szCs w:val="20"/>
              </w:rPr>
              <w:t>Lloji i taksës</w:t>
            </w:r>
          </w:p>
        </w:tc>
        <w:tc>
          <w:tcPr>
            <w:tcW w:w="1519" w:type="dxa"/>
            <w:vMerge w:val="restart"/>
            <w:tcBorders>
              <w:top w:val="single" w:sz="8" w:space="0" w:color="auto"/>
              <w:bottom w:val="nil"/>
            </w:tcBorders>
            <w:shd w:val="clear" w:color="000000" w:fill="EDEDED"/>
            <w:vAlign w:val="center"/>
            <w:hideMark/>
          </w:tcPr>
          <w:p w14:paraId="43049E18" w14:textId="77777777" w:rsidR="00F468C9" w:rsidRPr="00770F9D" w:rsidRDefault="00F468C9" w:rsidP="00AE01CA">
            <w:pPr>
              <w:jc w:val="center"/>
              <w:rPr>
                <w:rFonts w:ascii="Garamond" w:eastAsia="Times New Roman" w:hAnsi="Garamond" w:cstheme="majorBidi"/>
                <w:b/>
                <w:bCs/>
                <w:color w:val="0D0D0D" w:themeColor="text1" w:themeTint="F2"/>
                <w:sz w:val="20"/>
                <w:szCs w:val="20"/>
              </w:rPr>
            </w:pPr>
            <w:r w:rsidRPr="00770F9D">
              <w:rPr>
                <w:rFonts w:ascii="Garamond" w:eastAsia="Times New Roman" w:hAnsi="Garamond" w:cstheme="majorBidi"/>
                <w:b/>
                <w:bCs/>
                <w:color w:val="0D0D0D" w:themeColor="text1" w:themeTint="F2"/>
                <w:sz w:val="20"/>
                <w:szCs w:val="20"/>
              </w:rPr>
              <w:t>Fakt 11M 2022</w:t>
            </w:r>
          </w:p>
        </w:tc>
        <w:tc>
          <w:tcPr>
            <w:tcW w:w="1664" w:type="dxa"/>
            <w:vMerge w:val="restart"/>
            <w:tcBorders>
              <w:top w:val="single" w:sz="8" w:space="0" w:color="auto"/>
              <w:bottom w:val="nil"/>
            </w:tcBorders>
            <w:shd w:val="clear" w:color="000000" w:fill="EDEDED"/>
            <w:vAlign w:val="center"/>
            <w:hideMark/>
          </w:tcPr>
          <w:p w14:paraId="2331CF58" w14:textId="77777777" w:rsidR="00F468C9" w:rsidRPr="00770F9D" w:rsidRDefault="00F468C9" w:rsidP="00AE01CA">
            <w:pPr>
              <w:jc w:val="center"/>
              <w:rPr>
                <w:rFonts w:ascii="Garamond" w:eastAsia="Times New Roman" w:hAnsi="Garamond" w:cstheme="majorBidi"/>
                <w:b/>
                <w:bCs/>
                <w:color w:val="0D0D0D" w:themeColor="text1" w:themeTint="F2"/>
                <w:sz w:val="20"/>
                <w:szCs w:val="20"/>
              </w:rPr>
            </w:pPr>
            <w:r w:rsidRPr="00770F9D">
              <w:rPr>
                <w:rFonts w:ascii="Garamond" w:eastAsia="Times New Roman" w:hAnsi="Garamond" w:cstheme="majorBidi"/>
                <w:b/>
                <w:bCs/>
                <w:color w:val="0D0D0D" w:themeColor="text1" w:themeTint="F2"/>
                <w:sz w:val="20"/>
                <w:szCs w:val="20"/>
              </w:rPr>
              <w:t>Plan 11M 2022</w:t>
            </w:r>
          </w:p>
        </w:tc>
        <w:tc>
          <w:tcPr>
            <w:tcW w:w="2998" w:type="dxa"/>
            <w:gridSpan w:val="2"/>
            <w:tcBorders>
              <w:top w:val="single" w:sz="8" w:space="0" w:color="auto"/>
              <w:bottom w:val="single" w:sz="8" w:space="0" w:color="auto"/>
            </w:tcBorders>
            <w:shd w:val="clear" w:color="000000" w:fill="EDEDED"/>
            <w:vAlign w:val="center"/>
            <w:hideMark/>
          </w:tcPr>
          <w:p w14:paraId="48EC2787" w14:textId="77777777" w:rsidR="00F468C9" w:rsidRPr="00770F9D" w:rsidRDefault="00F468C9" w:rsidP="00AE01CA">
            <w:pPr>
              <w:jc w:val="center"/>
              <w:rPr>
                <w:rFonts w:ascii="Garamond" w:eastAsia="Times New Roman" w:hAnsi="Garamond" w:cstheme="majorBidi"/>
                <w:b/>
                <w:bCs/>
                <w:color w:val="0D0D0D" w:themeColor="text1" w:themeTint="F2"/>
                <w:sz w:val="20"/>
                <w:szCs w:val="20"/>
              </w:rPr>
            </w:pPr>
            <w:r w:rsidRPr="00770F9D">
              <w:rPr>
                <w:rFonts w:ascii="Garamond" w:eastAsia="Times New Roman" w:hAnsi="Garamond" w:cstheme="majorBidi"/>
                <w:b/>
                <w:bCs/>
                <w:color w:val="0D0D0D" w:themeColor="text1" w:themeTint="F2"/>
                <w:sz w:val="20"/>
                <w:szCs w:val="20"/>
              </w:rPr>
              <w:t>Diferenca Fakt / Plan 11M 2022</w:t>
            </w:r>
          </w:p>
        </w:tc>
      </w:tr>
      <w:tr w:rsidR="00F468C9" w:rsidRPr="00770F9D" w14:paraId="73779F43" w14:textId="77777777" w:rsidTr="00AE01CA">
        <w:trPr>
          <w:trHeight w:val="20"/>
          <w:jc w:val="center"/>
        </w:trPr>
        <w:tc>
          <w:tcPr>
            <w:tcW w:w="3393" w:type="dxa"/>
            <w:vMerge/>
            <w:tcBorders>
              <w:top w:val="single" w:sz="8" w:space="0" w:color="auto"/>
              <w:bottom w:val="single" w:sz="8" w:space="0" w:color="000000"/>
            </w:tcBorders>
            <w:vAlign w:val="center"/>
            <w:hideMark/>
          </w:tcPr>
          <w:p w14:paraId="1388A575" w14:textId="77777777" w:rsidR="00F468C9" w:rsidRPr="00770F9D" w:rsidRDefault="00F468C9" w:rsidP="00AE01CA">
            <w:pPr>
              <w:jc w:val="center"/>
              <w:rPr>
                <w:rFonts w:ascii="Garamond" w:eastAsia="Times New Roman" w:hAnsi="Garamond" w:cstheme="majorBidi"/>
                <w:b/>
                <w:bCs/>
                <w:color w:val="0D0D0D" w:themeColor="text1" w:themeTint="F2"/>
                <w:sz w:val="20"/>
                <w:szCs w:val="20"/>
              </w:rPr>
            </w:pPr>
          </w:p>
        </w:tc>
        <w:tc>
          <w:tcPr>
            <w:tcW w:w="1519" w:type="dxa"/>
            <w:vMerge/>
            <w:tcBorders>
              <w:top w:val="single" w:sz="8" w:space="0" w:color="auto"/>
              <w:bottom w:val="nil"/>
            </w:tcBorders>
            <w:vAlign w:val="center"/>
            <w:hideMark/>
          </w:tcPr>
          <w:p w14:paraId="7C402A0E" w14:textId="77777777" w:rsidR="00F468C9" w:rsidRPr="00770F9D" w:rsidRDefault="00F468C9" w:rsidP="00AE01CA">
            <w:pPr>
              <w:jc w:val="center"/>
              <w:rPr>
                <w:rFonts w:ascii="Garamond" w:eastAsia="Times New Roman" w:hAnsi="Garamond" w:cstheme="majorBidi"/>
                <w:b/>
                <w:bCs/>
                <w:color w:val="0D0D0D" w:themeColor="text1" w:themeTint="F2"/>
                <w:sz w:val="20"/>
                <w:szCs w:val="20"/>
              </w:rPr>
            </w:pPr>
          </w:p>
        </w:tc>
        <w:tc>
          <w:tcPr>
            <w:tcW w:w="1664" w:type="dxa"/>
            <w:vMerge/>
            <w:tcBorders>
              <w:top w:val="single" w:sz="8" w:space="0" w:color="auto"/>
              <w:bottom w:val="nil"/>
            </w:tcBorders>
            <w:vAlign w:val="center"/>
            <w:hideMark/>
          </w:tcPr>
          <w:p w14:paraId="449A4FE6" w14:textId="77777777" w:rsidR="00F468C9" w:rsidRPr="00770F9D" w:rsidRDefault="00F468C9" w:rsidP="00AE01CA">
            <w:pPr>
              <w:jc w:val="center"/>
              <w:rPr>
                <w:rFonts w:ascii="Garamond" w:eastAsia="Times New Roman" w:hAnsi="Garamond" w:cstheme="majorBidi"/>
                <w:b/>
                <w:bCs/>
                <w:color w:val="0D0D0D" w:themeColor="text1" w:themeTint="F2"/>
                <w:sz w:val="20"/>
                <w:szCs w:val="20"/>
              </w:rPr>
            </w:pPr>
          </w:p>
        </w:tc>
        <w:tc>
          <w:tcPr>
            <w:tcW w:w="1998" w:type="dxa"/>
            <w:tcBorders>
              <w:top w:val="nil"/>
              <w:bottom w:val="single" w:sz="8" w:space="0" w:color="auto"/>
            </w:tcBorders>
            <w:shd w:val="clear" w:color="000000" w:fill="EDEDED"/>
            <w:vAlign w:val="center"/>
            <w:hideMark/>
          </w:tcPr>
          <w:p w14:paraId="6EF80B49" w14:textId="77777777" w:rsidR="00F468C9" w:rsidRPr="00770F9D" w:rsidRDefault="00F468C9" w:rsidP="00AE01CA">
            <w:pPr>
              <w:jc w:val="center"/>
              <w:rPr>
                <w:rFonts w:ascii="Garamond" w:eastAsia="Times New Roman" w:hAnsi="Garamond" w:cstheme="majorBidi"/>
                <w:b/>
                <w:bCs/>
                <w:color w:val="0D0D0D" w:themeColor="text1" w:themeTint="F2"/>
                <w:sz w:val="20"/>
                <w:szCs w:val="20"/>
              </w:rPr>
            </w:pPr>
            <w:r w:rsidRPr="00770F9D">
              <w:rPr>
                <w:rFonts w:ascii="Garamond" w:eastAsia="Times New Roman" w:hAnsi="Garamond" w:cstheme="majorBidi"/>
                <w:b/>
                <w:bCs/>
                <w:color w:val="0D0D0D" w:themeColor="text1" w:themeTint="F2"/>
                <w:sz w:val="20"/>
                <w:szCs w:val="20"/>
              </w:rPr>
              <w:t>vlera</w:t>
            </w:r>
          </w:p>
        </w:tc>
        <w:tc>
          <w:tcPr>
            <w:tcW w:w="1000" w:type="dxa"/>
            <w:tcBorders>
              <w:top w:val="nil"/>
              <w:bottom w:val="single" w:sz="8" w:space="0" w:color="auto"/>
            </w:tcBorders>
            <w:shd w:val="clear" w:color="000000" w:fill="EDEDED"/>
            <w:vAlign w:val="center"/>
            <w:hideMark/>
          </w:tcPr>
          <w:p w14:paraId="3CD5DC77" w14:textId="77777777" w:rsidR="00F468C9" w:rsidRPr="00770F9D" w:rsidRDefault="00F468C9" w:rsidP="00AE01CA">
            <w:pPr>
              <w:jc w:val="center"/>
              <w:rPr>
                <w:rFonts w:ascii="Garamond" w:eastAsia="Times New Roman" w:hAnsi="Garamond" w:cstheme="majorBidi"/>
                <w:b/>
                <w:bCs/>
                <w:color w:val="0D0D0D" w:themeColor="text1" w:themeTint="F2"/>
                <w:sz w:val="20"/>
                <w:szCs w:val="20"/>
              </w:rPr>
            </w:pPr>
            <w:r w:rsidRPr="00770F9D">
              <w:rPr>
                <w:rFonts w:ascii="Garamond" w:eastAsia="Times New Roman" w:hAnsi="Garamond" w:cstheme="majorBidi"/>
                <w:b/>
                <w:bCs/>
                <w:color w:val="0D0D0D" w:themeColor="text1" w:themeTint="F2"/>
                <w:sz w:val="20"/>
                <w:szCs w:val="20"/>
              </w:rPr>
              <w:t>%</w:t>
            </w:r>
          </w:p>
        </w:tc>
      </w:tr>
      <w:tr w:rsidR="00F468C9" w:rsidRPr="00770F9D" w14:paraId="5F325852" w14:textId="77777777" w:rsidTr="00AE01CA">
        <w:trPr>
          <w:trHeight w:val="20"/>
          <w:jc w:val="center"/>
        </w:trPr>
        <w:tc>
          <w:tcPr>
            <w:tcW w:w="3393" w:type="dxa"/>
            <w:tcBorders>
              <w:top w:val="nil"/>
              <w:bottom w:val="nil"/>
            </w:tcBorders>
            <w:shd w:val="clear" w:color="000000" w:fill="FFFFFF"/>
            <w:vAlign w:val="center"/>
            <w:hideMark/>
          </w:tcPr>
          <w:p w14:paraId="4F25CBF8" w14:textId="77777777" w:rsidR="00F468C9" w:rsidRPr="00770F9D" w:rsidRDefault="00F468C9" w:rsidP="00BB0492">
            <w:pPr>
              <w:rPr>
                <w:rFonts w:ascii="Garamond" w:eastAsia="Times New Roman" w:hAnsi="Garamond" w:cstheme="majorBidi"/>
                <w:b/>
                <w:bCs/>
                <w:color w:val="0D0D0D" w:themeColor="text1" w:themeTint="F2"/>
                <w:sz w:val="20"/>
                <w:szCs w:val="20"/>
              </w:rPr>
            </w:pPr>
            <w:r w:rsidRPr="00770F9D">
              <w:rPr>
                <w:rFonts w:ascii="Garamond" w:eastAsia="Times New Roman" w:hAnsi="Garamond" w:cstheme="majorBidi"/>
                <w:b/>
                <w:bCs/>
                <w:color w:val="0D0D0D" w:themeColor="text1" w:themeTint="F2"/>
                <w:sz w:val="20"/>
                <w:szCs w:val="20"/>
              </w:rPr>
              <w:t>TVSH NETO</w:t>
            </w:r>
          </w:p>
        </w:tc>
        <w:tc>
          <w:tcPr>
            <w:tcW w:w="1519" w:type="dxa"/>
            <w:tcBorders>
              <w:top w:val="single" w:sz="8" w:space="0" w:color="auto"/>
              <w:bottom w:val="nil"/>
            </w:tcBorders>
            <w:shd w:val="clear" w:color="000000" w:fill="FFFFFF"/>
            <w:vAlign w:val="center"/>
            <w:hideMark/>
          </w:tcPr>
          <w:p w14:paraId="780EC208" w14:textId="77777777" w:rsidR="00F468C9" w:rsidRPr="00770F9D" w:rsidRDefault="00F468C9" w:rsidP="00AE01CA">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35,907</w:t>
            </w:r>
          </w:p>
        </w:tc>
        <w:tc>
          <w:tcPr>
            <w:tcW w:w="1664" w:type="dxa"/>
            <w:tcBorders>
              <w:top w:val="single" w:sz="8" w:space="0" w:color="auto"/>
              <w:bottom w:val="nil"/>
            </w:tcBorders>
            <w:shd w:val="clear" w:color="000000" w:fill="FFFFFF"/>
            <w:vAlign w:val="center"/>
            <w:hideMark/>
          </w:tcPr>
          <w:p w14:paraId="69369E0C" w14:textId="77777777" w:rsidR="00F468C9" w:rsidRPr="00770F9D" w:rsidRDefault="00F468C9" w:rsidP="00AE01CA">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33,111</w:t>
            </w:r>
          </w:p>
        </w:tc>
        <w:tc>
          <w:tcPr>
            <w:tcW w:w="1998" w:type="dxa"/>
            <w:tcBorders>
              <w:top w:val="nil"/>
              <w:bottom w:val="nil"/>
            </w:tcBorders>
            <w:shd w:val="clear" w:color="000000" w:fill="FFFFFF"/>
            <w:vAlign w:val="center"/>
            <w:hideMark/>
          </w:tcPr>
          <w:p w14:paraId="6F5A16FC" w14:textId="77777777" w:rsidR="00F468C9" w:rsidRPr="00770F9D" w:rsidRDefault="00F468C9" w:rsidP="00AE01CA">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2,796</w:t>
            </w:r>
          </w:p>
        </w:tc>
        <w:tc>
          <w:tcPr>
            <w:tcW w:w="1000" w:type="dxa"/>
            <w:tcBorders>
              <w:top w:val="nil"/>
              <w:bottom w:val="nil"/>
            </w:tcBorders>
            <w:shd w:val="clear" w:color="000000" w:fill="FFFFFF"/>
            <w:vAlign w:val="center"/>
            <w:hideMark/>
          </w:tcPr>
          <w:p w14:paraId="6E30BF93" w14:textId="77777777" w:rsidR="00F468C9" w:rsidRPr="00770F9D" w:rsidRDefault="00F468C9" w:rsidP="00AE01CA">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8.4%</w:t>
            </w:r>
          </w:p>
        </w:tc>
      </w:tr>
      <w:tr w:rsidR="00F468C9" w:rsidRPr="00770F9D" w14:paraId="4D838A37" w14:textId="77777777" w:rsidTr="00AE01CA">
        <w:trPr>
          <w:trHeight w:val="20"/>
          <w:jc w:val="center"/>
        </w:trPr>
        <w:tc>
          <w:tcPr>
            <w:tcW w:w="3393" w:type="dxa"/>
            <w:tcBorders>
              <w:top w:val="nil"/>
              <w:bottom w:val="nil"/>
            </w:tcBorders>
            <w:shd w:val="clear" w:color="000000" w:fill="FFFFFF"/>
            <w:vAlign w:val="center"/>
            <w:hideMark/>
          </w:tcPr>
          <w:p w14:paraId="29732D9D" w14:textId="77777777" w:rsidR="00F468C9" w:rsidRPr="00770F9D" w:rsidRDefault="00F468C9" w:rsidP="00BB0492">
            <w:pPr>
              <w:rPr>
                <w:rFonts w:ascii="Garamond" w:eastAsia="Times New Roman" w:hAnsi="Garamond" w:cstheme="majorBidi"/>
                <w:iCs/>
                <w:color w:val="0D0D0D" w:themeColor="text1" w:themeTint="F2"/>
                <w:sz w:val="20"/>
                <w:szCs w:val="20"/>
              </w:rPr>
            </w:pPr>
            <w:r w:rsidRPr="00770F9D">
              <w:rPr>
                <w:rFonts w:ascii="Garamond" w:eastAsia="Times New Roman" w:hAnsi="Garamond" w:cstheme="majorBidi"/>
                <w:iCs/>
                <w:color w:val="0D0D0D" w:themeColor="text1" w:themeTint="F2"/>
                <w:sz w:val="20"/>
                <w:szCs w:val="20"/>
              </w:rPr>
              <w:t>TVSH e mbledhur</w:t>
            </w:r>
          </w:p>
        </w:tc>
        <w:tc>
          <w:tcPr>
            <w:tcW w:w="1519" w:type="dxa"/>
            <w:tcBorders>
              <w:top w:val="nil"/>
              <w:bottom w:val="nil"/>
            </w:tcBorders>
            <w:shd w:val="clear" w:color="000000" w:fill="FFFFFF"/>
            <w:vAlign w:val="center"/>
            <w:hideMark/>
          </w:tcPr>
          <w:p w14:paraId="42A9A21F" w14:textId="77777777" w:rsidR="00F468C9" w:rsidRPr="00770F9D" w:rsidRDefault="00F468C9" w:rsidP="00AE01CA">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51,539</w:t>
            </w:r>
          </w:p>
        </w:tc>
        <w:tc>
          <w:tcPr>
            <w:tcW w:w="1664" w:type="dxa"/>
            <w:tcBorders>
              <w:top w:val="nil"/>
              <w:bottom w:val="nil"/>
            </w:tcBorders>
            <w:shd w:val="clear" w:color="000000" w:fill="FFFFFF"/>
            <w:vAlign w:val="center"/>
            <w:hideMark/>
          </w:tcPr>
          <w:p w14:paraId="00BD610C" w14:textId="77777777" w:rsidR="00F468C9" w:rsidRPr="00770F9D" w:rsidRDefault="00F468C9" w:rsidP="00AE01CA">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50,034</w:t>
            </w:r>
          </w:p>
        </w:tc>
        <w:tc>
          <w:tcPr>
            <w:tcW w:w="1998" w:type="dxa"/>
            <w:tcBorders>
              <w:top w:val="nil"/>
              <w:bottom w:val="nil"/>
            </w:tcBorders>
            <w:shd w:val="clear" w:color="000000" w:fill="FFFFFF"/>
            <w:vAlign w:val="center"/>
            <w:hideMark/>
          </w:tcPr>
          <w:p w14:paraId="7C40BE68" w14:textId="77777777" w:rsidR="00F468C9" w:rsidRPr="00770F9D" w:rsidRDefault="00F468C9" w:rsidP="00AE01CA">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1,505</w:t>
            </w:r>
          </w:p>
        </w:tc>
        <w:tc>
          <w:tcPr>
            <w:tcW w:w="1000" w:type="dxa"/>
            <w:tcBorders>
              <w:top w:val="nil"/>
              <w:bottom w:val="nil"/>
            </w:tcBorders>
            <w:shd w:val="clear" w:color="000000" w:fill="FFFFFF"/>
            <w:vAlign w:val="center"/>
            <w:hideMark/>
          </w:tcPr>
          <w:p w14:paraId="5AD58CB3" w14:textId="77777777" w:rsidR="00F468C9" w:rsidRPr="00770F9D" w:rsidRDefault="00F468C9" w:rsidP="00AE01CA">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3%</w:t>
            </w:r>
          </w:p>
        </w:tc>
      </w:tr>
      <w:tr w:rsidR="00F468C9" w:rsidRPr="00770F9D" w14:paraId="4B1DC101" w14:textId="77777777" w:rsidTr="00AE01CA">
        <w:trPr>
          <w:trHeight w:val="20"/>
          <w:jc w:val="center"/>
        </w:trPr>
        <w:tc>
          <w:tcPr>
            <w:tcW w:w="3393" w:type="dxa"/>
            <w:tcBorders>
              <w:top w:val="nil"/>
              <w:bottom w:val="nil"/>
            </w:tcBorders>
            <w:shd w:val="clear" w:color="000000" w:fill="FFFFFF"/>
            <w:vAlign w:val="center"/>
            <w:hideMark/>
          </w:tcPr>
          <w:p w14:paraId="4A5A3BFE" w14:textId="77777777" w:rsidR="00F468C9" w:rsidRPr="00770F9D" w:rsidRDefault="00F468C9" w:rsidP="00BB0492">
            <w:pPr>
              <w:rPr>
                <w:rFonts w:ascii="Garamond" w:eastAsia="Times New Roman" w:hAnsi="Garamond" w:cstheme="majorBidi"/>
                <w:iCs/>
                <w:color w:val="0D0D0D" w:themeColor="text1" w:themeTint="F2"/>
                <w:sz w:val="20"/>
                <w:szCs w:val="20"/>
              </w:rPr>
            </w:pPr>
            <w:r w:rsidRPr="00770F9D">
              <w:rPr>
                <w:rFonts w:ascii="Garamond" w:eastAsia="Times New Roman" w:hAnsi="Garamond" w:cstheme="majorBidi"/>
                <w:iCs/>
                <w:color w:val="0D0D0D" w:themeColor="text1" w:themeTint="F2"/>
                <w:sz w:val="20"/>
                <w:szCs w:val="20"/>
              </w:rPr>
              <w:t>Rimbursimi i TVSH-së</w:t>
            </w:r>
          </w:p>
        </w:tc>
        <w:tc>
          <w:tcPr>
            <w:tcW w:w="1519" w:type="dxa"/>
            <w:tcBorders>
              <w:top w:val="nil"/>
              <w:bottom w:val="nil"/>
            </w:tcBorders>
            <w:shd w:val="clear" w:color="000000" w:fill="FFFFFF"/>
            <w:vAlign w:val="center"/>
            <w:hideMark/>
          </w:tcPr>
          <w:p w14:paraId="02BC5B37" w14:textId="77777777" w:rsidR="00F468C9" w:rsidRPr="00770F9D" w:rsidRDefault="00F468C9" w:rsidP="00AE01CA">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15,632</w:t>
            </w:r>
          </w:p>
        </w:tc>
        <w:tc>
          <w:tcPr>
            <w:tcW w:w="1664" w:type="dxa"/>
            <w:tcBorders>
              <w:top w:val="nil"/>
              <w:bottom w:val="nil"/>
            </w:tcBorders>
            <w:shd w:val="clear" w:color="000000" w:fill="FFFFFF"/>
            <w:vAlign w:val="center"/>
            <w:hideMark/>
          </w:tcPr>
          <w:p w14:paraId="0F03FB97" w14:textId="77777777" w:rsidR="00F468C9" w:rsidRPr="00770F9D" w:rsidRDefault="00F468C9" w:rsidP="00AE01CA">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16,923</w:t>
            </w:r>
          </w:p>
        </w:tc>
        <w:tc>
          <w:tcPr>
            <w:tcW w:w="1998" w:type="dxa"/>
            <w:tcBorders>
              <w:top w:val="nil"/>
              <w:bottom w:val="nil"/>
            </w:tcBorders>
            <w:shd w:val="clear" w:color="000000" w:fill="FFFFFF"/>
            <w:vAlign w:val="center"/>
            <w:hideMark/>
          </w:tcPr>
          <w:p w14:paraId="26D78296" w14:textId="77777777" w:rsidR="00F468C9" w:rsidRPr="00770F9D" w:rsidRDefault="00F468C9" w:rsidP="00AE01CA">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-1,291</w:t>
            </w:r>
          </w:p>
        </w:tc>
        <w:tc>
          <w:tcPr>
            <w:tcW w:w="1000" w:type="dxa"/>
            <w:tcBorders>
              <w:top w:val="nil"/>
              <w:bottom w:val="nil"/>
            </w:tcBorders>
            <w:shd w:val="clear" w:color="000000" w:fill="FFFFFF"/>
            <w:vAlign w:val="center"/>
            <w:hideMark/>
          </w:tcPr>
          <w:p w14:paraId="34B97DD9" w14:textId="77777777" w:rsidR="00F468C9" w:rsidRPr="00770F9D" w:rsidRDefault="00F468C9" w:rsidP="00AE01CA">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-7.6%</w:t>
            </w:r>
          </w:p>
        </w:tc>
      </w:tr>
      <w:tr w:rsidR="00F468C9" w:rsidRPr="00770F9D" w14:paraId="361C7A4C" w14:textId="77777777" w:rsidTr="00AE01CA">
        <w:trPr>
          <w:trHeight w:val="20"/>
          <w:jc w:val="center"/>
        </w:trPr>
        <w:tc>
          <w:tcPr>
            <w:tcW w:w="3393" w:type="dxa"/>
            <w:tcBorders>
              <w:top w:val="nil"/>
              <w:bottom w:val="nil"/>
            </w:tcBorders>
            <w:shd w:val="clear" w:color="000000" w:fill="FFFFFF"/>
            <w:vAlign w:val="center"/>
            <w:hideMark/>
          </w:tcPr>
          <w:p w14:paraId="4F820EAA" w14:textId="77777777" w:rsidR="00F468C9" w:rsidRPr="00770F9D" w:rsidRDefault="00F468C9" w:rsidP="00BB0492">
            <w:pPr>
              <w:rPr>
                <w:rFonts w:ascii="Garamond" w:eastAsia="Times New Roman" w:hAnsi="Garamond" w:cstheme="majorBidi"/>
                <w:bCs/>
                <w:color w:val="0D0D0D" w:themeColor="text1" w:themeTint="F2"/>
                <w:sz w:val="20"/>
                <w:szCs w:val="20"/>
              </w:rPr>
            </w:pPr>
            <w:r w:rsidRPr="00770F9D">
              <w:rPr>
                <w:rFonts w:ascii="Garamond" w:eastAsia="Times New Roman" w:hAnsi="Garamond" w:cstheme="majorBidi"/>
                <w:bCs/>
                <w:color w:val="0D0D0D" w:themeColor="text1" w:themeTint="F2"/>
                <w:sz w:val="20"/>
                <w:szCs w:val="20"/>
              </w:rPr>
              <w:t>Tatimi mbi fitimin</w:t>
            </w:r>
          </w:p>
        </w:tc>
        <w:tc>
          <w:tcPr>
            <w:tcW w:w="1519" w:type="dxa"/>
            <w:tcBorders>
              <w:top w:val="nil"/>
              <w:bottom w:val="nil"/>
            </w:tcBorders>
            <w:shd w:val="clear" w:color="000000" w:fill="FFFFFF"/>
            <w:vAlign w:val="center"/>
            <w:hideMark/>
          </w:tcPr>
          <w:p w14:paraId="4B797EA7" w14:textId="77777777" w:rsidR="00F468C9" w:rsidRPr="00770F9D" w:rsidRDefault="00F468C9" w:rsidP="00AE01CA">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40,909</w:t>
            </w:r>
          </w:p>
        </w:tc>
        <w:tc>
          <w:tcPr>
            <w:tcW w:w="1664" w:type="dxa"/>
            <w:tcBorders>
              <w:top w:val="nil"/>
              <w:bottom w:val="nil"/>
            </w:tcBorders>
            <w:shd w:val="clear" w:color="000000" w:fill="FFFFFF"/>
            <w:vAlign w:val="center"/>
            <w:hideMark/>
          </w:tcPr>
          <w:p w14:paraId="0EFC9FEB" w14:textId="77777777" w:rsidR="00F468C9" w:rsidRPr="00770F9D" w:rsidRDefault="00F468C9" w:rsidP="00AE01CA">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40,688</w:t>
            </w:r>
          </w:p>
        </w:tc>
        <w:tc>
          <w:tcPr>
            <w:tcW w:w="1998" w:type="dxa"/>
            <w:tcBorders>
              <w:top w:val="nil"/>
              <w:bottom w:val="nil"/>
            </w:tcBorders>
            <w:shd w:val="clear" w:color="000000" w:fill="FFFFFF"/>
            <w:vAlign w:val="center"/>
            <w:hideMark/>
          </w:tcPr>
          <w:p w14:paraId="0C8FA648" w14:textId="77777777" w:rsidR="00F468C9" w:rsidRPr="00770F9D" w:rsidRDefault="00F468C9" w:rsidP="00AE01CA">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221</w:t>
            </w:r>
          </w:p>
        </w:tc>
        <w:tc>
          <w:tcPr>
            <w:tcW w:w="1000" w:type="dxa"/>
            <w:tcBorders>
              <w:top w:val="nil"/>
              <w:bottom w:val="nil"/>
            </w:tcBorders>
            <w:shd w:val="clear" w:color="000000" w:fill="FFFFFF"/>
            <w:vAlign w:val="center"/>
            <w:hideMark/>
          </w:tcPr>
          <w:p w14:paraId="7DEADC90" w14:textId="77777777" w:rsidR="00F468C9" w:rsidRPr="00770F9D" w:rsidRDefault="00F468C9" w:rsidP="00AE01CA">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0.5%</w:t>
            </w:r>
          </w:p>
        </w:tc>
      </w:tr>
      <w:tr w:rsidR="00F468C9" w:rsidRPr="00770F9D" w14:paraId="307928B9" w14:textId="77777777" w:rsidTr="00AE01CA">
        <w:trPr>
          <w:trHeight w:val="20"/>
          <w:jc w:val="center"/>
        </w:trPr>
        <w:tc>
          <w:tcPr>
            <w:tcW w:w="3393" w:type="dxa"/>
            <w:tcBorders>
              <w:top w:val="nil"/>
              <w:bottom w:val="nil"/>
            </w:tcBorders>
            <w:shd w:val="clear" w:color="000000" w:fill="FFFFFF"/>
            <w:vAlign w:val="center"/>
            <w:hideMark/>
          </w:tcPr>
          <w:p w14:paraId="7D8C845B" w14:textId="2D0F3810" w:rsidR="00F468C9" w:rsidRPr="00770F9D" w:rsidRDefault="00F468C9" w:rsidP="00BB0492">
            <w:pPr>
              <w:rPr>
                <w:rFonts w:ascii="Garamond" w:eastAsia="Times New Roman" w:hAnsi="Garamond" w:cstheme="majorBidi"/>
                <w:bCs/>
                <w:color w:val="0D0D0D" w:themeColor="text1" w:themeTint="F2"/>
                <w:sz w:val="20"/>
                <w:szCs w:val="20"/>
              </w:rPr>
            </w:pPr>
            <w:r w:rsidRPr="00770F9D">
              <w:rPr>
                <w:rFonts w:ascii="Garamond" w:eastAsia="Times New Roman" w:hAnsi="Garamond" w:cstheme="majorBidi"/>
                <w:bCs/>
                <w:color w:val="0D0D0D" w:themeColor="text1" w:themeTint="F2"/>
                <w:sz w:val="20"/>
                <w:szCs w:val="20"/>
              </w:rPr>
              <w:t xml:space="preserve">Tatimi mbi të </w:t>
            </w:r>
            <w:r w:rsidR="00AE01CA" w:rsidRPr="00770F9D">
              <w:rPr>
                <w:rFonts w:ascii="Garamond" w:eastAsia="Times New Roman" w:hAnsi="Garamond" w:cstheme="majorBidi"/>
                <w:bCs/>
                <w:color w:val="0D0D0D" w:themeColor="text1" w:themeTint="F2"/>
                <w:sz w:val="20"/>
                <w:szCs w:val="20"/>
              </w:rPr>
              <w:t>ardhurat personale</w:t>
            </w:r>
          </w:p>
        </w:tc>
        <w:tc>
          <w:tcPr>
            <w:tcW w:w="1519" w:type="dxa"/>
            <w:tcBorders>
              <w:top w:val="nil"/>
              <w:bottom w:val="nil"/>
            </w:tcBorders>
            <w:shd w:val="clear" w:color="000000" w:fill="FFFFFF"/>
            <w:vAlign w:val="center"/>
            <w:hideMark/>
          </w:tcPr>
          <w:p w14:paraId="12BE9398" w14:textId="77777777" w:rsidR="00F468C9" w:rsidRPr="00770F9D" w:rsidRDefault="00F468C9" w:rsidP="00AE01CA">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41,146</w:t>
            </w:r>
          </w:p>
        </w:tc>
        <w:tc>
          <w:tcPr>
            <w:tcW w:w="1664" w:type="dxa"/>
            <w:tcBorders>
              <w:top w:val="nil"/>
              <w:bottom w:val="nil"/>
            </w:tcBorders>
            <w:shd w:val="clear" w:color="000000" w:fill="FFFFFF"/>
            <w:vAlign w:val="center"/>
            <w:hideMark/>
          </w:tcPr>
          <w:p w14:paraId="3430DD80" w14:textId="77777777" w:rsidR="00F468C9" w:rsidRPr="00770F9D" w:rsidRDefault="00F468C9" w:rsidP="00AE01CA">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42,369</w:t>
            </w:r>
          </w:p>
        </w:tc>
        <w:tc>
          <w:tcPr>
            <w:tcW w:w="1998" w:type="dxa"/>
            <w:tcBorders>
              <w:top w:val="nil"/>
              <w:bottom w:val="nil"/>
            </w:tcBorders>
            <w:shd w:val="clear" w:color="000000" w:fill="FFFFFF"/>
            <w:vAlign w:val="center"/>
            <w:hideMark/>
          </w:tcPr>
          <w:p w14:paraId="51AE4294" w14:textId="77777777" w:rsidR="00F468C9" w:rsidRPr="00770F9D" w:rsidRDefault="00F468C9" w:rsidP="00AE01CA">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-1,223</w:t>
            </w:r>
          </w:p>
        </w:tc>
        <w:tc>
          <w:tcPr>
            <w:tcW w:w="1000" w:type="dxa"/>
            <w:tcBorders>
              <w:top w:val="nil"/>
              <w:bottom w:val="nil"/>
            </w:tcBorders>
            <w:shd w:val="clear" w:color="000000" w:fill="FFFFFF"/>
            <w:vAlign w:val="center"/>
            <w:hideMark/>
          </w:tcPr>
          <w:p w14:paraId="253D01C2" w14:textId="77777777" w:rsidR="00F468C9" w:rsidRPr="00770F9D" w:rsidRDefault="00F468C9" w:rsidP="00AE01CA">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-2.9%</w:t>
            </w:r>
          </w:p>
        </w:tc>
      </w:tr>
      <w:tr w:rsidR="00F468C9" w:rsidRPr="00770F9D" w14:paraId="720F7DF7" w14:textId="77777777" w:rsidTr="00AE01CA">
        <w:trPr>
          <w:trHeight w:val="20"/>
          <w:jc w:val="center"/>
        </w:trPr>
        <w:tc>
          <w:tcPr>
            <w:tcW w:w="3393" w:type="dxa"/>
            <w:tcBorders>
              <w:top w:val="nil"/>
              <w:bottom w:val="nil"/>
            </w:tcBorders>
            <w:shd w:val="clear" w:color="000000" w:fill="FFFFFF"/>
            <w:vAlign w:val="center"/>
            <w:hideMark/>
          </w:tcPr>
          <w:p w14:paraId="331C125B" w14:textId="34EADDB2" w:rsidR="00F468C9" w:rsidRPr="00770F9D" w:rsidRDefault="00F468C9" w:rsidP="00BB0492">
            <w:pPr>
              <w:rPr>
                <w:rFonts w:ascii="Garamond" w:eastAsia="Times New Roman" w:hAnsi="Garamond" w:cstheme="majorBidi"/>
                <w:bCs/>
                <w:color w:val="0D0D0D" w:themeColor="text1" w:themeTint="F2"/>
                <w:sz w:val="20"/>
                <w:szCs w:val="20"/>
              </w:rPr>
            </w:pPr>
            <w:r w:rsidRPr="00770F9D">
              <w:rPr>
                <w:rFonts w:ascii="Garamond" w:eastAsia="Times New Roman" w:hAnsi="Garamond" w:cstheme="majorBidi"/>
                <w:bCs/>
                <w:color w:val="0D0D0D" w:themeColor="text1" w:themeTint="F2"/>
                <w:sz w:val="20"/>
                <w:szCs w:val="20"/>
              </w:rPr>
              <w:t xml:space="preserve">Taksat </w:t>
            </w:r>
            <w:r w:rsidR="00AE01CA" w:rsidRPr="00770F9D">
              <w:rPr>
                <w:rFonts w:ascii="Garamond" w:eastAsia="Times New Roman" w:hAnsi="Garamond" w:cstheme="majorBidi"/>
                <w:bCs/>
                <w:color w:val="0D0D0D" w:themeColor="text1" w:themeTint="F2"/>
                <w:sz w:val="20"/>
                <w:szCs w:val="20"/>
              </w:rPr>
              <w:t>nacionale</w:t>
            </w:r>
          </w:p>
        </w:tc>
        <w:tc>
          <w:tcPr>
            <w:tcW w:w="1519" w:type="dxa"/>
            <w:tcBorders>
              <w:top w:val="nil"/>
              <w:bottom w:val="nil"/>
            </w:tcBorders>
            <w:shd w:val="clear" w:color="000000" w:fill="FFFFFF"/>
            <w:vAlign w:val="center"/>
            <w:hideMark/>
          </w:tcPr>
          <w:p w14:paraId="56F8FC08" w14:textId="77777777" w:rsidR="00F468C9" w:rsidRPr="00770F9D" w:rsidRDefault="00F468C9" w:rsidP="00AE01CA">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37,726</w:t>
            </w:r>
          </w:p>
        </w:tc>
        <w:tc>
          <w:tcPr>
            <w:tcW w:w="1664" w:type="dxa"/>
            <w:tcBorders>
              <w:top w:val="nil"/>
              <w:bottom w:val="nil"/>
            </w:tcBorders>
            <w:shd w:val="clear" w:color="000000" w:fill="FFFFFF"/>
            <w:vAlign w:val="center"/>
            <w:hideMark/>
          </w:tcPr>
          <w:p w14:paraId="28E9A9FB" w14:textId="77777777" w:rsidR="00F468C9" w:rsidRPr="00770F9D" w:rsidRDefault="00F468C9" w:rsidP="00AE01CA">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40,311</w:t>
            </w:r>
          </w:p>
        </w:tc>
        <w:tc>
          <w:tcPr>
            <w:tcW w:w="1998" w:type="dxa"/>
            <w:tcBorders>
              <w:top w:val="nil"/>
              <w:bottom w:val="nil"/>
            </w:tcBorders>
            <w:shd w:val="clear" w:color="000000" w:fill="FFFFFF"/>
            <w:vAlign w:val="center"/>
            <w:hideMark/>
          </w:tcPr>
          <w:p w14:paraId="272ACB51" w14:textId="77777777" w:rsidR="00F468C9" w:rsidRPr="00770F9D" w:rsidRDefault="00F468C9" w:rsidP="00AE01CA">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-2,585</w:t>
            </w:r>
          </w:p>
        </w:tc>
        <w:tc>
          <w:tcPr>
            <w:tcW w:w="1000" w:type="dxa"/>
            <w:tcBorders>
              <w:top w:val="nil"/>
              <w:bottom w:val="nil"/>
            </w:tcBorders>
            <w:shd w:val="clear" w:color="000000" w:fill="FFFFFF"/>
            <w:vAlign w:val="center"/>
            <w:hideMark/>
          </w:tcPr>
          <w:p w14:paraId="2FC6A0B1" w14:textId="77777777" w:rsidR="00F468C9" w:rsidRPr="00770F9D" w:rsidRDefault="00F468C9" w:rsidP="00AE01CA">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-6.4%</w:t>
            </w:r>
          </w:p>
        </w:tc>
      </w:tr>
      <w:tr w:rsidR="00F468C9" w:rsidRPr="00770F9D" w14:paraId="3F6EDEA7" w14:textId="77777777" w:rsidTr="00AE01CA">
        <w:trPr>
          <w:trHeight w:val="20"/>
          <w:jc w:val="center"/>
        </w:trPr>
        <w:tc>
          <w:tcPr>
            <w:tcW w:w="3393" w:type="dxa"/>
            <w:tcBorders>
              <w:top w:val="nil"/>
              <w:bottom w:val="nil"/>
            </w:tcBorders>
            <w:shd w:val="clear" w:color="000000" w:fill="EDEDED"/>
            <w:vAlign w:val="center"/>
            <w:hideMark/>
          </w:tcPr>
          <w:p w14:paraId="57605A80" w14:textId="77777777" w:rsidR="00F468C9" w:rsidRPr="00770F9D" w:rsidRDefault="00F468C9" w:rsidP="00BB0492">
            <w:pPr>
              <w:rPr>
                <w:rFonts w:ascii="Garamond" w:eastAsia="Times New Roman" w:hAnsi="Garamond" w:cstheme="majorBidi"/>
                <w:b/>
                <w:bCs/>
                <w:color w:val="0D0D0D" w:themeColor="text1" w:themeTint="F2"/>
                <w:sz w:val="20"/>
                <w:szCs w:val="20"/>
              </w:rPr>
            </w:pPr>
            <w:r w:rsidRPr="00770F9D">
              <w:rPr>
                <w:rFonts w:ascii="Garamond" w:eastAsia="Times New Roman" w:hAnsi="Garamond" w:cstheme="majorBidi"/>
                <w:b/>
                <w:bCs/>
                <w:color w:val="0D0D0D" w:themeColor="text1" w:themeTint="F2"/>
                <w:sz w:val="20"/>
                <w:szCs w:val="20"/>
              </w:rPr>
              <w:t>Total</w:t>
            </w:r>
          </w:p>
        </w:tc>
        <w:tc>
          <w:tcPr>
            <w:tcW w:w="1519" w:type="dxa"/>
            <w:tcBorders>
              <w:top w:val="nil"/>
              <w:bottom w:val="nil"/>
            </w:tcBorders>
            <w:shd w:val="clear" w:color="000000" w:fill="F2F2F2"/>
            <w:vAlign w:val="center"/>
            <w:hideMark/>
          </w:tcPr>
          <w:p w14:paraId="267CBE63" w14:textId="77777777" w:rsidR="00F468C9" w:rsidRPr="00770F9D" w:rsidRDefault="00F468C9" w:rsidP="00AE01CA">
            <w:pPr>
              <w:jc w:val="right"/>
              <w:rPr>
                <w:rFonts w:ascii="Garamond" w:eastAsia="Times New Roman" w:hAnsi="Garamond" w:cstheme="majorBidi"/>
                <w:b/>
                <w:bCs/>
                <w:color w:val="0D0D0D" w:themeColor="text1" w:themeTint="F2"/>
                <w:sz w:val="20"/>
                <w:szCs w:val="20"/>
              </w:rPr>
            </w:pPr>
            <w:r w:rsidRPr="00770F9D">
              <w:rPr>
                <w:rFonts w:ascii="Garamond" w:eastAsia="Times New Roman" w:hAnsi="Garamond" w:cstheme="majorBidi"/>
                <w:b/>
                <w:bCs/>
                <w:color w:val="0D0D0D" w:themeColor="text1" w:themeTint="F2"/>
                <w:sz w:val="20"/>
                <w:szCs w:val="20"/>
              </w:rPr>
              <w:t>155,688</w:t>
            </w:r>
          </w:p>
        </w:tc>
        <w:tc>
          <w:tcPr>
            <w:tcW w:w="1664" w:type="dxa"/>
            <w:tcBorders>
              <w:top w:val="nil"/>
              <w:bottom w:val="nil"/>
            </w:tcBorders>
            <w:shd w:val="clear" w:color="000000" w:fill="F2F2F2"/>
            <w:vAlign w:val="center"/>
            <w:hideMark/>
          </w:tcPr>
          <w:p w14:paraId="1AA0A64C" w14:textId="77777777" w:rsidR="00F468C9" w:rsidRPr="00770F9D" w:rsidRDefault="00F468C9" w:rsidP="00AE01CA">
            <w:pPr>
              <w:jc w:val="right"/>
              <w:rPr>
                <w:rFonts w:ascii="Garamond" w:eastAsia="Times New Roman" w:hAnsi="Garamond" w:cstheme="majorBidi"/>
                <w:b/>
                <w:bCs/>
                <w:color w:val="0D0D0D" w:themeColor="text1" w:themeTint="F2"/>
                <w:sz w:val="20"/>
                <w:szCs w:val="20"/>
              </w:rPr>
            </w:pPr>
            <w:r w:rsidRPr="00770F9D">
              <w:rPr>
                <w:rFonts w:ascii="Garamond" w:eastAsia="Times New Roman" w:hAnsi="Garamond" w:cstheme="majorBidi"/>
                <w:b/>
                <w:bCs/>
                <w:color w:val="0D0D0D" w:themeColor="text1" w:themeTint="F2"/>
                <w:sz w:val="20"/>
                <w:szCs w:val="20"/>
              </w:rPr>
              <w:t>156,479</w:t>
            </w:r>
          </w:p>
        </w:tc>
        <w:tc>
          <w:tcPr>
            <w:tcW w:w="1998" w:type="dxa"/>
            <w:tcBorders>
              <w:top w:val="nil"/>
              <w:bottom w:val="nil"/>
            </w:tcBorders>
            <w:shd w:val="clear" w:color="000000" w:fill="F2F2F2"/>
            <w:vAlign w:val="center"/>
            <w:hideMark/>
          </w:tcPr>
          <w:p w14:paraId="20186C48" w14:textId="77777777" w:rsidR="00F468C9" w:rsidRPr="00770F9D" w:rsidRDefault="00F468C9" w:rsidP="00AE01CA">
            <w:pPr>
              <w:jc w:val="right"/>
              <w:rPr>
                <w:rFonts w:ascii="Garamond" w:eastAsia="Times New Roman" w:hAnsi="Garamond" w:cstheme="majorBidi"/>
                <w:b/>
                <w:color w:val="0D0D0D" w:themeColor="text1" w:themeTint="F2"/>
                <w:sz w:val="20"/>
                <w:szCs w:val="20"/>
              </w:rPr>
            </w:pPr>
            <w:r w:rsidRPr="00770F9D">
              <w:rPr>
                <w:rFonts w:ascii="Garamond" w:eastAsia="Times New Roman" w:hAnsi="Garamond" w:cstheme="majorBidi"/>
                <w:b/>
                <w:color w:val="0D0D0D" w:themeColor="text1" w:themeTint="F2"/>
                <w:sz w:val="20"/>
                <w:szCs w:val="20"/>
              </w:rPr>
              <w:t>-791</w:t>
            </w:r>
          </w:p>
        </w:tc>
        <w:tc>
          <w:tcPr>
            <w:tcW w:w="1000" w:type="dxa"/>
            <w:tcBorders>
              <w:top w:val="nil"/>
              <w:bottom w:val="nil"/>
            </w:tcBorders>
            <w:shd w:val="clear" w:color="000000" w:fill="F2F2F2"/>
            <w:vAlign w:val="center"/>
            <w:hideMark/>
          </w:tcPr>
          <w:p w14:paraId="63FEC23F" w14:textId="77777777" w:rsidR="00F468C9" w:rsidRPr="00770F9D" w:rsidRDefault="00F468C9" w:rsidP="00AE01CA">
            <w:pPr>
              <w:jc w:val="right"/>
              <w:rPr>
                <w:rFonts w:ascii="Garamond" w:eastAsia="Times New Roman" w:hAnsi="Garamond" w:cstheme="majorBidi"/>
                <w:b/>
                <w:color w:val="0D0D0D" w:themeColor="text1" w:themeTint="F2"/>
                <w:sz w:val="20"/>
                <w:szCs w:val="20"/>
              </w:rPr>
            </w:pPr>
            <w:r w:rsidRPr="00770F9D">
              <w:rPr>
                <w:rFonts w:ascii="Garamond" w:eastAsia="Times New Roman" w:hAnsi="Garamond" w:cstheme="majorBidi"/>
                <w:b/>
                <w:color w:val="0D0D0D" w:themeColor="text1" w:themeTint="F2"/>
                <w:sz w:val="20"/>
                <w:szCs w:val="20"/>
              </w:rPr>
              <w:t>-0.5%</w:t>
            </w:r>
          </w:p>
        </w:tc>
      </w:tr>
      <w:tr w:rsidR="00F468C9" w:rsidRPr="00770F9D" w14:paraId="242BF3B9" w14:textId="77777777" w:rsidTr="00AE01CA">
        <w:trPr>
          <w:trHeight w:val="20"/>
          <w:jc w:val="center"/>
        </w:trPr>
        <w:tc>
          <w:tcPr>
            <w:tcW w:w="3393" w:type="dxa"/>
            <w:tcBorders>
              <w:top w:val="nil"/>
              <w:bottom w:val="single" w:sz="8" w:space="0" w:color="000000"/>
            </w:tcBorders>
            <w:shd w:val="clear" w:color="000000" w:fill="FFFFFF"/>
            <w:vAlign w:val="center"/>
            <w:hideMark/>
          </w:tcPr>
          <w:p w14:paraId="1B60787F" w14:textId="77777777" w:rsidR="00F468C9" w:rsidRPr="00770F9D" w:rsidRDefault="00F468C9" w:rsidP="00BB0492">
            <w:pPr>
              <w:rPr>
                <w:rFonts w:ascii="Garamond" w:eastAsia="Times New Roman" w:hAnsi="Garamond" w:cstheme="majorBidi"/>
                <w:b/>
                <w:bCs/>
                <w:color w:val="0D0D0D" w:themeColor="text1" w:themeTint="F2"/>
                <w:sz w:val="20"/>
                <w:szCs w:val="20"/>
              </w:rPr>
            </w:pPr>
            <w:r w:rsidRPr="00770F9D">
              <w:rPr>
                <w:rFonts w:ascii="Garamond" w:eastAsia="Times New Roman" w:hAnsi="Garamond" w:cstheme="majorBidi"/>
                <w:b/>
                <w:bCs/>
                <w:color w:val="0D0D0D" w:themeColor="text1" w:themeTint="F2"/>
                <w:sz w:val="20"/>
                <w:szCs w:val="20"/>
              </w:rPr>
              <w:t>Kontributet</w:t>
            </w:r>
          </w:p>
        </w:tc>
        <w:tc>
          <w:tcPr>
            <w:tcW w:w="1519" w:type="dxa"/>
            <w:tcBorders>
              <w:top w:val="nil"/>
              <w:bottom w:val="single" w:sz="8" w:space="0" w:color="auto"/>
            </w:tcBorders>
            <w:shd w:val="clear" w:color="000000" w:fill="FFFFFF"/>
            <w:vAlign w:val="center"/>
            <w:hideMark/>
          </w:tcPr>
          <w:p w14:paraId="5EFB7315" w14:textId="77777777" w:rsidR="00F468C9" w:rsidRPr="00770F9D" w:rsidRDefault="00F468C9" w:rsidP="00AE01CA">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108,301</w:t>
            </w:r>
          </w:p>
        </w:tc>
        <w:tc>
          <w:tcPr>
            <w:tcW w:w="1664" w:type="dxa"/>
            <w:tcBorders>
              <w:top w:val="nil"/>
              <w:bottom w:val="single" w:sz="8" w:space="0" w:color="auto"/>
            </w:tcBorders>
            <w:shd w:val="clear" w:color="000000" w:fill="FFFFFF"/>
            <w:vAlign w:val="center"/>
            <w:hideMark/>
          </w:tcPr>
          <w:p w14:paraId="6F7AC963" w14:textId="77777777" w:rsidR="00F468C9" w:rsidRPr="00770F9D" w:rsidRDefault="00F468C9" w:rsidP="00AE01CA">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104,547</w:t>
            </w:r>
          </w:p>
        </w:tc>
        <w:tc>
          <w:tcPr>
            <w:tcW w:w="1998" w:type="dxa"/>
            <w:tcBorders>
              <w:top w:val="nil"/>
              <w:bottom w:val="nil"/>
            </w:tcBorders>
            <w:shd w:val="clear" w:color="000000" w:fill="FFFFFF"/>
            <w:vAlign w:val="center"/>
            <w:hideMark/>
          </w:tcPr>
          <w:p w14:paraId="548CD639" w14:textId="77777777" w:rsidR="00F468C9" w:rsidRPr="00770F9D" w:rsidRDefault="00F468C9" w:rsidP="00AE01CA">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3,754</w:t>
            </w:r>
          </w:p>
        </w:tc>
        <w:tc>
          <w:tcPr>
            <w:tcW w:w="1000" w:type="dxa"/>
            <w:tcBorders>
              <w:top w:val="nil"/>
              <w:bottom w:val="nil"/>
            </w:tcBorders>
            <w:shd w:val="clear" w:color="000000" w:fill="FFFFFF"/>
            <w:vAlign w:val="center"/>
            <w:hideMark/>
          </w:tcPr>
          <w:p w14:paraId="3A031AE7" w14:textId="77777777" w:rsidR="00F468C9" w:rsidRPr="00770F9D" w:rsidRDefault="00F468C9" w:rsidP="00AE01CA">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3.6%</w:t>
            </w:r>
          </w:p>
        </w:tc>
      </w:tr>
      <w:tr w:rsidR="00F468C9" w:rsidRPr="00770F9D" w14:paraId="5D9C50BB" w14:textId="77777777" w:rsidTr="00AE01CA">
        <w:trPr>
          <w:trHeight w:val="20"/>
          <w:jc w:val="center"/>
        </w:trPr>
        <w:tc>
          <w:tcPr>
            <w:tcW w:w="3393" w:type="dxa"/>
            <w:tcBorders>
              <w:top w:val="nil"/>
              <w:bottom w:val="single" w:sz="8" w:space="0" w:color="auto"/>
            </w:tcBorders>
            <w:shd w:val="clear" w:color="000000" w:fill="EDEDED"/>
            <w:vAlign w:val="center"/>
            <w:hideMark/>
          </w:tcPr>
          <w:p w14:paraId="4531D7F3" w14:textId="60AA9CB1" w:rsidR="00F468C9" w:rsidRPr="00770F9D" w:rsidRDefault="00F468C9" w:rsidP="00BB0492">
            <w:pPr>
              <w:rPr>
                <w:rFonts w:ascii="Garamond" w:eastAsia="Times New Roman" w:hAnsi="Garamond" w:cstheme="majorBidi"/>
                <w:b/>
                <w:bCs/>
                <w:color w:val="0D0D0D" w:themeColor="text1" w:themeTint="F2"/>
                <w:sz w:val="20"/>
                <w:szCs w:val="20"/>
              </w:rPr>
            </w:pPr>
            <w:r w:rsidRPr="00770F9D">
              <w:rPr>
                <w:rFonts w:ascii="Garamond" w:eastAsia="Times New Roman" w:hAnsi="Garamond" w:cstheme="majorBidi"/>
                <w:b/>
                <w:bCs/>
                <w:color w:val="0D0D0D" w:themeColor="text1" w:themeTint="F2"/>
                <w:sz w:val="20"/>
                <w:szCs w:val="20"/>
              </w:rPr>
              <w:t xml:space="preserve">TOTAL DPT+ </w:t>
            </w:r>
            <w:r w:rsidR="00AE01CA" w:rsidRPr="00770F9D">
              <w:rPr>
                <w:rFonts w:ascii="Garamond" w:eastAsia="Times New Roman" w:hAnsi="Garamond" w:cstheme="majorBidi"/>
                <w:b/>
                <w:bCs/>
                <w:color w:val="0D0D0D" w:themeColor="text1" w:themeTint="F2"/>
                <w:sz w:val="20"/>
                <w:szCs w:val="20"/>
              </w:rPr>
              <w:t>Kontribute</w:t>
            </w:r>
          </w:p>
        </w:tc>
        <w:tc>
          <w:tcPr>
            <w:tcW w:w="1519" w:type="dxa"/>
            <w:tcBorders>
              <w:top w:val="nil"/>
              <w:bottom w:val="single" w:sz="8" w:space="0" w:color="auto"/>
            </w:tcBorders>
            <w:shd w:val="clear" w:color="000000" w:fill="EDEDED"/>
            <w:vAlign w:val="center"/>
            <w:hideMark/>
          </w:tcPr>
          <w:p w14:paraId="243653A8" w14:textId="77777777" w:rsidR="00F468C9" w:rsidRPr="00770F9D" w:rsidRDefault="00F468C9" w:rsidP="00AE01CA">
            <w:pPr>
              <w:jc w:val="right"/>
              <w:rPr>
                <w:rFonts w:ascii="Garamond" w:eastAsia="Times New Roman" w:hAnsi="Garamond" w:cstheme="majorBidi"/>
                <w:b/>
                <w:bCs/>
                <w:color w:val="0D0D0D" w:themeColor="text1" w:themeTint="F2"/>
                <w:sz w:val="20"/>
                <w:szCs w:val="20"/>
              </w:rPr>
            </w:pPr>
            <w:r w:rsidRPr="00770F9D">
              <w:rPr>
                <w:rFonts w:ascii="Garamond" w:eastAsia="Times New Roman" w:hAnsi="Garamond" w:cstheme="majorBidi"/>
                <w:b/>
                <w:bCs/>
                <w:color w:val="0D0D0D" w:themeColor="text1" w:themeTint="F2"/>
                <w:sz w:val="20"/>
                <w:szCs w:val="20"/>
              </w:rPr>
              <w:t>263,989</w:t>
            </w:r>
          </w:p>
        </w:tc>
        <w:tc>
          <w:tcPr>
            <w:tcW w:w="1664" w:type="dxa"/>
            <w:tcBorders>
              <w:top w:val="nil"/>
              <w:bottom w:val="single" w:sz="8" w:space="0" w:color="auto"/>
            </w:tcBorders>
            <w:shd w:val="clear" w:color="000000" w:fill="EDEDED"/>
            <w:vAlign w:val="center"/>
            <w:hideMark/>
          </w:tcPr>
          <w:p w14:paraId="5334075B" w14:textId="77777777" w:rsidR="00F468C9" w:rsidRPr="00770F9D" w:rsidRDefault="00F468C9" w:rsidP="00AE01CA">
            <w:pPr>
              <w:jc w:val="right"/>
              <w:rPr>
                <w:rFonts w:ascii="Garamond" w:eastAsia="Times New Roman" w:hAnsi="Garamond" w:cstheme="majorBidi"/>
                <w:b/>
                <w:bCs/>
                <w:color w:val="0D0D0D" w:themeColor="text1" w:themeTint="F2"/>
                <w:sz w:val="20"/>
                <w:szCs w:val="20"/>
              </w:rPr>
            </w:pPr>
            <w:r w:rsidRPr="00770F9D">
              <w:rPr>
                <w:rFonts w:ascii="Garamond" w:eastAsia="Times New Roman" w:hAnsi="Garamond" w:cstheme="majorBidi"/>
                <w:b/>
                <w:bCs/>
                <w:color w:val="0D0D0D" w:themeColor="text1" w:themeTint="F2"/>
                <w:sz w:val="20"/>
                <w:szCs w:val="20"/>
              </w:rPr>
              <w:t>261,026</w:t>
            </w:r>
          </w:p>
        </w:tc>
        <w:tc>
          <w:tcPr>
            <w:tcW w:w="1998" w:type="dxa"/>
            <w:tcBorders>
              <w:top w:val="single" w:sz="8" w:space="0" w:color="000000"/>
              <w:bottom w:val="single" w:sz="8" w:space="0" w:color="auto"/>
            </w:tcBorders>
            <w:shd w:val="clear" w:color="000000" w:fill="EDEDED"/>
            <w:vAlign w:val="center"/>
            <w:hideMark/>
          </w:tcPr>
          <w:p w14:paraId="0E0B1829" w14:textId="77777777" w:rsidR="00F468C9" w:rsidRPr="00770F9D" w:rsidRDefault="00F468C9" w:rsidP="00AE01CA">
            <w:pPr>
              <w:jc w:val="right"/>
              <w:rPr>
                <w:rFonts w:ascii="Garamond" w:eastAsia="Times New Roman" w:hAnsi="Garamond" w:cstheme="majorBidi"/>
                <w:b/>
                <w:bCs/>
                <w:color w:val="0D0D0D" w:themeColor="text1" w:themeTint="F2"/>
                <w:sz w:val="20"/>
                <w:szCs w:val="20"/>
              </w:rPr>
            </w:pPr>
            <w:r w:rsidRPr="00770F9D">
              <w:rPr>
                <w:rFonts w:ascii="Garamond" w:eastAsia="Times New Roman" w:hAnsi="Garamond" w:cstheme="majorBidi"/>
                <w:b/>
                <w:bCs/>
                <w:color w:val="0D0D0D" w:themeColor="text1" w:themeTint="F2"/>
                <w:sz w:val="20"/>
                <w:szCs w:val="20"/>
              </w:rPr>
              <w:t>2,964</w:t>
            </w:r>
          </w:p>
        </w:tc>
        <w:tc>
          <w:tcPr>
            <w:tcW w:w="1000" w:type="dxa"/>
            <w:tcBorders>
              <w:top w:val="single" w:sz="8" w:space="0" w:color="000000"/>
              <w:bottom w:val="single" w:sz="8" w:space="0" w:color="auto"/>
            </w:tcBorders>
            <w:shd w:val="clear" w:color="000000" w:fill="EDEDED"/>
            <w:vAlign w:val="center"/>
            <w:hideMark/>
          </w:tcPr>
          <w:p w14:paraId="5AAA9829" w14:textId="77777777" w:rsidR="00F468C9" w:rsidRPr="00770F9D" w:rsidRDefault="00F468C9" w:rsidP="00AE01CA">
            <w:pPr>
              <w:jc w:val="right"/>
              <w:rPr>
                <w:rFonts w:ascii="Garamond" w:eastAsia="Times New Roman" w:hAnsi="Garamond" w:cstheme="majorBidi"/>
                <w:b/>
                <w:bCs/>
                <w:color w:val="0D0D0D" w:themeColor="text1" w:themeTint="F2"/>
                <w:sz w:val="20"/>
                <w:szCs w:val="20"/>
              </w:rPr>
            </w:pPr>
            <w:r w:rsidRPr="00770F9D">
              <w:rPr>
                <w:rFonts w:ascii="Garamond" w:eastAsia="Times New Roman" w:hAnsi="Garamond" w:cstheme="majorBidi"/>
                <w:b/>
                <w:bCs/>
                <w:color w:val="0D0D0D" w:themeColor="text1" w:themeTint="F2"/>
                <w:sz w:val="20"/>
                <w:szCs w:val="20"/>
              </w:rPr>
              <w:t>1.1%</w:t>
            </w:r>
          </w:p>
        </w:tc>
      </w:tr>
    </w:tbl>
    <w:p w14:paraId="50D20F18" w14:textId="2042BE00" w:rsidR="00F468C9" w:rsidRPr="00770F9D" w:rsidRDefault="00F468C9" w:rsidP="005674F2">
      <w:pPr>
        <w:ind w:firstLine="284"/>
        <w:jc w:val="both"/>
        <w:rPr>
          <w:rFonts w:ascii="Garamond" w:eastAsia="Arial Narrow" w:hAnsi="Garamond" w:cstheme="majorBidi"/>
          <w:i/>
          <w:iCs/>
          <w:color w:val="0D0D0D" w:themeColor="text1" w:themeTint="F2"/>
        </w:rPr>
      </w:pPr>
      <w:r w:rsidRPr="00770F9D">
        <w:rPr>
          <w:rFonts w:ascii="Garamond" w:eastAsia="Arial Narrow" w:hAnsi="Garamond" w:cstheme="majorBidi"/>
          <w:i/>
          <w:iCs/>
          <w:color w:val="0D0D0D" w:themeColor="text1" w:themeTint="F2"/>
        </w:rPr>
        <w:t xml:space="preserve">Burimi: Ministria e </w:t>
      </w:r>
      <w:r w:rsidR="00AE01CA" w:rsidRPr="00770F9D">
        <w:rPr>
          <w:rFonts w:ascii="Garamond" w:eastAsia="Arial Narrow" w:hAnsi="Garamond" w:cstheme="majorBidi"/>
          <w:i/>
          <w:iCs/>
          <w:color w:val="0D0D0D" w:themeColor="text1" w:themeTint="F2"/>
        </w:rPr>
        <w:t>Financave</w:t>
      </w:r>
      <w:r w:rsidRPr="00770F9D">
        <w:rPr>
          <w:rFonts w:ascii="Garamond" w:eastAsia="Arial Narrow" w:hAnsi="Garamond" w:cstheme="majorBidi"/>
          <w:i/>
          <w:iCs/>
          <w:color w:val="0D0D0D" w:themeColor="text1" w:themeTint="F2"/>
        </w:rPr>
        <w:t xml:space="preserve"> dhe Ekonomisë (2022)</w:t>
      </w:r>
    </w:p>
    <w:p w14:paraId="2599DA8C" w14:textId="77777777" w:rsidR="00F468C9" w:rsidRPr="00770F9D" w:rsidRDefault="00F468C9" w:rsidP="005674F2">
      <w:pPr>
        <w:ind w:firstLine="284"/>
        <w:jc w:val="both"/>
        <w:rPr>
          <w:rFonts w:ascii="Garamond" w:eastAsia="Times New Roman" w:hAnsi="Garamond" w:cstheme="majorBidi"/>
          <w:color w:val="0D0D0D" w:themeColor="text1" w:themeTint="F2"/>
        </w:rPr>
      </w:pPr>
    </w:p>
    <w:p w14:paraId="1A61E3A2" w14:textId="05113F59" w:rsidR="00F468C9" w:rsidRPr="00770F9D" w:rsidRDefault="00F468C9" w:rsidP="005674F2">
      <w:pPr>
        <w:ind w:firstLine="284"/>
        <w:jc w:val="both"/>
        <w:rPr>
          <w:rFonts w:ascii="Garamond" w:eastAsia="Times New Roman" w:hAnsi="Garamond" w:cstheme="majorBidi"/>
          <w:color w:val="0D0D0D" w:themeColor="text1" w:themeTint="F2"/>
        </w:rPr>
      </w:pPr>
      <w:r w:rsidRPr="00770F9D">
        <w:rPr>
          <w:rFonts w:ascii="Garamond" w:eastAsia="Times New Roman" w:hAnsi="Garamond" w:cstheme="majorBidi"/>
          <w:b/>
          <w:color w:val="0D0D0D" w:themeColor="text1" w:themeTint="F2"/>
        </w:rPr>
        <w:t>Të ardhurat neto nga TVSH</w:t>
      </w:r>
      <w:r w:rsidRPr="00770F9D">
        <w:rPr>
          <w:rFonts w:ascii="Garamond" w:eastAsia="Times New Roman" w:hAnsi="Garamond" w:cstheme="majorBidi"/>
          <w:color w:val="0D0D0D" w:themeColor="text1" w:themeTint="F2"/>
        </w:rPr>
        <w:t xml:space="preserve"> janë në vlerën 35.9 miliardë lekë, me një realizim 108.4% kundrejt planit dhe 8.4 miliardë</w:t>
      </w:r>
      <w:r w:rsidR="002B7991" w:rsidRPr="00770F9D">
        <w:rPr>
          <w:rFonts w:ascii="Garamond" w:eastAsia="Times New Roman" w:hAnsi="Garamond" w:cstheme="majorBidi"/>
          <w:color w:val="0D0D0D" w:themeColor="text1" w:themeTint="F2"/>
        </w:rPr>
        <w:t xml:space="preserve"> lekë ose 30.7 % më shumë se 11-</w:t>
      </w:r>
      <w:r w:rsidRPr="00770F9D">
        <w:rPr>
          <w:rFonts w:ascii="Garamond" w:eastAsia="Times New Roman" w:hAnsi="Garamond" w:cstheme="majorBidi"/>
          <w:color w:val="0D0D0D" w:themeColor="text1" w:themeTint="F2"/>
        </w:rPr>
        <w:t xml:space="preserve">mujori 2021. Në periudhën </w:t>
      </w:r>
      <w:r w:rsidR="002B7991" w:rsidRPr="00770F9D">
        <w:rPr>
          <w:rFonts w:ascii="Garamond" w:eastAsia="Times New Roman" w:hAnsi="Garamond" w:cstheme="majorBidi"/>
          <w:color w:val="0D0D0D" w:themeColor="text1" w:themeTint="F2"/>
        </w:rPr>
        <w:t xml:space="preserve">janar–nëntor </w:t>
      </w:r>
      <w:r w:rsidRPr="00770F9D">
        <w:rPr>
          <w:rFonts w:ascii="Garamond" w:eastAsia="Times New Roman" w:hAnsi="Garamond" w:cstheme="majorBidi"/>
          <w:color w:val="0D0D0D" w:themeColor="text1" w:themeTint="F2"/>
        </w:rPr>
        <w:t>2022, shuma e TVSH-së së rimbursuar është 15.6 miliardë lekë, 29.9% ose 6.7 miliardë lekë më pak se e njëjta periudhë e</w:t>
      </w:r>
      <w:r w:rsidR="002B7991" w:rsidRPr="00770F9D">
        <w:rPr>
          <w:rFonts w:ascii="Garamond" w:eastAsia="Times New Roman" w:hAnsi="Garamond" w:cstheme="majorBidi"/>
          <w:color w:val="0D0D0D" w:themeColor="text1" w:themeTint="F2"/>
        </w:rPr>
        <w:t xml:space="preserve"> vitit 2021. Rimbursimet për 11-</w:t>
      </w:r>
      <w:r w:rsidRPr="00770F9D">
        <w:rPr>
          <w:rFonts w:ascii="Garamond" w:eastAsia="Times New Roman" w:hAnsi="Garamond" w:cstheme="majorBidi"/>
          <w:color w:val="0D0D0D" w:themeColor="text1" w:themeTint="F2"/>
        </w:rPr>
        <w:t xml:space="preserve">mujorin 2022 arritën në 15.6 miliardë lekë, 1.3 miliardë lekë ose 7.6% më pak se plani i rimbursimit të TVSH-së për 11-mujorin 2022. Sektorët me kontributin më të madh në të ardhurat nga TVSH-ja, krahasuar me 11-mujorin 2021 janë prodhimi, ndërtimi dhe shërbimet. </w:t>
      </w:r>
    </w:p>
    <w:p w14:paraId="01B7DF40" w14:textId="77777777" w:rsidR="002B7991" w:rsidRPr="00770F9D" w:rsidRDefault="002B7991" w:rsidP="005674F2">
      <w:pPr>
        <w:ind w:firstLine="284"/>
        <w:jc w:val="both"/>
        <w:rPr>
          <w:rFonts w:ascii="Garamond" w:eastAsia="Times New Roman" w:hAnsi="Garamond" w:cstheme="majorBidi"/>
          <w:color w:val="0D0D0D" w:themeColor="text1" w:themeTint="F2"/>
        </w:rPr>
      </w:pPr>
    </w:p>
    <w:tbl>
      <w:tblPr>
        <w:tblStyle w:val="TableGrid4"/>
        <w:tblW w:w="92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6"/>
        <w:gridCol w:w="4589"/>
      </w:tblGrid>
      <w:tr w:rsidR="00F468C9" w:rsidRPr="00770F9D" w14:paraId="0FE996E6" w14:textId="77777777" w:rsidTr="002B7991">
        <w:trPr>
          <w:trHeight w:val="4315"/>
        </w:trPr>
        <w:tc>
          <w:tcPr>
            <w:tcW w:w="4686" w:type="dxa"/>
          </w:tcPr>
          <w:p w14:paraId="38668F39" w14:textId="61B38B21" w:rsidR="00F468C9" w:rsidRPr="00770F9D" w:rsidRDefault="00F468C9" w:rsidP="002B7991">
            <w:pPr>
              <w:jc w:val="center"/>
              <w:rPr>
                <w:rFonts w:ascii="Garamond" w:hAnsi="Garamond" w:cstheme="majorBidi"/>
                <w:i/>
                <w:iCs/>
                <w:color w:val="0D0D0D" w:themeColor="text1" w:themeTint="F2"/>
                <w:sz w:val="20"/>
              </w:rPr>
            </w:pPr>
            <w:r w:rsidRPr="00770F9D">
              <w:rPr>
                <w:rFonts w:ascii="Garamond" w:hAnsi="Garamond" w:cstheme="majorBidi"/>
                <w:b/>
                <w:bCs/>
                <w:i/>
                <w:iCs/>
                <w:color w:val="0D0D0D" w:themeColor="text1" w:themeTint="F2"/>
                <w:sz w:val="20"/>
              </w:rPr>
              <w:t>Grafiku 4.2.2:</w:t>
            </w:r>
            <w:r w:rsidRPr="00770F9D">
              <w:rPr>
                <w:rFonts w:ascii="Garamond" w:hAnsi="Garamond" w:cstheme="majorBidi"/>
                <w:i/>
                <w:iCs/>
                <w:color w:val="0D0D0D" w:themeColor="text1" w:themeTint="F2"/>
                <w:sz w:val="20"/>
              </w:rPr>
              <w:t xml:space="preserve"> Ecuria e TVSH-së gjatë 11-mujore për periudhën </w:t>
            </w:r>
            <w:r w:rsidR="00380627" w:rsidRPr="00770F9D">
              <w:rPr>
                <w:rFonts w:ascii="Garamond" w:hAnsi="Garamond" w:cstheme="majorBidi"/>
                <w:i/>
                <w:iCs/>
                <w:color w:val="0D0D0D" w:themeColor="text1" w:themeTint="F2"/>
                <w:sz w:val="20"/>
              </w:rPr>
              <w:t xml:space="preserve">11-mujore </w:t>
            </w:r>
            <w:r w:rsidRPr="00770F9D">
              <w:rPr>
                <w:rFonts w:ascii="Garamond" w:hAnsi="Garamond" w:cstheme="majorBidi"/>
                <w:i/>
                <w:iCs/>
                <w:color w:val="0D0D0D" w:themeColor="text1" w:themeTint="F2"/>
                <w:sz w:val="20"/>
              </w:rPr>
              <w:t>në vite(në milionë lek)</w:t>
            </w:r>
          </w:p>
          <w:p w14:paraId="51916196" w14:textId="77777777" w:rsidR="00F468C9" w:rsidRPr="00770F9D" w:rsidRDefault="00F468C9" w:rsidP="00BB0492">
            <w:pPr>
              <w:jc w:val="both"/>
              <w:rPr>
                <w:rFonts w:ascii="Garamond" w:hAnsi="Garamond" w:cstheme="majorBidi"/>
                <w:color w:val="0D0D0D" w:themeColor="text1" w:themeTint="F2"/>
                <w:sz w:val="20"/>
              </w:rPr>
            </w:pPr>
            <w:r w:rsidRPr="00770F9D">
              <w:rPr>
                <w:rFonts w:ascii="Garamond" w:hAnsi="Garamond" w:cstheme="majorBidi"/>
                <w:noProof/>
                <w:color w:val="0D0D0D" w:themeColor="text1" w:themeTint="F2"/>
                <w:sz w:val="20"/>
                <w:lang w:eastAsia="sq-AL"/>
              </w:rPr>
              <w:drawing>
                <wp:inline distT="0" distB="0" distL="0" distR="0" wp14:anchorId="236445D8" wp14:editId="5AADBF27">
                  <wp:extent cx="2832957" cy="1957705"/>
                  <wp:effectExtent l="0" t="0" r="5715" b="4445"/>
                  <wp:docPr id="2" name="Chart 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xmlns:w15="http://schemas.microsoft.com/office/word/2012/wordml" id="{10F047E5-6EAB-4A82-9D92-22388EA61D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51599633" w14:textId="61AEE3F6" w:rsidR="00F468C9" w:rsidRPr="00770F9D" w:rsidRDefault="00F468C9" w:rsidP="002B7991">
            <w:pPr>
              <w:jc w:val="center"/>
              <w:rPr>
                <w:rFonts w:ascii="Garamond" w:eastAsia="Arial Narrow" w:hAnsi="Garamond" w:cstheme="majorBidi"/>
                <w:i/>
                <w:iCs/>
                <w:color w:val="0D0D0D" w:themeColor="text1" w:themeTint="F2"/>
                <w:sz w:val="20"/>
              </w:rPr>
            </w:pPr>
            <w:r w:rsidRPr="00770F9D">
              <w:rPr>
                <w:rFonts w:ascii="Garamond" w:eastAsia="Arial Narrow" w:hAnsi="Garamond" w:cstheme="majorBidi"/>
                <w:i/>
                <w:iCs/>
                <w:color w:val="0D0D0D" w:themeColor="text1" w:themeTint="F2"/>
                <w:sz w:val="20"/>
              </w:rPr>
              <w:t xml:space="preserve">Burimi: Ministria e </w:t>
            </w:r>
            <w:r w:rsidR="002B7991" w:rsidRPr="00770F9D">
              <w:rPr>
                <w:rFonts w:ascii="Garamond" w:eastAsia="Arial Narrow" w:hAnsi="Garamond" w:cstheme="majorBidi"/>
                <w:i/>
                <w:iCs/>
                <w:color w:val="0D0D0D" w:themeColor="text1" w:themeTint="F2"/>
                <w:sz w:val="20"/>
              </w:rPr>
              <w:t>Financave</w:t>
            </w:r>
            <w:r w:rsidRPr="00770F9D">
              <w:rPr>
                <w:rFonts w:ascii="Garamond" w:eastAsia="Arial Narrow" w:hAnsi="Garamond" w:cstheme="majorBidi"/>
                <w:i/>
                <w:iCs/>
                <w:color w:val="0D0D0D" w:themeColor="text1" w:themeTint="F2"/>
                <w:sz w:val="20"/>
              </w:rPr>
              <w:t xml:space="preserve"> dhe Ekonomisë</w:t>
            </w:r>
          </w:p>
          <w:p w14:paraId="74E41324" w14:textId="77777777" w:rsidR="00F468C9" w:rsidRPr="00770F9D" w:rsidRDefault="00F468C9" w:rsidP="002B7991">
            <w:pPr>
              <w:jc w:val="both"/>
              <w:rPr>
                <w:rFonts w:ascii="Garamond" w:hAnsi="Garamond" w:cstheme="majorBidi"/>
                <w:color w:val="0D0D0D" w:themeColor="text1" w:themeTint="F2"/>
                <w:sz w:val="20"/>
              </w:rPr>
            </w:pPr>
          </w:p>
        </w:tc>
        <w:tc>
          <w:tcPr>
            <w:tcW w:w="4589" w:type="dxa"/>
          </w:tcPr>
          <w:p w14:paraId="6CBF4C81" w14:textId="0D9ECA03" w:rsidR="00F468C9" w:rsidRPr="00770F9D" w:rsidRDefault="00F468C9" w:rsidP="002B7991">
            <w:pPr>
              <w:jc w:val="center"/>
              <w:rPr>
                <w:rFonts w:ascii="Garamond" w:eastAsia="Times New Roman" w:hAnsi="Garamond" w:cstheme="majorBidi"/>
                <w:i/>
                <w:iCs/>
                <w:color w:val="0D0D0D" w:themeColor="text1" w:themeTint="F2"/>
                <w:sz w:val="20"/>
              </w:rPr>
            </w:pPr>
            <w:r w:rsidRPr="00770F9D">
              <w:rPr>
                <w:rFonts w:ascii="Garamond" w:hAnsi="Garamond" w:cstheme="majorBidi"/>
                <w:b/>
                <w:bCs/>
                <w:i/>
                <w:iCs/>
                <w:color w:val="0D0D0D" w:themeColor="text1" w:themeTint="F2"/>
                <w:sz w:val="20"/>
              </w:rPr>
              <w:t>Grafiku 4.2.3:</w:t>
            </w:r>
            <w:r w:rsidRPr="00770F9D">
              <w:rPr>
                <w:rFonts w:ascii="Garamond" w:hAnsi="Garamond" w:cstheme="majorBidi"/>
                <w:i/>
                <w:iCs/>
                <w:color w:val="0D0D0D" w:themeColor="text1" w:themeTint="F2"/>
                <w:sz w:val="20"/>
              </w:rPr>
              <w:t xml:space="preserve"> Rimbursimet e TVSH-së për periudhën 11</w:t>
            </w:r>
            <w:r w:rsidR="002B7991" w:rsidRPr="00770F9D">
              <w:rPr>
                <w:rFonts w:ascii="Garamond" w:hAnsi="Garamond" w:cstheme="majorBidi"/>
                <w:i/>
                <w:iCs/>
                <w:color w:val="0D0D0D" w:themeColor="text1" w:themeTint="F2"/>
                <w:sz w:val="20"/>
              </w:rPr>
              <w:t>-</w:t>
            </w:r>
            <w:r w:rsidRPr="00770F9D">
              <w:rPr>
                <w:rFonts w:ascii="Garamond" w:hAnsi="Garamond" w:cstheme="majorBidi"/>
                <w:i/>
                <w:iCs/>
                <w:color w:val="0D0D0D" w:themeColor="text1" w:themeTint="F2"/>
                <w:sz w:val="20"/>
              </w:rPr>
              <w:t>mu</w:t>
            </w:r>
            <w:r w:rsidR="002B7991" w:rsidRPr="00770F9D">
              <w:rPr>
                <w:rFonts w:ascii="Garamond" w:hAnsi="Garamond" w:cstheme="majorBidi"/>
                <w:i/>
                <w:iCs/>
                <w:color w:val="0D0D0D" w:themeColor="text1" w:themeTint="F2"/>
                <w:sz w:val="20"/>
              </w:rPr>
              <w:t>j</w:t>
            </w:r>
            <w:r w:rsidRPr="00770F9D">
              <w:rPr>
                <w:rFonts w:ascii="Garamond" w:hAnsi="Garamond" w:cstheme="majorBidi"/>
                <w:i/>
                <w:iCs/>
                <w:color w:val="0D0D0D" w:themeColor="text1" w:themeTint="F2"/>
                <w:sz w:val="20"/>
              </w:rPr>
              <w:t>ore n</w:t>
            </w:r>
            <w:r w:rsidR="002B7991" w:rsidRPr="00770F9D">
              <w:rPr>
                <w:rFonts w:ascii="Garamond" w:hAnsi="Garamond" w:cstheme="majorBidi"/>
                <w:i/>
                <w:iCs/>
                <w:color w:val="0D0D0D" w:themeColor="text1" w:themeTint="F2"/>
                <w:sz w:val="20"/>
              </w:rPr>
              <w:t>ë</w:t>
            </w:r>
            <w:r w:rsidRPr="00770F9D">
              <w:rPr>
                <w:rFonts w:ascii="Garamond" w:hAnsi="Garamond" w:cstheme="majorBidi"/>
                <w:i/>
                <w:iCs/>
                <w:color w:val="0D0D0D" w:themeColor="text1" w:themeTint="F2"/>
                <w:sz w:val="20"/>
              </w:rPr>
              <w:t xml:space="preserve"> vite</w:t>
            </w:r>
            <w:r w:rsidRPr="00770F9D">
              <w:rPr>
                <w:rFonts w:ascii="Garamond" w:eastAsia="Times New Roman" w:hAnsi="Garamond" w:cstheme="majorBidi"/>
                <w:i/>
                <w:iCs/>
                <w:color w:val="0D0D0D" w:themeColor="text1" w:themeTint="F2"/>
                <w:sz w:val="20"/>
              </w:rPr>
              <w:t xml:space="preserve"> (në milionë lek)</w:t>
            </w:r>
          </w:p>
          <w:p w14:paraId="01E6D798" w14:textId="77777777" w:rsidR="00F468C9" w:rsidRPr="00770F9D" w:rsidRDefault="00F468C9" w:rsidP="00BB0492">
            <w:pPr>
              <w:jc w:val="both"/>
              <w:rPr>
                <w:rFonts w:ascii="Garamond" w:hAnsi="Garamond" w:cstheme="majorBidi"/>
                <w:color w:val="0D0D0D" w:themeColor="text1" w:themeTint="F2"/>
                <w:sz w:val="20"/>
              </w:rPr>
            </w:pPr>
            <w:r w:rsidRPr="00770F9D">
              <w:rPr>
                <w:rFonts w:ascii="Garamond" w:hAnsi="Garamond" w:cstheme="majorBidi"/>
                <w:noProof/>
                <w:color w:val="0D0D0D" w:themeColor="text1" w:themeTint="F2"/>
                <w:sz w:val="20"/>
                <w:lang w:eastAsia="sq-AL"/>
              </w:rPr>
              <w:drawing>
                <wp:inline distT="0" distB="0" distL="0" distR="0" wp14:anchorId="7C0CC29B" wp14:editId="568B0FC3">
                  <wp:extent cx="2726020" cy="1974215"/>
                  <wp:effectExtent l="0" t="0" r="17780" b="6985"/>
                  <wp:docPr id="3" name="Chart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xmlns:w15="http://schemas.microsoft.com/office/word/2012/wordml" id="{E8ECF485-3109-421D-B832-7932A1DBD3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tc>
      </w:tr>
    </w:tbl>
    <w:p w14:paraId="55F434E2" w14:textId="0B84AA84" w:rsidR="00F468C9" w:rsidRPr="00770F9D" w:rsidRDefault="00F468C9" w:rsidP="002B7991">
      <w:pPr>
        <w:ind w:firstLine="284"/>
        <w:jc w:val="both"/>
        <w:rPr>
          <w:rFonts w:ascii="Garamond" w:eastAsia="Times New Roman" w:hAnsi="Garamond" w:cstheme="majorBidi"/>
          <w:color w:val="0D0D0D" w:themeColor="text1" w:themeTint="F2"/>
        </w:rPr>
      </w:pPr>
      <w:r w:rsidRPr="00770F9D">
        <w:rPr>
          <w:rFonts w:ascii="Garamond" w:eastAsia="Times New Roman" w:hAnsi="Garamond" w:cstheme="majorBidi"/>
          <w:b/>
          <w:color w:val="0D0D0D" w:themeColor="text1" w:themeTint="F2"/>
        </w:rPr>
        <w:t>Të ardhurat nga tatimi mbi fitimin</w:t>
      </w:r>
      <w:r w:rsidRPr="00770F9D">
        <w:rPr>
          <w:rFonts w:ascii="Garamond" w:eastAsia="Times New Roman" w:hAnsi="Garamond" w:cstheme="majorBidi"/>
          <w:color w:val="0D0D0D" w:themeColor="text1" w:themeTint="F2"/>
        </w:rPr>
        <w:t xml:space="preserve"> janë në vlerën 40.9 miliardë lekë me një realizim 100.5% të planit, duke shënuar një rritje prej 33.4% ose 10.2 miliardë lekë më shumë se e njëjta periudhë e një viti më parë. Nga analiza e tatimit mbi fitimin sipas sektorëve rezulton sektori i tregtisë me një rritje prej 57% krahasuar me 11-mujorin 2021, sektori i shërbimit me një rritje prej 40% krahasuar me të njëjtën periudhë të një viti më parë dhe sektori i prodhimit me një rritje prej </w:t>
      </w:r>
      <w:r w:rsidR="002B7991" w:rsidRPr="00770F9D">
        <w:rPr>
          <w:rFonts w:ascii="Garamond" w:eastAsia="Times New Roman" w:hAnsi="Garamond" w:cstheme="majorBidi"/>
          <w:color w:val="0D0D0D" w:themeColor="text1" w:themeTint="F2"/>
        </w:rPr>
        <w:t>22% krahasuar me vitin e kaluar</w:t>
      </w:r>
      <w:r w:rsidRPr="00770F9D">
        <w:rPr>
          <w:rFonts w:ascii="Garamond" w:eastAsia="Times New Roman" w:hAnsi="Garamond" w:cstheme="majorBidi"/>
          <w:color w:val="0D0D0D" w:themeColor="text1" w:themeTint="F2"/>
        </w:rPr>
        <w:t>.</w:t>
      </w:r>
    </w:p>
    <w:p w14:paraId="149DB39F" w14:textId="77777777" w:rsidR="00F468C9" w:rsidRPr="00770F9D" w:rsidRDefault="00F468C9" w:rsidP="005674F2">
      <w:pPr>
        <w:ind w:firstLine="284"/>
        <w:jc w:val="both"/>
        <w:rPr>
          <w:rFonts w:ascii="Garamond" w:eastAsia="Times New Roman" w:hAnsi="Garamond" w:cstheme="majorBidi"/>
          <w:color w:val="0D0D0D" w:themeColor="text1" w:themeTint="F2"/>
        </w:rPr>
      </w:pPr>
    </w:p>
    <w:p w14:paraId="3FBE38F1" w14:textId="77777777" w:rsidR="00A054E3" w:rsidRPr="00770F9D" w:rsidRDefault="00A054E3" w:rsidP="002B7991">
      <w:pPr>
        <w:ind w:firstLine="284"/>
        <w:jc w:val="center"/>
        <w:rPr>
          <w:rFonts w:ascii="Garamond" w:eastAsia="Times New Roman" w:hAnsi="Garamond" w:cstheme="majorBidi"/>
          <w:b/>
          <w:bCs/>
          <w:i/>
          <w:iCs/>
          <w:color w:val="0D0D0D" w:themeColor="text1" w:themeTint="F2"/>
          <w:sz w:val="20"/>
          <w:szCs w:val="20"/>
        </w:rPr>
      </w:pPr>
    </w:p>
    <w:p w14:paraId="037B29ED" w14:textId="77777777" w:rsidR="00A054E3" w:rsidRPr="00770F9D" w:rsidRDefault="00A054E3" w:rsidP="002B7991">
      <w:pPr>
        <w:ind w:firstLine="284"/>
        <w:jc w:val="center"/>
        <w:rPr>
          <w:rFonts w:ascii="Garamond" w:eastAsia="Times New Roman" w:hAnsi="Garamond" w:cstheme="majorBidi"/>
          <w:b/>
          <w:bCs/>
          <w:i/>
          <w:iCs/>
          <w:color w:val="0D0D0D" w:themeColor="text1" w:themeTint="F2"/>
          <w:sz w:val="20"/>
          <w:szCs w:val="20"/>
        </w:rPr>
      </w:pPr>
    </w:p>
    <w:p w14:paraId="66192A6E" w14:textId="77777777" w:rsidR="00A054E3" w:rsidRPr="00770F9D" w:rsidRDefault="00A054E3" w:rsidP="002B7991">
      <w:pPr>
        <w:ind w:firstLine="284"/>
        <w:jc w:val="center"/>
        <w:rPr>
          <w:rFonts w:ascii="Garamond" w:eastAsia="Times New Roman" w:hAnsi="Garamond" w:cstheme="majorBidi"/>
          <w:b/>
          <w:bCs/>
          <w:i/>
          <w:iCs/>
          <w:color w:val="0D0D0D" w:themeColor="text1" w:themeTint="F2"/>
          <w:sz w:val="20"/>
          <w:szCs w:val="20"/>
        </w:rPr>
      </w:pPr>
    </w:p>
    <w:p w14:paraId="68262C3D" w14:textId="77777777" w:rsidR="00A054E3" w:rsidRPr="00770F9D" w:rsidRDefault="00A054E3" w:rsidP="002B7991">
      <w:pPr>
        <w:ind w:firstLine="284"/>
        <w:jc w:val="center"/>
        <w:rPr>
          <w:rFonts w:ascii="Garamond" w:eastAsia="Times New Roman" w:hAnsi="Garamond" w:cstheme="majorBidi"/>
          <w:b/>
          <w:bCs/>
          <w:i/>
          <w:iCs/>
          <w:color w:val="0D0D0D" w:themeColor="text1" w:themeTint="F2"/>
          <w:sz w:val="20"/>
          <w:szCs w:val="20"/>
        </w:rPr>
      </w:pPr>
    </w:p>
    <w:p w14:paraId="025FF391" w14:textId="77777777" w:rsidR="00A054E3" w:rsidRPr="00770F9D" w:rsidRDefault="00A054E3" w:rsidP="002B7991">
      <w:pPr>
        <w:ind w:firstLine="284"/>
        <w:jc w:val="center"/>
        <w:rPr>
          <w:rFonts w:ascii="Garamond" w:eastAsia="Times New Roman" w:hAnsi="Garamond" w:cstheme="majorBidi"/>
          <w:b/>
          <w:bCs/>
          <w:i/>
          <w:iCs/>
          <w:color w:val="0D0D0D" w:themeColor="text1" w:themeTint="F2"/>
          <w:sz w:val="20"/>
          <w:szCs w:val="20"/>
        </w:rPr>
      </w:pPr>
    </w:p>
    <w:p w14:paraId="13CDA909" w14:textId="77777777" w:rsidR="00A054E3" w:rsidRPr="00770F9D" w:rsidRDefault="00A054E3" w:rsidP="002B7991">
      <w:pPr>
        <w:ind w:firstLine="284"/>
        <w:jc w:val="center"/>
        <w:rPr>
          <w:rFonts w:ascii="Garamond" w:eastAsia="Times New Roman" w:hAnsi="Garamond" w:cstheme="majorBidi"/>
          <w:b/>
          <w:bCs/>
          <w:i/>
          <w:iCs/>
          <w:color w:val="0D0D0D" w:themeColor="text1" w:themeTint="F2"/>
          <w:sz w:val="20"/>
          <w:szCs w:val="20"/>
        </w:rPr>
      </w:pPr>
    </w:p>
    <w:p w14:paraId="7EC6187E" w14:textId="77777777" w:rsidR="00A054E3" w:rsidRPr="00770F9D" w:rsidRDefault="00A054E3" w:rsidP="002B7991">
      <w:pPr>
        <w:ind w:firstLine="284"/>
        <w:jc w:val="center"/>
        <w:rPr>
          <w:rFonts w:ascii="Garamond" w:eastAsia="Times New Roman" w:hAnsi="Garamond" w:cstheme="majorBidi"/>
          <w:b/>
          <w:bCs/>
          <w:i/>
          <w:iCs/>
          <w:color w:val="0D0D0D" w:themeColor="text1" w:themeTint="F2"/>
          <w:sz w:val="20"/>
          <w:szCs w:val="20"/>
        </w:rPr>
      </w:pPr>
    </w:p>
    <w:p w14:paraId="648D250C" w14:textId="77777777" w:rsidR="00A054E3" w:rsidRPr="00770F9D" w:rsidRDefault="00A054E3" w:rsidP="002B7991">
      <w:pPr>
        <w:ind w:firstLine="284"/>
        <w:jc w:val="center"/>
        <w:rPr>
          <w:rFonts w:ascii="Garamond" w:eastAsia="Times New Roman" w:hAnsi="Garamond" w:cstheme="majorBidi"/>
          <w:b/>
          <w:bCs/>
          <w:i/>
          <w:iCs/>
          <w:color w:val="0D0D0D" w:themeColor="text1" w:themeTint="F2"/>
          <w:sz w:val="20"/>
          <w:szCs w:val="20"/>
        </w:rPr>
      </w:pPr>
    </w:p>
    <w:p w14:paraId="621EC3CE" w14:textId="77777777" w:rsidR="00A054E3" w:rsidRPr="00770F9D" w:rsidRDefault="00A054E3" w:rsidP="002B7991">
      <w:pPr>
        <w:ind w:firstLine="284"/>
        <w:jc w:val="center"/>
        <w:rPr>
          <w:rFonts w:ascii="Garamond" w:eastAsia="Times New Roman" w:hAnsi="Garamond" w:cstheme="majorBidi"/>
          <w:b/>
          <w:bCs/>
          <w:i/>
          <w:iCs/>
          <w:color w:val="0D0D0D" w:themeColor="text1" w:themeTint="F2"/>
          <w:sz w:val="20"/>
          <w:szCs w:val="20"/>
        </w:rPr>
      </w:pPr>
    </w:p>
    <w:p w14:paraId="0100955C" w14:textId="75F52281" w:rsidR="00F468C9" w:rsidRPr="00770F9D" w:rsidRDefault="00F468C9" w:rsidP="002B7991">
      <w:pPr>
        <w:ind w:firstLine="284"/>
        <w:jc w:val="center"/>
        <w:rPr>
          <w:rFonts w:ascii="Garamond" w:hAnsi="Garamond" w:cstheme="majorBidi"/>
          <w:i/>
          <w:iCs/>
          <w:color w:val="0D0D0D" w:themeColor="text1" w:themeTint="F2"/>
          <w:sz w:val="20"/>
          <w:szCs w:val="20"/>
        </w:rPr>
      </w:pPr>
      <w:r w:rsidRPr="00770F9D">
        <w:rPr>
          <w:rFonts w:ascii="Garamond" w:eastAsia="Times New Roman" w:hAnsi="Garamond" w:cstheme="majorBidi"/>
          <w:b/>
          <w:bCs/>
          <w:i/>
          <w:iCs/>
          <w:color w:val="0D0D0D" w:themeColor="text1" w:themeTint="F2"/>
          <w:sz w:val="20"/>
          <w:szCs w:val="20"/>
        </w:rPr>
        <w:t>Grafiku 4.2.4:</w:t>
      </w:r>
      <w:r w:rsidRPr="00770F9D">
        <w:rPr>
          <w:rFonts w:ascii="Garamond" w:eastAsia="Times New Roman" w:hAnsi="Garamond" w:cstheme="majorBidi"/>
          <w:i/>
          <w:iCs/>
          <w:color w:val="0D0D0D" w:themeColor="text1" w:themeTint="F2"/>
          <w:sz w:val="20"/>
          <w:szCs w:val="20"/>
        </w:rPr>
        <w:t xml:space="preserve"> </w:t>
      </w:r>
      <w:r w:rsidRPr="00770F9D">
        <w:rPr>
          <w:rFonts w:ascii="Garamond" w:hAnsi="Garamond" w:cstheme="majorBidi"/>
          <w:i/>
          <w:iCs/>
          <w:color w:val="0D0D0D" w:themeColor="text1" w:themeTint="F2"/>
          <w:sz w:val="20"/>
          <w:szCs w:val="20"/>
        </w:rPr>
        <w:t>Ecuria e tatimit mbi fitimi</w:t>
      </w:r>
      <w:r w:rsidR="002B7991" w:rsidRPr="00770F9D">
        <w:rPr>
          <w:rFonts w:ascii="Garamond" w:hAnsi="Garamond" w:cstheme="majorBidi"/>
          <w:i/>
          <w:iCs/>
          <w:color w:val="0D0D0D" w:themeColor="text1" w:themeTint="F2"/>
          <w:sz w:val="20"/>
          <w:szCs w:val="20"/>
        </w:rPr>
        <w:t>n ndër vite për një periudhë 11-</w:t>
      </w:r>
      <w:r w:rsidRPr="00770F9D">
        <w:rPr>
          <w:rFonts w:ascii="Garamond" w:hAnsi="Garamond" w:cstheme="majorBidi"/>
          <w:i/>
          <w:iCs/>
          <w:color w:val="0D0D0D" w:themeColor="text1" w:themeTint="F2"/>
          <w:sz w:val="20"/>
          <w:szCs w:val="20"/>
        </w:rPr>
        <w:t>mujore</w:t>
      </w:r>
    </w:p>
    <w:p w14:paraId="31585AAA" w14:textId="5839B7AE" w:rsidR="00A054E3" w:rsidRPr="00770F9D" w:rsidRDefault="00A054E3" w:rsidP="00A054E3">
      <w:pPr>
        <w:ind w:firstLine="284"/>
        <w:jc w:val="right"/>
        <w:rPr>
          <w:rFonts w:ascii="Garamond" w:eastAsia="Times New Roman" w:hAnsi="Garamond" w:cstheme="majorBidi"/>
          <w:i/>
          <w:iCs/>
          <w:color w:val="0D0D0D" w:themeColor="text1" w:themeTint="F2"/>
          <w:sz w:val="20"/>
          <w:szCs w:val="20"/>
        </w:rPr>
      </w:pPr>
      <w:r w:rsidRPr="00770F9D">
        <w:rPr>
          <w:rFonts w:ascii="Garamond" w:hAnsi="Garamond" w:cstheme="majorBidi"/>
          <w:noProof/>
          <w:color w:val="0D0D0D" w:themeColor="text1" w:themeTint="F2"/>
          <w:lang w:eastAsia="sq-AL"/>
        </w:rPr>
        <w:drawing>
          <wp:anchor distT="0" distB="0" distL="114300" distR="114300" simplePos="0" relativeHeight="251658263" behindDoc="0" locked="0" layoutInCell="1" allowOverlap="1" wp14:anchorId="08C293C5" wp14:editId="6E1EC893">
            <wp:simplePos x="0" y="0"/>
            <wp:positionH relativeFrom="column">
              <wp:posOffset>-152400</wp:posOffset>
            </wp:positionH>
            <wp:positionV relativeFrom="paragraph">
              <wp:posOffset>221615</wp:posOffset>
            </wp:positionV>
            <wp:extent cx="6074796" cy="1749287"/>
            <wp:effectExtent l="0" t="0" r="2540" b="3810"/>
            <wp:wrapTopAndBottom/>
            <wp:docPr id="4" name="Chart 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xmlns:w15="http://schemas.microsoft.com/office/word/2012/wordml" id="{AF134116-0F06-49F8-A07A-A4EC843731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14:sizeRelH relativeFrom="page">
              <wp14:pctWidth>0</wp14:pctWidth>
            </wp14:sizeRelH>
            <wp14:sizeRelV relativeFrom="page">
              <wp14:pctHeight>0</wp14:pctHeight>
            </wp14:sizeRelV>
          </wp:anchor>
        </w:drawing>
      </w:r>
      <w:r w:rsidRPr="00770F9D">
        <w:rPr>
          <w:rFonts w:ascii="Garamond" w:eastAsia="Times New Roman" w:hAnsi="Garamond" w:cstheme="majorBidi"/>
          <w:i/>
          <w:iCs/>
          <w:color w:val="0D0D0D" w:themeColor="text1" w:themeTint="F2"/>
          <w:sz w:val="20"/>
          <w:szCs w:val="20"/>
        </w:rPr>
        <w:t>(</w:t>
      </w:r>
      <w:r w:rsidRPr="00770F9D">
        <w:rPr>
          <w:rFonts w:ascii="Garamond" w:hAnsi="Garamond" w:cstheme="majorBidi"/>
          <w:i/>
          <w:iCs/>
          <w:color w:val="0D0D0D" w:themeColor="text1" w:themeTint="F2"/>
          <w:sz w:val="20"/>
          <w:szCs w:val="20"/>
        </w:rPr>
        <w:t>në milionë lek</w:t>
      </w:r>
      <w:r w:rsidRPr="00770F9D">
        <w:rPr>
          <w:rFonts w:ascii="Garamond" w:eastAsia="Times New Roman" w:hAnsi="Garamond" w:cstheme="majorBidi"/>
          <w:i/>
          <w:iCs/>
          <w:color w:val="0D0D0D" w:themeColor="text1" w:themeTint="F2"/>
          <w:sz w:val="20"/>
          <w:szCs w:val="20"/>
        </w:rPr>
        <w:t>)</w:t>
      </w:r>
    </w:p>
    <w:p w14:paraId="1BE8798F" w14:textId="709D1EC7" w:rsidR="00F468C9" w:rsidRPr="00770F9D" w:rsidRDefault="00F468C9" w:rsidP="002B7991">
      <w:pPr>
        <w:ind w:firstLine="284"/>
        <w:jc w:val="center"/>
        <w:rPr>
          <w:rFonts w:ascii="Garamond" w:eastAsia="Arial Narrow" w:hAnsi="Garamond" w:cstheme="majorBidi"/>
          <w:i/>
          <w:iCs/>
          <w:color w:val="0D0D0D" w:themeColor="text1" w:themeTint="F2"/>
        </w:rPr>
      </w:pPr>
      <w:r w:rsidRPr="00770F9D">
        <w:rPr>
          <w:rFonts w:ascii="Garamond" w:eastAsia="Arial Narrow" w:hAnsi="Garamond" w:cstheme="majorBidi"/>
          <w:i/>
          <w:iCs/>
          <w:color w:val="0D0D0D" w:themeColor="text1" w:themeTint="F2"/>
        </w:rPr>
        <w:t xml:space="preserve">Burimi: Ministria e </w:t>
      </w:r>
      <w:r w:rsidR="002B7991" w:rsidRPr="00770F9D">
        <w:rPr>
          <w:rFonts w:ascii="Garamond" w:eastAsia="Arial Narrow" w:hAnsi="Garamond" w:cstheme="majorBidi"/>
          <w:i/>
          <w:iCs/>
          <w:color w:val="0D0D0D" w:themeColor="text1" w:themeTint="F2"/>
        </w:rPr>
        <w:t>Financave</w:t>
      </w:r>
      <w:r w:rsidRPr="00770F9D">
        <w:rPr>
          <w:rFonts w:ascii="Garamond" w:eastAsia="Arial Narrow" w:hAnsi="Garamond" w:cstheme="majorBidi"/>
          <w:i/>
          <w:iCs/>
          <w:color w:val="0D0D0D" w:themeColor="text1" w:themeTint="F2"/>
        </w:rPr>
        <w:t xml:space="preserve"> dhe Ekonomisë (2022)</w:t>
      </w:r>
    </w:p>
    <w:p w14:paraId="408C21BD" w14:textId="77777777" w:rsidR="00F468C9" w:rsidRPr="00770F9D" w:rsidRDefault="00F468C9" w:rsidP="005674F2">
      <w:pPr>
        <w:ind w:firstLine="284"/>
        <w:jc w:val="both"/>
        <w:rPr>
          <w:rFonts w:ascii="Garamond" w:eastAsia="Times New Roman" w:hAnsi="Garamond" w:cstheme="majorBidi"/>
          <w:color w:val="0D0D0D" w:themeColor="text1" w:themeTint="F2"/>
        </w:rPr>
      </w:pPr>
    </w:p>
    <w:p w14:paraId="551C293F" w14:textId="77777777" w:rsidR="00072546" w:rsidRPr="00770F9D" w:rsidRDefault="00072546" w:rsidP="005674F2">
      <w:pPr>
        <w:autoSpaceDE w:val="0"/>
        <w:autoSpaceDN w:val="0"/>
        <w:adjustRightInd w:val="0"/>
        <w:ind w:firstLine="284"/>
        <w:jc w:val="both"/>
        <w:rPr>
          <w:rFonts w:ascii="Garamond" w:hAnsi="Garamond" w:cs="Garamond"/>
          <w:color w:val="0D0D0D"/>
          <w:lang w:eastAsia="sq-AL"/>
        </w:rPr>
      </w:pPr>
      <w:r w:rsidRPr="00770F9D">
        <w:rPr>
          <w:rFonts w:ascii="Garamond" w:hAnsi="Garamond" w:cs="Garamond"/>
          <w:b/>
          <w:bCs/>
          <w:color w:val="0D0D0D"/>
          <w:lang w:eastAsia="sq-AL"/>
        </w:rPr>
        <w:t>Të ardhurat nga Tatimi mbi të Ardhurat Personale</w:t>
      </w:r>
      <w:r w:rsidRPr="00770F9D">
        <w:rPr>
          <w:rFonts w:ascii="Garamond" w:hAnsi="Garamond" w:cs="Garamond"/>
          <w:color w:val="0D0D0D"/>
          <w:lang w:eastAsia="sq-AL"/>
        </w:rPr>
        <w:t xml:space="preserve"> janë në vlerën me 41.1 miliardë lekë, me një realizim prej 97.1% të planit, me një rritje prej 14.1% ose 5.1 miliardë lekë krahasuar me vitin 2021. Ndikim të rëndësishëm në të ardhurat nga tatimi mbi të ardhurat personale kanë:</w:t>
      </w:r>
    </w:p>
    <w:p w14:paraId="34674322" w14:textId="7FF00203" w:rsidR="00072546" w:rsidRPr="00770F9D" w:rsidRDefault="00072546" w:rsidP="005674F2">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Të ardhurat nga tati</w:t>
      </w:r>
      <w:r w:rsidR="00623F19" w:rsidRPr="00770F9D">
        <w:rPr>
          <w:rFonts w:ascii="Garamond" w:hAnsi="Garamond" w:cs="Garamond"/>
          <w:color w:val="0D0D0D"/>
          <w:lang w:eastAsia="sq-AL"/>
        </w:rPr>
        <w:t>m, shitja e pasurisë së paluajt</w:t>
      </w:r>
      <w:r w:rsidRPr="00770F9D">
        <w:rPr>
          <w:rFonts w:ascii="Garamond" w:hAnsi="Garamond" w:cs="Garamond"/>
          <w:color w:val="0D0D0D"/>
          <w:lang w:eastAsia="sq-AL"/>
        </w:rPr>
        <w:t>shme me një rritje prej 76% krahasuar me 11-mujorin 2021.</w:t>
      </w:r>
    </w:p>
    <w:p w14:paraId="788742BE" w14:textId="2CDF70B0" w:rsidR="00072546" w:rsidRPr="00770F9D" w:rsidRDefault="00072546" w:rsidP="005674F2">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Të ardhurat nga aksionet nga tatimi në dividend me një rritje prej 22.6% krahasuar me 11-mujorin 2021.</w:t>
      </w:r>
    </w:p>
    <w:p w14:paraId="78187997" w14:textId="0C1647EF" w:rsidR="00072546" w:rsidRPr="00770F9D" w:rsidRDefault="00072546" w:rsidP="005674F2">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Të ardhurat nga tatimi i të punësuarve në sektorin privat me një rritje prej 17.7% krahasuar me 11-mujorin 2021.</w:t>
      </w:r>
    </w:p>
    <w:p w14:paraId="1EEC3ACA" w14:textId="77777777" w:rsidR="00F468C9" w:rsidRPr="00770F9D" w:rsidRDefault="00F468C9" w:rsidP="005674F2">
      <w:pPr>
        <w:ind w:firstLine="284"/>
        <w:jc w:val="both"/>
        <w:rPr>
          <w:rFonts w:ascii="Garamond" w:eastAsia="Times New Roman" w:hAnsi="Garamond" w:cstheme="majorBidi"/>
          <w:color w:val="0D0D0D" w:themeColor="text1" w:themeTint="F2"/>
        </w:rPr>
      </w:pPr>
    </w:p>
    <w:p w14:paraId="67982036" w14:textId="191913DD" w:rsidR="00F468C9" w:rsidRPr="00770F9D" w:rsidRDefault="00F468C9" w:rsidP="002D28DF">
      <w:pPr>
        <w:jc w:val="center"/>
        <w:rPr>
          <w:rFonts w:ascii="Garamond" w:hAnsi="Garamond" w:cstheme="majorBidi"/>
          <w:i/>
          <w:iCs/>
          <w:color w:val="0D0D0D" w:themeColor="text1" w:themeTint="F2"/>
          <w:sz w:val="20"/>
          <w:szCs w:val="20"/>
        </w:rPr>
      </w:pPr>
      <w:r w:rsidRPr="00770F9D">
        <w:rPr>
          <w:rFonts w:ascii="Garamond" w:eastAsia="Times New Roman" w:hAnsi="Garamond" w:cstheme="majorBidi"/>
          <w:b/>
          <w:bCs/>
          <w:i/>
          <w:iCs/>
          <w:color w:val="0D0D0D" w:themeColor="text1" w:themeTint="F2"/>
          <w:sz w:val="20"/>
          <w:szCs w:val="20"/>
        </w:rPr>
        <w:t>Grafiku 4.2.5:</w:t>
      </w:r>
      <w:r w:rsidRPr="00770F9D">
        <w:rPr>
          <w:rFonts w:ascii="Garamond" w:eastAsia="Times New Roman" w:hAnsi="Garamond" w:cstheme="majorBidi"/>
          <w:i/>
          <w:iCs/>
          <w:color w:val="0D0D0D" w:themeColor="text1" w:themeTint="F2"/>
          <w:sz w:val="20"/>
          <w:szCs w:val="20"/>
        </w:rPr>
        <w:t xml:space="preserve"> </w:t>
      </w:r>
      <w:r w:rsidRPr="00770F9D">
        <w:rPr>
          <w:rFonts w:ascii="Garamond" w:hAnsi="Garamond" w:cstheme="majorBidi"/>
          <w:i/>
          <w:iCs/>
          <w:color w:val="0D0D0D" w:themeColor="text1" w:themeTint="F2"/>
          <w:sz w:val="20"/>
          <w:szCs w:val="20"/>
        </w:rPr>
        <w:t xml:space="preserve">Të ardhurat nga </w:t>
      </w:r>
      <w:r w:rsidR="002D28DF" w:rsidRPr="00770F9D">
        <w:rPr>
          <w:rFonts w:ascii="Garamond" w:hAnsi="Garamond" w:cstheme="majorBidi"/>
          <w:i/>
          <w:iCs/>
          <w:color w:val="0D0D0D" w:themeColor="text1" w:themeTint="F2"/>
          <w:sz w:val="20"/>
          <w:szCs w:val="20"/>
        </w:rPr>
        <w:t xml:space="preserve">tatimi mbi të ardhurat personale </w:t>
      </w:r>
      <w:r w:rsidRPr="00770F9D">
        <w:rPr>
          <w:rFonts w:ascii="Garamond" w:hAnsi="Garamond" w:cstheme="majorBidi"/>
          <w:i/>
          <w:iCs/>
          <w:color w:val="0D0D0D" w:themeColor="text1" w:themeTint="F2"/>
          <w:sz w:val="20"/>
          <w:szCs w:val="20"/>
        </w:rPr>
        <w:t>gjatë viteve për periudhën 11-mujore</w:t>
      </w:r>
    </w:p>
    <w:p w14:paraId="5218A6BC" w14:textId="721BB7A2" w:rsidR="00F468C9" w:rsidRPr="00770F9D" w:rsidRDefault="002D28DF" w:rsidP="002D28DF">
      <w:pPr>
        <w:ind w:firstLine="284"/>
        <w:jc w:val="right"/>
        <w:rPr>
          <w:rFonts w:ascii="Garamond" w:eastAsia="Times New Roman" w:hAnsi="Garamond" w:cstheme="majorBidi"/>
          <w:i/>
          <w:iCs/>
          <w:color w:val="0D0D0D" w:themeColor="text1" w:themeTint="F2"/>
          <w:sz w:val="20"/>
          <w:szCs w:val="20"/>
        </w:rPr>
      </w:pPr>
      <w:r w:rsidRPr="00770F9D">
        <w:rPr>
          <w:rFonts w:ascii="Garamond" w:hAnsi="Garamond" w:cstheme="majorBidi"/>
          <w:noProof/>
          <w:color w:val="0D0D0D" w:themeColor="text1" w:themeTint="F2"/>
          <w:lang w:eastAsia="sq-AL"/>
        </w:rPr>
        <w:drawing>
          <wp:anchor distT="0" distB="0" distL="114300" distR="114300" simplePos="0" relativeHeight="251658264" behindDoc="0" locked="0" layoutInCell="1" allowOverlap="1" wp14:anchorId="01D11D2E" wp14:editId="2E018F89">
            <wp:simplePos x="0" y="0"/>
            <wp:positionH relativeFrom="column">
              <wp:posOffset>-125629</wp:posOffset>
            </wp:positionH>
            <wp:positionV relativeFrom="paragraph">
              <wp:posOffset>180086</wp:posOffset>
            </wp:positionV>
            <wp:extent cx="5876014" cy="1733385"/>
            <wp:effectExtent l="0" t="0" r="10795" b="635"/>
            <wp:wrapTopAndBottom/>
            <wp:docPr id="5" name="Chart 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xmlns:w15="http://schemas.microsoft.com/office/word/2012/wordml" id="{AF134116-0F06-49F8-A07A-A4EC843731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14:sizeRelH relativeFrom="page">
              <wp14:pctWidth>0</wp14:pctWidth>
            </wp14:sizeRelH>
            <wp14:sizeRelV relativeFrom="page">
              <wp14:pctHeight>0</wp14:pctHeight>
            </wp14:sizeRelV>
          </wp:anchor>
        </w:drawing>
      </w:r>
      <w:r w:rsidRPr="00770F9D">
        <w:rPr>
          <w:rFonts w:ascii="Garamond" w:eastAsia="Times New Roman" w:hAnsi="Garamond" w:cstheme="majorBidi"/>
          <w:i/>
          <w:iCs/>
          <w:color w:val="0D0D0D" w:themeColor="text1" w:themeTint="F2"/>
          <w:sz w:val="20"/>
          <w:szCs w:val="20"/>
        </w:rPr>
        <w:t>(në milionë lek</w:t>
      </w:r>
      <w:r w:rsidR="00F468C9" w:rsidRPr="00770F9D">
        <w:rPr>
          <w:rFonts w:ascii="Garamond" w:eastAsia="Times New Roman" w:hAnsi="Garamond" w:cstheme="majorBidi"/>
          <w:i/>
          <w:iCs/>
          <w:color w:val="0D0D0D" w:themeColor="text1" w:themeTint="F2"/>
          <w:sz w:val="20"/>
          <w:szCs w:val="20"/>
        </w:rPr>
        <w:t xml:space="preserve">) </w:t>
      </w:r>
    </w:p>
    <w:p w14:paraId="13EA9BB0" w14:textId="656C67AD" w:rsidR="00F468C9" w:rsidRPr="00770F9D" w:rsidRDefault="00F468C9" w:rsidP="002D28DF">
      <w:pPr>
        <w:ind w:firstLine="284"/>
        <w:jc w:val="center"/>
        <w:rPr>
          <w:rFonts w:ascii="Garamond" w:eastAsia="Arial Narrow" w:hAnsi="Garamond" w:cstheme="majorBidi"/>
          <w:i/>
          <w:iCs/>
          <w:color w:val="0D0D0D" w:themeColor="text1" w:themeTint="F2"/>
        </w:rPr>
      </w:pPr>
      <w:r w:rsidRPr="00770F9D">
        <w:rPr>
          <w:rFonts w:ascii="Garamond" w:eastAsia="Arial Narrow" w:hAnsi="Garamond" w:cstheme="majorBidi"/>
          <w:i/>
          <w:iCs/>
          <w:color w:val="0D0D0D" w:themeColor="text1" w:themeTint="F2"/>
        </w:rPr>
        <w:t xml:space="preserve">Burimi: Ministria e </w:t>
      </w:r>
      <w:r w:rsidR="002D28DF" w:rsidRPr="00770F9D">
        <w:rPr>
          <w:rFonts w:ascii="Garamond" w:eastAsia="Arial Narrow" w:hAnsi="Garamond" w:cstheme="majorBidi"/>
          <w:i/>
          <w:iCs/>
          <w:color w:val="0D0D0D" w:themeColor="text1" w:themeTint="F2"/>
        </w:rPr>
        <w:t>Financave</w:t>
      </w:r>
      <w:r w:rsidRPr="00770F9D">
        <w:rPr>
          <w:rFonts w:ascii="Garamond" w:eastAsia="Arial Narrow" w:hAnsi="Garamond" w:cstheme="majorBidi"/>
          <w:i/>
          <w:iCs/>
          <w:color w:val="0D0D0D" w:themeColor="text1" w:themeTint="F2"/>
        </w:rPr>
        <w:t xml:space="preserve"> dhe Ekonomisë (2022)</w:t>
      </w:r>
    </w:p>
    <w:p w14:paraId="0AD241CD" w14:textId="77777777" w:rsidR="002D28DF" w:rsidRPr="00770F9D" w:rsidRDefault="002D28DF" w:rsidP="005674F2">
      <w:pPr>
        <w:ind w:firstLine="284"/>
        <w:jc w:val="both"/>
        <w:rPr>
          <w:rFonts w:ascii="Garamond" w:eastAsia="Times New Roman" w:hAnsi="Garamond" w:cstheme="majorBidi"/>
          <w:b/>
          <w:color w:val="0D0D0D" w:themeColor="text1" w:themeTint="F2"/>
        </w:rPr>
      </w:pPr>
    </w:p>
    <w:p w14:paraId="44780F03" w14:textId="77777777" w:rsidR="00F468C9" w:rsidRPr="00770F9D" w:rsidRDefault="00F468C9" w:rsidP="005674F2">
      <w:pPr>
        <w:ind w:firstLine="284"/>
        <w:jc w:val="both"/>
        <w:rPr>
          <w:rFonts w:ascii="Garamond" w:eastAsia="Times New Roman" w:hAnsi="Garamond" w:cstheme="majorBidi"/>
          <w:color w:val="0D0D0D" w:themeColor="text1" w:themeTint="F2"/>
        </w:rPr>
      </w:pPr>
      <w:r w:rsidRPr="00770F9D">
        <w:rPr>
          <w:rFonts w:ascii="Garamond" w:eastAsia="Times New Roman" w:hAnsi="Garamond" w:cstheme="majorBidi"/>
          <w:b/>
          <w:color w:val="0D0D0D" w:themeColor="text1" w:themeTint="F2"/>
        </w:rPr>
        <w:t>Të ardhurat nga Taksa Kombëtare</w:t>
      </w:r>
      <w:r w:rsidRPr="00770F9D">
        <w:rPr>
          <w:rFonts w:ascii="Garamond" w:eastAsia="Times New Roman" w:hAnsi="Garamond" w:cstheme="majorBidi"/>
          <w:color w:val="0D0D0D" w:themeColor="text1" w:themeTint="F2"/>
        </w:rPr>
        <w:t xml:space="preserve"> janë në vlerën 37.7 miliardë lekë, me një realizim prej 93.6% të planit.</w:t>
      </w:r>
    </w:p>
    <w:p w14:paraId="7BDC4A1F" w14:textId="77777777" w:rsidR="002D28DF" w:rsidRPr="00770F9D" w:rsidRDefault="002D28DF" w:rsidP="002D28DF">
      <w:pPr>
        <w:jc w:val="center"/>
        <w:rPr>
          <w:rFonts w:ascii="Garamond" w:eastAsia="Times New Roman" w:hAnsi="Garamond" w:cstheme="majorBidi"/>
          <w:b/>
          <w:bCs/>
          <w:color w:val="0D0D0D" w:themeColor="text1" w:themeTint="F2"/>
        </w:rPr>
      </w:pPr>
    </w:p>
    <w:p w14:paraId="41C13A73" w14:textId="77777777" w:rsidR="002D28DF" w:rsidRPr="00770F9D" w:rsidRDefault="002D28DF" w:rsidP="002D28DF">
      <w:pPr>
        <w:jc w:val="center"/>
        <w:rPr>
          <w:rFonts w:ascii="Garamond" w:eastAsia="Times New Roman" w:hAnsi="Garamond" w:cstheme="majorBidi"/>
          <w:b/>
          <w:bCs/>
          <w:i/>
          <w:iCs/>
          <w:color w:val="0D0D0D" w:themeColor="text1" w:themeTint="F2"/>
          <w:sz w:val="20"/>
          <w:szCs w:val="20"/>
        </w:rPr>
      </w:pPr>
    </w:p>
    <w:p w14:paraId="2CEC1FAD" w14:textId="77777777" w:rsidR="002D28DF" w:rsidRPr="00770F9D" w:rsidRDefault="002D28DF" w:rsidP="002D28DF">
      <w:pPr>
        <w:jc w:val="center"/>
        <w:rPr>
          <w:rFonts w:ascii="Garamond" w:eastAsia="Times New Roman" w:hAnsi="Garamond" w:cstheme="majorBidi"/>
          <w:b/>
          <w:bCs/>
          <w:i/>
          <w:iCs/>
          <w:color w:val="0D0D0D" w:themeColor="text1" w:themeTint="F2"/>
          <w:sz w:val="20"/>
          <w:szCs w:val="20"/>
        </w:rPr>
      </w:pPr>
    </w:p>
    <w:p w14:paraId="7987F7C7" w14:textId="77777777" w:rsidR="002D28DF" w:rsidRPr="00770F9D" w:rsidRDefault="002D28DF" w:rsidP="002D28DF">
      <w:pPr>
        <w:jc w:val="center"/>
        <w:rPr>
          <w:rFonts w:ascii="Garamond" w:eastAsia="Times New Roman" w:hAnsi="Garamond" w:cstheme="majorBidi"/>
          <w:b/>
          <w:bCs/>
          <w:i/>
          <w:iCs/>
          <w:color w:val="0D0D0D" w:themeColor="text1" w:themeTint="F2"/>
          <w:sz w:val="20"/>
          <w:szCs w:val="20"/>
        </w:rPr>
      </w:pPr>
    </w:p>
    <w:p w14:paraId="70397584" w14:textId="77777777" w:rsidR="002D28DF" w:rsidRPr="00770F9D" w:rsidRDefault="002D28DF" w:rsidP="002D28DF">
      <w:pPr>
        <w:jc w:val="center"/>
        <w:rPr>
          <w:rFonts w:ascii="Garamond" w:eastAsia="Times New Roman" w:hAnsi="Garamond" w:cstheme="majorBidi"/>
          <w:b/>
          <w:bCs/>
          <w:i/>
          <w:iCs/>
          <w:color w:val="0D0D0D" w:themeColor="text1" w:themeTint="F2"/>
          <w:sz w:val="20"/>
          <w:szCs w:val="20"/>
        </w:rPr>
      </w:pPr>
    </w:p>
    <w:p w14:paraId="675E3C44" w14:textId="77777777" w:rsidR="002D28DF" w:rsidRPr="00770F9D" w:rsidRDefault="002D28DF" w:rsidP="002D28DF">
      <w:pPr>
        <w:jc w:val="center"/>
        <w:rPr>
          <w:rFonts w:ascii="Garamond" w:eastAsia="Times New Roman" w:hAnsi="Garamond" w:cstheme="majorBidi"/>
          <w:b/>
          <w:bCs/>
          <w:i/>
          <w:iCs/>
          <w:color w:val="0D0D0D" w:themeColor="text1" w:themeTint="F2"/>
          <w:sz w:val="20"/>
          <w:szCs w:val="20"/>
        </w:rPr>
      </w:pPr>
    </w:p>
    <w:p w14:paraId="253AEB86" w14:textId="77777777" w:rsidR="002D28DF" w:rsidRPr="00770F9D" w:rsidRDefault="002D28DF" w:rsidP="002D28DF">
      <w:pPr>
        <w:jc w:val="center"/>
        <w:rPr>
          <w:rFonts w:ascii="Garamond" w:eastAsia="Times New Roman" w:hAnsi="Garamond" w:cstheme="majorBidi"/>
          <w:b/>
          <w:bCs/>
          <w:i/>
          <w:iCs/>
          <w:color w:val="0D0D0D" w:themeColor="text1" w:themeTint="F2"/>
          <w:sz w:val="20"/>
          <w:szCs w:val="20"/>
        </w:rPr>
      </w:pPr>
    </w:p>
    <w:p w14:paraId="606A3FF4" w14:textId="77777777" w:rsidR="002D28DF" w:rsidRPr="00770F9D" w:rsidRDefault="002D28DF" w:rsidP="002D28DF">
      <w:pPr>
        <w:jc w:val="center"/>
        <w:rPr>
          <w:rFonts w:ascii="Garamond" w:eastAsia="Times New Roman" w:hAnsi="Garamond" w:cstheme="majorBidi"/>
          <w:b/>
          <w:bCs/>
          <w:i/>
          <w:iCs/>
          <w:color w:val="0D0D0D" w:themeColor="text1" w:themeTint="F2"/>
          <w:sz w:val="20"/>
          <w:szCs w:val="20"/>
        </w:rPr>
      </w:pPr>
    </w:p>
    <w:p w14:paraId="67247065" w14:textId="77777777" w:rsidR="002D28DF" w:rsidRPr="00770F9D" w:rsidRDefault="002D28DF" w:rsidP="002D28DF">
      <w:pPr>
        <w:jc w:val="center"/>
        <w:rPr>
          <w:rFonts w:ascii="Garamond" w:eastAsia="Times New Roman" w:hAnsi="Garamond" w:cstheme="majorBidi"/>
          <w:b/>
          <w:bCs/>
          <w:i/>
          <w:iCs/>
          <w:color w:val="0D0D0D" w:themeColor="text1" w:themeTint="F2"/>
          <w:sz w:val="20"/>
          <w:szCs w:val="20"/>
        </w:rPr>
      </w:pPr>
    </w:p>
    <w:p w14:paraId="7BF8BD16" w14:textId="77777777" w:rsidR="002D28DF" w:rsidRPr="00770F9D" w:rsidRDefault="002D28DF" w:rsidP="002D28DF">
      <w:pPr>
        <w:jc w:val="center"/>
        <w:rPr>
          <w:rFonts w:ascii="Garamond" w:eastAsia="Times New Roman" w:hAnsi="Garamond" w:cstheme="majorBidi"/>
          <w:b/>
          <w:bCs/>
          <w:i/>
          <w:iCs/>
          <w:color w:val="0D0D0D" w:themeColor="text1" w:themeTint="F2"/>
          <w:sz w:val="20"/>
          <w:szCs w:val="20"/>
        </w:rPr>
      </w:pPr>
    </w:p>
    <w:p w14:paraId="107AF280" w14:textId="77777777" w:rsidR="002D28DF" w:rsidRPr="00770F9D" w:rsidRDefault="002D28DF" w:rsidP="002D28DF">
      <w:pPr>
        <w:jc w:val="center"/>
        <w:rPr>
          <w:rFonts w:ascii="Garamond" w:eastAsia="Times New Roman" w:hAnsi="Garamond" w:cstheme="majorBidi"/>
          <w:b/>
          <w:bCs/>
          <w:i/>
          <w:iCs/>
          <w:color w:val="0D0D0D" w:themeColor="text1" w:themeTint="F2"/>
          <w:sz w:val="20"/>
          <w:szCs w:val="20"/>
        </w:rPr>
      </w:pPr>
    </w:p>
    <w:p w14:paraId="57B5D591" w14:textId="77777777" w:rsidR="002D28DF" w:rsidRPr="00770F9D" w:rsidRDefault="002D28DF" w:rsidP="002D28DF">
      <w:pPr>
        <w:jc w:val="center"/>
        <w:rPr>
          <w:rFonts w:ascii="Garamond" w:eastAsia="Times New Roman" w:hAnsi="Garamond" w:cstheme="majorBidi"/>
          <w:b/>
          <w:bCs/>
          <w:i/>
          <w:iCs/>
          <w:color w:val="0D0D0D" w:themeColor="text1" w:themeTint="F2"/>
          <w:sz w:val="20"/>
          <w:szCs w:val="20"/>
        </w:rPr>
      </w:pPr>
    </w:p>
    <w:p w14:paraId="75CEF6EF" w14:textId="77777777" w:rsidR="002D28DF" w:rsidRPr="00770F9D" w:rsidRDefault="002D28DF" w:rsidP="002D28DF">
      <w:pPr>
        <w:jc w:val="center"/>
        <w:rPr>
          <w:rFonts w:ascii="Garamond" w:eastAsia="Times New Roman" w:hAnsi="Garamond" w:cstheme="majorBidi"/>
          <w:b/>
          <w:bCs/>
          <w:i/>
          <w:iCs/>
          <w:color w:val="0D0D0D" w:themeColor="text1" w:themeTint="F2"/>
          <w:sz w:val="20"/>
          <w:szCs w:val="20"/>
        </w:rPr>
      </w:pPr>
    </w:p>
    <w:p w14:paraId="1FE4382C" w14:textId="77777777" w:rsidR="002D28DF" w:rsidRPr="00770F9D" w:rsidRDefault="002D28DF" w:rsidP="002D28DF">
      <w:pPr>
        <w:jc w:val="center"/>
        <w:rPr>
          <w:rFonts w:ascii="Garamond" w:eastAsia="Times New Roman" w:hAnsi="Garamond" w:cstheme="majorBidi"/>
          <w:b/>
          <w:bCs/>
          <w:i/>
          <w:iCs/>
          <w:color w:val="0D0D0D" w:themeColor="text1" w:themeTint="F2"/>
          <w:sz w:val="20"/>
          <w:szCs w:val="20"/>
        </w:rPr>
      </w:pPr>
    </w:p>
    <w:p w14:paraId="114BA184" w14:textId="77777777" w:rsidR="002D28DF" w:rsidRPr="00770F9D" w:rsidRDefault="002D28DF" w:rsidP="002D28DF">
      <w:pPr>
        <w:jc w:val="center"/>
        <w:rPr>
          <w:rFonts w:ascii="Garamond" w:eastAsia="Times New Roman" w:hAnsi="Garamond" w:cstheme="majorBidi"/>
          <w:b/>
          <w:bCs/>
          <w:i/>
          <w:iCs/>
          <w:color w:val="0D0D0D" w:themeColor="text1" w:themeTint="F2"/>
          <w:sz w:val="20"/>
          <w:szCs w:val="20"/>
        </w:rPr>
      </w:pPr>
    </w:p>
    <w:p w14:paraId="7F367889" w14:textId="225D99A6" w:rsidR="00F468C9" w:rsidRPr="00770F9D" w:rsidRDefault="00F468C9" w:rsidP="002D28DF">
      <w:pPr>
        <w:jc w:val="center"/>
        <w:rPr>
          <w:rFonts w:ascii="Garamond" w:eastAsia="Times New Roman" w:hAnsi="Garamond" w:cstheme="majorBidi"/>
          <w:i/>
          <w:iCs/>
          <w:color w:val="0D0D0D" w:themeColor="text1" w:themeTint="F2"/>
          <w:sz w:val="20"/>
          <w:szCs w:val="20"/>
        </w:rPr>
      </w:pPr>
      <w:r w:rsidRPr="00770F9D">
        <w:rPr>
          <w:rFonts w:ascii="Garamond" w:eastAsia="Times New Roman" w:hAnsi="Garamond" w:cstheme="majorBidi"/>
          <w:b/>
          <w:bCs/>
          <w:i/>
          <w:iCs/>
          <w:color w:val="0D0D0D" w:themeColor="text1" w:themeTint="F2"/>
          <w:sz w:val="20"/>
          <w:szCs w:val="20"/>
        </w:rPr>
        <w:t>Grafiku 4.2.6:</w:t>
      </w:r>
      <w:r w:rsidRPr="00770F9D">
        <w:rPr>
          <w:rFonts w:ascii="Garamond" w:eastAsia="Times New Roman" w:hAnsi="Garamond" w:cstheme="majorBidi"/>
          <w:i/>
          <w:iCs/>
          <w:color w:val="0D0D0D" w:themeColor="text1" w:themeTint="F2"/>
          <w:sz w:val="20"/>
          <w:szCs w:val="20"/>
        </w:rPr>
        <w:t xml:space="preserve"> </w:t>
      </w:r>
      <w:r w:rsidRPr="00770F9D">
        <w:rPr>
          <w:rFonts w:ascii="Garamond" w:hAnsi="Garamond" w:cstheme="majorBidi"/>
          <w:i/>
          <w:iCs/>
          <w:color w:val="0D0D0D" w:themeColor="text1" w:themeTint="F2"/>
          <w:sz w:val="20"/>
          <w:szCs w:val="20"/>
        </w:rPr>
        <w:t xml:space="preserve">Ecuria e </w:t>
      </w:r>
      <w:r w:rsidR="002D28DF" w:rsidRPr="00770F9D">
        <w:rPr>
          <w:rFonts w:ascii="Garamond" w:hAnsi="Garamond" w:cstheme="majorBidi"/>
          <w:i/>
          <w:iCs/>
          <w:color w:val="0D0D0D" w:themeColor="text1" w:themeTint="F2"/>
          <w:sz w:val="20"/>
          <w:szCs w:val="20"/>
        </w:rPr>
        <w:t xml:space="preserve">taksës kombëtare </w:t>
      </w:r>
      <w:r w:rsidRPr="00770F9D">
        <w:rPr>
          <w:rFonts w:ascii="Garamond" w:hAnsi="Garamond" w:cstheme="majorBidi"/>
          <w:i/>
          <w:iCs/>
          <w:color w:val="0D0D0D" w:themeColor="text1" w:themeTint="F2"/>
          <w:sz w:val="20"/>
          <w:szCs w:val="20"/>
        </w:rPr>
        <w:t>nd</w:t>
      </w:r>
      <w:r w:rsidR="002D28DF" w:rsidRPr="00770F9D">
        <w:rPr>
          <w:rFonts w:ascii="Garamond" w:hAnsi="Garamond" w:cstheme="majorBidi"/>
          <w:i/>
          <w:iCs/>
          <w:color w:val="0D0D0D" w:themeColor="text1" w:themeTint="F2"/>
          <w:sz w:val="20"/>
          <w:szCs w:val="20"/>
        </w:rPr>
        <w:t>ër vite për periudhën 11-mujore</w:t>
      </w:r>
    </w:p>
    <w:p w14:paraId="67BB0D2A" w14:textId="22FF6E8E" w:rsidR="00F468C9" w:rsidRPr="00770F9D" w:rsidRDefault="002D28DF" w:rsidP="002D28DF">
      <w:pPr>
        <w:ind w:firstLine="284"/>
        <w:jc w:val="right"/>
        <w:rPr>
          <w:rFonts w:ascii="Garamond" w:eastAsia="Times New Roman" w:hAnsi="Garamond" w:cstheme="majorBidi"/>
          <w:bCs/>
          <w:i/>
          <w:iCs/>
          <w:color w:val="0D0D0D" w:themeColor="text1" w:themeTint="F2"/>
          <w:sz w:val="20"/>
          <w:szCs w:val="20"/>
        </w:rPr>
      </w:pPr>
      <w:r w:rsidRPr="00770F9D">
        <w:rPr>
          <w:rFonts w:ascii="Garamond" w:eastAsia="Times New Roman" w:hAnsi="Garamond" w:cstheme="majorBidi"/>
          <w:bCs/>
          <w:i/>
          <w:iCs/>
          <w:color w:val="0D0D0D" w:themeColor="text1" w:themeTint="F2"/>
          <w:sz w:val="20"/>
          <w:szCs w:val="20"/>
        </w:rPr>
        <w:t>(në milionë lek</w:t>
      </w:r>
      <w:r w:rsidR="00F468C9" w:rsidRPr="00770F9D">
        <w:rPr>
          <w:rFonts w:ascii="Garamond" w:eastAsia="Times New Roman" w:hAnsi="Garamond" w:cstheme="majorBidi"/>
          <w:bCs/>
          <w:i/>
          <w:iCs/>
          <w:color w:val="0D0D0D" w:themeColor="text1" w:themeTint="F2"/>
          <w:sz w:val="20"/>
          <w:szCs w:val="20"/>
        </w:rPr>
        <w:t>)</w:t>
      </w:r>
    </w:p>
    <w:p w14:paraId="0DF4E598" w14:textId="77777777" w:rsidR="00F468C9" w:rsidRPr="00770F9D" w:rsidRDefault="00F468C9" w:rsidP="00DE6D37">
      <w:pPr>
        <w:ind w:firstLine="284"/>
        <w:rPr>
          <w:rFonts w:ascii="Garamond" w:eastAsia="Times New Roman" w:hAnsi="Garamond" w:cstheme="majorBidi"/>
          <w:color w:val="0D0D0D" w:themeColor="text1" w:themeTint="F2"/>
        </w:rPr>
      </w:pPr>
      <w:r w:rsidRPr="00770F9D">
        <w:rPr>
          <w:rFonts w:ascii="Garamond" w:hAnsi="Garamond" w:cstheme="majorBidi"/>
          <w:b/>
          <w:bCs/>
          <w:noProof/>
          <w:color w:val="0D0D0D" w:themeColor="text1" w:themeTint="F2"/>
          <w:lang w:eastAsia="sq-AL"/>
        </w:rPr>
        <w:drawing>
          <wp:inline distT="0" distB="0" distL="0" distR="0" wp14:anchorId="6C9F950C" wp14:editId="31164672">
            <wp:extent cx="5907024" cy="1682496"/>
            <wp:effectExtent l="0" t="0" r="17780" b="13335"/>
            <wp:docPr id="6" name="Chart 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xmlns:w15="http://schemas.microsoft.com/office/word/2012/wordml" id="{A11DA183-90E6-41D7-95F8-3110BA7783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r w:rsidRPr="00770F9D">
        <w:rPr>
          <w:rFonts w:ascii="Garamond" w:eastAsia="Arial Narrow" w:hAnsi="Garamond" w:cstheme="majorBidi"/>
          <w:i/>
          <w:iCs/>
          <w:color w:val="0D0D0D" w:themeColor="text1" w:themeTint="F2"/>
        </w:rPr>
        <w:t>Burimi: Ministria e Financave dhe Ekonomisë (2022)</w:t>
      </w:r>
    </w:p>
    <w:p w14:paraId="28A0F419" w14:textId="77777777" w:rsidR="002D28DF" w:rsidRPr="00770F9D" w:rsidRDefault="002D28DF" w:rsidP="005674F2">
      <w:pPr>
        <w:ind w:firstLine="284"/>
        <w:jc w:val="both"/>
        <w:rPr>
          <w:rFonts w:ascii="Garamond" w:eastAsia="Times New Roman" w:hAnsi="Garamond" w:cstheme="majorBidi"/>
          <w:color w:val="0D0D0D" w:themeColor="text1" w:themeTint="F2"/>
        </w:rPr>
      </w:pPr>
    </w:p>
    <w:p w14:paraId="5837C091" w14:textId="77777777" w:rsidR="00F468C9" w:rsidRPr="00770F9D" w:rsidRDefault="00F468C9" w:rsidP="005674F2">
      <w:pPr>
        <w:ind w:firstLine="284"/>
        <w:jc w:val="both"/>
        <w:rPr>
          <w:rFonts w:ascii="Garamond" w:eastAsia="Times New Roman" w:hAnsi="Garamond" w:cstheme="majorBidi"/>
          <w:color w:val="0D0D0D" w:themeColor="text1" w:themeTint="F2"/>
        </w:rPr>
      </w:pPr>
      <w:r w:rsidRPr="00770F9D">
        <w:rPr>
          <w:rFonts w:ascii="Garamond" w:eastAsia="Times New Roman" w:hAnsi="Garamond" w:cstheme="majorBidi"/>
          <w:color w:val="0D0D0D" w:themeColor="text1" w:themeTint="F2"/>
        </w:rPr>
        <w:t>Të ardhurat nga kontributet e mbledhura nga DPT janë në vlerën 108.3 miliardë lekë, 3.6%, ose 3.8 miliardë lekë më shumë se plani dhe një rritje prej 11% ose 10.8 miliardë lekë krahasuar me të njëjtën periudhë të vitit 2021.</w:t>
      </w:r>
    </w:p>
    <w:p w14:paraId="490DD102" w14:textId="77777777" w:rsidR="00F468C9" w:rsidRPr="00770F9D" w:rsidRDefault="00F468C9" w:rsidP="005674F2">
      <w:pPr>
        <w:ind w:firstLine="284"/>
        <w:jc w:val="both"/>
        <w:rPr>
          <w:rFonts w:ascii="Garamond" w:eastAsia="Times New Roman" w:hAnsi="Garamond" w:cstheme="majorBidi"/>
          <w:i/>
          <w:color w:val="0D0D0D" w:themeColor="text1" w:themeTint="F2"/>
        </w:rPr>
      </w:pPr>
      <w:r w:rsidRPr="00770F9D">
        <w:rPr>
          <w:rFonts w:ascii="Garamond" w:eastAsia="Times New Roman" w:hAnsi="Garamond" w:cstheme="majorBidi"/>
          <w:b/>
          <w:i/>
          <w:color w:val="0D0D0D" w:themeColor="text1" w:themeTint="F2"/>
        </w:rPr>
        <w:t>Të ardhurat e pushtetit vendor</w:t>
      </w:r>
    </w:p>
    <w:p w14:paraId="321810DF" w14:textId="50864E54" w:rsidR="00F468C9" w:rsidRPr="00770F9D" w:rsidRDefault="00F468C9" w:rsidP="005674F2">
      <w:pPr>
        <w:ind w:firstLine="284"/>
        <w:jc w:val="both"/>
        <w:rPr>
          <w:rFonts w:ascii="Garamond" w:eastAsia="Times New Roman" w:hAnsi="Garamond" w:cstheme="majorBidi"/>
          <w:color w:val="0D0D0D" w:themeColor="text1" w:themeTint="F2"/>
        </w:rPr>
      </w:pPr>
      <w:r w:rsidRPr="00770F9D">
        <w:rPr>
          <w:rFonts w:ascii="Garamond" w:eastAsia="Times New Roman" w:hAnsi="Garamond" w:cstheme="majorBidi"/>
          <w:color w:val="0D0D0D" w:themeColor="text1" w:themeTint="F2"/>
        </w:rPr>
        <w:t>Të ardhurat për Pushtetin Vendor, gjatë 11-mujorit 2022, përfaqësojnë 4.9 për qind të totalit të të ardhurave. Për 11-mujorin 2022, njësitë e vetëqeverisjes vendore në shkallë vendi kanë mbledhur të ardhura në vlerën rreth 25.8 miliardë lekë, të</w:t>
      </w:r>
      <w:r w:rsidR="00623F19" w:rsidRPr="00770F9D">
        <w:rPr>
          <w:rFonts w:ascii="Garamond" w:eastAsia="Times New Roman" w:hAnsi="Garamond" w:cstheme="majorBidi"/>
          <w:color w:val="0D0D0D" w:themeColor="text1" w:themeTint="F2"/>
        </w:rPr>
        <w:t xml:space="preserve"> </w:t>
      </w:r>
      <w:r w:rsidRPr="00770F9D">
        <w:rPr>
          <w:rFonts w:ascii="Garamond" w:eastAsia="Times New Roman" w:hAnsi="Garamond" w:cstheme="majorBidi"/>
          <w:color w:val="0D0D0D" w:themeColor="text1" w:themeTint="F2"/>
        </w:rPr>
        <w:t xml:space="preserve">cilat kanë rezultuar në 100 për qind të planit të periudhës ose 94 për qind të planit vjetor dhe buxhetit të ndryshuar. Niveli </w:t>
      </w:r>
      <w:r w:rsidR="00DE6D37" w:rsidRPr="00770F9D">
        <w:rPr>
          <w:rFonts w:ascii="Garamond" w:eastAsia="Times New Roman" w:hAnsi="Garamond" w:cstheme="majorBidi"/>
          <w:color w:val="0D0D0D" w:themeColor="text1" w:themeTint="F2"/>
        </w:rPr>
        <w:t xml:space="preserve">i tyre prej 25.8 miliardë lekë </w:t>
      </w:r>
      <w:r w:rsidRPr="00770F9D">
        <w:rPr>
          <w:rFonts w:ascii="Garamond" w:eastAsia="Times New Roman" w:hAnsi="Garamond" w:cstheme="majorBidi"/>
          <w:color w:val="0D0D0D" w:themeColor="text1" w:themeTint="F2"/>
        </w:rPr>
        <w:t>është rreth 868 milionë lekë më shumë se vlera e të ardhurave të mbledhura gjatë së njëjtës periudhë të vitit 2021 ose 3.5 për qind më i lartë. Në këtë këndvështrim, kjo rritje vjen si rezultat i rritjes së efikasitetit të mbledhjes së taksave nga pushteti vendor, e si rezultat i rimëkëmbjes ekonomike. Sipas burimit të tyre vërehet se taksat lokale dhe taksat e pronës janë në rritje.</w:t>
      </w:r>
    </w:p>
    <w:p w14:paraId="604BF800" w14:textId="77777777" w:rsidR="00F468C9" w:rsidRPr="00770F9D" w:rsidRDefault="00F468C9" w:rsidP="005674F2">
      <w:pPr>
        <w:ind w:firstLine="284"/>
        <w:jc w:val="both"/>
        <w:rPr>
          <w:rFonts w:ascii="Garamond" w:eastAsia="Times New Roman" w:hAnsi="Garamond" w:cstheme="majorBidi"/>
          <w:color w:val="0D0D0D" w:themeColor="text1" w:themeTint="F2"/>
        </w:rPr>
      </w:pPr>
    </w:p>
    <w:p w14:paraId="5D7612A8" w14:textId="11702324" w:rsidR="00F468C9" w:rsidRPr="00770F9D" w:rsidRDefault="00F468C9" w:rsidP="00623F19">
      <w:pPr>
        <w:ind w:firstLine="284"/>
        <w:jc w:val="center"/>
        <w:rPr>
          <w:rFonts w:ascii="Garamond" w:eastAsia="Century Schoolbook" w:hAnsi="Garamond" w:cstheme="majorBidi"/>
          <w:i/>
          <w:iCs/>
          <w:color w:val="0D0D0D" w:themeColor="text1" w:themeTint="F2"/>
          <w:sz w:val="20"/>
          <w:szCs w:val="20"/>
        </w:rPr>
      </w:pPr>
      <w:r w:rsidRPr="00770F9D">
        <w:rPr>
          <w:rFonts w:ascii="Garamond" w:eastAsia="Times New Roman" w:hAnsi="Garamond" w:cstheme="majorBidi"/>
          <w:b/>
          <w:bCs/>
          <w:i/>
          <w:iCs/>
          <w:color w:val="0D0D0D" w:themeColor="text1" w:themeTint="F2"/>
          <w:sz w:val="20"/>
          <w:szCs w:val="20"/>
        </w:rPr>
        <w:t>Tabela 4.2.4:</w:t>
      </w:r>
      <w:r w:rsidRPr="00770F9D">
        <w:rPr>
          <w:rFonts w:ascii="Garamond" w:eastAsia="Times New Roman" w:hAnsi="Garamond" w:cstheme="majorBidi"/>
          <w:i/>
          <w:iCs/>
          <w:color w:val="0D0D0D" w:themeColor="text1" w:themeTint="F2"/>
          <w:sz w:val="20"/>
          <w:szCs w:val="20"/>
        </w:rPr>
        <w:t xml:space="preserve"> Të ardhura</w:t>
      </w:r>
      <w:r w:rsidR="000F4E5B">
        <w:rPr>
          <w:rFonts w:ascii="Garamond" w:eastAsia="Times New Roman" w:hAnsi="Garamond" w:cstheme="majorBidi"/>
          <w:i/>
          <w:iCs/>
          <w:color w:val="0D0D0D" w:themeColor="text1" w:themeTint="F2"/>
          <w:sz w:val="20"/>
          <w:szCs w:val="20"/>
        </w:rPr>
        <w:t>t e pushtetit vendor (në milion</w:t>
      </w:r>
      <w:r w:rsidRPr="00770F9D">
        <w:rPr>
          <w:rFonts w:ascii="Garamond" w:eastAsia="Times New Roman" w:hAnsi="Garamond" w:cstheme="majorBidi"/>
          <w:i/>
          <w:iCs/>
          <w:color w:val="0D0D0D" w:themeColor="text1" w:themeTint="F2"/>
          <w:sz w:val="20"/>
          <w:szCs w:val="20"/>
        </w:rPr>
        <w:t xml:space="preserve"> lek</w:t>
      </w:r>
      <w:r w:rsidRPr="00770F9D">
        <w:rPr>
          <w:rFonts w:ascii="Garamond" w:eastAsia="Century Schoolbook" w:hAnsi="Garamond" w:cstheme="majorBidi"/>
          <w:i/>
          <w:iCs/>
          <w:color w:val="0D0D0D" w:themeColor="text1" w:themeTint="F2"/>
          <w:sz w:val="20"/>
          <w:szCs w:val="20"/>
        </w:rPr>
        <w:t>)</w:t>
      </w:r>
    </w:p>
    <w:tbl>
      <w:tblPr>
        <w:tblStyle w:val="TableGrid31"/>
        <w:tblW w:w="9545" w:type="dxa"/>
        <w:jc w:val="center"/>
        <w:tblBorders>
          <w:left w:val="none" w:sz="0" w:space="0" w:color="auto"/>
          <w:right w:val="none" w:sz="0" w:space="0" w:color="auto"/>
        </w:tblBorders>
        <w:tblLook w:val="04A0" w:firstRow="1" w:lastRow="0" w:firstColumn="1" w:lastColumn="0" w:noHBand="0" w:noVBand="1"/>
      </w:tblPr>
      <w:tblGrid>
        <w:gridCol w:w="3554"/>
        <w:gridCol w:w="1061"/>
        <w:gridCol w:w="1157"/>
        <w:gridCol w:w="1446"/>
        <w:gridCol w:w="2327"/>
      </w:tblGrid>
      <w:tr w:rsidR="00F468C9" w:rsidRPr="00770F9D" w14:paraId="077CBBD9" w14:textId="77777777" w:rsidTr="004F4269">
        <w:trPr>
          <w:trHeight w:val="20"/>
          <w:jc w:val="center"/>
        </w:trPr>
        <w:tc>
          <w:tcPr>
            <w:tcW w:w="3554" w:type="dxa"/>
            <w:vMerge w:val="restart"/>
            <w:noWrap/>
            <w:vAlign w:val="center"/>
            <w:hideMark/>
          </w:tcPr>
          <w:p w14:paraId="15B69E23" w14:textId="77777777" w:rsidR="00F468C9" w:rsidRPr="00770F9D" w:rsidRDefault="00F468C9" w:rsidP="00BB0492">
            <w:pPr>
              <w:jc w:val="center"/>
              <w:rPr>
                <w:rFonts w:ascii="Garamond" w:eastAsia="Times New Roman" w:hAnsi="Garamond" w:cstheme="majorBidi"/>
                <w:b/>
                <w:color w:val="0D0D0D" w:themeColor="text1" w:themeTint="F2"/>
                <w:sz w:val="20"/>
                <w:lang w:val="sq-AL"/>
              </w:rPr>
            </w:pPr>
            <w:r w:rsidRPr="00770F9D">
              <w:rPr>
                <w:rFonts w:ascii="Garamond" w:eastAsia="Times New Roman" w:hAnsi="Garamond" w:cstheme="majorBidi"/>
                <w:b/>
                <w:color w:val="0D0D0D" w:themeColor="text1" w:themeTint="F2"/>
                <w:sz w:val="20"/>
                <w:lang w:val="sq-AL"/>
              </w:rPr>
              <w:t>Emërtimi</w:t>
            </w:r>
          </w:p>
        </w:tc>
        <w:tc>
          <w:tcPr>
            <w:tcW w:w="2218" w:type="dxa"/>
            <w:gridSpan w:val="2"/>
            <w:noWrap/>
            <w:hideMark/>
          </w:tcPr>
          <w:p w14:paraId="19DD55CC" w14:textId="27870A58" w:rsidR="00F468C9" w:rsidRPr="00770F9D" w:rsidRDefault="000375E8" w:rsidP="00BB0492">
            <w:pPr>
              <w:jc w:val="center"/>
              <w:rPr>
                <w:rFonts w:ascii="Garamond" w:eastAsia="Times New Roman" w:hAnsi="Garamond" w:cstheme="majorBidi"/>
                <w:b/>
                <w:color w:val="0D0D0D" w:themeColor="text1" w:themeTint="F2"/>
                <w:sz w:val="20"/>
                <w:lang w:val="sq-AL"/>
              </w:rPr>
            </w:pPr>
            <w:r>
              <w:rPr>
                <w:rFonts w:ascii="Garamond" w:eastAsia="Times New Roman" w:hAnsi="Garamond" w:cstheme="majorBidi"/>
                <w:b/>
                <w:color w:val="0D0D0D" w:themeColor="text1" w:themeTint="F2"/>
                <w:sz w:val="20"/>
                <w:lang w:val="sq-AL"/>
              </w:rPr>
              <w:t>Fakti 11-</w:t>
            </w:r>
            <w:r w:rsidR="00F468C9" w:rsidRPr="00770F9D">
              <w:rPr>
                <w:rFonts w:ascii="Garamond" w:eastAsia="Times New Roman" w:hAnsi="Garamond" w:cstheme="majorBidi"/>
                <w:b/>
                <w:color w:val="0D0D0D" w:themeColor="text1" w:themeTint="F2"/>
                <w:sz w:val="20"/>
                <w:lang w:val="sq-AL"/>
              </w:rPr>
              <w:t>mujor</w:t>
            </w:r>
          </w:p>
        </w:tc>
        <w:tc>
          <w:tcPr>
            <w:tcW w:w="3773" w:type="dxa"/>
            <w:gridSpan w:val="2"/>
            <w:noWrap/>
            <w:hideMark/>
          </w:tcPr>
          <w:p w14:paraId="5B31259C" w14:textId="77777777" w:rsidR="00F468C9" w:rsidRPr="00770F9D" w:rsidRDefault="00F468C9" w:rsidP="00BB0492">
            <w:pPr>
              <w:jc w:val="center"/>
              <w:rPr>
                <w:rFonts w:ascii="Garamond" w:eastAsia="Times New Roman" w:hAnsi="Garamond" w:cstheme="majorBidi"/>
                <w:b/>
                <w:color w:val="0D0D0D" w:themeColor="text1" w:themeTint="F2"/>
                <w:sz w:val="20"/>
                <w:lang w:val="sq-AL"/>
              </w:rPr>
            </w:pPr>
            <w:r w:rsidRPr="00770F9D">
              <w:rPr>
                <w:rFonts w:ascii="Garamond" w:eastAsia="Times New Roman" w:hAnsi="Garamond" w:cstheme="majorBidi"/>
                <w:b/>
                <w:color w:val="0D0D0D" w:themeColor="text1" w:themeTint="F2"/>
                <w:sz w:val="20"/>
                <w:lang w:val="sq-AL"/>
              </w:rPr>
              <w:t>Diferenca</w:t>
            </w:r>
          </w:p>
        </w:tc>
      </w:tr>
      <w:tr w:rsidR="00F468C9" w:rsidRPr="00770F9D" w14:paraId="0114D9B7" w14:textId="77777777" w:rsidTr="004F4269">
        <w:trPr>
          <w:trHeight w:val="20"/>
          <w:jc w:val="center"/>
        </w:trPr>
        <w:tc>
          <w:tcPr>
            <w:tcW w:w="3554" w:type="dxa"/>
            <w:vMerge/>
            <w:hideMark/>
          </w:tcPr>
          <w:p w14:paraId="573F3611" w14:textId="77777777" w:rsidR="00F468C9" w:rsidRPr="00770F9D" w:rsidRDefault="00F468C9" w:rsidP="00BB0492">
            <w:pPr>
              <w:rPr>
                <w:rFonts w:ascii="Garamond" w:eastAsia="Times New Roman" w:hAnsi="Garamond" w:cstheme="majorBidi"/>
                <w:b/>
                <w:color w:val="0D0D0D" w:themeColor="text1" w:themeTint="F2"/>
                <w:sz w:val="20"/>
                <w:lang w:val="sq-AL"/>
              </w:rPr>
            </w:pPr>
          </w:p>
        </w:tc>
        <w:tc>
          <w:tcPr>
            <w:tcW w:w="1061" w:type="dxa"/>
            <w:noWrap/>
            <w:vAlign w:val="center"/>
            <w:hideMark/>
          </w:tcPr>
          <w:p w14:paraId="2F0A19E5" w14:textId="77777777" w:rsidR="00F468C9" w:rsidRPr="00770F9D" w:rsidRDefault="00F468C9" w:rsidP="00BB0492">
            <w:pPr>
              <w:jc w:val="center"/>
              <w:rPr>
                <w:rFonts w:ascii="Garamond" w:eastAsia="Times New Roman" w:hAnsi="Garamond" w:cstheme="majorBidi"/>
                <w:b/>
                <w:color w:val="0D0D0D" w:themeColor="text1" w:themeTint="F2"/>
                <w:sz w:val="20"/>
                <w:lang w:val="sq-AL"/>
              </w:rPr>
            </w:pPr>
            <w:r w:rsidRPr="00770F9D">
              <w:rPr>
                <w:rFonts w:ascii="Garamond" w:eastAsia="Times New Roman" w:hAnsi="Garamond" w:cstheme="majorBidi"/>
                <w:b/>
                <w:color w:val="0D0D0D" w:themeColor="text1" w:themeTint="F2"/>
                <w:sz w:val="20"/>
                <w:lang w:val="sq-AL"/>
              </w:rPr>
              <w:t>2022</w:t>
            </w:r>
          </w:p>
        </w:tc>
        <w:tc>
          <w:tcPr>
            <w:tcW w:w="1157" w:type="dxa"/>
            <w:noWrap/>
            <w:vAlign w:val="center"/>
            <w:hideMark/>
          </w:tcPr>
          <w:p w14:paraId="3190395D" w14:textId="77777777" w:rsidR="00F468C9" w:rsidRPr="00770F9D" w:rsidRDefault="00F468C9" w:rsidP="00BB0492">
            <w:pPr>
              <w:jc w:val="center"/>
              <w:rPr>
                <w:rFonts w:ascii="Garamond" w:eastAsia="Times New Roman" w:hAnsi="Garamond" w:cstheme="majorBidi"/>
                <w:b/>
                <w:color w:val="0D0D0D" w:themeColor="text1" w:themeTint="F2"/>
                <w:sz w:val="20"/>
                <w:lang w:val="sq-AL"/>
              </w:rPr>
            </w:pPr>
            <w:r w:rsidRPr="00770F9D">
              <w:rPr>
                <w:rFonts w:ascii="Garamond" w:eastAsia="Times New Roman" w:hAnsi="Garamond" w:cstheme="majorBidi"/>
                <w:b/>
                <w:color w:val="0D0D0D" w:themeColor="text1" w:themeTint="F2"/>
                <w:sz w:val="20"/>
                <w:lang w:val="sq-AL"/>
              </w:rPr>
              <w:t>2022</w:t>
            </w:r>
          </w:p>
        </w:tc>
        <w:tc>
          <w:tcPr>
            <w:tcW w:w="1446" w:type="dxa"/>
            <w:vAlign w:val="center"/>
            <w:hideMark/>
          </w:tcPr>
          <w:p w14:paraId="04F57018" w14:textId="77777777" w:rsidR="00F468C9" w:rsidRPr="00770F9D" w:rsidRDefault="00F468C9" w:rsidP="00BB0492">
            <w:pPr>
              <w:jc w:val="center"/>
              <w:rPr>
                <w:rFonts w:ascii="Garamond" w:eastAsia="Times New Roman" w:hAnsi="Garamond" w:cstheme="majorBidi"/>
                <w:b/>
                <w:color w:val="0D0D0D" w:themeColor="text1" w:themeTint="F2"/>
                <w:sz w:val="20"/>
                <w:lang w:val="sq-AL"/>
              </w:rPr>
            </w:pPr>
            <w:r w:rsidRPr="00770F9D">
              <w:rPr>
                <w:rFonts w:ascii="Garamond" w:eastAsia="Times New Roman" w:hAnsi="Garamond" w:cstheme="majorBidi"/>
                <w:b/>
                <w:color w:val="0D0D0D" w:themeColor="text1" w:themeTint="F2"/>
                <w:sz w:val="20"/>
                <w:lang w:val="sq-AL"/>
              </w:rPr>
              <w:t>2022/ 2021</w:t>
            </w:r>
          </w:p>
        </w:tc>
        <w:tc>
          <w:tcPr>
            <w:tcW w:w="2326" w:type="dxa"/>
            <w:vAlign w:val="center"/>
            <w:hideMark/>
          </w:tcPr>
          <w:p w14:paraId="56D9EAE3" w14:textId="77777777" w:rsidR="00F468C9" w:rsidRPr="00770F9D" w:rsidRDefault="00F468C9" w:rsidP="00BB0492">
            <w:pPr>
              <w:jc w:val="center"/>
              <w:rPr>
                <w:rFonts w:ascii="Garamond" w:eastAsia="Times New Roman" w:hAnsi="Garamond" w:cstheme="majorBidi"/>
                <w:b/>
                <w:color w:val="0D0D0D" w:themeColor="text1" w:themeTint="F2"/>
                <w:sz w:val="20"/>
                <w:lang w:val="sq-AL"/>
              </w:rPr>
            </w:pPr>
            <w:r w:rsidRPr="00770F9D">
              <w:rPr>
                <w:rFonts w:ascii="Garamond" w:eastAsia="Times New Roman" w:hAnsi="Garamond" w:cstheme="majorBidi"/>
                <w:b/>
                <w:color w:val="0D0D0D" w:themeColor="text1" w:themeTint="F2"/>
                <w:sz w:val="20"/>
                <w:lang w:val="sq-AL"/>
              </w:rPr>
              <w:t>2022 ndaj 2021 në %</w:t>
            </w:r>
          </w:p>
        </w:tc>
      </w:tr>
      <w:tr w:rsidR="00F468C9" w:rsidRPr="00770F9D" w14:paraId="58C25965" w14:textId="77777777" w:rsidTr="004F4269">
        <w:trPr>
          <w:trHeight w:val="20"/>
          <w:jc w:val="center"/>
        </w:trPr>
        <w:tc>
          <w:tcPr>
            <w:tcW w:w="3554" w:type="dxa"/>
            <w:noWrap/>
            <w:vAlign w:val="center"/>
            <w:hideMark/>
          </w:tcPr>
          <w:p w14:paraId="17F0ED64" w14:textId="77777777" w:rsidR="00F468C9" w:rsidRPr="00770F9D" w:rsidRDefault="00F468C9" w:rsidP="00BB0492">
            <w:pPr>
              <w:rPr>
                <w:rFonts w:ascii="Garamond" w:hAnsi="Garamond" w:cstheme="majorBidi"/>
                <w:b/>
                <w:color w:val="0D0D0D" w:themeColor="text1" w:themeTint="F2"/>
                <w:sz w:val="20"/>
                <w:lang w:val="sq-AL"/>
              </w:rPr>
            </w:pPr>
            <w:r w:rsidRPr="00770F9D">
              <w:rPr>
                <w:rFonts w:ascii="Garamond" w:hAnsi="Garamond" w:cstheme="majorBidi"/>
                <w:b/>
                <w:color w:val="0D0D0D" w:themeColor="text1" w:themeTint="F2"/>
                <w:sz w:val="20"/>
                <w:lang w:val="sq-AL"/>
              </w:rPr>
              <w:t>Të ardhura nga Pushteti vendor</w:t>
            </w:r>
          </w:p>
        </w:tc>
        <w:tc>
          <w:tcPr>
            <w:tcW w:w="1061" w:type="dxa"/>
            <w:noWrap/>
            <w:vAlign w:val="center"/>
            <w:hideMark/>
          </w:tcPr>
          <w:p w14:paraId="10CFD9BE" w14:textId="77777777" w:rsidR="00F468C9" w:rsidRPr="00770F9D" w:rsidRDefault="00F468C9" w:rsidP="004F4269">
            <w:pPr>
              <w:jc w:val="right"/>
              <w:rPr>
                <w:rFonts w:ascii="Garamond" w:eastAsia="Times New Roman" w:hAnsi="Garamond" w:cstheme="majorBidi"/>
                <w:color w:val="0D0D0D" w:themeColor="text1" w:themeTint="F2"/>
                <w:sz w:val="20"/>
                <w:lang w:val="sq-AL"/>
              </w:rPr>
            </w:pPr>
            <w:r w:rsidRPr="00770F9D">
              <w:rPr>
                <w:rFonts w:ascii="Garamond" w:hAnsi="Garamond" w:cstheme="majorBidi"/>
                <w:color w:val="0D0D0D" w:themeColor="text1" w:themeTint="F2"/>
                <w:sz w:val="20"/>
                <w:lang w:val="sq-AL"/>
              </w:rPr>
              <w:t>25,838</w:t>
            </w:r>
          </w:p>
        </w:tc>
        <w:tc>
          <w:tcPr>
            <w:tcW w:w="1157" w:type="dxa"/>
            <w:noWrap/>
            <w:vAlign w:val="center"/>
            <w:hideMark/>
          </w:tcPr>
          <w:p w14:paraId="10E106C9" w14:textId="77777777" w:rsidR="00F468C9" w:rsidRPr="00770F9D" w:rsidRDefault="00F468C9" w:rsidP="004F4269">
            <w:pPr>
              <w:jc w:val="right"/>
              <w:rPr>
                <w:rFonts w:ascii="Garamond" w:hAnsi="Garamond" w:cstheme="majorBidi"/>
                <w:color w:val="0D0D0D" w:themeColor="text1" w:themeTint="F2"/>
                <w:sz w:val="20"/>
                <w:lang w:val="sq-AL"/>
              </w:rPr>
            </w:pPr>
            <w:r w:rsidRPr="00770F9D">
              <w:rPr>
                <w:rFonts w:ascii="Garamond" w:hAnsi="Garamond" w:cstheme="majorBidi"/>
                <w:color w:val="0D0D0D" w:themeColor="text1" w:themeTint="F2"/>
                <w:sz w:val="20"/>
                <w:lang w:val="sq-AL"/>
              </w:rPr>
              <w:t>24,970</w:t>
            </w:r>
          </w:p>
        </w:tc>
        <w:tc>
          <w:tcPr>
            <w:tcW w:w="1446" w:type="dxa"/>
            <w:noWrap/>
            <w:vAlign w:val="center"/>
            <w:hideMark/>
          </w:tcPr>
          <w:p w14:paraId="23CE040E" w14:textId="77777777" w:rsidR="00F468C9" w:rsidRPr="00770F9D" w:rsidRDefault="00F468C9" w:rsidP="004F4269">
            <w:pPr>
              <w:jc w:val="right"/>
              <w:rPr>
                <w:rFonts w:ascii="Garamond" w:hAnsi="Garamond" w:cstheme="majorBidi"/>
                <w:color w:val="0D0D0D" w:themeColor="text1" w:themeTint="F2"/>
                <w:sz w:val="20"/>
                <w:lang w:val="sq-AL"/>
              </w:rPr>
            </w:pPr>
            <w:r w:rsidRPr="00770F9D">
              <w:rPr>
                <w:rFonts w:ascii="Garamond" w:hAnsi="Garamond" w:cstheme="majorBidi"/>
                <w:color w:val="0D0D0D" w:themeColor="text1" w:themeTint="F2"/>
                <w:sz w:val="20"/>
                <w:lang w:val="sq-AL"/>
              </w:rPr>
              <w:t>868</w:t>
            </w:r>
          </w:p>
        </w:tc>
        <w:tc>
          <w:tcPr>
            <w:tcW w:w="2326" w:type="dxa"/>
            <w:noWrap/>
            <w:vAlign w:val="center"/>
            <w:hideMark/>
          </w:tcPr>
          <w:p w14:paraId="317E63AB" w14:textId="77777777" w:rsidR="00F468C9" w:rsidRPr="00770F9D" w:rsidRDefault="00F468C9" w:rsidP="004F4269">
            <w:pPr>
              <w:jc w:val="right"/>
              <w:rPr>
                <w:rFonts w:ascii="Garamond" w:hAnsi="Garamond" w:cstheme="majorBidi"/>
                <w:color w:val="0D0D0D" w:themeColor="text1" w:themeTint="F2"/>
                <w:sz w:val="20"/>
                <w:lang w:val="sq-AL"/>
              </w:rPr>
            </w:pPr>
            <w:r w:rsidRPr="00770F9D">
              <w:rPr>
                <w:rFonts w:ascii="Garamond" w:hAnsi="Garamond" w:cstheme="majorBidi"/>
                <w:color w:val="0D0D0D" w:themeColor="text1" w:themeTint="F2"/>
                <w:sz w:val="20"/>
                <w:lang w:val="sq-AL"/>
              </w:rPr>
              <w:t>103.5%</w:t>
            </w:r>
          </w:p>
        </w:tc>
      </w:tr>
      <w:tr w:rsidR="00F468C9" w:rsidRPr="00770F9D" w14:paraId="52177402" w14:textId="77777777" w:rsidTr="004F4269">
        <w:trPr>
          <w:trHeight w:val="20"/>
          <w:jc w:val="center"/>
        </w:trPr>
        <w:tc>
          <w:tcPr>
            <w:tcW w:w="3554" w:type="dxa"/>
            <w:noWrap/>
            <w:vAlign w:val="center"/>
            <w:hideMark/>
          </w:tcPr>
          <w:p w14:paraId="32EC57B7" w14:textId="77777777" w:rsidR="00F468C9" w:rsidRPr="00770F9D" w:rsidRDefault="00F468C9" w:rsidP="00BB0492">
            <w:pPr>
              <w:jc w:val="both"/>
              <w:rPr>
                <w:rFonts w:ascii="Garamond" w:hAnsi="Garamond" w:cstheme="majorBidi"/>
                <w:i/>
                <w:iCs/>
                <w:color w:val="0D0D0D" w:themeColor="text1" w:themeTint="F2"/>
                <w:sz w:val="20"/>
                <w:lang w:val="sq-AL"/>
              </w:rPr>
            </w:pPr>
            <w:r w:rsidRPr="00770F9D">
              <w:rPr>
                <w:rFonts w:ascii="Garamond" w:hAnsi="Garamond" w:cstheme="majorBidi"/>
                <w:i/>
                <w:iCs/>
                <w:color w:val="0D0D0D" w:themeColor="text1" w:themeTint="F2"/>
                <w:sz w:val="20"/>
                <w:lang w:val="sq-AL"/>
              </w:rPr>
              <w:t>Taksa mbi pasurinë</w:t>
            </w:r>
          </w:p>
        </w:tc>
        <w:tc>
          <w:tcPr>
            <w:tcW w:w="1061" w:type="dxa"/>
            <w:noWrap/>
            <w:vAlign w:val="center"/>
            <w:hideMark/>
          </w:tcPr>
          <w:p w14:paraId="2FEDC55F" w14:textId="77777777" w:rsidR="00F468C9" w:rsidRPr="00770F9D" w:rsidRDefault="00F468C9" w:rsidP="004F4269">
            <w:pPr>
              <w:jc w:val="right"/>
              <w:rPr>
                <w:rFonts w:ascii="Garamond" w:hAnsi="Garamond" w:cstheme="majorBidi"/>
                <w:i/>
                <w:iCs/>
                <w:color w:val="0D0D0D" w:themeColor="text1" w:themeTint="F2"/>
                <w:sz w:val="20"/>
                <w:lang w:val="sq-AL"/>
              </w:rPr>
            </w:pPr>
            <w:r w:rsidRPr="00770F9D">
              <w:rPr>
                <w:rFonts w:ascii="Garamond" w:hAnsi="Garamond" w:cstheme="majorBidi"/>
                <w:i/>
                <w:iCs/>
                <w:color w:val="0D0D0D" w:themeColor="text1" w:themeTint="F2"/>
                <w:sz w:val="20"/>
                <w:lang w:val="sq-AL"/>
              </w:rPr>
              <w:t>5,674</w:t>
            </w:r>
          </w:p>
        </w:tc>
        <w:tc>
          <w:tcPr>
            <w:tcW w:w="1157" w:type="dxa"/>
            <w:noWrap/>
            <w:vAlign w:val="center"/>
            <w:hideMark/>
          </w:tcPr>
          <w:p w14:paraId="4FB9A8B3" w14:textId="77777777" w:rsidR="00F468C9" w:rsidRPr="00770F9D" w:rsidRDefault="00F468C9" w:rsidP="004F4269">
            <w:pPr>
              <w:jc w:val="right"/>
              <w:rPr>
                <w:rFonts w:ascii="Garamond" w:hAnsi="Garamond" w:cstheme="majorBidi"/>
                <w:i/>
                <w:iCs/>
                <w:color w:val="0D0D0D" w:themeColor="text1" w:themeTint="F2"/>
                <w:sz w:val="20"/>
                <w:lang w:val="sq-AL"/>
              </w:rPr>
            </w:pPr>
            <w:r w:rsidRPr="00770F9D">
              <w:rPr>
                <w:rFonts w:ascii="Garamond" w:hAnsi="Garamond" w:cstheme="majorBidi"/>
                <w:i/>
                <w:iCs/>
                <w:color w:val="0D0D0D" w:themeColor="text1" w:themeTint="F2"/>
                <w:sz w:val="20"/>
                <w:lang w:val="sq-AL"/>
              </w:rPr>
              <w:t>5,666</w:t>
            </w:r>
          </w:p>
        </w:tc>
        <w:tc>
          <w:tcPr>
            <w:tcW w:w="1446" w:type="dxa"/>
            <w:noWrap/>
            <w:vAlign w:val="center"/>
            <w:hideMark/>
          </w:tcPr>
          <w:p w14:paraId="2089B70B" w14:textId="77777777" w:rsidR="00F468C9" w:rsidRPr="00770F9D" w:rsidRDefault="00F468C9" w:rsidP="004F4269">
            <w:pPr>
              <w:jc w:val="right"/>
              <w:rPr>
                <w:rFonts w:ascii="Garamond" w:hAnsi="Garamond" w:cstheme="majorBidi"/>
                <w:color w:val="0D0D0D" w:themeColor="text1" w:themeTint="F2"/>
                <w:sz w:val="20"/>
                <w:lang w:val="sq-AL"/>
              </w:rPr>
            </w:pPr>
            <w:r w:rsidRPr="00770F9D">
              <w:rPr>
                <w:rFonts w:ascii="Garamond" w:hAnsi="Garamond" w:cstheme="majorBidi"/>
                <w:color w:val="0D0D0D" w:themeColor="text1" w:themeTint="F2"/>
                <w:sz w:val="20"/>
                <w:lang w:val="sq-AL"/>
              </w:rPr>
              <w:t>8</w:t>
            </w:r>
          </w:p>
        </w:tc>
        <w:tc>
          <w:tcPr>
            <w:tcW w:w="2326" w:type="dxa"/>
            <w:noWrap/>
            <w:vAlign w:val="center"/>
            <w:hideMark/>
          </w:tcPr>
          <w:p w14:paraId="5E3FD691" w14:textId="77777777" w:rsidR="00F468C9" w:rsidRPr="00770F9D" w:rsidRDefault="00F468C9" w:rsidP="004F4269">
            <w:pPr>
              <w:jc w:val="right"/>
              <w:rPr>
                <w:rFonts w:ascii="Garamond" w:hAnsi="Garamond" w:cstheme="majorBidi"/>
                <w:color w:val="0D0D0D" w:themeColor="text1" w:themeTint="F2"/>
                <w:sz w:val="20"/>
                <w:lang w:val="sq-AL"/>
              </w:rPr>
            </w:pPr>
            <w:r w:rsidRPr="00770F9D">
              <w:rPr>
                <w:rFonts w:ascii="Garamond" w:hAnsi="Garamond" w:cstheme="majorBidi"/>
                <w:color w:val="0D0D0D" w:themeColor="text1" w:themeTint="F2"/>
                <w:sz w:val="20"/>
                <w:lang w:val="sq-AL"/>
              </w:rPr>
              <w:t>100.1%</w:t>
            </w:r>
          </w:p>
        </w:tc>
      </w:tr>
      <w:tr w:rsidR="00F468C9" w:rsidRPr="00770F9D" w14:paraId="1AF4DC2E" w14:textId="77777777" w:rsidTr="004F4269">
        <w:trPr>
          <w:trHeight w:val="20"/>
          <w:jc w:val="center"/>
        </w:trPr>
        <w:tc>
          <w:tcPr>
            <w:tcW w:w="3554" w:type="dxa"/>
            <w:noWrap/>
            <w:vAlign w:val="center"/>
            <w:hideMark/>
          </w:tcPr>
          <w:p w14:paraId="68CA49D0" w14:textId="77777777" w:rsidR="00F468C9" w:rsidRPr="00770F9D" w:rsidRDefault="00F468C9" w:rsidP="00BB0492">
            <w:pPr>
              <w:jc w:val="both"/>
              <w:rPr>
                <w:rFonts w:ascii="Garamond" w:hAnsi="Garamond" w:cstheme="majorBidi"/>
                <w:i/>
                <w:iCs/>
                <w:color w:val="0D0D0D" w:themeColor="text1" w:themeTint="F2"/>
                <w:sz w:val="20"/>
                <w:lang w:val="sq-AL"/>
              </w:rPr>
            </w:pPr>
            <w:r w:rsidRPr="00770F9D">
              <w:rPr>
                <w:rFonts w:ascii="Garamond" w:hAnsi="Garamond" w:cstheme="majorBidi"/>
                <w:i/>
                <w:iCs/>
                <w:color w:val="0D0D0D" w:themeColor="text1" w:themeTint="F2"/>
                <w:sz w:val="20"/>
                <w:lang w:val="sq-AL"/>
              </w:rPr>
              <w:t>Taksa e biznesit të vogël</w:t>
            </w:r>
          </w:p>
        </w:tc>
        <w:tc>
          <w:tcPr>
            <w:tcW w:w="1061" w:type="dxa"/>
            <w:noWrap/>
            <w:vAlign w:val="center"/>
            <w:hideMark/>
          </w:tcPr>
          <w:p w14:paraId="337EAFA4" w14:textId="77777777" w:rsidR="00F468C9" w:rsidRPr="00770F9D" w:rsidRDefault="00F468C9" w:rsidP="004F4269">
            <w:pPr>
              <w:jc w:val="right"/>
              <w:rPr>
                <w:rFonts w:ascii="Garamond" w:hAnsi="Garamond" w:cstheme="majorBidi"/>
                <w:i/>
                <w:iCs/>
                <w:color w:val="0D0D0D" w:themeColor="text1" w:themeTint="F2"/>
                <w:sz w:val="20"/>
                <w:lang w:val="sq-AL"/>
              </w:rPr>
            </w:pPr>
            <w:r w:rsidRPr="00770F9D">
              <w:rPr>
                <w:rFonts w:ascii="Garamond" w:hAnsi="Garamond" w:cstheme="majorBidi"/>
                <w:i/>
                <w:iCs/>
                <w:color w:val="0D0D0D" w:themeColor="text1" w:themeTint="F2"/>
                <w:sz w:val="20"/>
                <w:lang w:val="sq-AL"/>
              </w:rPr>
              <w:t>66</w:t>
            </w:r>
          </w:p>
        </w:tc>
        <w:tc>
          <w:tcPr>
            <w:tcW w:w="1157" w:type="dxa"/>
            <w:noWrap/>
            <w:vAlign w:val="center"/>
            <w:hideMark/>
          </w:tcPr>
          <w:p w14:paraId="1E2502D1" w14:textId="77777777" w:rsidR="00F468C9" w:rsidRPr="00770F9D" w:rsidRDefault="00F468C9" w:rsidP="004F4269">
            <w:pPr>
              <w:jc w:val="right"/>
              <w:rPr>
                <w:rFonts w:ascii="Garamond" w:hAnsi="Garamond" w:cstheme="majorBidi"/>
                <w:i/>
                <w:iCs/>
                <w:color w:val="0D0D0D" w:themeColor="text1" w:themeTint="F2"/>
                <w:sz w:val="20"/>
                <w:lang w:val="sq-AL"/>
              </w:rPr>
            </w:pPr>
            <w:r w:rsidRPr="00770F9D">
              <w:rPr>
                <w:rFonts w:ascii="Garamond" w:hAnsi="Garamond" w:cstheme="majorBidi"/>
                <w:i/>
                <w:iCs/>
                <w:color w:val="0D0D0D" w:themeColor="text1" w:themeTint="F2"/>
                <w:sz w:val="20"/>
                <w:lang w:val="sq-AL"/>
              </w:rPr>
              <w:t>374</w:t>
            </w:r>
          </w:p>
        </w:tc>
        <w:tc>
          <w:tcPr>
            <w:tcW w:w="1446" w:type="dxa"/>
            <w:noWrap/>
            <w:vAlign w:val="center"/>
            <w:hideMark/>
          </w:tcPr>
          <w:p w14:paraId="0CE9D668" w14:textId="77777777" w:rsidR="00F468C9" w:rsidRPr="00770F9D" w:rsidRDefault="00F468C9" w:rsidP="004F4269">
            <w:pPr>
              <w:jc w:val="right"/>
              <w:rPr>
                <w:rFonts w:ascii="Garamond" w:hAnsi="Garamond" w:cstheme="majorBidi"/>
                <w:color w:val="0D0D0D" w:themeColor="text1" w:themeTint="F2"/>
                <w:sz w:val="20"/>
                <w:lang w:val="sq-AL"/>
              </w:rPr>
            </w:pPr>
            <w:r w:rsidRPr="00770F9D">
              <w:rPr>
                <w:rFonts w:ascii="Garamond" w:hAnsi="Garamond" w:cstheme="majorBidi"/>
                <w:color w:val="0D0D0D" w:themeColor="text1" w:themeTint="F2"/>
                <w:sz w:val="20"/>
                <w:lang w:val="sq-AL"/>
              </w:rPr>
              <w:t>-308</w:t>
            </w:r>
          </w:p>
        </w:tc>
        <w:tc>
          <w:tcPr>
            <w:tcW w:w="2326" w:type="dxa"/>
            <w:noWrap/>
            <w:vAlign w:val="center"/>
            <w:hideMark/>
          </w:tcPr>
          <w:p w14:paraId="01D31C64" w14:textId="77777777" w:rsidR="00F468C9" w:rsidRPr="00770F9D" w:rsidRDefault="00F468C9" w:rsidP="004F4269">
            <w:pPr>
              <w:jc w:val="right"/>
              <w:rPr>
                <w:rFonts w:ascii="Garamond" w:hAnsi="Garamond" w:cstheme="majorBidi"/>
                <w:color w:val="0D0D0D" w:themeColor="text1" w:themeTint="F2"/>
                <w:sz w:val="20"/>
                <w:lang w:val="sq-AL"/>
              </w:rPr>
            </w:pPr>
            <w:r w:rsidRPr="00770F9D">
              <w:rPr>
                <w:rFonts w:ascii="Garamond" w:hAnsi="Garamond" w:cstheme="majorBidi"/>
                <w:color w:val="0D0D0D" w:themeColor="text1" w:themeTint="F2"/>
                <w:sz w:val="20"/>
                <w:lang w:val="sq-AL"/>
              </w:rPr>
              <w:t>17.7%</w:t>
            </w:r>
          </w:p>
        </w:tc>
      </w:tr>
      <w:tr w:rsidR="00F468C9" w:rsidRPr="00770F9D" w14:paraId="74A3E66A" w14:textId="77777777" w:rsidTr="004F4269">
        <w:trPr>
          <w:trHeight w:val="20"/>
          <w:jc w:val="center"/>
        </w:trPr>
        <w:tc>
          <w:tcPr>
            <w:tcW w:w="3554" w:type="dxa"/>
            <w:noWrap/>
            <w:vAlign w:val="center"/>
            <w:hideMark/>
          </w:tcPr>
          <w:p w14:paraId="3EAF9EDD" w14:textId="7E96D051" w:rsidR="00F468C9" w:rsidRPr="00770F9D" w:rsidRDefault="00F468C9" w:rsidP="00BB0492">
            <w:pPr>
              <w:rPr>
                <w:rFonts w:ascii="Garamond" w:hAnsi="Garamond" w:cstheme="majorBidi"/>
                <w:i/>
                <w:iCs/>
                <w:color w:val="0D0D0D" w:themeColor="text1" w:themeTint="F2"/>
                <w:sz w:val="20"/>
                <w:lang w:val="sq-AL"/>
              </w:rPr>
            </w:pPr>
            <w:r w:rsidRPr="00770F9D">
              <w:rPr>
                <w:rFonts w:ascii="Garamond" w:hAnsi="Garamond" w:cstheme="majorBidi"/>
                <w:i/>
                <w:iCs/>
                <w:color w:val="0D0D0D" w:themeColor="text1" w:themeTint="F2"/>
                <w:sz w:val="20"/>
                <w:lang w:val="sq-AL"/>
              </w:rPr>
              <w:t xml:space="preserve">Taksa </w:t>
            </w:r>
            <w:r w:rsidR="004F4269" w:rsidRPr="00770F9D">
              <w:rPr>
                <w:rFonts w:ascii="Garamond" w:hAnsi="Garamond" w:cstheme="majorBidi"/>
                <w:i/>
                <w:iCs/>
                <w:color w:val="0D0D0D" w:themeColor="text1" w:themeTint="F2"/>
                <w:sz w:val="20"/>
                <w:lang w:val="sq-AL"/>
              </w:rPr>
              <w:t>lokale</w:t>
            </w:r>
          </w:p>
        </w:tc>
        <w:tc>
          <w:tcPr>
            <w:tcW w:w="1061" w:type="dxa"/>
            <w:noWrap/>
            <w:vAlign w:val="center"/>
            <w:hideMark/>
          </w:tcPr>
          <w:p w14:paraId="726E6012" w14:textId="77777777" w:rsidR="00F468C9" w:rsidRPr="00770F9D" w:rsidRDefault="00F468C9" w:rsidP="004F4269">
            <w:pPr>
              <w:jc w:val="right"/>
              <w:rPr>
                <w:rFonts w:ascii="Garamond" w:hAnsi="Garamond" w:cstheme="majorBidi"/>
                <w:i/>
                <w:iCs/>
                <w:color w:val="0D0D0D" w:themeColor="text1" w:themeTint="F2"/>
                <w:sz w:val="20"/>
                <w:lang w:val="sq-AL"/>
              </w:rPr>
            </w:pPr>
            <w:r w:rsidRPr="00770F9D">
              <w:rPr>
                <w:rFonts w:ascii="Garamond" w:hAnsi="Garamond" w:cstheme="majorBidi"/>
                <w:i/>
                <w:iCs/>
                <w:color w:val="0D0D0D" w:themeColor="text1" w:themeTint="F2"/>
                <w:sz w:val="20"/>
                <w:lang w:val="sq-AL"/>
              </w:rPr>
              <w:t>20,098</w:t>
            </w:r>
          </w:p>
        </w:tc>
        <w:tc>
          <w:tcPr>
            <w:tcW w:w="1157" w:type="dxa"/>
            <w:noWrap/>
            <w:vAlign w:val="center"/>
            <w:hideMark/>
          </w:tcPr>
          <w:p w14:paraId="0F687FF0" w14:textId="77777777" w:rsidR="00F468C9" w:rsidRPr="00770F9D" w:rsidRDefault="00F468C9" w:rsidP="004F4269">
            <w:pPr>
              <w:jc w:val="right"/>
              <w:rPr>
                <w:rFonts w:ascii="Garamond" w:hAnsi="Garamond" w:cstheme="majorBidi"/>
                <w:i/>
                <w:iCs/>
                <w:color w:val="0D0D0D" w:themeColor="text1" w:themeTint="F2"/>
                <w:sz w:val="20"/>
                <w:lang w:val="sq-AL"/>
              </w:rPr>
            </w:pPr>
            <w:r w:rsidRPr="00770F9D">
              <w:rPr>
                <w:rFonts w:ascii="Garamond" w:hAnsi="Garamond" w:cstheme="majorBidi"/>
                <w:i/>
                <w:iCs/>
                <w:color w:val="0D0D0D" w:themeColor="text1" w:themeTint="F2"/>
                <w:sz w:val="20"/>
                <w:lang w:val="sq-AL"/>
              </w:rPr>
              <w:t>18,930</w:t>
            </w:r>
          </w:p>
        </w:tc>
        <w:tc>
          <w:tcPr>
            <w:tcW w:w="1446" w:type="dxa"/>
            <w:noWrap/>
            <w:vAlign w:val="center"/>
            <w:hideMark/>
          </w:tcPr>
          <w:p w14:paraId="3700D528" w14:textId="77777777" w:rsidR="00F468C9" w:rsidRPr="00770F9D" w:rsidRDefault="00F468C9" w:rsidP="004F4269">
            <w:pPr>
              <w:jc w:val="right"/>
              <w:rPr>
                <w:rFonts w:ascii="Garamond" w:hAnsi="Garamond" w:cstheme="majorBidi"/>
                <w:color w:val="0D0D0D" w:themeColor="text1" w:themeTint="F2"/>
                <w:sz w:val="20"/>
                <w:lang w:val="sq-AL"/>
              </w:rPr>
            </w:pPr>
            <w:r w:rsidRPr="00770F9D">
              <w:rPr>
                <w:rFonts w:ascii="Garamond" w:hAnsi="Garamond" w:cstheme="majorBidi"/>
                <w:color w:val="0D0D0D" w:themeColor="text1" w:themeTint="F2"/>
                <w:sz w:val="20"/>
                <w:lang w:val="sq-AL"/>
              </w:rPr>
              <w:t>1,168</w:t>
            </w:r>
          </w:p>
        </w:tc>
        <w:tc>
          <w:tcPr>
            <w:tcW w:w="2326" w:type="dxa"/>
            <w:noWrap/>
            <w:vAlign w:val="center"/>
            <w:hideMark/>
          </w:tcPr>
          <w:p w14:paraId="35FE377F" w14:textId="77777777" w:rsidR="00F468C9" w:rsidRPr="00770F9D" w:rsidRDefault="00F468C9" w:rsidP="004F4269">
            <w:pPr>
              <w:jc w:val="right"/>
              <w:rPr>
                <w:rFonts w:ascii="Garamond" w:hAnsi="Garamond" w:cstheme="majorBidi"/>
                <w:color w:val="0D0D0D" w:themeColor="text1" w:themeTint="F2"/>
                <w:sz w:val="20"/>
                <w:lang w:val="sq-AL"/>
              </w:rPr>
            </w:pPr>
            <w:r w:rsidRPr="00770F9D">
              <w:rPr>
                <w:rFonts w:ascii="Garamond" w:hAnsi="Garamond" w:cstheme="majorBidi"/>
                <w:color w:val="0D0D0D" w:themeColor="text1" w:themeTint="F2"/>
                <w:sz w:val="20"/>
                <w:lang w:val="sq-AL"/>
              </w:rPr>
              <w:t>106.2%</w:t>
            </w:r>
          </w:p>
        </w:tc>
      </w:tr>
    </w:tbl>
    <w:p w14:paraId="4ECB6432" w14:textId="77777777" w:rsidR="00F468C9" w:rsidRPr="00770F9D" w:rsidRDefault="00F468C9" w:rsidP="003F46E1">
      <w:pPr>
        <w:tabs>
          <w:tab w:val="left" w:pos="2127"/>
        </w:tabs>
        <w:ind w:firstLine="284"/>
        <w:jc w:val="both"/>
        <w:rPr>
          <w:rFonts w:ascii="Garamond" w:hAnsi="Garamond" w:cstheme="majorBidi"/>
          <w:color w:val="0D0D0D" w:themeColor="text1" w:themeTint="F2"/>
        </w:rPr>
      </w:pPr>
    </w:p>
    <w:p w14:paraId="6BCFBD62" w14:textId="440CEB2E" w:rsidR="00F468C9" w:rsidRPr="00770F9D" w:rsidRDefault="00F468C9" w:rsidP="003F46E1">
      <w:pPr>
        <w:tabs>
          <w:tab w:val="left" w:pos="2127"/>
        </w:tabs>
        <w:snapToGrid w:val="0"/>
        <w:ind w:firstLine="284"/>
        <w:jc w:val="both"/>
        <w:rPr>
          <w:rFonts w:ascii="Garamond" w:hAnsi="Garamond" w:cstheme="majorBidi"/>
          <w:b/>
          <w:color w:val="0D0D0D" w:themeColor="text1" w:themeTint="F2"/>
        </w:rPr>
      </w:pPr>
      <w:r w:rsidRPr="00770F9D">
        <w:rPr>
          <w:rFonts w:ascii="Garamond" w:hAnsi="Garamond" w:cstheme="majorBidi"/>
          <w:b/>
          <w:color w:val="0D0D0D" w:themeColor="text1" w:themeTint="F2"/>
        </w:rPr>
        <w:t xml:space="preserve">Ecuria e treguesve kryesorë të shpenzimeve buxhetore për periudhën </w:t>
      </w:r>
      <w:r w:rsidR="008A315A" w:rsidRPr="00770F9D">
        <w:rPr>
          <w:rFonts w:ascii="Garamond" w:hAnsi="Garamond" w:cstheme="majorBidi"/>
          <w:b/>
          <w:color w:val="0D0D0D" w:themeColor="text1" w:themeTint="F2"/>
        </w:rPr>
        <w:t xml:space="preserve">janar–nëntor </w:t>
      </w:r>
      <w:r w:rsidRPr="00770F9D">
        <w:rPr>
          <w:rFonts w:ascii="Garamond" w:hAnsi="Garamond" w:cstheme="majorBidi"/>
          <w:b/>
          <w:color w:val="0D0D0D" w:themeColor="text1" w:themeTint="F2"/>
        </w:rPr>
        <w:t>2022</w:t>
      </w:r>
    </w:p>
    <w:p w14:paraId="1BA15609" w14:textId="74B374C0" w:rsidR="00F468C9" w:rsidRPr="00770F9D" w:rsidRDefault="00F468C9" w:rsidP="00B66A6D">
      <w:pPr>
        <w:tabs>
          <w:tab w:val="left" w:pos="2127"/>
        </w:tabs>
        <w:ind w:firstLine="284"/>
        <w:jc w:val="both"/>
        <w:rPr>
          <w:rFonts w:ascii="Garamond" w:eastAsia="Times New Roman" w:hAnsi="Garamond" w:cstheme="majorBidi"/>
          <w:i/>
          <w:color w:val="0D0D0D" w:themeColor="text1" w:themeTint="F2"/>
        </w:rPr>
      </w:pPr>
      <w:r w:rsidRPr="00770F9D">
        <w:rPr>
          <w:rFonts w:ascii="Garamond" w:eastAsia="Times New Roman" w:hAnsi="Garamond" w:cstheme="majorBidi"/>
          <w:i/>
          <w:color w:val="0D0D0D" w:themeColor="text1" w:themeTint="F2"/>
        </w:rPr>
        <w:t xml:space="preserve">Shpenzimet e përgjithshme publike, </w:t>
      </w:r>
      <w:r w:rsidRPr="00770F9D">
        <w:rPr>
          <w:rFonts w:ascii="Garamond" w:eastAsia="SimSun" w:hAnsi="Garamond" w:cstheme="majorBidi"/>
          <w:color w:val="0D0D0D" w:themeColor="text1" w:themeTint="F2"/>
        </w:rPr>
        <w:t>për periudhën 11</w:t>
      </w:r>
      <w:r w:rsidR="00B66A6D" w:rsidRPr="00770F9D">
        <w:rPr>
          <w:rFonts w:ascii="Garamond" w:eastAsia="SimSun" w:hAnsi="Garamond" w:cstheme="majorBidi"/>
          <w:color w:val="0D0D0D" w:themeColor="text1" w:themeTint="F2"/>
        </w:rPr>
        <w:t>-</w:t>
      </w:r>
      <w:r w:rsidRPr="00770F9D">
        <w:rPr>
          <w:rFonts w:ascii="Garamond" w:eastAsia="SimSun" w:hAnsi="Garamond" w:cstheme="majorBidi"/>
          <w:color w:val="0D0D0D" w:themeColor="text1" w:themeTint="F2"/>
        </w:rPr>
        <w:t>mujore të vitit 2022, arritën në 513.6 miliard</w:t>
      </w:r>
      <w:r w:rsidR="00B66A6D" w:rsidRPr="00770F9D">
        <w:rPr>
          <w:rFonts w:ascii="Garamond" w:eastAsia="SimSun" w:hAnsi="Garamond" w:cstheme="majorBidi"/>
          <w:color w:val="0D0D0D" w:themeColor="text1" w:themeTint="F2"/>
        </w:rPr>
        <w:t>ë</w:t>
      </w:r>
      <w:r w:rsidRPr="00770F9D">
        <w:rPr>
          <w:rFonts w:ascii="Garamond" w:eastAsia="SimSun" w:hAnsi="Garamond" w:cstheme="majorBidi"/>
          <w:color w:val="0D0D0D" w:themeColor="text1" w:themeTint="F2"/>
        </w:rPr>
        <w:t xml:space="preserve"> </w:t>
      </w:r>
      <w:r w:rsidR="00B66A6D" w:rsidRPr="00770F9D">
        <w:rPr>
          <w:rFonts w:ascii="Garamond" w:eastAsia="SimSun" w:hAnsi="Garamond" w:cstheme="majorBidi"/>
          <w:color w:val="0D0D0D" w:themeColor="text1" w:themeTint="F2"/>
        </w:rPr>
        <w:t>lekë</w:t>
      </w:r>
      <w:r w:rsidRPr="00770F9D">
        <w:rPr>
          <w:rFonts w:ascii="Garamond" w:eastAsia="SimSun" w:hAnsi="Garamond" w:cstheme="majorBidi"/>
          <w:color w:val="0D0D0D" w:themeColor="text1" w:themeTint="F2"/>
        </w:rPr>
        <w:t xml:space="preserve"> me një realizim në masën 87.5 </w:t>
      </w:r>
      <w:r w:rsidR="00623F19" w:rsidRPr="00770F9D">
        <w:rPr>
          <w:rFonts w:ascii="Garamond" w:eastAsia="SimSun" w:hAnsi="Garamond" w:cstheme="majorBidi"/>
          <w:color w:val="0D0D0D" w:themeColor="text1" w:themeTint="F2"/>
        </w:rPr>
        <w:t>për qind</w:t>
      </w:r>
      <w:r w:rsidRPr="00770F9D">
        <w:rPr>
          <w:rFonts w:ascii="Garamond" w:eastAsia="SimSun" w:hAnsi="Garamond" w:cstheme="majorBidi"/>
          <w:color w:val="0D0D0D" w:themeColor="text1" w:themeTint="F2"/>
        </w:rPr>
        <w:t xml:space="preserve"> të planit të periudhës. Krahasuar me të njëjtën periudhë të vitit 2021 ky zë ka rezultuar 4.5 </w:t>
      </w:r>
      <w:r w:rsidR="00623F19" w:rsidRPr="00770F9D">
        <w:rPr>
          <w:rFonts w:ascii="Garamond" w:eastAsia="SimSun" w:hAnsi="Garamond" w:cstheme="majorBidi"/>
          <w:color w:val="0D0D0D" w:themeColor="text1" w:themeTint="F2"/>
        </w:rPr>
        <w:t>për qind</w:t>
      </w:r>
      <w:r w:rsidRPr="00770F9D">
        <w:rPr>
          <w:rFonts w:ascii="Garamond" w:eastAsia="SimSun" w:hAnsi="Garamond" w:cstheme="majorBidi"/>
          <w:color w:val="0D0D0D" w:themeColor="text1" w:themeTint="F2"/>
        </w:rPr>
        <w:t xml:space="preserve"> më i lartë ose rreth 22.3 miliard </w:t>
      </w:r>
      <w:r w:rsidR="00B35E9F" w:rsidRPr="00770F9D">
        <w:rPr>
          <w:rFonts w:ascii="Garamond" w:eastAsia="SimSun" w:hAnsi="Garamond" w:cstheme="majorBidi"/>
          <w:color w:val="0D0D0D" w:themeColor="text1" w:themeTint="F2"/>
        </w:rPr>
        <w:t xml:space="preserve">lekë </w:t>
      </w:r>
      <w:r w:rsidRPr="00770F9D">
        <w:rPr>
          <w:rFonts w:ascii="Garamond" w:eastAsia="SimSun" w:hAnsi="Garamond" w:cstheme="majorBidi"/>
          <w:color w:val="0D0D0D" w:themeColor="text1" w:themeTint="F2"/>
        </w:rPr>
        <w:t>më shumë. Në terma vjetorë, shpen</w:t>
      </w:r>
      <w:r w:rsidR="00B35E9F" w:rsidRPr="00770F9D">
        <w:rPr>
          <w:rFonts w:ascii="Garamond" w:eastAsia="SimSun" w:hAnsi="Garamond" w:cstheme="majorBidi"/>
          <w:color w:val="0D0D0D" w:themeColor="text1" w:themeTint="F2"/>
        </w:rPr>
        <w:t>zimet e përgjithshme për 11-</w:t>
      </w:r>
      <w:r w:rsidRPr="00770F9D">
        <w:rPr>
          <w:rFonts w:ascii="Garamond" w:eastAsia="SimSun" w:hAnsi="Garamond" w:cstheme="majorBidi"/>
          <w:color w:val="0D0D0D" w:themeColor="text1" w:themeTint="F2"/>
        </w:rPr>
        <w:t xml:space="preserve">mujorin e vitit 2022 u realizuan në masën 80.5 </w:t>
      </w:r>
      <w:r w:rsidR="00623F19" w:rsidRPr="00770F9D">
        <w:rPr>
          <w:rFonts w:ascii="Garamond" w:eastAsia="SimSun" w:hAnsi="Garamond" w:cstheme="majorBidi"/>
          <w:color w:val="0D0D0D" w:themeColor="text1" w:themeTint="F2"/>
        </w:rPr>
        <w:t>për qind</w:t>
      </w:r>
      <w:r w:rsidRPr="00770F9D">
        <w:rPr>
          <w:rFonts w:ascii="Garamond" w:eastAsia="SimSun" w:hAnsi="Garamond" w:cstheme="majorBidi"/>
          <w:color w:val="0D0D0D" w:themeColor="text1" w:themeTint="F2"/>
        </w:rPr>
        <w:t xml:space="preserve"> të planit vjetor sipas </w:t>
      </w:r>
      <w:r w:rsidR="00B35E9F" w:rsidRPr="00770F9D">
        <w:rPr>
          <w:rFonts w:ascii="Garamond" w:eastAsia="SimSun" w:hAnsi="Garamond" w:cstheme="majorBidi"/>
          <w:color w:val="0D0D0D" w:themeColor="text1" w:themeTint="F2"/>
        </w:rPr>
        <w:t xml:space="preserve">buxhetit fillestar </w:t>
      </w:r>
      <w:r w:rsidRPr="00770F9D">
        <w:rPr>
          <w:rFonts w:ascii="Garamond" w:eastAsia="SimSun" w:hAnsi="Garamond" w:cstheme="majorBidi"/>
          <w:color w:val="0D0D0D" w:themeColor="text1" w:themeTint="F2"/>
        </w:rPr>
        <w:t xml:space="preserve">dhe 77.7 </w:t>
      </w:r>
      <w:r w:rsidR="00623F19" w:rsidRPr="00770F9D">
        <w:rPr>
          <w:rFonts w:ascii="Garamond" w:eastAsia="SimSun" w:hAnsi="Garamond" w:cstheme="majorBidi"/>
          <w:color w:val="0D0D0D" w:themeColor="text1" w:themeTint="F2"/>
        </w:rPr>
        <w:t>për qind</w:t>
      </w:r>
      <w:r w:rsidRPr="00770F9D">
        <w:rPr>
          <w:rFonts w:ascii="Garamond" w:eastAsia="SimSun" w:hAnsi="Garamond" w:cstheme="majorBidi"/>
          <w:color w:val="0D0D0D" w:themeColor="text1" w:themeTint="F2"/>
        </w:rPr>
        <w:t xml:space="preserve"> të planit vjetor sipas </w:t>
      </w:r>
      <w:r w:rsidR="00B35E9F" w:rsidRPr="00770F9D">
        <w:rPr>
          <w:rFonts w:ascii="Garamond" w:eastAsia="SimSun" w:hAnsi="Garamond" w:cstheme="majorBidi"/>
          <w:color w:val="0D0D0D" w:themeColor="text1" w:themeTint="F2"/>
        </w:rPr>
        <w:t>aktit normativ nr</w:t>
      </w:r>
      <w:r w:rsidRPr="00770F9D">
        <w:rPr>
          <w:rFonts w:ascii="Garamond" w:eastAsia="SimSun" w:hAnsi="Garamond" w:cstheme="majorBidi"/>
          <w:color w:val="0D0D0D" w:themeColor="text1" w:themeTint="F2"/>
        </w:rPr>
        <w:t>.</w:t>
      </w:r>
      <w:r w:rsidR="00B35E9F" w:rsidRPr="00770F9D">
        <w:rPr>
          <w:rFonts w:ascii="Garamond" w:eastAsia="SimSun" w:hAnsi="Garamond" w:cstheme="majorBidi"/>
          <w:color w:val="0D0D0D" w:themeColor="text1" w:themeTint="F2"/>
        </w:rPr>
        <w:t xml:space="preserve"> 12, datë 29.</w:t>
      </w:r>
      <w:r w:rsidRPr="00770F9D">
        <w:rPr>
          <w:rFonts w:ascii="Garamond" w:eastAsia="SimSun" w:hAnsi="Garamond" w:cstheme="majorBidi"/>
          <w:color w:val="0D0D0D" w:themeColor="text1" w:themeTint="F2"/>
        </w:rPr>
        <w:t>7.2022 (AN nr.</w:t>
      </w:r>
      <w:r w:rsidR="00B35E9F" w:rsidRPr="00770F9D">
        <w:rPr>
          <w:rFonts w:ascii="Garamond" w:eastAsia="SimSun" w:hAnsi="Garamond" w:cstheme="majorBidi"/>
          <w:color w:val="0D0D0D" w:themeColor="text1" w:themeTint="F2"/>
        </w:rPr>
        <w:t xml:space="preserve"> </w:t>
      </w:r>
      <w:r w:rsidRPr="00770F9D">
        <w:rPr>
          <w:rFonts w:ascii="Garamond" w:eastAsia="SimSun" w:hAnsi="Garamond" w:cstheme="majorBidi"/>
          <w:color w:val="0D0D0D" w:themeColor="text1" w:themeTint="F2"/>
        </w:rPr>
        <w:t>12).</w:t>
      </w:r>
    </w:p>
    <w:p w14:paraId="7D9DCE66" w14:textId="46AA851C" w:rsidR="00F468C9" w:rsidRPr="00770F9D" w:rsidRDefault="00F468C9" w:rsidP="00DA013A">
      <w:pPr>
        <w:tabs>
          <w:tab w:val="left" w:pos="2127"/>
        </w:tabs>
        <w:ind w:firstLine="284"/>
        <w:jc w:val="both"/>
        <w:rPr>
          <w:rFonts w:ascii="Garamond" w:eastAsia="SimSun" w:hAnsi="Garamond" w:cstheme="majorBidi"/>
          <w:color w:val="0D0D0D" w:themeColor="text1" w:themeTint="F2"/>
        </w:rPr>
      </w:pPr>
      <w:r w:rsidRPr="00770F9D">
        <w:rPr>
          <w:rFonts w:ascii="Garamond" w:eastAsia="Times New Roman" w:hAnsi="Garamond" w:cstheme="majorBidi"/>
          <w:i/>
          <w:color w:val="0D0D0D" w:themeColor="text1" w:themeTint="F2"/>
        </w:rPr>
        <w:t>Shpenzimet ko</w:t>
      </w:r>
      <w:r w:rsidR="00B35E9F" w:rsidRPr="00770F9D">
        <w:rPr>
          <w:rFonts w:ascii="Garamond" w:eastAsia="Times New Roman" w:hAnsi="Garamond" w:cstheme="majorBidi"/>
          <w:i/>
          <w:color w:val="0D0D0D" w:themeColor="text1" w:themeTint="F2"/>
        </w:rPr>
        <w:t>r</w:t>
      </w:r>
      <w:r w:rsidRPr="00770F9D">
        <w:rPr>
          <w:rFonts w:ascii="Garamond" w:eastAsia="Times New Roman" w:hAnsi="Garamond" w:cstheme="majorBidi"/>
          <w:i/>
          <w:color w:val="0D0D0D" w:themeColor="text1" w:themeTint="F2"/>
        </w:rPr>
        <w:t>rente</w:t>
      </w:r>
      <w:r w:rsidRPr="00770F9D">
        <w:rPr>
          <w:rFonts w:ascii="Garamond" w:eastAsia="SimSun" w:hAnsi="Garamond" w:cstheme="majorBidi"/>
          <w:color w:val="0D0D0D" w:themeColor="text1" w:themeTint="F2"/>
        </w:rPr>
        <w:t xml:space="preserve"> për periudhën 11</w:t>
      </w:r>
      <w:r w:rsidR="00B35E9F" w:rsidRPr="00770F9D">
        <w:rPr>
          <w:rFonts w:ascii="Garamond" w:eastAsia="SimSun" w:hAnsi="Garamond" w:cstheme="majorBidi"/>
          <w:color w:val="0D0D0D" w:themeColor="text1" w:themeTint="F2"/>
        </w:rPr>
        <w:t>-</w:t>
      </w:r>
      <w:r w:rsidRPr="00770F9D">
        <w:rPr>
          <w:rFonts w:ascii="Garamond" w:eastAsia="SimSun" w:hAnsi="Garamond" w:cstheme="majorBidi"/>
          <w:color w:val="0D0D0D" w:themeColor="text1" w:themeTint="F2"/>
        </w:rPr>
        <w:t>mujore të vitit 2022, rezultuan në rreth 426.8 miliard</w:t>
      </w:r>
      <w:r w:rsidR="00DA013A" w:rsidRPr="00770F9D">
        <w:rPr>
          <w:rFonts w:ascii="Garamond" w:eastAsia="SimSun" w:hAnsi="Garamond" w:cstheme="majorBidi"/>
          <w:color w:val="0D0D0D" w:themeColor="text1" w:themeTint="F2"/>
        </w:rPr>
        <w:t>ë</w:t>
      </w:r>
      <w:r w:rsidRPr="00770F9D">
        <w:rPr>
          <w:rFonts w:ascii="Garamond" w:eastAsia="SimSun" w:hAnsi="Garamond" w:cstheme="majorBidi"/>
          <w:color w:val="0D0D0D" w:themeColor="text1" w:themeTint="F2"/>
        </w:rPr>
        <w:t xml:space="preserve"> </w:t>
      </w:r>
      <w:r w:rsidR="00DA013A" w:rsidRPr="00770F9D">
        <w:rPr>
          <w:rFonts w:ascii="Garamond" w:eastAsia="SimSun" w:hAnsi="Garamond" w:cstheme="majorBidi"/>
          <w:color w:val="0D0D0D" w:themeColor="text1" w:themeTint="F2"/>
        </w:rPr>
        <w:t>lekë</w:t>
      </w:r>
      <w:r w:rsidRPr="00770F9D">
        <w:rPr>
          <w:rFonts w:ascii="Garamond" w:eastAsia="SimSun" w:hAnsi="Garamond" w:cstheme="majorBidi"/>
          <w:color w:val="0D0D0D" w:themeColor="text1" w:themeTint="F2"/>
        </w:rPr>
        <w:t xml:space="preserve">, ose 94.3 </w:t>
      </w:r>
      <w:r w:rsidR="00623F19" w:rsidRPr="00770F9D">
        <w:rPr>
          <w:rFonts w:ascii="Garamond" w:eastAsia="SimSun" w:hAnsi="Garamond" w:cstheme="majorBidi"/>
          <w:color w:val="0D0D0D" w:themeColor="text1" w:themeTint="F2"/>
        </w:rPr>
        <w:t>për qind</w:t>
      </w:r>
      <w:r w:rsidRPr="00770F9D">
        <w:rPr>
          <w:rFonts w:ascii="Garamond" w:eastAsia="SimSun" w:hAnsi="Garamond" w:cstheme="majorBidi"/>
          <w:color w:val="0D0D0D" w:themeColor="text1" w:themeTint="F2"/>
        </w:rPr>
        <w:t xml:space="preserve"> të planit të periudhës. Krahasuar me të njëjtën periudhë të një viti më parë ky zë ka rezultuar 5.5 </w:t>
      </w:r>
      <w:r w:rsidR="00623F19" w:rsidRPr="00770F9D">
        <w:rPr>
          <w:rFonts w:ascii="Garamond" w:eastAsia="SimSun" w:hAnsi="Garamond" w:cstheme="majorBidi"/>
          <w:color w:val="0D0D0D" w:themeColor="text1" w:themeTint="F2"/>
        </w:rPr>
        <w:t>për qind</w:t>
      </w:r>
      <w:r w:rsidRPr="00770F9D">
        <w:rPr>
          <w:rFonts w:ascii="Garamond" w:eastAsia="SimSun" w:hAnsi="Garamond" w:cstheme="majorBidi"/>
          <w:color w:val="0D0D0D" w:themeColor="text1" w:themeTint="F2"/>
        </w:rPr>
        <w:t xml:space="preserve"> më i lartë ose rreth 22.3 miliard </w:t>
      </w:r>
      <w:r w:rsidR="00DA013A" w:rsidRPr="00770F9D">
        <w:rPr>
          <w:rFonts w:ascii="Garamond" w:eastAsia="SimSun" w:hAnsi="Garamond" w:cstheme="majorBidi"/>
          <w:color w:val="0D0D0D" w:themeColor="text1" w:themeTint="F2"/>
        </w:rPr>
        <w:t>lekë</w:t>
      </w:r>
      <w:r w:rsidRPr="00770F9D">
        <w:rPr>
          <w:rFonts w:ascii="Garamond" w:eastAsia="SimSun" w:hAnsi="Garamond" w:cstheme="majorBidi"/>
          <w:color w:val="0D0D0D" w:themeColor="text1" w:themeTint="F2"/>
        </w:rPr>
        <w:t xml:space="preserve"> më shumë. </w:t>
      </w:r>
      <w:r w:rsidRPr="00770F9D">
        <w:rPr>
          <w:rFonts w:ascii="Garamond" w:eastAsia="SimSun" w:hAnsi="Garamond" w:cstheme="majorBidi"/>
          <w:i/>
          <w:color w:val="0D0D0D" w:themeColor="text1" w:themeTint="F2"/>
        </w:rPr>
        <w:t>Në terma vjetorë</w:t>
      </w:r>
      <w:r w:rsidRPr="00770F9D">
        <w:rPr>
          <w:rFonts w:ascii="Garamond" w:eastAsia="SimSun" w:hAnsi="Garamond" w:cstheme="majorBidi"/>
          <w:color w:val="0D0D0D" w:themeColor="text1" w:themeTint="F2"/>
        </w:rPr>
        <w:t>, shpenzimet kor</w:t>
      </w:r>
      <w:r w:rsidR="00DA013A" w:rsidRPr="00770F9D">
        <w:rPr>
          <w:rFonts w:ascii="Garamond" w:eastAsia="SimSun" w:hAnsi="Garamond" w:cstheme="majorBidi"/>
          <w:color w:val="0D0D0D" w:themeColor="text1" w:themeTint="F2"/>
        </w:rPr>
        <w:t>rente për periudhën 11-</w:t>
      </w:r>
      <w:r w:rsidRPr="00770F9D">
        <w:rPr>
          <w:rFonts w:ascii="Garamond" w:eastAsia="SimSun" w:hAnsi="Garamond" w:cstheme="majorBidi"/>
          <w:color w:val="0D0D0D" w:themeColor="text1" w:themeTint="F2"/>
        </w:rPr>
        <w:t xml:space="preserve">mujore të vitit 2022 rezultojnë 84.1 </w:t>
      </w:r>
      <w:r w:rsidR="00623F19" w:rsidRPr="00770F9D">
        <w:rPr>
          <w:rFonts w:ascii="Garamond" w:eastAsia="SimSun" w:hAnsi="Garamond" w:cstheme="majorBidi"/>
          <w:color w:val="0D0D0D" w:themeColor="text1" w:themeTint="F2"/>
        </w:rPr>
        <w:t>për qind</w:t>
      </w:r>
      <w:r w:rsidRPr="00770F9D">
        <w:rPr>
          <w:rFonts w:ascii="Garamond" w:eastAsia="SimSun" w:hAnsi="Garamond" w:cstheme="majorBidi"/>
          <w:color w:val="0D0D0D" w:themeColor="text1" w:themeTint="F2"/>
        </w:rPr>
        <w:t xml:space="preserve"> të planit vjetor</w:t>
      </w:r>
      <w:r w:rsidR="00DA013A" w:rsidRPr="00770F9D">
        <w:rPr>
          <w:rFonts w:ascii="Garamond" w:eastAsia="SimSun" w:hAnsi="Garamond" w:cstheme="majorBidi"/>
          <w:color w:val="0D0D0D" w:themeColor="text1" w:themeTint="F2"/>
        </w:rPr>
        <w:t>,</w:t>
      </w:r>
      <w:r w:rsidRPr="00770F9D">
        <w:rPr>
          <w:rFonts w:ascii="Garamond" w:eastAsia="SimSun" w:hAnsi="Garamond" w:cstheme="majorBidi"/>
          <w:color w:val="0D0D0D" w:themeColor="text1" w:themeTint="F2"/>
        </w:rPr>
        <w:t xml:space="preserve"> sipas </w:t>
      </w:r>
      <w:r w:rsidR="00DA013A" w:rsidRPr="00770F9D">
        <w:rPr>
          <w:rFonts w:ascii="Garamond" w:eastAsia="SimSun" w:hAnsi="Garamond" w:cstheme="majorBidi"/>
          <w:color w:val="0D0D0D" w:themeColor="text1" w:themeTint="F2"/>
        </w:rPr>
        <w:t xml:space="preserve">buxhetit </w:t>
      </w:r>
      <w:r w:rsidRPr="00770F9D">
        <w:rPr>
          <w:rFonts w:ascii="Garamond" w:eastAsia="SimSun" w:hAnsi="Garamond" w:cstheme="majorBidi"/>
          <w:color w:val="0D0D0D" w:themeColor="text1" w:themeTint="F2"/>
        </w:rPr>
        <w:t xml:space="preserve">fillestar dhe 84.5 </w:t>
      </w:r>
      <w:r w:rsidR="00623F19" w:rsidRPr="00770F9D">
        <w:rPr>
          <w:rFonts w:ascii="Garamond" w:eastAsia="SimSun" w:hAnsi="Garamond" w:cstheme="majorBidi"/>
          <w:color w:val="0D0D0D" w:themeColor="text1" w:themeTint="F2"/>
        </w:rPr>
        <w:t>për qind</w:t>
      </w:r>
      <w:r w:rsidRPr="00770F9D">
        <w:rPr>
          <w:rFonts w:ascii="Garamond" w:eastAsia="SimSun" w:hAnsi="Garamond" w:cstheme="majorBidi"/>
          <w:color w:val="0D0D0D" w:themeColor="text1" w:themeTint="F2"/>
        </w:rPr>
        <w:t xml:space="preserve"> të planit vjetor sipas AN nr.</w:t>
      </w:r>
      <w:r w:rsidR="00DA013A" w:rsidRPr="00770F9D">
        <w:rPr>
          <w:rFonts w:ascii="Garamond" w:eastAsia="SimSun" w:hAnsi="Garamond" w:cstheme="majorBidi"/>
          <w:color w:val="0D0D0D" w:themeColor="text1" w:themeTint="F2"/>
        </w:rPr>
        <w:t xml:space="preserve"> </w:t>
      </w:r>
      <w:r w:rsidRPr="00770F9D">
        <w:rPr>
          <w:rFonts w:ascii="Garamond" w:eastAsia="SimSun" w:hAnsi="Garamond" w:cstheme="majorBidi"/>
          <w:color w:val="0D0D0D" w:themeColor="text1" w:themeTint="F2"/>
        </w:rPr>
        <w:t>12.</w:t>
      </w:r>
    </w:p>
    <w:p w14:paraId="468E531D" w14:textId="14AC7BA9" w:rsidR="00072546" w:rsidRPr="00770F9D" w:rsidRDefault="00072546" w:rsidP="003F46E1">
      <w:pPr>
        <w:tabs>
          <w:tab w:val="left" w:pos="2127"/>
        </w:tabs>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Zërat kryesorë që ndikuan në nivelin e realizimit të shpenzimeve kor</w:t>
      </w:r>
      <w:r w:rsidR="00DA013A" w:rsidRPr="00770F9D">
        <w:rPr>
          <w:rFonts w:ascii="Garamond" w:hAnsi="Garamond" w:cs="Garamond"/>
          <w:color w:val="0D0D0D"/>
          <w:lang w:eastAsia="sq-AL"/>
        </w:rPr>
        <w:t>r</w:t>
      </w:r>
      <w:r w:rsidRPr="00770F9D">
        <w:rPr>
          <w:rFonts w:ascii="Garamond" w:hAnsi="Garamond" w:cs="Garamond"/>
          <w:color w:val="0D0D0D"/>
          <w:lang w:eastAsia="sq-AL"/>
        </w:rPr>
        <w:t>ente kundrejt planit 11</w:t>
      </w:r>
      <w:r w:rsidR="00DA013A" w:rsidRPr="00770F9D">
        <w:rPr>
          <w:rFonts w:ascii="Garamond" w:hAnsi="Garamond" w:cs="Garamond"/>
          <w:color w:val="0D0D0D"/>
          <w:lang w:eastAsia="sq-AL"/>
        </w:rPr>
        <w:t>-</w:t>
      </w:r>
      <w:r w:rsidRPr="00770F9D">
        <w:rPr>
          <w:rFonts w:ascii="Garamond" w:hAnsi="Garamond" w:cs="Garamond"/>
          <w:color w:val="0D0D0D"/>
          <w:lang w:eastAsia="sq-AL"/>
        </w:rPr>
        <w:t xml:space="preserve"> mujor janë përkatësisht: </w:t>
      </w:r>
    </w:p>
    <w:p w14:paraId="5D1765BC" w14:textId="74DFB4D6" w:rsidR="00072546" w:rsidRPr="00770F9D" w:rsidRDefault="00072546" w:rsidP="003F46E1">
      <w:pPr>
        <w:tabs>
          <w:tab w:val="left" w:pos="2127"/>
        </w:tabs>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Shpenzimet e tjera sociale:</w:t>
      </w:r>
      <w:r w:rsidR="00DA013A" w:rsidRPr="00770F9D">
        <w:rPr>
          <w:rFonts w:ascii="Garamond" w:hAnsi="Garamond" w:cs="Garamond"/>
          <w:color w:val="0D0D0D"/>
          <w:lang w:eastAsia="sq-AL"/>
        </w:rPr>
        <w:t xml:space="preserve"> </w:t>
      </w:r>
      <w:r w:rsidRPr="00770F9D">
        <w:rPr>
          <w:rFonts w:ascii="Garamond" w:hAnsi="Garamond" w:cs="Garamond"/>
          <w:color w:val="0D0D0D"/>
          <w:lang w:eastAsia="sq-AL"/>
        </w:rPr>
        <w:t xml:space="preserve">101.5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të planit të periudhës dhe 92.1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të planit vjetor</w:t>
      </w:r>
      <w:r w:rsidR="006A41C1" w:rsidRPr="00770F9D">
        <w:rPr>
          <w:rFonts w:ascii="Garamond" w:hAnsi="Garamond" w:cs="Garamond"/>
          <w:color w:val="0D0D0D"/>
          <w:lang w:eastAsia="sq-AL"/>
        </w:rPr>
        <w:t>,</w:t>
      </w:r>
      <w:r w:rsidRPr="00770F9D">
        <w:rPr>
          <w:rFonts w:ascii="Garamond" w:hAnsi="Garamond" w:cs="Garamond"/>
          <w:color w:val="0D0D0D"/>
          <w:lang w:eastAsia="sq-AL"/>
        </w:rPr>
        <w:t xml:space="preserve"> sipas buxhetit fillestar dhe të ndryshuar me AN nr.</w:t>
      </w:r>
      <w:r w:rsidR="006A41C1" w:rsidRPr="00770F9D">
        <w:rPr>
          <w:rFonts w:ascii="Garamond" w:hAnsi="Garamond" w:cs="Garamond"/>
          <w:color w:val="0D0D0D"/>
          <w:lang w:eastAsia="sq-AL"/>
        </w:rPr>
        <w:t xml:space="preserve"> </w:t>
      </w:r>
      <w:r w:rsidRPr="00770F9D">
        <w:rPr>
          <w:rFonts w:ascii="Garamond" w:hAnsi="Garamond" w:cs="Garamond"/>
          <w:color w:val="0D0D0D"/>
          <w:lang w:eastAsia="sq-AL"/>
        </w:rPr>
        <w:t>12.</w:t>
      </w:r>
    </w:p>
    <w:p w14:paraId="65A6D435" w14:textId="6051513F" w:rsidR="00072546" w:rsidRPr="00770F9D" w:rsidRDefault="00072546" w:rsidP="003F46E1">
      <w:pPr>
        <w:tabs>
          <w:tab w:val="left" w:pos="2127"/>
        </w:tabs>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Shpenzimet për fonde speciale: 96.9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të planit të periudhës dhe 87.3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të planit vjetor</w:t>
      </w:r>
      <w:r w:rsidR="006A41C1" w:rsidRPr="00770F9D">
        <w:rPr>
          <w:rFonts w:ascii="Garamond" w:hAnsi="Garamond" w:cs="Garamond"/>
          <w:color w:val="0D0D0D"/>
          <w:lang w:eastAsia="sq-AL"/>
        </w:rPr>
        <w:t>,</w:t>
      </w:r>
      <w:r w:rsidRPr="00770F9D">
        <w:rPr>
          <w:rFonts w:ascii="Garamond" w:hAnsi="Garamond" w:cs="Garamond"/>
          <w:color w:val="0D0D0D"/>
          <w:lang w:eastAsia="sq-AL"/>
        </w:rPr>
        <w:t xml:space="preserve"> sipas buxhetit fillestar dhe të ndryshuar me AN nr.</w:t>
      </w:r>
      <w:r w:rsidR="006A41C1" w:rsidRPr="00770F9D">
        <w:rPr>
          <w:rFonts w:ascii="Garamond" w:hAnsi="Garamond" w:cs="Garamond"/>
          <w:color w:val="0D0D0D"/>
          <w:lang w:eastAsia="sq-AL"/>
        </w:rPr>
        <w:t xml:space="preserve"> </w:t>
      </w:r>
      <w:r w:rsidRPr="00770F9D">
        <w:rPr>
          <w:rFonts w:ascii="Garamond" w:hAnsi="Garamond" w:cs="Garamond"/>
          <w:color w:val="0D0D0D"/>
          <w:lang w:eastAsia="sq-AL"/>
        </w:rPr>
        <w:t>12.</w:t>
      </w:r>
    </w:p>
    <w:p w14:paraId="4C27D935" w14:textId="2AA6C60A" w:rsidR="00072546" w:rsidRPr="00770F9D" w:rsidRDefault="00072546" w:rsidP="003F46E1">
      <w:pPr>
        <w:tabs>
          <w:tab w:val="left" w:pos="2127"/>
        </w:tabs>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Shpenzimet e personelit; 95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të planit të periudhës, 83.8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të planit vjetor sipas buxhetit fillestar dhe 86.3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të planit vjetor të ndryshuar me AN nr.</w:t>
      </w:r>
      <w:r w:rsidR="006A41C1" w:rsidRPr="00770F9D">
        <w:rPr>
          <w:rFonts w:ascii="Garamond" w:hAnsi="Garamond" w:cs="Garamond"/>
          <w:color w:val="0D0D0D"/>
          <w:lang w:eastAsia="sq-AL"/>
        </w:rPr>
        <w:t xml:space="preserve"> </w:t>
      </w:r>
      <w:r w:rsidRPr="00770F9D">
        <w:rPr>
          <w:rFonts w:ascii="Garamond" w:hAnsi="Garamond" w:cs="Garamond"/>
          <w:color w:val="0D0D0D"/>
          <w:lang w:eastAsia="sq-AL"/>
        </w:rPr>
        <w:t>12.</w:t>
      </w:r>
    </w:p>
    <w:p w14:paraId="2704B5F5" w14:textId="489B0431" w:rsidR="00072546" w:rsidRPr="00770F9D" w:rsidRDefault="00072546" w:rsidP="007A7A45">
      <w:pPr>
        <w:tabs>
          <w:tab w:val="left" w:pos="2127"/>
        </w:tabs>
        <w:autoSpaceDE w:val="0"/>
        <w:autoSpaceDN w:val="0"/>
        <w:adjustRightInd w:val="0"/>
        <w:ind w:firstLine="284"/>
        <w:jc w:val="both"/>
        <w:rPr>
          <w:rFonts w:ascii="Garamond" w:hAnsi="Garamond" w:cs="Garamond"/>
          <w:color w:val="0D0D0D"/>
          <w:lang w:eastAsia="sq-AL"/>
        </w:rPr>
      </w:pPr>
      <w:r w:rsidRPr="00770F9D">
        <w:rPr>
          <w:rFonts w:ascii="Garamond" w:hAnsi="Garamond" w:cs="Garamond"/>
          <w:i/>
          <w:iCs/>
          <w:color w:val="0D0D0D"/>
          <w:lang w:eastAsia="sq-AL"/>
        </w:rPr>
        <w:t xml:space="preserve">Shpenzimet e </w:t>
      </w:r>
      <w:r w:rsidR="006A41C1" w:rsidRPr="00770F9D">
        <w:rPr>
          <w:rFonts w:ascii="Garamond" w:hAnsi="Garamond" w:cs="Garamond"/>
          <w:i/>
          <w:iCs/>
          <w:color w:val="0D0D0D"/>
          <w:lang w:eastAsia="sq-AL"/>
        </w:rPr>
        <w:t>personelit</w:t>
      </w:r>
      <w:r w:rsidR="006A41C1" w:rsidRPr="00770F9D">
        <w:rPr>
          <w:rFonts w:ascii="Garamond" w:hAnsi="Garamond" w:cs="Garamond"/>
          <w:color w:val="0D0D0D"/>
          <w:lang w:eastAsia="sq-AL"/>
        </w:rPr>
        <w:t xml:space="preserve"> </w:t>
      </w:r>
      <w:r w:rsidRPr="00770F9D">
        <w:rPr>
          <w:rFonts w:ascii="Garamond" w:hAnsi="Garamond" w:cs="Garamond"/>
          <w:color w:val="0D0D0D"/>
          <w:lang w:eastAsia="sq-AL"/>
        </w:rPr>
        <w:t>për periudhën 11</w:t>
      </w:r>
      <w:r w:rsidR="006A41C1" w:rsidRPr="00770F9D">
        <w:rPr>
          <w:rFonts w:ascii="Garamond" w:hAnsi="Garamond" w:cs="Garamond"/>
          <w:color w:val="0D0D0D"/>
          <w:lang w:eastAsia="sq-AL"/>
        </w:rPr>
        <w:t>-</w:t>
      </w:r>
      <w:r w:rsidRPr="00770F9D">
        <w:rPr>
          <w:rFonts w:ascii="Garamond" w:hAnsi="Garamond" w:cs="Garamond"/>
          <w:color w:val="0D0D0D"/>
          <w:lang w:eastAsia="sq-AL"/>
        </w:rPr>
        <w:t xml:space="preserve">mujore të vitit 2022, përfaqësuan 18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të totalit të shpenzimeve kor</w:t>
      </w:r>
      <w:r w:rsidR="006A41C1" w:rsidRPr="00770F9D">
        <w:rPr>
          <w:rFonts w:ascii="Garamond" w:hAnsi="Garamond" w:cs="Garamond"/>
          <w:color w:val="0D0D0D"/>
          <w:lang w:eastAsia="sq-AL"/>
        </w:rPr>
        <w:t>r</w:t>
      </w:r>
      <w:r w:rsidRPr="00770F9D">
        <w:rPr>
          <w:rFonts w:ascii="Garamond" w:hAnsi="Garamond" w:cs="Garamond"/>
          <w:color w:val="0D0D0D"/>
          <w:lang w:eastAsia="sq-AL"/>
        </w:rPr>
        <w:t>ente. Niveli i shpenzimeve faktike të personelit prej rreth 76.8 miliard</w:t>
      </w:r>
      <w:r w:rsidR="00306CC3" w:rsidRPr="00770F9D">
        <w:rPr>
          <w:rFonts w:ascii="Garamond" w:hAnsi="Garamond" w:cs="Garamond"/>
          <w:color w:val="0D0D0D"/>
          <w:lang w:eastAsia="sq-AL"/>
        </w:rPr>
        <w:t>ë</w:t>
      </w:r>
      <w:r w:rsidRPr="00770F9D">
        <w:rPr>
          <w:rFonts w:ascii="Garamond" w:hAnsi="Garamond" w:cs="Garamond"/>
          <w:color w:val="0D0D0D"/>
          <w:lang w:eastAsia="sq-AL"/>
        </w:rPr>
        <w:t xml:space="preserve"> </w:t>
      </w:r>
      <w:r w:rsidR="00306CC3" w:rsidRPr="00770F9D">
        <w:rPr>
          <w:rFonts w:ascii="Garamond" w:hAnsi="Garamond" w:cs="Garamond"/>
          <w:color w:val="0D0D0D"/>
          <w:lang w:eastAsia="sq-AL"/>
        </w:rPr>
        <w:t>lekësh</w:t>
      </w:r>
      <w:r w:rsidRPr="00770F9D">
        <w:rPr>
          <w:rFonts w:ascii="Garamond" w:hAnsi="Garamond" w:cs="Garamond"/>
          <w:color w:val="0D0D0D"/>
          <w:lang w:eastAsia="sq-AL"/>
        </w:rPr>
        <w:t xml:space="preserve"> realizon nivelin e parashikuar për këtë zë në </w:t>
      </w:r>
      <w:r w:rsidR="007A7A45" w:rsidRPr="00770F9D">
        <w:rPr>
          <w:rFonts w:ascii="Garamond" w:hAnsi="Garamond" w:cs="Garamond"/>
          <w:color w:val="0D0D0D"/>
          <w:lang w:eastAsia="sq-AL"/>
        </w:rPr>
        <w:t>planin e periudhës 11-</w:t>
      </w:r>
      <w:r w:rsidRPr="00770F9D">
        <w:rPr>
          <w:rFonts w:ascii="Garamond" w:hAnsi="Garamond" w:cs="Garamond"/>
          <w:color w:val="0D0D0D"/>
          <w:lang w:eastAsia="sq-AL"/>
        </w:rPr>
        <w:t xml:space="preserve">mujore, në masën 95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Krahasuar me të njëjtën periudhë të vitit 2021, ky zë është 1.6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më i lartë ose rreth 1.2 miliard </w:t>
      </w:r>
      <w:r w:rsidR="007A7A45" w:rsidRPr="00770F9D">
        <w:rPr>
          <w:rFonts w:ascii="Garamond" w:eastAsia="SimSun" w:hAnsi="Garamond" w:cstheme="majorBidi"/>
          <w:color w:val="0D0D0D" w:themeColor="text1" w:themeTint="F2"/>
        </w:rPr>
        <w:t>lekë</w:t>
      </w:r>
      <w:r w:rsidRPr="00770F9D">
        <w:rPr>
          <w:rFonts w:ascii="Garamond" w:hAnsi="Garamond" w:cs="Garamond"/>
          <w:color w:val="0D0D0D"/>
          <w:lang w:eastAsia="sq-AL"/>
        </w:rPr>
        <w:t xml:space="preserve"> më shumë.</w:t>
      </w:r>
      <w:r w:rsidRPr="00770F9D">
        <w:rPr>
          <w:rFonts w:ascii="Garamond" w:hAnsi="Garamond" w:cs="Garamond"/>
          <w:i/>
          <w:iCs/>
          <w:color w:val="0D0D0D"/>
          <w:lang w:eastAsia="sq-AL"/>
        </w:rPr>
        <w:t xml:space="preserve"> Në terma vjetorë</w:t>
      </w:r>
      <w:r w:rsidRPr="00770F9D">
        <w:rPr>
          <w:rFonts w:ascii="Garamond" w:hAnsi="Garamond" w:cs="Garamond"/>
          <w:color w:val="0D0D0D"/>
          <w:lang w:eastAsia="sq-AL"/>
        </w:rPr>
        <w:t xml:space="preserve">, ky zë rezulton 83.8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të planit vjetor</w:t>
      </w:r>
      <w:r w:rsidR="006E5BFA" w:rsidRPr="00770F9D">
        <w:rPr>
          <w:rFonts w:ascii="Garamond" w:hAnsi="Garamond" w:cs="Garamond"/>
          <w:color w:val="0D0D0D"/>
          <w:lang w:eastAsia="sq-AL"/>
        </w:rPr>
        <w:t>,</w:t>
      </w:r>
      <w:r w:rsidRPr="00770F9D">
        <w:rPr>
          <w:rFonts w:ascii="Garamond" w:hAnsi="Garamond" w:cs="Garamond"/>
          <w:color w:val="0D0D0D"/>
          <w:lang w:eastAsia="sq-AL"/>
        </w:rPr>
        <w:t xml:space="preserve"> sipas </w:t>
      </w:r>
      <w:r w:rsidR="006E5BFA" w:rsidRPr="00770F9D">
        <w:rPr>
          <w:rFonts w:ascii="Garamond" w:hAnsi="Garamond" w:cs="Garamond"/>
          <w:color w:val="0D0D0D"/>
          <w:lang w:eastAsia="sq-AL"/>
        </w:rPr>
        <w:t xml:space="preserve">buxhetit </w:t>
      </w:r>
      <w:r w:rsidRPr="00770F9D">
        <w:rPr>
          <w:rFonts w:ascii="Garamond" w:hAnsi="Garamond" w:cs="Garamond"/>
          <w:color w:val="0D0D0D"/>
          <w:lang w:eastAsia="sq-AL"/>
        </w:rPr>
        <w:t xml:space="preserve">fillestar dhe 86.3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të planit vjetor sipas AN nr.</w:t>
      </w:r>
      <w:r w:rsidR="006E5BFA" w:rsidRPr="00770F9D">
        <w:rPr>
          <w:rFonts w:ascii="Garamond" w:hAnsi="Garamond" w:cs="Garamond"/>
          <w:color w:val="0D0D0D"/>
          <w:lang w:eastAsia="sq-AL"/>
        </w:rPr>
        <w:t xml:space="preserve"> </w:t>
      </w:r>
      <w:r w:rsidRPr="00770F9D">
        <w:rPr>
          <w:rFonts w:ascii="Garamond" w:hAnsi="Garamond" w:cs="Garamond"/>
          <w:color w:val="0D0D0D"/>
          <w:lang w:eastAsia="sq-AL"/>
        </w:rPr>
        <w:t>12.</w:t>
      </w:r>
    </w:p>
    <w:p w14:paraId="7AC55270" w14:textId="3B64ADFD" w:rsidR="00072546" w:rsidRPr="00770F9D" w:rsidRDefault="00072546" w:rsidP="003F46E1">
      <w:pPr>
        <w:tabs>
          <w:tab w:val="left" w:pos="2127"/>
        </w:tabs>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Shpenzimet për </w:t>
      </w:r>
      <w:r w:rsidR="003809D9" w:rsidRPr="00770F9D">
        <w:rPr>
          <w:rFonts w:ascii="Garamond" w:hAnsi="Garamond" w:cs="Garamond"/>
          <w:color w:val="0D0D0D"/>
          <w:lang w:eastAsia="sq-AL"/>
        </w:rPr>
        <w:t xml:space="preserve">paga </w:t>
      </w:r>
      <w:r w:rsidRPr="00770F9D">
        <w:rPr>
          <w:rFonts w:ascii="Garamond" w:hAnsi="Garamond" w:cs="Garamond"/>
          <w:color w:val="0D0D0D"/>
          <w:lang w:eastAsia="sq-AL"/>
        </w:rPr>
        <w:t xml:space="preserve">në fund të muajit </w:t>
      </w:r>
      <w:r w:rsidR="003809D9" w:rsidRPr="00770F9D">
        <w:rPr>
          <w:rFonts w:ascii="Garamond" w:hAnsi="Garamond" w:cs="Garamond"/>
          <w:color w:val="0D0D0D"/>
          <w:lang w:eastAsia="sq-AL"/>
        </w:rPr>
        <w:t xml:space="preserve">nëntor </w:t>
      </w:r>
      <w:r w:rsidRPr="00770F9D">
        <w:rPr>
          <w:rFonts w:ascii="Garamond" w:hAnsi="Garamond" w:cs="Garamond"/>
          <w:color w:val="0D0D0D"/>
          <w:lang w:eastAsia="sq-AL"/>
        </w:rPr>
        <w:t>2022 u realizuan në masën rreth 65.5 miliard</w:t>
      </w:r>
      <w:r w:rsidR="00712C2F" w:rsidRPr="00770F9D">
        <w:rPr>
          <w:rFonts w:ascii="Garamond" w:hAnsi="Garamond" w:cs="Garamond"/>
          <w:color w:val="0D0D0D"/>
          <w:lang w:eastAsia="sq-AL"/>
        </w:rPr>
        <w:t>ë</w:t>
      </w:r>
      <w:r w:rsidRPr="00770F9D">
        <w:rPr>
          <w:rFonts w:ascii="Garamond" w:hAnsi="Garamond" w:cs="Garamond"/>
          <w:color w:val="0D0D0D"/>
          <w:lang w:eastAsia="sq-AL"/>
        </w:rPr>
        <w:t xml:space="preserve"> </w:t>
      </w:r>
      <w:r w:rsidR="00712C2F" w:rsidRPr="00770F9D">
        <w:rPr>
          <w:rFonts w:ascii="Garamond" w:hAnsi="Garamond" w:cs="Garamond"/>
          <w:color w:val="0D0D0D"/>
          <w:lang w:eastAsia="sq-AL"/>
        </w:rPr>
        <w:t xml:space="preserve">lekë </w:t>
      </w:r>
      <w:r w:rsidRPr="00770F9D">
        <w:rPr>
          <w:rFonts w:ascii="Garamond" w:hAnsi="Garamond" w:cs="Garamond"/>
          <w:color w:val="0D0D0D"/>
          <w:lang w:eastAsia="sq-AL"/>
        </w:rPr>
        <w:t xml:space="preserve">ose 97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të planit të periudhës. Krahasuar me të njëjtën periudhë të vitit 2021, ky zë rezulton 1.42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më i lartë ose rreth 916 milionë </w:t>
      </w:r>
      <w:r w:rsidR="00712C2F" w:rsidRPr="00770F9D">
        <w:rPr>
          <w:rFonts w:ascii="Garamond" w:hAnsi="Garamond" w:cs="Garamond"/>
          <w:color w:val="0D0D0D"/>
          <w:lang w:eastAsia="sq-AL"/>
        </w:rPr>
        <w:t xml:space="preserve">lekë </w:t>
      </w:r>
      <w:r w:rsidRPr="00770F9D">
        <w:rPr>
          <w:rFonts w:ascii="Garamond" w:hAnsi="Garamond" w:cs="Garamond"/>
          <w:color w:val="0D0D0D"/>
          <w:lang w:eastAsia="sq-AL"/>
        </w:rPr>
        <w:t xml:space="preserve">më shumë. Në terma vjetorë, shpenzimet për paga rezultojnë 86.5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të planit vjetor</w:t>
      </w:r>
      <w:r w:rsidR="00712C2F" w:rsidRPr="00770F9D">
        <w:rPr>
          <w:rFonts w:ascii="Garamond" w:hAnsi="Garamond" w:cs="Garamond"/>
          <w:color w:val="0D0D0D"/>
          <w:lang w:eastAsia="sq-AL"/>
        </w:rPr>
        <w:t>,</w:t>
      </w:r>
      <w:r w:rsidRPr="00770F9D">
        <w:rPr>
          <w:rFonts w:ascii="Garamond" w:hAnsi="Garamond" w:cs="Garamond"/>
          <w:color w:val="0D0D0D"/>
          <w:lang w:eastAsia="sq-AL"/>
        </w:rPr>
        <w:t xml:space="preserve"> sipas </w:t>
      </w:r>
      <w:r w:rsidR="00712C2F" w:rsidRPr="00770F9D">
        <w:rPr>
          <w:rFonts w:ascii="Garamond" w:hAnsi="Garamond" w:cs="Garamond"/>
          <w:color w:val="0D0D0D"/>
          <w:lang w:eastAsia="sq-AL"/>
        </w:rPr>
        <w:t xml:space="preserve">buxhetit </w:t>
      </w:r>
      <w:r w:rsidRPr="00770F9D">
        <w:rPr>
          <w:rFonts w:ascii="Garamond" w:hAnsi="Garamond" w:cs="Garamond"/>
          <w:color w:val="0D0D0D"/>
          <w:lang w:eastAsia="sq-AL"/>
        </w:rPr>
        <w:t xml:space="preserve">fillestar dhe 88.7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të planit vjetor sipas AN nr.</w:t>
      </w:r>
      <w:r w:rsidR="00712C2F" w:rsidRPr="00770F9D">
        <w:rPr>
          <w:rFonts w:ascii="Garamond" w:hAnsi="Garamond" w:cs="Garamond"/>
          <w:color w:val="0D0D0D"/>
          <w:lang w:eastAsia="sq-AL"/>
        </w:rPr>
        <w:t xml:space="preserve"> </w:t>
      </w:r>
      <w:r w:rsidRPr="00770F9D">
        <w:rPr>
          <w:rFonts w:ascii="Garamond" w:hAnsi="Garamond" w:cs="Garamond"/>
          <w:color w:val="0D0D0D"/>
          <w:lang w:eastAsia="sq-AL"/>
        </w:rPr>
        <w:t>12.</w:t>
      </w:r>
    </w:p>
    <w:p w14:paraId="7EF89C1A" w14:textId="5C266A98" w:rsidR="00072546" w:rsidRPr="00770F9D" w:rsidRDefault="00072546" w:rsidP="003F46E1">
      <w:pPr>
        <w:tabs>
          <w:tab w:val="left" w:pos="2127"/>
        </w:tabs>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Shpenzimet për sigurime shoqërore u realizuan në masën rreth 10.7 miliard</w:t>
      </w:r>
      <w:r w:rsidR="00712C2F" w:rsidRPr="00770F9D">
        <w:rPr>
          <w:rFonts w:ascii="Garamond" w:hAnsi="Garamond" w:cs="Garamond"/>
          <w:color w:val="0D0D0D"/>
          <w:lang w:eastAsia="sq-AL"/>
        </w:rPr>
        <w:t>ë</w:t>
      </w:r>
      <w:r w:rsidRPr="00770F9D">
        <w:rPr>
          <w:rFonts w:ascii="Garamond" w:hAnsi="Garamond" w:cs="Garamond"/>
          <w:color w:val="0D0D0D"/>
          <w:lang w:eastAsia="sq-AL"/>
        </w:rPr>
        <w:t xml:space="preserve"> </w:t>
      </w:r>
      <w:r w:rsidR="00712C2F" w:rsidRPr="00770F9D">
        <w:rPr>
          <w:rFonts w:ascii="Garamond" w:hAnsi="Garamond" w:cs="Garamond"/>
          <w:color w:val="0D0D0D"/>
          <w:lang w:eastAsia="sq-AL"/>
        </w:rPr>
        <w:t xml:space="preserve">lekë </w:t>
      </w:r>
      <w:r w:rsidRPr="00770F9D">
        <w:rPr>
          <w:rFonts w:ascii="Garamond" w:hAnsi="Garamond" w:cs="Garamond"/>
          <w:color w:val="0D0D0D"/>
          <w:lang w:eastAsia="sq-AL"/>
        </w:rPr>
        <w:t xml:space="preserve">ose 97.4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të planit të periudhës. Krahasuar me të njëjtën periudhë të vitit 2021, ky zë rezulton 2.6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më i lartë ose 275 milionë </w:t>
      </w:r>
      <w:r w:rsidR="00712C2F" w:rsidRPr="00770F9D">
        <w:rPr>
          <w:rFonts w:ascii="Garamond" w:hAnsi="Garamond" w:cs="Garamond"/>
          <w:color w:val="0D0D0D"/>
          <w:lang w:eastAsia="sq-AL"/>
        </w:rPr>
        <w:t xml:space="preserve">lekë </w:t>
      </w:r>
      <w:r w:rsidRPr="00770F9D">
        <w:rPr>
          <w:rFonts w:ascii="Garamond" w:hAnsi="Garamond" w:cs="Garamond"/>
          <w:color w:val="0D0D0D"/>
          <w:lang w:eastAsia="sq-AL"/>
        </w:rPr>
        <w:t xml:space="preserve">më shumë. Në terma vjetorë, shpenzimet për sigurime shoqërore rezultojnë 86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të planit vjetor sipas </w:t>
      </w:r>
      <w:r w:rsidR="00712C2F" w:rsidRPr="00770F9D">
        <w:rPr>
          <w:rFonts w:ascii="Garamond" w:hAnsi="Garamond" w:cs="Garamond"/>
          <w:color w:val="0D0D0D"/>
          <w:lang w:eastAsia="sq-AL"/>
        </w:rPr>
        <w:t xml:space="preserve">buxhetit </w:t>
      </w:r>
      <w:r w:rsidRPr="00770F9D">
        <w:rPr>
          <w:rFonts w:ascii="Garamond" w:hAnsi="Garamond" w:cs="Garamond"/>
          <w:color w:val="0D0D0D"/>
          <w:lang w:eastAsia="sq-AL"/>
        </w:rPr>
        <w:t xml:space="preserve">fillestar dhe 88.2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të planit vjetor të ndryshuar.</w:t>
      </w:r>
    </w:p>
    <w:p w14:paraId="78E87AF1" w14:textId="05F71688" w:rsidR="00F468C9" w:rsidRPr="00770F9D" w:rsidRDefault="00F468C9" w:rsidP="003F46E1">
      <w:pPr>
        <w:tabs>
          <w:tab w:val="left" w:pos="2127"/>
        </w:tabs>
        <w:ind w:firstLine="284"/>
        <w:jc w:val="both"/>
        <w:rPr>
          <w:rFonts w:ascii="Garamond" w:eastAsia="SimSun" w:hAnsi="Garamond" w:cstheme="majorBidi"/>
          <w:color w:val="0D0D0D" w:themeColor="text1" w:themeTint="F2"/>
        </w:rPr>
      </w:pPr>
      <w:r w:rsidRPr="00770F9D">
        <w:rPr>
          <w:rFonts w:ascii="Garamond" w:eastAsia="SimSun" w:hAnsi="Garamond" w:cstheme="majorBidi"/>
          <w:i/>
          <w:color w:val="0D0D0D" w:themeColor="text1" w:themeTint="F2"/>
          <w:lang w:eastAsia="en-GB"/>
        </w:rPr>
        <w:t xml:space="preserve">Shpenzimet për </w:t>
      </w:r>
      <w:r w:rsidR="00712C2F" w:rsidRPr="00770F9D">
        <w:rPr>
          <w:rFonts w:ascii="Garamond" w:eastAsia="SimSun" w:hAnsi="Garamond" w:cstheme="majorBidi"/>
          <w:i/>
          <w:color w:val="0D0D0D" w:themeColor="text1" w:themeTint="F2"/>
          <w:lang w:eastAsia="en-GB"/>
        </w:rPr>
        <w:t xml:space="preserve">interesa </w:t>
      </w:r>
      <w:r w:rsidRPr="00770F9D">
        <w:rPr>
          <w:rFonts w:ascii="Garamond" w:eastAsia="SimSun" w:hAnsi="Garamond" w:cstheme="majorBidi"/>
          <w:color w:val="0D0D0D" w:themeColor="text1" w:themeTint="F2"/>
        </w:rPr>
        <w:t>për periudhën 11</w:t>
      </w:r>
      <w:r w:rsidR="00712C2F" w:rsidRPr="00770F9D">
        <w:rPr>
          <w:rFonts w:ascii="Garamond" w:eastAsia="SimSun" w:hAnsi="Garamond" w:cstheme="majorBidi"/>
          <w:color w:val="0D0D0D" w:themeColor="text1" w:themeTint="F2"/>
        </w:rPr>
        <w:t>-</w:t>
      </w:r>
      <w:r w:rsidRPr="00770F9D">
        <w:rPr>
          <w:rFonts w:ascii="Garamond" w:eastAsia="SimSun" w:hAnsi="Garamond" w:cstheme="majorBidi"/>
          <w:color w:val="0D0D0D" w:themeColor="text1" w:themeTint="F2"/>
        </w:rPr>
        <w:t xml:space="preserve">mujore të vitit 2022 kanë përfaqësuar 9.1 </w:t>
      </w:r>
      <w:r w:rsidR="00623F19" w:rsidRPr="00770F9D">
        <w:rPr>
          <w:rFonts w:ascii="Garamond" w:eastAsia="SimSun" w:hAnsi="Garamond" w:cstheme="majorBidi"/>
          <w:color w:val="0D0D0D" w:themeColor="text1" w:themeTint="F2"/>
        </w:rPr>
        <w:t>për qind</w:t>
      </w:r>
      <w:r w:rsidRPr="00770F9D">
        <w:rPr>
          <w:rFonts w:ascii="Garamond" w:eastAsia="SimSun" w:hAnsi="Garamond" w:cstheme="majorBidi"/>
          <w:color w:val="0D0D0D" w:themeColor="text1" w:themeTint="F2"/>
        </w:rPr>
        <w:t xml:space="preserve"> të shpenzimeve kor</w:t>
      </w:r>
      <w:r w:rsidR="00712C2F" w:rsidRPr="00770F9D">
        <w:rPr>
          <w:rFonts w:ascii="Garamond" w:eastAsia="SimSun" w:hAnsi="Garamond" w:cstheme="majorBidi"/>
          <w:color w:val="0D0D0D" w:themeColor="text1" w:themeTint="F2"/>
        </w:rPr>
        <w:t>r</w:t>
      </w:r>
      <w:r w:rsidRPr="00770F9D">
        <w:rPr>
          <w:rFonts w:ascii="Garamond" w:eastAsia="SimSun" w:hAnsi="Garamond" w:cstheme="majorBidi"/>
          <w:color w:val="0D0D0D" w:themeColor="text1" w:themeTint="F2"/>
        </w:rPr>
        <w:t>ente. Niveli faktik i tyre prej rreth 38.8 miliard</w:t>
      </w:r>
      <w:r w:rsidR="00712C2F" w:rsidRPr="00770F9D">
        <w:rPr>
          <w:rFonts w:ascii="Garamond" w:eastAsia="SimSun" w:hAnsi="Garamond" w:cstheme="majorBidi"/>
          <w:color w:val="0D0D0D" w:themeColor="text1" w:themeTint="F2"/>
        </w:rPr>
        <w:t>ë</w:t>
      </w:r>
      <w:r w:rsidRPr="00770F9D">
        <w:rPr>
          <w:rFonts w:ascii="Garamond" w:eastAsia="SimSun" w:hAnsi="Garamond" w:cstheme="majorBidi"/>
          <w:color w:val="0D0D0D" w:themeColor="text1" w:themeTint="F2"/>
        </w:rPr>
        <w:t xml:space="preserve"> </w:t>
      </w:r>
      <w:r w:rsidR="00712C2F" w:rsidRPr="00770F9D">
        <w:rPr>
          <w:rFonts w:ascii="Garamond" w:eastAsia="SimSun" w:hAnsi="Garamond" w:cstheme="majorBidi"/>
          <w:color w:val="0D0D0D" w:themeColor="text1" w:themeTint="F2"/>
        </w:rPr>
        <w:t xml:space="preserve">lekë </w:t>
      </w:r>
      <w:r w:rsidRPr="00770F9D">
        <w:rPr>
          <w:rFonts w:ascii="Garamond" w:eastAsia="SimSun" w:hAnsi="Garamond" w:cstheme="majorBidi"/>
          <w:color w:val="0D0D0D" w:themeColor="text1" w:themeTint="F2"/>
        </w:rPr>
        <w:t xml:space="preserve">ka rezultuar në masën 89.7 </w:t>
      </w:r>
      <w:r w:rsidR="00623F19" w:rsidRPr="00770F9D">
        <w:rPr>
          <w:rFonts w:ascii="Garamond" w:eastAsia="SimSun" w:hAnsi="Garamond" w:cstheme="majorBidi"/>
          <w:color w:val="0D0D0D" w:themeColor="text1" w:themeTint="F2"/>
        </w:rPr>
        <w:t>për qind</w:t>
      </w:r>
      <w:r w:rsidRPr="00770F9D">
        <w:rPr>
          <w:rFonts w:ascii="Garamond" w:eastAsia="SimSun" w:hAnsi="Garamond" w:cstheme="majorBidi"/>
          <w:color w:val="0D0D0D" w:themeColor="text1" w:themeTint="F2"/>
        </w:rPr>
        <w:t xml:space="preserve"> të planit të periudhës. Krahasuar me të njëjtën periudhë të vitit 2021, ky zë ka rezultuar 12.6 </w:t>
      </w:r>
      <w:r w:rsidR="00623F19" w:rsidRPr="00770F9D">
        <w:rPr>
          <w:rFonts w:ascii="Garamond" w:eastAsia="SimSun" w:hAnsi="Garamond" w:cstheme="majorBidi"/>
          <w:color w:val="0D0D0D" w:themeColor="text1" w:themeTint="F2"/>
        </w:rPr>
        <w:t>për qind</w:t>
      </w:r>
      <w:r w:rsidRPr="00770F9D">
        <w:rPr>
          <w:rFonts w:ascii="Garamond" w:eastAsia="SimSun" w:hAnsi="Garamond" w:cstheme="majorBidi"/>
          <w:color w:val="0D0D0D" w:themeColor="text1" w:themeTint="F2"/>
        </w:rPr>
        <w:t xml:space="preserve"> më i lartë ose rreth 4.3 miliard</w:t>
      </w:r>
      <w:r w:rsidR="00712C2F" w:rsidRPr="00770F9D">
        <w:rPr>
          <w:rFonts w:ascii="Garamond" w:eastAsia="SimSun" w:hAnsi="Garamond" w:cstheme="majorBidi"/>
          <w:color w:val="0D0D0D" w:themeColor="text1" w:themeTint="F2"/>
        </w:rPr>
        <w:t>ë</w:t>
      </w:r>
      <w:r w:rsidRPr="00770F9D">
        <w:rPr>
          <w:rFonts w:ascii="Garamond" w:eastAsia="SimSun" w:hAnsi="Garamond" w:cstheme="majorBidi"/>
          <w:color w:val="0D0D0D" w:themeColor="text1" w:themeTint="F2"/>
        </w:rPr>
        <w:t xml:space="preserve"> </w:t>
      </w:r>
      <w:r w:rsidR="00712C2F" w:rsidRPr="00770F9D">
        <w:rPr>
          <w:rFonts w:ascii="Garamond" w:eastAsia="SimSun" w:hAnsi="Garamond" w:cstheme="majorBidi"/>
          <w:color w:val="0D0D0D" w:themeColor="text1" w:themeTint="F2"/>
        </w:rPr>
        <w:t>lekë</w:t>
      </w:r>
      <w:r w:rsidRPr="00770F9D">
        <w:rPr>
          <w:rFonts w:ascii="Garamond" w:eastAsia="SimSun" w:hAnsi="Garamond" w:cstheme="majorBidi"/>
          <w:color w:val="0D0D0D" w:themeColor="text1" w:themeTint="F2"/>
        </w:rPr>
        <w:t xml:space="preserve"> më shumë. Në terma vjetorë, ky zë është realizuar në masën 76.4 </w:t>
      </w:r>
      <w:r w:rsidR="00623F19" w:rsidRPr="00770F9D">
        <w:rPr>
          <w:rFonts w:ascii="Garamond" w:eastAsia="SimSun" w:hAnsi="Garamond" w:cstheme="majorBidi"/>
          <w:color w:val="0D0D0D" w:themeColor="text1" w:themeTint="F2"/>
        </w:rPr>
        <w:t>për qind</w:t>
      </w:r>
      <w:r w:rsidRPr="00770F9D">
        <w:rPr>
          <w:rFonts w:ascii="Garamond" w:eastAsia="SimSun" w:hAnsi="Garamond" w:cstheme="majorBidi"/>
          <w:color w:val="0D0D0D" w:themeColor="text1" w:themeTint="F2"/>
        </w:rPr>
        <w:t xml:space="preserve"> të planit vjetor</w:t>
      </w:r>
      <w:r w:rsidR="00712C2F" w:rsidRPr="00770F9D">
        <w:rPr>
          <w:rFonts w:ascii="Garamond" w:eastAsia="SimSun" w:hAnsi="Garamond" w:cstheme="majorBidi"/>
          <w:color w:val="0D0D0D" w:themeColor="text1" w:themeTint="F2"/>
        </w:rPr>
        <w:t>,</w:t>
      </w:r>
      <w:r w:rsidRPr="00770F9D">
        <w:rPr>
          <w:rFonts w:ascii="Garamond" w:eastAsia="SimSun" w:hAnsi="Garamond" w:cstheme="majorBidi"/>
          <w:color w:val="0D0D0D" w:themeColor="text1" w:themeTint="F2"/>
        </w:rPr>
        <w:t xml:space="preserve"> sipas buxhetit fillestar dhe të ndryshuar. </w:t>
      </w:r>
    </w:p>
    <w:p w14:paraId="5C539795" w14:textId="55EADA9B" w:rsidR="00F468C9" w:rsidRPr="00770F9D" w:rsidRDefault="00F468C9" w:rsidP="003F46E1">
      <w:pPr>
        <w:tabs>
          <w:tab w:val="left" w:pos="2127"/>
        </w:tabs>
        <w:ind w:firstLine="284"/>
        <w:jc w:val="both"/>
        <w:rPr>
          <w:rFonts w:ascii="Garamond" w:eastAsia="SimSun" w:hAnsi="Garamond" w:cstheme="majorBidi"/>
          <w:i/>
          <w:color w:val="0D0D0D" w:themeColor="text1" w:themeTint="F2"/>
          <w:lang w:eastAsia="en-GB"/>
        </w:rPr>
      </w:pPr>
      <w:r w:rsidRPr="00770F9D">
        <w:rPr>
          <w:rFonts w:ascii="Garamond" w:eastAsia="SimSun" w:hAnsi="Garamond" w:cstheme="majorBidi"/>
          <w:i/>
          <w:color w:val="0D0D0D" w:themeColor="text1" w:themeTint="F2"/>
          <w:lang w:eastAsia="en-GB"/>
        </w:rPr>
        <w:t xml:space="preserve">Shpenzimet </w:t>
      </w:r>
      <w:r w:rsidR="00712C2F" w:rsidRPr="00770F9D">
        <w:rPr>
          <w:rFonts w:ascii="Garamond" w:eastAsia="SimSun" w:hAnsi="Garamond" w:cstheme="majorBidi"/>
          <w:i/>
          <w:color w:val="0D0D0D" w:themeColor="text1" w:themeTint="F2"/>
          <w:lang w:eastAsia="en-GB"/>
        </w:rPr>
        <w:t>operative dhe të mirëmbajtjes</w:t>
      </w:r>
      <w:r w:rsidRPr="00770F9D">
        <w:rPr>
          <w:rFonts w:ascii="Garamond" w:eastAsia="SimSun" w:hAnsi="Garamond" w:cstheme="majorBidi"/>
          <w:i/>
          <w:color w:val="0D0D0D" w:themeColor="text1" w:themeTint="F2"/>
          <w:lang w:eastAsia="en-GB"/>
        </w:rPr>
        <w:t xml:space="preserve">, </w:t>
      </w:r>
      <w:r w:rsidRPr="00770F9D">
        <w:rPr>
          <w:rFonts w:ascii="Garamond" w:eastAsia="SimSun" w:hAnsi="Garamond" w:cstheme="majorBidi"/>
          <w:color w:val="0D0D0D" w:themeColor="text1" w:themeTint="F2"/>
        </w:rPr>
        <w:t>gjatë periudhës 11</w:t>
      </w:r>
      <w:r w:rsidR="00712C2F" w:rsidRPr="00770F9D">
        <w:rPr>
          <w:rFonts w:ascii="Garamond" w:eastAsia="SimSun" w:hAnsi="Garamond" w:cstheme="majorBidi"/>
          <w:color w:val="0D0D0D" w:themeColor="text1" w:themeTint="F2"/>
        </w:rPr>
        <w:t>-</w:t>
      </w:r>
      <w:r w:rsidRPr="00770F9D">
        <w:rPr>
          <w:rFonts w:ascii="Garamond" w:eastAsia="SimSun" w:hAnsi="Garamond" w:cstheme="majorBidi"/>
          <w:color w:val="0D0D0D" w:themeColor="text1" w:themeTint="F2"/>
        </w:rPr>
        <w:t>mujore të vitit 2022</w:t>
      </w:r>
      <w:r w:rsidR="00E655A7" w:rsidRPr="00770F9D">
        <w:rPr>
          <w:rFonts w:ascii="Garamond" w:eastAsia="SimSun" w:hAnsi="Garamond" w:cstheme="majorBidi"/>
          <w:color w:val="0D0D0D" w:themeColor="text1" w:themeTint="F2"/>
        </w:rPr>
        <w:t>,</w:t>
      </w:r>
      <w:r w:rsidRPr="00770F9D">
        <w:rPr>
          <w:rFonts w:ascii="Garamond" w:eastAsia="SimSun" w:hAnsi="Garamond" w:cstheme="majorBidi"/>
          <w:color w:val="0D0D0D" w:themeColor="text1" w:themeTint="F2"/>
        </w:rPr>
        <w:t xml:space="preserve"> kanë shënuar një realizim në masën rreth 50.4 miliard</w:t>
      </w:r>
      <w:r w:rsidR="00E655A7" w:rsidRPr="00770F9D">
        <w:rPr>
          <w:rFonts w:ascii="Garamond" w:eastAsia="SimSun" w:hAnsi="Garamond" w:cstheme="majorBidi"/>
          <w:color w:val="0D0D0D" w:themeColor="text1" w:themeTint="F2"/>
        </w:rPr>
        <w:t>ë</w:t>
      </w:r>
      <w:r w:rsidRPr="00770F9D">
        <w:rPr>
          <w:rFonts w:ascii="Garamond" w:eastAsia="SimSun" w:hAnsi="Garamond" w:cstheme="majorBidi"/>
          <w:color w:val="0D0D0D" w:themeColor="text1" w:themeTint="F2"/>
        </w:rPr>
        <w:t xml:space="preserve"> </w:t>
      </w:r>
      <w:r w:rsidR="00E655A7" w:rsidRPr="00770F9D">
        <w:rPr>
          <w:rFonts w:ascii="Garamond" w:eastAsia="SimSun" w:hAnsi="Garamond" w:cstheme="majorBidi"/>
          <w:color w:val="0D0D0D" w:themeColor="text1" w:themeTint="F2"/>
        </w:rPr>
        <w:t xml:space="preserve">lekë </w:t>
      </w:r>
      <w:r w:rsidRPr="00770F9D">
        <w:rPr>
          <w:rFonts w:ascii="Garamond" w:eastAsia="SimSun" w:hAnsi="Garamond" w:cstheme="majorBidi"/>
          <w:color w:val="0D0D0D" w:themeColor="text1" w:themeTint="F2"/>
        </w:rPr>
        <w:t xml:space="preserve">ose 88.8 </w:t>
      </w:r>
      <w:r w:rsidR="00623F19" w:rsidRPr="00770F9D">
        <w:rPr>
          <w:rFonts w:ascii="Garamond" w:eastAsia="SimSun" w:hAnsi="Garamond" w:cstheme="majorBidi"/>
          <w:color w:val="0D0D0D" w:themeColor="text1" w:themeTint="F2"/>
        </w:rPr>
        <w:t>për qind</w:t>
      </w:r>
      <w:r w:rsidRPr="00770F9D">
        <w:rPr>
          <w:rFonts w:ascii="Garamond" w:eastAsia="SimSun" w:hAnsi="Garamond" w:cstheme="majorBidi"/>
          <w:color w:val="0D0D0D" w:themeColor="text1" w:themeTint="F2"/>
        </w:rPr>
        <w:t xml:space="preserve"> të planit të periudhës. Niveli faktik i tyre ka rezultuar në masën 79.7 </w:t>
      </w:r>
      <w:r w:rsidR="00623F19" w:rsidRPr="00770F9D">
        <w:rPr>
          <w:rFonts w:ascii="Garamond" w:eastAsia="SimSun" w:hAnsi="Garamond" w:cstheme="majorBidi"/>
          <w:color w:val="0D0D0D" w:themeColor="text1" w:themeTint="F2"/>
        </w:rPr>
        <w:t>për qind</w:t>
      </w:r>
      <w:r w:rsidRPr="00770F9D">
        <w:rPr>
          <w:rFonts w:ascii="Garamond" w:eastAsia="SimSun" w:hAnsi="Garamond" w:cstheme="majorBidi"/>
          <w:color w:val="0D0D0D" w:themeColor="text1" w:themeTint="F2"/>
        </w:rPr>
        <w:t xml:space="preserve"> të planit vjetor sipas </w:t>
      </w:r>
      <w:r w:rsidR="00380627" w:rsidRPr="00770F9D">
        <w:rPr>
          <w:rFonts w:ascii="Garamond" w:eastAsia="SimSun" w:hAnsi="Garamond" w:cstheme="majorBidi"/>
          <w:color w:val="0D0D0D" w:themeColor="text1" w:themeTint="F2"/>
        </w:rPr>
        <w:t xml:space="preserve">buxhetit </w:t>
      </w:r>
      <w:r w:rsidRPr="00770F9D">
        <w:rPr>
          <w:rFonts w:ascii="Garamond" w:eastAsia="SimSun" w:hAnsi="Garamond" w:cstheme="majorBidi"/>
          <w:color w:val="0D0D0D" w:themeColor="text1" w:themeTint="F2"/>
        </w:rPr>
        <w:t xml:space="preserve">fillestar dhe të ndryshuar. Krahasuar me të njëjtën periudhë të vitit 2021, ky zë ka rezultuar 9.5 </w:t>
      </w:r>
      <w:r w:rsidR="00623F19" w:rsidRPr="00770F9D">
        <w:rPr>
          <w:rFonts w:ascii="Garamond" w:eastAsia="SimSun" w:hAnsi="Garamond" w:cstheme="majorBidi"/>
          <w:color w:val="0D0D0D" w:themeColor="text1" w:themeTint="F2"/>
        </w:rPr>
        <w:t>për qind</w:t>
      </w:r>
      <w:r w:rsidRPr="00770F9D">
        <w:rPr>
          <w:rFonts w:ascii="Garamond" w:eastAsia="SimSun" w:hAnsi="Garamond" w:cstheme="majorBidi"/>
          <w:color w:val="0D0D0D" w:themeColor="text1" w:themeTint="F2"/>
        </w:rPr>
        <w:t xml:space="preserve"> më i lartë ose rreth 4.4 </w:t>
      </w:r>
      <w:r w:rsidR="00380627" w:rsidRPr="00770F9D">
        <w:rPr>
          <w:rFonts w:ascii="Garamond" w:eastAsia="SimSun" w:hAnsi="Garamond" w:cstheme="majorBidi"/>
          <w:color w:val="0D0D0D" w:themeColor="text1" w:themeTint="F2"/>
        </w:rPr>
        <w:t xml:space="preserve">miliardë lekë </w:t>
      </w:r>
      <w:r w:rsidRPr="00770F9D">
        <w:rPr>
          <w:rFonts w:ascii="Garamond" w:eastAsia="SimSun" w:hAnsi="Garamond" w:cstheme="majorBidi"/>
          <w:color w:val="0D0D0D" w:themeColor="text1" w:themeTint="F2"/>
        </w:rPr>
        <w:t>më shumë.</w:t>
      </w:r>
    </w:p>
    <w:p w14:paraId="111C51B8" w14:textId="7A730563" w:rsidR="00F468C9" w:rsidRPr="00770F9D" w:rsidRDefault="00F468C9" w:rsidP="003F46E1">
      <w:pPr>
        <w:tabs>
          <w:tab w:val="left" w:pos="2127"/>
        </w:tabs>
        <w:ind w:firstLine="284"/>
        <w:jc w:val="both"/>
        <w:rPr>
          <w:rFonts w:ascii="Garamond" w:eastAsia="SimSun" w:hAnsi="Garamond" w:cstheme="majorBidi"/>
          <w:color w:val="0D0D0D" w:themeColor="text1" w:themeTint="F2"/>
        </w:rPr>
      </w:pPr>
      <w:r w:rsidRPr="00770F9D">
        <w:rPr>
          <w:rFonts w:ascii="Garamond" w:eastAsia="SimSun" w:hAnsi="Garamond" w:cstheme="majorBidi"/>
          <w:i/>
          <w:color w:val="0D0D0D" w:themeColor="text1" w:themeTint="F2"/>
          <w:lang w:eastAsia="en-GB"/>
        </w:rPr>
        <w:t xml:space="preserve">Shpenzimet për Subvencione, </w:t>
      </w:r>
      <w:r w:rsidRPr="00770F9D">
        <w:rPr>
          <w:rFonts w:ascii="Garamond" w:eastAsia="SimSun" w:hAnsi="Garamond" w:cstheme="majorBidi"/>
          <w:color w:val="0D0D0D" w:themeColor="text1" w:themeTint="F2"/>
        </w:rPr>
        <w:t xml:space="preserve">gjatë periudhës </w:t>
      </w:r>
      <w:r w:rsidR="00380627" w:rsidRPr="00770F9D">
        <w:rPr>
          <w:rFonts w:ascii="Garamond" w:eastAsia="SimSun" w:hAnsi="Garamond" w:cstheme="majorBidi"/>
          <w:color w:val="0D0D0D" w:themeColor="text1" w:themeTint="F2"/>
        </w:rPr>
        <w:t xml:space="preserve">11-mujore </w:t>
      </w:r>
      <w:r w:rsidRPr="00770F9D">
        <w:rPr>
          <w:rFonts w:ascii="Garamond" w:eastAsia="SimSun" w:hAnsi="Garamond" w:cstheme="majorBidi"/>
          <w:color w:val="0D0D0D" w:themeColor="text1" w:themeTint="F2"/>
        </w:rPr>
        <w:t xml:space="preserve">të vitit 2022, arritën nivelin rreth 1.4 </w:t>
      </w:r>
      <w:r w:rsidR="00380627" w:rsidRPr="00770F9D">
        <w:rPr>
          <w:rFonts w:ascii="Garamond" w:eastAsia="SimSun" w:hAnsi="Garamond" w:cstheme="majorBidi"/>
          <w:color w:val="0D0D0D" w:themeColor="text1" w:themeTint="F2"/>
        </w:rPr>
        <w:t>miliardë lekë</w:t>
      </w:r>
      <w:r w:rsidRPr="00770F9D">
        <w:rPr>
          <w:rFonts w:ascii="Garamond" w:eastAsia="SimSun" w:hAnsi="Garamond" w:cstheme="majorBidi"/>
          <w:color w:val="0D0D0D" w:themeColor="text1" w:themeTint="F2"/>
        </w:rPr>
        <w:t xml:space="preserve">, me një realizim në masën 92.9 </w:t>
      </w:r>
      <w:r w:rsidR="00623F19" w:rsidRPr="00770F9D">
        <w:rPr>
          <w:rFonts w:ascii="Garamond" w:eastAsia="SimSun" w:hAnsi="Garamond" w:cstheme="majorBidi"/>
          <w:color w:val="0D0D0D" w:themeColor="text1" w:themeTint="F2"/>
        </w:rPr>
        <w:t>për qind</w:t>
      </w:r>
      <w:r w:rsidRPr="00770F9D">
        <w:rPr>
          <w:rFonts w:ascii="Garamond" w:eastAsia="SimSun" w:hAnsi="Garamond" w:cstheme="majorBidi"/>
          <w:color w:val="0D0D0D" w:themeColor="text1" w:themeTint="F2"/>
        </w:rPr>
        <w:t xml:space="preserve"> të planit të periudhës. Në raport me planin vjetor, ky zë është realizuar në masën 87.7 </w:t>
      </w:r>
      <w:r w:rsidR="00623F19" w:rsidRPr="00770F9D">
        <w:rPr>
          <w:rFonts w:ascii="Garamond" w:eastAsia="SimSun" w:hAnsi="Garamond" w:cstheme="majorBidi"/>
          <w:color w:val="0D0D0D" w:themeColor="text1" w:themeTint="F2"/>
        </w:rPr>
        <w:t>për qind</w:t>
      </w:r>
      <w:r w:rsidRPr="00770F9D">
        <w:rPr>
          <w:rFonts w:ascii="Garamond" w:eastAsia="SimSun" w:hAnsi="Garamond" w:cstheme="majorBidi"/>
          <w:color w:val="0D0D0D" w:themeColor="text1" w:themeTint="F2"/>
        </w:rPr>
        <w:t xml:space="preserve"> të planit vjetor sipas buxhetit fillestar dhe 80.5 </w:t>
      </w:r>
      <w:r w:rsidR="00623F19" w:rsidRPr="00770F9D">
        <w:rPr>
          <w:rFonts w:ascii="Garamond" w:eastAsia="SimSun" w:hAnsi="Garamond" w:cstheme="majorBidi"/>
          <w:color w:val="0D0D0D" w:themeColor="text1" w:themeTint="F2"/>
        </w:rPr>
        <w:t>për qind</w:t>
      </w:r>
      <w:r w:rsidRPr="00770F9D">
        <w:rPr>
          <w:rFonts w:ascii="Garamond" w:eastAsia="SimSun" w:hAnsi="Garamond" w:cstheme="majorBidi"/>
          <w:color w:val="0D0D0D" w:themeColor="text1" w:themeTint="F2"/>
        </w:rPr>
        <w:t xml:space="preserve"> të planit të ndryshuar me AN nr.</w:t>
      </w:r>
      <w:r w:rsidR="00A5739B" w:rsidRPr="00770F9D">
        <w:rPr>
          <w:rFonts w:ascii="Garamond" w:eastAsia="SimSun" w:hAnsi="Garamond" w:cstheme="majorBidi"/>
          <w:color w:val="0D0D0D" w:themeColor="text1" w:themeTint="F2"/>
        </w:rPr>
        <w:t xml:space="preserve"> </w:t>
      </w:r>
      <w:r w:rsidRPr="00770F9D">
        <w:rPr>
          <w:rFonts w:ascii="Garamond" w:eastAsia="SimSun" w:hAnsi="Garamond" w:cstheme="majorBidi"/>
          <w:color w:val="0D0D0D" w:themeColor="text1" w:themeTint="F2"/>
        </w:rPr>
        <w:t xml:space="preserve">12. Kundrejt </w:t>
      </w:r>
      <w:r w:rsidR="00A5739B" w:rsidRPr="00770F9D">
        <w:rPr>
          <w:rFonts w:ascii="Garamond" w:eastAsia="SimSun" w:hAnsi="Garamond" w:cstheme="majorBidi"/>
          <w:color w:val="0D0D0D" w:themeColor="text1" w:themeTint="F2"/>
        </w:rPr>
        <w:t>s</w:t>
      </w:r>
      <w:r w:rsidRPr="00770F9D">
        <w:rPr>
          <w:rFonts w:ascii="Garamond" w:eastAsia="SimSun" w:hAnsi="Garamond" w:cstheme="majorBidi"/>
          <w:color w:val="0D0D0D" w:themeColor="text1" w:themeTint="F2"/>
        </w:rPr>
        <w:t xml:space="preserve">ë njëjtës periudhë të vitit 2021 shpenzimet për subvencione rezultojnë 47.1 </w:t>
      </w:r>
      <w:r w:rsidR="00623F19" w:rsidRPr="00770F9D">
        <w:rPr>
          <w:rFonts w:ascii="Garamond" w:eastAsia="SimSun" w:hAnsi="Garamond" w:cstheme="majorBidi"/>
          <w:color w:val="0D0D0D" w:themeColor="text1" w:themeTint="F2"/>
        </w:rPr>
        <w:t>për qind</w:t>
      </w:r>
      <w:r w:rsidRPr="00770F9D">
        <w:rPr>
          <w:rFonts w:ascii="Garamond" w:eastAsia="SimSun" w:hAnsi="Garamond" w:cstheme="majorBidi"/>
          <w:color w:val="0D0D0D" w:themeColor="text1" w:themeTint="F2"/>
        </w:rPr>
        <w:t xml:space="preserve"> më të larta ose 435 </w:t>
      </w:r>
      <w:r w:rsidR="00A84445" w:rsidRPr="00770F9D">
        <w:rPr>
          <w:rFonts w:ascii="Garamond" w:eastAsia="SimSun" w:hAnsi="Garamond" w:cstheme="majorBidi"/>
          <w:color w:val="0D0D0D" w:themeColor="text1" w:themeTint="F2"/>
        </w:rPr>
        <w:t xml:space="preserve">milionë </w:t>
      </w:r>
      <w:r w:rsidR="006662C7" w:rsidRPr="00770F9D">
        <w:rPr>
          <w:rFonts w:ascii="Garamond" w:eastAsia="SimSun" w:hAnsi="Garamond" w:cstheme="majorBidi"/>
          <w:color w:val="0D0D0D" w:themeColor="text1" w:themeTint="F2"/>
        </w:rPr>
        <w:t>lekë</w:t>
      </w:r>
      <w:r w:rsidRPr="00770F9D">
        <w:rPr>
          <w:rFonts w:ascii="Garamond" w:eastAsia="SimSun" w:hAnsi="Garamond" w:cstheme="majorBidi"/>
          <w:color w:val="0D0D0D" w:themeColor="text1" w:themeTint="F2"/>
        </w:rPr>
        <w:t xml:space="preserve"> më shumë.</w:t>
      </w:r>
    </w:p>
    <w:p w14:paraId="3B8B66EA" w14:textId="33F5A9DC" w:rsidR="00F468C9" w:rsidRPr="00770F9D" w:rsidRDefault="00F468C9" w:rsidP="003F46E1">
      <w:pPr>
        <w:tabs>
          <w:tab w:val="left" w:pos="2127"/>
        </w:tabs>
        <w:ind w:firstLine="284"/>
        <w:jc w:val="both"/>
        <w:rPr>
          <w:rFonts w:ascii="Garamond" w:eastAsia="SimSun" w:hAnsi="Garamond" w:cstheme="majorBidi"/>
          <w:color w:val="0D0D0D" w:themeColor="text1" w:themeTint="F2"/>
        </w:rPr>
      </w:pPr>
      <w:r w:rsidRPr="00770F9D">
        <w:rPr>
          <w:rFonts w:ascii="Garamond" w:eastAsia="SimSun" w:hAnsi="Garamond" w:cstheme="majorBidi"/>
          <w:i/>
          <w:color w:val="0D0D0D" w:themeColor="text1" w:themeTint="F2"/>
          <w:lang w:eastAsia="en-GB"/>
        </w:rPr>
        <w:t xml:space="preserve">Shpenzimet për </w:t>
      </w:r>
      <w:r w:rsidR="006662C7" w:rsidRPr="00770F9D">
        <w:rPr>
          <w:rFonts w:ascii="Garamond" w:eastAsia="SimSun" w:hAnsi="Garamond" w:cstheme="majorBidi"/>
          <w:i/>
          <w:color w:val="0D0D0D" w:themeColor="text1" w:themeTint="F2"/>
          <w:lang w:eastAsia="en-GB"/>
        </w:rPr>
        <w:t>fondet speciale</w:t>
      </w:r>
      <w:r w:rsidR="006662C7" w:rsidRPr="00770F9D">
        <w:rPr>
          <w:rFonts w:ascii="Garamond" w:eastAsia="SimSun" w:hAnsi="Garamond" w:cstheme="majorBidi"/>
          <w:color w:val="0D0D0D" w:themeColor="text1" w:themeTint="F2"/>
        </w:rPr>
        <w:t xml:space="preserve"> </w:t>
      </w:r>
      <w:r w:rsidRPr="00770F9D">
        <w:rPr>
          <w:rFonts w:ascii="Garamond" w:eastAsia="SimSun" w:hAnsi="Garamond" w:cstheme="majorBidi"/>
          <w:color w:val="0D0D0D" w:themeColor="text1" w:themeTint="F2"/>
        </w:rPr>
        <w:t xml:space="preserve">për periudhën </w:t>
      </w:r>
      <w:r w:rsidR="00380627" w:rsidRPr="00770F9D">
        <w:rPr>
          <w:rFonts w:ascii="Garamond" w:eastAsia="SimSun" w:hAnsi="Garamond" w:cstheme="majorBidi"/>
          <w:color w:val="0D0D0D" w:themeColor="text1" w:themeTint="F2"/>
        </w:rPr>
        <w:t xml:space="preserve">11-mujore </w:t>
      </w:r>
      <w:r w:rsidRPr="00770F9D">
        <w:rPr>
          <w:rFonts w:ascii="Garamond" w:eastAsia="SimSun" w:hAnsi="Garamond" w:cstheme="majorBidi"/>
          <w:color w:val="0D0D0D" w:themeColor="text1" w:themeTint="F2"/>
        </w:rPr>
        <w:t>të vitit 2022 rezultuan në nivelin rreth 185.3 miliard</w:t>
      </w:r>
      <w:r w:rsidR="005F716A" w:rsidRPr="00770F9D">
        <w:rPr>
          <w:rFonts w:ascii="Garamond" w:eastAsia="SimSun" w:hAnsi="Garamond" w:cstheme="majorBidi"/>
          <w:color w:val="0D0D0D" w:themeColor="text1" w:themeTint="F2"/>
        </w:rPr>
        <w:t>ë</w:t>
      </w:r>
      <w:r w:rsidRPr="00770F9D">
        <w:rPr>
          <w:rFonts w:ascii="Garamond" w:eastAsia="SimSun" w:hAnsi="Garamond" w:cstheme="majorBidi"/>
          <w:color w:val="0D0D0D" w:themeColor="text1" w:themeTint="F2"/>
        </w:rPr>
        <w:t xml:space="preserve"> </w:t>
      </w:r>
      <w:r w:rsidR="005F716A" w:rsidRPr="00770F9D">
        <w:rPr>
          <w:rFonts w:ascii="Garamond" w:eastAsia="SimSun" w:hAnsi="Garamond" w:cstheme="majorBidi"/>
          <w:color w:val="0D0D0D" w:themeColor="text1" w:themeTint="F2"/>
        </w:rPr>
        <w:t>lekë</w:t>
      </w:r>
      <w:r w:rsidRPr="00770F9D">
        <w:rPr>
          <w:rFonts w:ascii="Garamond" w:eastAsia="SimSun" w:hAnsi="Garamond" w:cstheme="majorBidi"/>
          <w:color w:val="0D0D0D" w:themeColor="text1" w:themeTint="F2"/>
        </w:rPr>
        <w:t xml:space="preserve">, me një realizim prej 96.9 </w:t>
      </w:r>
      <w:r w:rsidR="00623F19" w:rsidRPr="00770F9D">
        <w:rPr>
          <w:rFonts w:ascii="Garamond" w:eastAsia="SimSun" w:hAnsi="Garamond" w:cstheme="majorBidi"/>
          <w:color w:val="0D0D0D" w:themeColor="text1" w:themeTint="F2"/>
        </w:rPr>
        <w:t>përqind</w:t>
      </w:r>
      <w:r w:rsidR="005F716A" w:rsidRPr="00770F9D">
        <w:rPr>
          <w:rFonts w:ascii="Garamond" w:eastAsia="SimSun" w:hAnsi="Garamond" w:cstheme="majorBidi"/>
          <w:color w:val="0D0D0D" w:themeColor="text1" w:themeTint="F2"/>
        </w:rPr>
        <w:t>ësh</w:t>
      </w:r>
      <w:r w:rsidRPr="00770F9D">
        <w:rPr>
          <w:rFonts w:ascii="Garamond" w:eastAsia="SimSun" w:hAnsi="Garamond" w:cstheme="majorBidi"/>
          <w:color w:val="0D0D0D" w:themeColor="text1" w:themeTint="F2"/>
        </w:rPr>
        <w:t xml:space="preserve"> kundrejt planit të periudhës ose 87.3 </w:t>
      </w:r>
      <w:r w:rsidR="00623F19" w:rsidRPr="00770F9D">
        <w:rPr>
          <w:rFonts w:ascii="Garamond" w:eastAsia="SimSun" w:hAnsi="Garamond" w:cstheme="majorBidi"/>
          <w:color w:val="0D0D0D" w:themeColor="text1" w:themeTint="F2"/>
        </w:rPr>
        <w:t>për qind</w:t>
      </w:r>
      <w:r w:rsidRPr="00770F9D">
        <w:rPr>
          <w:rFonts w:ascii="Garamond" w:eastAsia="SimSun" w:hAnsi="Garamond" w:cstheme="majorBidi"/>
          <w:color w:val="0D0D0D" w:themeColor="text1" w:themeTint="F2"/>
        </w:rPr>
        <w:t xml:space="preserve"> të planit vjetor sipas </w:t>
      </w:r>
      <w:r w:rsidR="005F716A" w:rsidRPr="00770F9D">
        <w:rPr>
          <w:rFonts w:ascii="Garamond" w:eastAsia="SimSun" w:hAnsi="Garamond" w:cstheme="majorBidi"/>
          <w:color w:val="0D0D0D" w:themeColor="text1" w:themeTint="F2"/>
        </w:rPr>
        <w:t>buxhetit fillestar dhe të ndryshuar</w:t>
      </w:r>
      <w:r w:rsidRPr="00770F9D">
        <w:rPr>
          <w:rFonts w:ascii="Garamond" w:eastAsia="SimSun" w:hAnsi="Garamond" w:cstheme="majorBidi"/>
          <w:color w:val="0D0D0D" w:themeColor="text1" w:themeTint="F2"/>
        </w:rPr>
        <w:t>. Përkatësisht:</w:t>
      </w:r>
    </w:p>
    <w:p w14:paraId="6DF7FCF7" w14:textId="2FC3A09D" w:rsidR="00F468C9" w:rsidRPr="00770F9D" w:rsidRDefault="00BB0492" w:rsidP="003F46E1">
      <w:pPr>
        <w:widowControl w:val="0"/>
        <w:tabs>
          <w:tab w:val="left" w:pos="2127"/>
        </w:tabs>
        <w:ind w:firstLine="284"/>
        <w:jc w:val="both"/>
        <w:rPr>
          <w:rFonts w:ascii="Garamond" w:eastAsia="Times New Roman" w:hAnsi="Garamond" w:cstheme="majorBidi"/>
          <w:color w:val="0D0D0D" w:themeColor="text1" w:themeTint="F2"/>
          <w:lang w:eastAsia="en-GB"/>
        </w:rPr>
      </w:pPr>
      <w:r w:rsidRPr="00770F9D">
        <w:rPr>
          <w:rFonts w:ascii="Garamond" w:eastAsia="Times New Roman" w:hAnsi="Garamond" w:cstheme="majorBidi"/>
          <w:color w:val="0D0D0D" w:themeColor="text1" w:themeTint="F2"/>
          <w:lang w:eastAsia="en-GB"/>
        </w:rPr>
        <w:t xml:space="preserve">- </w:t>
      </w:r>
      <w:r w:rsidR="00F468C9" w:rsidRPr="00770F9D">
        <w:rPr>
          <w:rFonts w:ascii="Garamond" w:eastAsia="Times New Roman" w:hAnsi="Garamond" w:cstheme="majorBidi"/>
          <w:color w:val="0D0D0D" w:themeColor="text1" w:themeTint="F2"/>
          <w:lang w:eastAsia="en-GB"/>
        </w:rPr>
        <w:t xml:space="preserve">Shpenzimet për </w:t>
      </w:r>
      <w:r w:rsidR="005F716A" w:rsidRPr="00770F9D">
        <w:rPr>
          <w:rFonts w:ascii="Garamond" w:eastAsia="Times New Roman" w:hAnsi="Garamond" w:cstheme="majorBidi"/>
          <w:color w:val="0D0D0D" w:themeColor="text1" w:themeTint="F2"/>
          <w:lang w:eastAsia="en-GB"/>
        </w:rPr>
        <w:t xml:space="preserve">sigurime shoqërore </w:t>
      </w:r>
      <w:r w:rsidR="00F468C9" w:rsidRPr="00770F9D">
        <w:rPr>
          <w:rFonts w:ascii="Garamond" w:eastAsia="Times New Roman" w:hAnsi="Garamond" w:cstheme="majorBidi"/>
          <w:color w:val="0D0D0D" w:themeColor="text1" w:themeTint="F2"/>
          <w:lang w:eastAsia="en-GB"/>
        </w:rPr>
        <w:t>u realizuan në masën rreth 138.9 miliard</w:t>
      </w:r>
      <w:r w:rsidR="005F716A" w:rsidRPr="00770F9D">
        <w:rPr>
          <w:rFonts w:ascii="Garamond" w:eastAsia="Times New Roman" w:hAnsi="Garamond" w:cstheme="majorBidi"/>
          <w:color w:val="0D0D0D" w:themeColor="text1" w:themeTint="F2"/>
          <w:lang w:eastAsia="en-GB"/>
        </w:rPr>
        <w:t>ë</w:t>
      </w:r>
      <w:r w:rsidR="00F468C9" w:rsidRPr="00770F9D">
        <w:rPr>
          <w:rFonts w:ascii="Garamond" w:eastAsia="Times New Roman" w:hAnsi="Garamond" w:cstheme="majorBidi"/>
          <w:color w:val="0D0D0D" w:themeColor="text1" w:themeTint="F2"/>
          <w:lang w:eastAsia="en-GB"/>
        </w:rPr>
        <w:t xml:space="preserve"> </w:t>
      </w:r>
      <w:r w:rsidR="005F716A" w:rsidRPr="00770F9D">
        <w:rPr>
          <w:rFonts w:ascii="Garamond" w:eastAsia="Times New Roman" w:hAnsi="Garamond" w:cstheme="majorBidi"/>
          <w:color w:val="0D0D0D" w:themeColor="text1" w:themeTint="F2"/>
          <w:lang w:eastAsia="en-GB"/>
        </w:rPr>
        <w:t>lekë</w:t>
      </w:r>
      <w:r w:rsidR="00F468C9" w:rsidRPr="00770F9D">
        <w:rPr>
          <w:rFonts w:ascii="Garamond" w:eastAsia="Times New Roman" w:hAnsi="Garamond" w:cstheme="majorBidi"/>
          <w:color w:val="0D0D0D" w:themeColor="text1" w:themeTint="F2"/>
          <w:lang w:eastAsia="en-GB"/>
        </w:rPr>
        <w:t xml:space="preserve">, me një realizim në masën 101.5 </w:t>
      </w:r>
      <w:r w:rsidR="00623F19" w:rsidRPr="00770F9D">
        <w:rPr>
          <w:rFonts w:ascii="Garamond" w:eastAsia="Times New Roman" w:hAnsi="Garamond" w:cstheme="majorBidi"/>
          <w:color w:val="0D0D0D" w:themeColor="text1" w:themeTint="F2"/>
          <w:lang w:eastAsia="en-GB"/>
        </w:rPr>
        <w:t>për qind</w:t>
      </w:r>
      <w:r w:rsidR="00F468C9" w:rsidRPr="00770F9D">
        <w:rPr>
          <w:rFonts w:ascii="Garamond" w:eastAsia="Times New Roman" w:hAnsi="Garamond" w:cstheme="majorBidi"/>
          <w:color w:val="0D0D0D" w:themeColor="text1" w:themeTint="F2"/>
          <w:lang w:eastAsia="en-GB"/>
        </w:rPr>
        <w:t xml:space="preserve"> të planit të periudhës, 93.3 </w:t>
      </w:r>
      <w:r w:rsidR="00623F19" w:rsidRPr="00770F9D">
        <w:rPr>
          <w:rFonts w:ascii="Garamond" w:eastAsia="Times New Roman" w:hAnsi="Garamond" w:cstheme="majorBidi"/>
          <w:color w:val="0D0D0D" w:themeColor="text1" w:themeTint="F2"/>
          <w:lang w:eastAsia="en-GB"/>
        </w:rPr>
        <w:t>për qind</w:t>
      </w:r>
      <w:r w:rsidR="00F468C9" w:rsidRPr="00770F9D">
        <w:rPr>
          <w:rFonts w:ascii="Garamond" w:eastAsia="Times New Roman" w:hAnsi="Garamond" w:cstheme="majorBidi"/>
          <w:color w:val="0D0D0D" w:themeColor="text1" w:themeTint="F2"/>
          <w:lang w:eastAsia="en-GB"/>
        </w:rPr>
        <w:t xml:space="preserve"> të planit vjetor sipas </w:t>
      </w:r>
      <w:r w:rsidR="005F716A" w:rsidRPr="00770F9D">
        <w:rPr>
          <w:rFonts w:ascii="Garamond" w:eastAsia="Times New Roman" w:hAnsi="Garamond" w:cstheme="majorBidi"/>
          <w:color w:val="0D0D0D" w:themeColor="text1" w:themeTint="F2"/>
          <w:lang w:eastAsia="en-GB"/>
        </w:rPr>
        <w:t>buxhetit fil</w:t>
      </w:r>
      <w:r w:rsidR="00F468C9" w:rsidRPr="00770F9D">
        <w:rPr>
          <w:rFonts w:ascii="Garamond" w:eastAsia="Times New Roman" w:hAnsi="Garamond" w:cstheme="majorBidi"/>
          <w:color w:val="0D0D0D" w:themeColor="text1" w:themeTint="F2"/>
          <w:lang w:eastAsia="en-GB"/>
        </w:rPr>
        <w:t xml:space="preserve">lestar dhe 93.7 </w:t>
      </w:r>
      <w:r w:rsidR="00623F19" w:rsidRPr="00770F9D">
        <w:rPr>
          <w:rFonts w:ascii="Garamond" w:eastAsia="Times New Roman" w:hAnsi="Garamond" w:cstheme="majorBidi"/>
          <w:color w:val="0D0D0D" w:themeColor="text1" w:themeTint="F2"/>
          <w:lang w:eastAsia="en-GB"/>
        </w:rPr>
        <w:t>për qind</w:t>
      </w:r>
      <w:r w:rsidR="00F468C9" w:rsidRPr="00770F9D">
        <w:rPr>
          <w:rFonts w:ascii="Garamond" w:eastAsia="Times New Roman" w:hAnsi="Garamond" w:cstheme="majorBidi"/>
          <w:color w:val="0D0D0D" w:themeColor="text1" w:themeTint="F2"/>
          <w:lang w:eastAsia="en-GB"/>
        </w:rPr>
        <w:t xml:space="preserve"> të planit vjetor të ndryshuar.</w:t>
      </w:r>
    </w:p>
    <w:p w14:paraId="5DB08764" w14:textId="514BC074" w:rsidR="00F468C9" w:rsidRPr="00770F9D" w:rsidRDefault="00BB0492" w:rsidP="003F46E1">
      <w:pPr>
        <w:widowControl w:val="0"/>
        <w:tabs>
          <w:tab w:val="left" w:pos="2127"/>
        </w:tabs>
        <w:ind w:firstLine="284"/>
        <w:jc w:val="both"/>
        <w:rPr>
          <w:rFonts w:ascii="Garamond" w:eastAsia="Times New Roman" w:hAnsi="Garamond" w:cstheme="majorBidi"/>
          <w:color w:val="0D0D0D" w:themeColor="text1" w:themeTint="F2"/>
          <w:lang w:eastAsia="en-GB"/>
        </w:rPr>
      </w:pPr>
      <w:r w:rsidRPr="00770F9D">
        <w:rPr>
          <w:rFonts w:ascii="Garamond" w:eastAsia="Times New Roman" w:hAnsi="Garamond" w:cstheme="majorBidi"/>
          <w:color w:val="0D0D0D" w:themeColor="text1" w:themeTint="F2"/>
          <w:lang w:eastAsia="en-GB"/>
        </w:rPr>
        <w:t xml:space="preserve">- </w:t>
      </w:r>
      <w:r w:rsidR="00F468C9" w:rsidRPr="00770F9D">
        <w:rPr>
          <w:rFonts w:ascii="Garamond" w:eastAsia="Times New Roman" w:hAnsi="Garamond" w:cstheme="majorBidi"/>
          <w:color w:val="0D0D0D" w:themeColor="text1" w:themeTint="F2"/>
          <w:lang w:eastAsia="en-GB"/>
        </w:rPr>
        <w:t xml:space="preserve">Shpenzimet për sigurime shëndetësore rezultuan në rreth 45.2 </w:t>
      </w:r>
      <w:r w:rsidR="00380627" w:rsidRPr="00770F9D">
        <w:rPr>
          <w:rFonts w:ascii="Garamond" w:eastAsia="Times New Roman" w:hAnsi="Garamond" w:cstheme="majorBidi"/>
          <w:color w:val="0D0D0D" w:themeColor="text1" w:themeTint="F2"/>
          <w:lang w:eastAsia="en-GB"/>
        </w:rPr>
        <w:t xml:space="preserve">miliardë lekë </w:t>
      </w:r>
      <w:r w:rsidR="00F468C9" w:rsidRPr="00770F9D">
        <w:rPr>
          <w:rFonts w:ascii="Garamond" w:eastAsia="Times New Roman" w:hAnsi="Garamond" w:cstheme="majorBidi"/>
          <w:color w:val="0D0D0D" w:themeColor="text1" w:themeTint="F2"/>
          <w:lang w:eastAsia="en-GB"/>
        </w:rPr>
        <w:t xml:space="preserve">me një realizim në masën 93.9 </w:t>
      </w:r>
      <w:r w:rsidR="00623F19" w:rsidRPr="00770F9D">
        <w:rPr>
          <w:rFonts w:ascii="Garamond" w:eastAsia="Times New Roman" w:hAnsi="Garamond" w:cstheme="majorBidi"/>
          <w:color w:val="0D0D0D" w:themeColor="text1" w:themeTint="F2"/>
          <w:lang w:eastAsia="en-GB"/>
        </w:rPr>
        <w:t>për qind</w:t>
      </w:r>
      <w:r w:rsidR="00F468C9" w:rsidRPr="00770F9D">
        <w:rPr>
          <w:rFonts w:ascii="Garamond" w:eastAsia="Times New Roman" w:hAnsi="Garamond" w:cstheme="majorBidi"/>
          <w:color w:val="0D0D0D" w:themeColor="text1" w:themeTint="F2"/>
          <w:lang w:eastAsia="en-GB"/>
        </w:rPr>
        <w:t xml:space="preserve"> të planit të periudhës dhe 85.6 </w:t>
      </w:r>
      <w:r w:rsidR="00623F19" w:rsidRPr="00770F9D">
        <w:rPr>
          <w:rFonts w:ascii="Garamond" w:eastAsia="Times New Roman" w:hAnsi="Garamond" w:cstheme="majorBidi"/>
          <w:color w:val="0D0D0D" w:themeColor="text1" w:themeTint="F2"/>
          <w:lang w:eastAsia="en-GB"/>
        </w:rPr>
        <w:t>për qind</w:t>
      </w:r>
      <w:r w:rsidR="00F468C9" w:rsidRPr="00770F9D">
        <w:rPr>
          <w:rFonts w:ascii="Garamond" w:eastAsia="Times New Roman" w:hAnsi="Garamond" w:cstheme="majorBidi"/>
          <w:color w:val="0D0D0D" w:themeColor="text1" w:themeTint="F2"/>
          <w:lang w:eastAsia="en-GB"/>
        </w:rPr>
        <w:t xml:space="preserve"> të planit vjetor sipas </w:t>
      </w:r>
      <w:r w:rsidR="005F716A" w:rsidRPr="00770F9D">
        <w:rPr>
          <w:rFonts w:ascii="Garamond" w:eastAsia="Times New Roman" w:hAnsi="Garamond" w:cstheme="majorBidi"/>
          <w:color w:val="0D0D0D" w:themeColor="text1" w:themeTint="F2"/>
          <w:lang w:eastAsia="en-GB"/>
        </w:rPr>
        <w:t xml:space="preserve">buxhetit fillestar </w:t>
      </w:r>
      <w:r w:rsidR="00F468C9" w:rsidRPr="00770F9D">
        <w:rPr>
          <w:rFonts w:ascii="Garamond" w:eastAsia="Times New Roman" w:hAnsi="Garamond" w:cstheme="majorBidi"/>
          <w:color w:val="0D0D0D" w:themeColor="text1" w:themeTint="F2"/>
          <w:lang w:eastAsia="en-GB"/>
        </w:rPr>
        <w:t>dhe të ndryshuar.</w:t>
      </w:r>
    </w:p>
    <w:p w14:paraId="5846E450" w14:textId="6C8AA5A8" w:rsidR="00F468C9" w:rsidRPr="00770F9D" w:rsidRDefault="00BB0492" w:rsidP="003F46E1">
      <w:pPr>
        <w:widowControl w:val="0"/>
        <w:tabs>
          <w:tab w:val="left" w:pos="2127"/>
        </w:tabs>
        <w:ind w:firstLine="284"/>
        <w:jc w:val="both"/>
        <w:rPr>
          <w:rFonts w:ascii="Garamond" w:eastAsia="Times New Roman" w:hAnsi="Garamond" w:cstheme="majorBidi"/>
          <w:color w:val="0D0D0D" w:themeColor="text1" w:themeTint="F2"/>
          <w:lang w:eastAsia="en-GB"/>
        </w:rPr>
      </w:pPr>
      <w:r w:rsidRPr="00770F9D">
        <w:rPr>
          <w:rFonts w:ascii="Garamond" w:eastAsia="Times New Roman" w:hAnsi="Garamond" w:cstheme="majorBidi"/>
          <w:color w:val="0D0D0D" w:themeColor="text1" w:themeTint="F2"/>
          <w:lang w:eastAsia="en-GB"/>
        </w:rPr>
        <w:t xml:space="preserve">- </w:t>
      </w:r>
      <w:r w:rsidR="00F468C9" w:rsidRPr="00770F9D">
        <w:rPr>
          <w:rFonts w:ascii="Garamond" w:eastAsia="Times New Roman" w:hAnsi="Garamond" w:cstheme="majorBidi"/>
          <w:color w:val="0D0D0D" w:themeColor="text1" w:themeTint="F2"/>
          <w:lang w:eastAsia="en-GB"/>
        </w:rPr>
        <w:t xml:space="preserve">Shpenzimet për kompensimin e pronarëve rezultuan në rreth 1.2 </w:t>
      </w:r>
      <w:r w:rsidR="00380627" w:rsidRPr="00770F9D">
        <w:rPr>
          <w:rFonts w:ascii="Garamond" w:eastAsia="Times New Roman" w:hAnsi="Garamond" w:cstheme="majorBidi"/>
          <w:color w:val="0D0D0D" w:themeColor="text1" w:themeTint="F2"/>
          <w:lang w:eastAsia="en-GB"/>
        </w:rPr>
        <w:t xml:space="preserve">miliardë lekë </w:t>
      </w:r>
      <w:r w:rsidR="00F468C9" w:rsidRPr="00770F9D">
        <w:rPr>
          <w:rFonts w:ascii="Garamond" w:eastAsia="Times New Roman" w:hAnsi="Garamond" w:cstheme="majorBidi"/>
          <w:color w:val="0D0D0D" w:themeColor="text1" w:themeTint="F2"/>
          <w:lang w:eastAsia="en-GB"/>
        </w:rPr>
        <w:t xml:space="preserve">me një realizim në masën 32.7 </w:t>
      </w:r>
      <w:r w:rsidR="00623F19" w:rsidRPr="00770F9D">
        <w:rPr>
          <w:rFonts w:ascii="Garamond" w:eastAsia="Times New Roman" w:hAnsi="Garamond" w:cstheme="majorBidi"/>
          <w:color w:val="0D0D0D" w:themeColor="text1" w:themeTint="F2"/>
          <w:lang w:eastAsia="en-GB"/>
        </w:rPr>
        <w:t>për qind</w:t>
      </w:r>
      <w:r w:rsidR="00F468C9" w:rsidRPr="00770F9D">
        <w:rPr>
          <w:rFonts w:ascii="Garamond" w:eastAsia="Times New Roman" w:hAnsi="Garamond" w:cstheme="majorBidi"/>
          <w:color w:val="0D0D0D" w:themeColor="text1" w:themeTint="F2"/>
          <w:lang w:eastAsia="en-GB"/>
        </w:rPr>
        <w:t xml:space="preserve"> të planit të periudhës dhe 27.4 </w:t>
      </w:r>
      <w:r w:rsidR="00623F19" w:rsidRPr="00770F9D">
        <w:rPr>
          <w:rFonts w:ascii="Garamond" w:eastAsia="Times New Roman" w:hAnsi="Garamond" w:cstheme="majorBidi"/>
          <w:color w:val="0D0D0D" w:themeColor="text1" w:themeTint="F2"/>
          <w:lang w:eastAsia="en-GB"/>
        </w:rPr>
        <w:t>për qind</w:t>
      </w:r>
      <w:r w:rsidR="00F468C9" w:rsidRPr="00770F9D">
        <w:rPr>
          <w:rFonts w:ascii="Garamond" w:eastAsia="Times New Roman" w:hAnsi="Garamond" w:cstheme="majorBidi"/>
          <w:color w:val="0D0D0D" w:themeColor="text1" w:themeTint="F2"/>
          <w:lang w:eastAsia="en-GB"/>
        </w:rPr>
        <w:t xml:space="preserve"> të planit vjetor sipas </w:t>
      </w:r>
      <w:r w:rsidR="005F716A" w:rsidRPr="00770F9D">
        <w:rPr>
          <w:rFonts w:ascii="Garamond" w:eastAsia="Times New Roman" w:hAnsi="Garamond" w:cstheme="majorBidi"/>
          <w:color w:val="0D0D0D" w:themeColor="text1" w:themeTint="F2"/>
          <w:lang w:eastAsia="en-GB"/>
        </w:rPr>
        <w:t>buxhetit fille</w:t>
      </w:r>
      <w:r w:rsidR="00F468C9" w:rsidRPr="00770F9D">
        <w:rPr>
          <w:rFonts w:ascii="Garamond" w:eastAsia="Times New Roman" w:hAnsi="Garamond" w:cstheme="majorBidi"/>
          <w:color w:val="0D0D0D" w:themeColor="text1" w:themeTint="F2"/>
          <w:lang w:eastAsia="en-GB"/>
        </w:rPr>
        <w:t>star dhe të ndryshuar.</w:t>
      </w:r>
    </w:p>
    <w:p w14:paraId="32B1BADD" w14:textId="4F3CECD0" w:rsidR="00F468C9" w:rsidRPr="00770F9D" w:rsidRDefault="00BB0492" w:rsidP="003F46E1">
      <w:pPr>
        <w:widowControl w:val="0"/>
        <w:tabs>
          <w:tab w:val="left" w:pos="2127"/>
        </w:tabs>
        <w:ind w:firstLine="284"/>
        <w:jc w:val="both"/>
        <w:rPr>
          <w:rFonts w:ascii="Garamond" w:eastAsia="Times New Roman" w:hAnsi="Garamond" w:cstheme="majorBidi"/>
          <w:color w:val="0D0D0D" w:themeColor="text1" w:themeTint="F2"/>
          <w:lang w:eastAsia="en-GB"/>
        </w:rPr>
      </w:pPr>
      <w:r w:rsidRPr="00770F9D">
        <w:rPr>
          <w:rFonts w:ascii="Garamond" w:eastAsia="Times New Roman" w:hAnsi="Garamond" w:cstheme="majorBidi"/>
          <w:color w:val="0D0D0D" w:themeColor="text1" w:themeTint="F2"/>
          <w:lang w:eastAsia="en-GB"/>
        </w:rPr>
        <w:t xml:space="preserve">- </w:t>
      </w:r>
      <w:r w:rsidR="00F468C9" w:rsidRPr="00770F9D">
        <w:rPr>
          <w:rFonts w:ascii="Garamond" w:eastAsia="Times New Roman" w:hAnsi="Garamond" w:cstheme="majorBidi"/>
          <w:color w:val="0D0D0D" w:themeColor="text1" w:themeTint="F2"/>
          <w:lang w:eastAsia="en-GB"/>
        </w:rPr>
        <w:t xml:space="preserve">Kundrejt </w:t>
      </w:r>
      <w:r w:rsidR="005F716A" w:rsidRPr="00770F9D">
        <w:rPr>
          <w:rFonts w:ascii="Garamond" w:eastAsia="Times New Roman" w:hAnsi="Garamond" w:cstheme="majorBidi"/>
          <w:color w:val="0D0D0D" w:themeColor="text1" w:themeTint="F2"/>
          <w:lang w:eastAsia="en-GB"/>
        </w:rPr>
        <w:t xml:space="preserve">së njëjtës </w:t>
      </w:r>
      <w:r w:rsidR="00F468C9" w:rsidRPr="00770F9D">
        <w:rPr>
          <w:rFonts w:ascii="Garamond" w:eastAsia="Times New Roman" w:hAnsi="Garamond" w:cstheme="majorBidi"/>
          <w:color w:val="0D0D0D" w:themeColor="text1" w:themeTint="F2"/>
          <w:lang w:eastAsia="en-GB"/>
        </w:rPr>
        <w:t xml:space="preserve">periudhë të vitit 2021, shpenzimet për sigurime shoqërore janë rreth 7.7 </w:t>
      </w:r>
      <w:r w:rsidR="00380627" w:rsidRPr="00770F9D">
        <w:rPr>
          <w:rFonts w:ascii="Garamond" w:eastAsia="Times New Roman" w:hAnsi="Garamond" w:cstheme="majorBidi"/>
          <w:color w:val="0D0D0D" w:themeColor="text1" w:themeTint="F2"/>
          <w:lang w:eastAsia="en-GB"/>
        </w:rPr>
        <w:t xml:space="preserve">miliardë lekë </w:t>
      </w:r>
      <w:r w:rsidR="00F468C9" w:rsidRPr="00770F9D">
        <w:rPr>
          <w:rFonts w:ascii="Garamond" w:eastAsia="Times New Roman" w:hAnsi="Garamond" w:cstheme="majorBidi"/>
          <w:color w:val="0D0D0D" w:themeColor="text1" w:themeTint="F2"/>
          <w:lang w:eastAsia="en-GB"/>
        </w:rPr>
        <w:t xml:space="preserve">më të larta, shpenzimet për sigurime shëndetësore janë rreth 1.3 </w:t>
      </w:r>
      <w:r w:rsidR="00380627" w:rsidRPr="00770F9D">
        <w:rPr>
          <w:rFonts w:ascii="Garamond" w:eastAsia="Times New Roman" w:hAnsi="Garamond" w:cstheme="majorBidi"/>
          <w:color w:val="0D0D0D" w:themeColor="text1" w:themeTint="F2"/>
          <w:lang w:eastAsia="en-GB"/>
        </w:rPr>
        <w:t xml:space="preserve">miliardë lekë </w:t>
      </w:r>
      <w:r w:rsidR="00F468C9" w:rsidRPr="00770F9D">
        <w:rPr>
          <w:rFonts w:ascii="Garamond" w:eastAsia="Times New Roman" w:hAnsi="Garamond" w:cstheme="majorBidi"/>
          <w:color w:val="0D0D0D" w:themeColor="text1" w:themeTint="F2"/>
          <w:lang w:eastAsia="en-GB"/>
        </w:rPr>
        <w:t xml:space="preserve">më të larta dhe shpenzimet për kompensimin e pronarëve janë 432 </w:t>
      </w:r>
      <w:r w:rsidR="00C63A5C" w:rsidRPr="00770F9D">
        <w:rPr>
          <w:rFonts w:ascii="Garamond" w:eastAsia="Times New Roman" w:hAnsi="Garamond" w:cstheme="majorBidi"/>
          <w:color w:val="0D0D0D" w:themeColor="text1" w:themeTint="F2"/>
          <w:lang w:eastAsia="en-GB"/>
        </w:rPr>
        <w:t xml:space="preserve">milionë lekë </w:t>
      </w:r>
      <w:r w:rsidR="00F468C9" w:rsidRPr="00770F9D">
        <w:rPr>
          <w:rFonts w:ascii="Garamond" w:eastAsia="Times New Roman" w:hAnsi="Garamond" w:cstheme="majorBidi"/>
          <w:color w:val="0D0D0D" w:themeColor="text1" w:themeTint="F2"/>
          <w:lang w:eastAsia="en-GB"/>
        </w:rPr>
        <w:t>më të ulëta.</w:t>
      </w:r>
    </w:p>
    <w:p w14:paraId="0004E11E" w14:textId="03DE5FC7" w:rsidR="00072546" w:rsidRPr="00770F9D" w:rsidRDefault="00072546" w:rsidP="003F46E1">
      <w:pPr>
        <w:tabs>
          <w:tab w:val="left" w:pos="2127"/>
        </w:tabs>
        <w:autoSpaceDE w:val="0"/>
        <w:autoSpaceDN w:val="0"/>
        <w:adjustRightInd w:val="0"/>
        <w:ind w:firstLine="284"/>
        <w:jc w:val="both"/>
        <w:rPr>
          <w:rFonts w:ascii="Garamond" w:hAnsi="Garamond" w:cs="Garamond"/>
          <w:color w:val="0D0D0D"/>
          <w:lang w:eastAsia="sq-AL"/>
        </w:rPr>
      </w:pPr>
      <w:r w:rsidRPr="00770F9D">
        <w:rPr>
          <w:rFonts w:ascii="Garamond" w:hAnsi="Garamond" w:cs="Garamond"/>
          <w:i/>
          <w:iCs/>
          <w:color w:val="0D0D0D"/>
          <w:lang w:eastAsia="sq-AL"/>
        </w:rPr>
        <w:t>Shpenzimet e tjera sociale</w:t>
      </w:r>
      <w:r w:rsidRPr="00770F9D">
        <w:rPr>
          <w:rFonts w:ascii="Garamond" w:hAnsi="Garamond" w:cs="Garamond"/>
          <w:color w:val="0D0D0D"/>
          <w:lang w:eastAsia="sq-AL"/>
        </w:rPr>
        <w:t xml:space="preserve"> për periudhën </w:t>
      </w:r>
      <w:r w:rsidR="00380627" w:rsidRPr="00770F9D">
        <w:rPr>
          <w:rFonts w:ascii="Garamond" w:hAnsi="Garamond" w:cs="Garamond"/>
          <w:color w:val="0D0D0D"/>
          <w:lang w:eastAsia="sq-AL"/>
        </w:rPr>
        <w:t xml:space="preserve">11-mujore </w:t>
      </w:r>
      <w:r w:rsidRPr="00770F9D">
        <w:rPr>
          <w:rFonts w:ascii="Garamond" w:hAnsi="Garamond" w:cs="Garamond"/>
          <w:color w:val="0D0D0D"/>
          <w:lang w:eastAsia="sq-AL"/>
        </w:rPr>
        <w:t>të vitit 2022 rezultuan rreth 25.5 miliard</w:t>
      </w:r>
      <w:r w:rsidR="00C63A5C" w:rsidRPr="00770F9D">
        <w:rPr>
          <w:rFonts w:ascii="Garamond" w:hAnsi="Garamond" w:cs="Garamond"/>
          <w:color w:val="0D0D0D"/>
          <w:lang w:eastAsia="sq-AL"/>
        </w:rPr>
        <w:t>ë</w:t>
      </w:r>
      <w:r w:rsidRPr="00770F9D">
        <w:rPr>
          <w:rFonts w:ascii="Garamond" w:hAnsi="Garamond" w:cs="Garamond"/>
          <w:color w:val="0D0D0D"/>
          <w:lang w:eastAsia="sq-AL"/>
        </w:rPr>
        <w:t xml:space="preserve"> </w:t>
      </w:r>
      <w:r w:rsidR="00C63A5C" w:rsidRPr="00770F9D">
        <w:rPr>
          <w:rFonts w:ascii="Garamond" w:hAnsi="Garamond" w:cs="Garamond"/>
          <w:color w:val="0D0D0D"/>
          <w:lang w:eastAsia="sq-AL"/>
        </w:rPr>
        <w:t>lekë</w:t>
      </w:r>
      <w:r w:rsidRPr="00770F9D">
        <w:rPr>
          <w:rFonts w:ascii="Garamond" w:hAnsi="Garamond" w:cs="Garamond"/>
          <w:color w:val="0D0D0D"/>
          <w:lang w:eastAsia="sq-AL"/>
        </w:rPr>
        <w:t xml:space="preserve">, me një realizim në masën 101.5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të planit të periudhës ose 92.1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të planit vjetor sipas </w:t>
      </w:r>
      <w:r w:rsidR="00C63A5C" w:rsidRPr="00770F9D">
        <w:rPr>
          <w:rFonts w:ascii="Garamond" w:hAnsi="Garamond" w:cs="Garamond"/>
          <w:color w:val="0D0D0D"/>
          <w:lang w:eastAsia="sq-AL"/>
        </w:rPr>
        <w:t>buxhetit fillestar dhe të ndryshuar</w:t>
      </w:r>
      <w:r w:rsidRPr="00770F9D">
        <w:rPr>
          <w:rFonts w:ascii="Garamond" w:hAnsi="Garamond" w:cs="Garamond"/>
          <w:color w:val="0D0D0D"/>
          <w:lang w:eastAsia="sq-AL"/>
        </w:rPr>
        <w:t>. Përkatësisht:</w:t>
      </w:r>
    </w:p>
    <w:p w14:paraId="563CF3CB" w14:textId="38748A7C" w:rsidR="00072546" w:rsidRPr="00770F9D" w:rsidRDefault="00072546" w:rsidP="003F46E1">
      <w:pPr>
        <w:tabs>
          <w:tab w:val="left" w:pos="2127"/>
        </w:tabs>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Shpenzimet për </w:t>
      </w:r>
      <w:r w:rsidR="00C63A5C" w:rsidRPr="00770F9D">
        <w:rPr>
          <w:rFonts w:ascii="Garamond" w:hAnsi="Garamond" w:cs="Garamond"/>
          <w:color w:val="0D0D0D"/>
          <w:lang w:eastAsia="sq-AL"/>
        </w:rPr>
        <w:t xml:space="preserve">papunësinë </w:t>
      </w:r>
      <w:r w:rsidRPr="00770F9D">
        <w:rPr>
          <w:rFonts w:ascii="Garamond" w:hAnsi="Garamond" w:cs="Garamond"/>
          <w:color w:val="0D0D0D"/>
          <w:lang w:eastAsia="sq-AL"/>
        </w:rPr>
        <w:t>për 11</w:t>
      </w:r>
      <w:r w:rsidR="00C63A5C" w:rsidRPr="00770F9D">
        <w:rPr>
          <w:rFonts w:ascii="Garamond" w:hAnsi="Garamond" w:cs="Garamond"/>
          <w:color w:val="0D0D0D"/>
          <w:lang w:eastAsia="sq-AL"/>
        </w:rPr>
        <w:t>-</w:t>
      </w:r>
      <w:r w:rsidRPr="00770F9D">
        <w:rPr>
          <w:rFonts w:ascii="Garamond" w:hAnsi="Garamond" w:cs="Garamond"/>
          <w:color w:val="0D0D0D"/>
          <w:lang w:eastAsia="sq-AL"/>
        </w:rPr>
        <w:t xml:space="preserve">mujorin e vitit 2022 janë realizuar në masën 674 </w:t>
      </w:r>
      <w:r w:rsidR="00C63A5C" w:rsidRPr="00770F9D">
        <w:rPr>
          <w:rFonts w:ascii="Garamond" w:hAnsi="Garamond" w:cs="Garamond"/>
          <w:color w:val="0D0D0D"/>
          <w:lang w:eastAsia="sq-AL"/>
        </w:rPr>
        <w:t xml:space="preserve">milionë lekë </w:t>
      </w:r>
      <w:r w:rsidRPr="00770F9D">
        <w:rPr>
          <w:rFonts w:ascii="Garamond" w:hAnsi="Garamond" w:cs="Garamond"/>
          <w:color w:val="0D0D0D"/>
          <w:lang w:eastAsia="sq-AL"/>
        </w:rPr>
        <w:t xml:space="preserve">ose 83.7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e planit të periudhës. Në terma vjetorë, shpenzimet për papunësinë rezultojnë 74.8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e planit vjetor sipas buxhetit fillestar dhe të ndryshuar. Kundrejt </w:t>
      </w:r>
      <w:r w:rsidR="005F716A" w:rsidRPr="00770F9D">
        <w:rPr>
          <w:rFonts w:ascii="Garamond" w:hAnsi="Garamond" w:cs="Garamond"/>
          <w:color w:val="0D0D0D"/>
          <w:lang w:eastAsia="sq-AL"/>
        </w:rPr>
        <w:t xml:space="preserve">së njëjtës </w:t>
      </w:r>
      <w:r w:rsidRPr="00770F9D">
        <w:rPr>
          <w:rFonts w:ascii="Garamond" w:hAnsi="Garamond" w:cs="Garamond"/>
          <w:color w:val="0D0D0D"/>
          <w:lang w:eastAsia="sq-AL"/>
        </w:rPr>
        <w:t xml:space="preserve">periudhë të vitit 2021 shpenzimet për këtë zë rezultojnë me një ulje në masën 24.8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ose 222 </w:t>
      </w:r>
      <w:r w:rsidR="00C63A5C" w:rsidRPr="00770F9D">
        <w:rPr>
          <w:rFonts w:ascii="Garamond" w:hAnsi="Garamond" w:cs="Garamond"/>
          <w:color w:val="0D0D0D"/>
          <w:lang w:eastAsia="sq-AL"/>
        </w:rPr>
        <w:t xml:space="preserve">milionë lekë </w:t>
      </w:r>
      <w:r w:rsidRPr="00770F9D">
        <w:rPr>
          <w:rFonts w:ascii="Garamond" w:hAnsi="Garamond" w:cs="Garamond"/>
          <w:color w:val="0D0D0D"/>
          <w:lang w:eastAsia="sq-AL"/>
        </w:rPr>
        <w:t xml:space="preserve">më pak. </w:t>
      </w:r>
    </w:p>
    <w:p w14:paraId="7B619FEA" w14:textId="47E08D72" w:rsidR="00072546" w:rsidRPr="00770F9D" w:rsidRDefault="00072546" w:rsidP="003F46E1">
      <w:pPr>
        <w:tabs>
          <w:tab w:val="left" w:pos="2127"/>
        </w:tabs>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Shpenzimet për </w:t>
      </w:r>
      <w:r w:rsidR="00CD2D8C" w:rsidRPr="00770F9D">
        <w:rPr>
          <w:rFonts w:ascii="Garamond" w:hAnsi="Garamond" w:cs="Garamond"/>
          <w:color w:val="0D0D0D"/>
          <w:lang w:eastAsia="sq-AL"/>
        </w:rPr>
        <w:t xml:space="preserve">ndihmën ekonomike dhe pagesën e paaftësisë </w:t>
      </w:r>
      <w:r w:rsidRPr="00770F9D">
        <w:rPr>
          <w:rFonts w:ascii="Garamond" w:hAnsi="Garamond" w:cs="Garamond"/>
          <w:color w:val="0D0D0D"/>
          <w:lang w:eastAsia="sq-AL"/>
        </w:rPr>
        <w:t xml:space="preserve">(PAK) për periudhën </w:t>
      </w:r>
      <w:r w:rsidR="00380627" w:rsidRPr="00770F9D">
        <w:rPr>
          <w:rFonts w:ascii="Garamond" w:hAnsi="Garamond" w:cs="Garamond"/>
          <w:color w:val="0D0D0D"/>
          <w:lang w:eastAsia="sq-AL"/>
        </w:rPr>
        <w:t xml:space="preserve">11-mujore </w:t>
      </w:r>
      <w:r w:rsidRPr="00770F9D">
        <w:rPr>
          <w:rFonts w:ascii="Garamond" w:hAnsi="Garamond" w:cs="Garamond"/>
          <w:color w:val="0D0D0D"/>
          <w:lang w:eastAsia="sq-AL"/>
        </w:rPr>
        <w:t xml:space="preserve">të vitit 2022 u realizuan në masën rreth 21.1 </w:t>
      </w:r>
      <w:r w:rsidR="00380627" w:rsidRPr="00770F9D">
        <w:rPr>
          <w:rFonts w:ascii="Garamond" w:hAnsi="Garamond" w:cs="Garamond"/>
          <w:color w:val="0D0D0D"/>
          <w:lang w:eastAsia="sq-AL"/>
        </w:rPr>
        <w:t>miliardë lekë</w:t>
      </w:r>
      <w:r w:rsidR="00904C74" w:rsidRPr="00770F9D">
        <w:rPr>
          <w:rFonts w:ascii="Garamond" w:hAnsi="Garamond" w:cs="Garamond"/>
          <w:color w:val="0D0D0D"/>
          <w:lang w:eastAsia="sq-AL"/>
        </w:rPr>
        <w:t>,</w:t>
      </w:r>
      <w:r w:rsidR="00380627" w:rsidRPr="00770F9D">
        <w:rPr>
          <w:rFonts w:ascii="Garamond" w:hAnsi="Garamond" w:cs="Garamond"/>
          <w:color w:val="0D0D0D"/>
          <w:lang w:eastAsia="sq-AL"/>
        </w:rPr>
        <w:t xml:space="preserve"> </w:t>
      </w:r>
      <w:r w:rsidRPr="00770F9D">
        <w:rPr>
          <w:rFonts w:ascii="Garamond" w:hAnsi="Garamond" w:cs="Garamond"/>
          <w:color w:val="0D0D0D"/>
          <w:lang w:eastAsia="sq-AL"/>
        </w:rPr>
        <w:t xml:space="preserve">duke rezultuar 98.8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e planit të periudhës. Në raport me planin vjetor, këto shpenzime janë realizuar në masën 89.6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e planit vjetor</w:t>
      </w:r>
      <w:r w:rsidR="00904C74" w:rsidRPr="00770F9D">
        <w:rPr>
          <w:rFonts w:ascii="Garamond" w:hAnsi="Garamond" w:cs="Garamond"/>
          <w:color w:val="0D0D0D"/>
          <w:lang w:eastAsia="sq-AL"/>
        </w:rPr>
        <w:t>,</w:t>
      </w:r>
      <w:r w:rsidRPr="00770F9D">
        <w:rPr>
          <w:rFonts w:ascii="Garamond" w:hAnsi="Garamond" w:cs="Garamond"/>
          <w:color w:val="0D0D0D"/>
          <w:lang w:eastAsia="sq-AL"/>
        </w:rPr>
        <w:t xml:space="preserve"> sipas buxhetit fillestar dhe të ndryshuar. Kundrejt </w:t>
      </w:r>
      <w:r w:rsidR="005F716A" w:rsidRPr="00770F9D">
        <w:rPr>
          <w:rFonts w:ascii="Garamond" w:hAnsi="Garamond" w:cs="Garamond"/>
          <w:color w:val="0D0D0D"/>
          <w:lang w:eastAsia="sq-AL"/>
        </w:rPr>
        <w:t xml:space="preserve">së njëjtës </w:t>
      </w:r>
      <w:r w:rsidRPr="00770F9D">
        <w:rPr>
          <w:rFonts w:ascii="Garamond" w:hAnsi="Garamond" w:cs="Garamond"/>
          <w:color w:val="0D0D0D"/>
          <w:lang w:eastAsia="sq-AL"/>
        </w:rPr>
        <w:t xml:space="preserve">periudhë të vitit 2021 shpenzimet për këtë zë rezultojnë me rritje në masën 1.1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ose 223 </w:t>
      </w:r>
      <w:r w:rsidR="00C63A5C" w:rsidRPr="00770F9D">
        <w:rPr>
          <w:rFonts w:ascii="Garamond" w:hAnsi="Garamond" w:cs="Garamond"/>
          <w:color w:val="0D0D0D"/>
          <w:lang w:eastAsia="sq-AL"/>
        </w:rPr>
        <w:t xml:space="preserve">milionë lekë </w:t>
      </w:r>
      <w:r w:rsidRPr="00770F9D">
        <w:rPr>
          <w:rFonts w:ascii="Garamond" w:hAnsi="Garamond" w:cs="Garamond"/>
          <w:color w:val="0D0D0D"/>
          <w:lang w:eastAsia="sq-AL"/>
        </w:rPr>
        <w:t>më shumë.</w:t>
      </w:r>
    </w:p>
    <w:p w14:paraId="6B40D4A8" w14:textId="654DC929" w:rsidR="00072546" w:rsidRPr="00770F9D" w:rsidRDefault="00072546" w:rsidP="003F46E1">
      <w:pPr>
        <w:tabs>
          <w:tab w:val="left" w:pos="2127"/>
        </w:tabs>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Shpenzimet për kompensimin e ish-të përndjekurve politik</w:t>
      </w:r>
      <w:r w:rsidR="00904C74" w:rsidRPr="00770F9D">
        <w:rPr>
          <w:rFonts w:ascii="Garamond" w:hAnsi="Garamond" w:cs="Garamond"/>
          <w:color w:val="0D0D0D"/>
          <w:lang w:eastAsia="sq-AL"/>
        </w:rPr>
        <w:t>ë</w:t>
      </w:r>
      <w:r w:rsidRPr="00770F9D">
        <w:rPr>
          <w:rFonts w:ascii="Garamond" w:hAnsi="Garamond" w:cs="Garamond"/>
          <w:color w:val="0D0D0D"/>
          <w:lang w:eastAsia="sq-AL"/>
        </w:rPr>
        <w:t xml:space="preserve"> për periudhën </w:t>
      </w:r>
      <w:r w:rsidR="00380627" w:rsidRPr="00770F9D">
        <w:rPr>
          <w:rFonts w:ascii="Garamond" w:hAnsi="Garamond" w:cs="Garamond"/>
          <w:color w:val="0D0D0D"/>
          <w:lang w:eastAsia="sq-AL"/>
        </w:rPr>
        <w:t xml:space="preserve">11-mujore </w:t>
      </w:r>
      <w:r w:rsidRPr="00770F9D">
        <w:rPr>
          <w:rFonts w:ascii="Garamond" w:hAnsi="Garamond" w:cs="Garamond"/>
          <w:color w:val="0D0D0D"/>
          <w:lang w:eastAsia="sq-AL"/>
        </w:rPr>
        <w:t xml:space="preserve">të vitit 2022 u realizuan në masën 897 </w:t>
      </w:r>
      <w:r w:rsidR="00C63A5C" w:rsidRPr="00770F9D">
        <w:rPr>
          <w:rFonts w:ascii="Garamond" w:hAnsi="Garamond" w:cs="Garamond"/>
          <w:color w:val="0D0D0D"/>
          <w:lang w:eastAsia="sq-AL"/>
        </w:rPr>
        <w:t xml:space="preserve">milionë lekë </w:t>
      </w:r>
      <w:r w:rsidRPr="00770F9D">
        <w:rPr>
          <w:rFonts w:ascii="Garamond" w:hAnsi="Garamond" w:cs="Garamond"/>
          <w:color w:val="0D0D0D"/>
          <w:lang w:eastAsia="sq-AL"/>
        </w:rPr>
        <w:t xml:space="preserve">duke rezultuar 114.8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e planit të periudhës. Në raport me planin vjetor, këto shpenzime janë realizuar në masën 89.7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të planit vjetor</w:t>
      </w:r>
      <w:r w:rsidR="00904C74" w:rsidRPr="00770F9D">
        <w:rPr>
          <w:rFonts w:ascii="Garamond" w:hAnsi="Garamond" w:cs="Garamond"/>
          <w:color w:val="0D0D0D"/>
          <w:lang w:eastAsia="sq-AL"/>
        </w:rPr>
        <w:t>,</w:t>
      </w:r>
      <w:r w:rsidRPr="00770F9D">
        <w:rPr>
          <w:rFonts w:ascii="Garamond" w:hAnsi="Garamond" w:cs="Garamond"/>
          <w:color w:val="0D0D0D"/>
          <w:lang w:eastAsia="sq-AL"/>
        </w:rPr>
        <w:t xml:space="preserve"> sipas buxhetit fillestar dhe të ndryshuar me AN nr.</w:t>
      </w:r>
      <w:r w:rsidR="00904C74" w:rsidRPr="00770F9D">
        <w:rPr>
          <w:rFonts w:ascii="Garamond" w:hAnsi="Garamond" w:cs="Garamond"/>
          <w:color w:val="0D0D0D"/>
          <w:lang w:eastAsia="sq-AL"/>
        </w:rPr>
        <w:t xml:space="preserve"> </w:t>
      </w:r>
      <w:r w:rsidRPr="00770F9D">
        <w:rPr>
          <w:rFonts w:ascii="Garamond" w:hAnsi="Garamond" w:cs="Garamond"/>
          <w:color w:val="0D0D0D"/>
          <w:lang w:eastAsia="sq-AL"/>
        </w:rPr>
        <w:t xml:space="preserve">12. Kundrejt </w:t>
      </w:r>
      <w:r w:rsidR="005F716A" w:rsidRPr="00770F9D">
        <w:rPr>
          <w:rFonts w:ascii="Garamond" w:hAnsi="Garamond" w:cs="Garamond"/>
          <w:color w:val="0D0D0D"/>
          <w:lang w:eastAsia="sq-AL"/>
        </w:rPr>
        <w:t xml:space="preserve">së njëjtës </w:t>
      </w:r>
      <w:r w:rsidRPr="00770F9D">
        <w:rPr>
          <w:rFonts w:ascii="Garamond" w:hAnsi="Garamond" w:cs="Garamond"/>
          <w:color w:val="0D0D0D"/>
          <w:lang w:eastAsia="sq-AL"/>
        </w:rPr>
        <w:t xml:space="preserve">periudhë të vitit 2021 shpenzimet për këtë zë rezultojnë me një rritje në masën 30.1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ose 208 </w:t>
      </w:r>
      <w:r w:rsidR="00C63A5C" w:rsidRPr="00770F9D">
        <w:rPr>
          <w:rFonts w:ascii="Garamond" w:hAnsi="Garamond" w:cs="Garamond"/>
          <w:color w:val="0D0D0D"/>
          <w:lang w:eastAsia="sq-AL"/>
        </w:rPr>
        <w:t xml:space="preserve">milionë lekë </w:t>
      </w:r>
      <w:r w:rsidRPr="00770F9D">
        <w:rPr>
          <w:rFonts w:ascii="Garamond" w:hAnsi="Garamond" w:cs="Garamond"/>
          <w:color w:val="0D0D0D"/>
          <w:lang w:eastAsia="sq-AL"/>
        </w:rPr>
        <w:t>më shumë.</w:t>
      </w:r>
    </w:p>
    <w:p w14:paraId="312B2C97" w14:textId="78985B31" w:rsidR="00072546" w:rsidRPr="00770F9D" w:rsidRDefault="00072546" w:rsidP="003F46E1">
      <w:pPr>
        <w:tabs>
          <w:tab w:val="left" w:pos="2127"/>
        </w:tabs>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Shpenzimet për bonusin e lindjeve për periudhën </w:t>
      </w:r>
      <w:r w:rsidR="00380627" w:rsidRPr="00770F9D">
        <w:rPr>
          <w:rFonts w:ascii="Garamond" w:hAnsi="Garamond" w:cs="Garamond"/>
          <w:color w:val="0D0D0D"/>
          <w:lang w:eastAsia="sq-AL"/>
        </w:rPr>
        <w:t xml:space="preserve">11-mujore </w:t>
      </w:r>
      <w:r w:rsidRPr="00770F9D">
        <w:rPr>
          <w:rFonts w:ascii="Garamond" w:hAnsi="Garamond" w:cs="Garamond"/>
          <w:color w:val="0D0D0D"/>
          <w:lang w:eastAsia="sq-AL"/>
        </w:rPr>
        <w:t xml:space="preserve">të vitit 2022 u realizuan në masën 2.8 </w:t>
      </w:r>
      <w:r w:rsidR="00380627" w:rsidRPr="00770F9D">
        <w:rPr>
          <w:rFonts w:ascii="Garamond" w:hAnsi="Garamond" w:cs="Garamond"/>
          <w:color w:val="0D0D0D"/>
          <w:lang w:eastAsia="sq-AL"/>
        </w:rPr>
        <w:t xml:space="preserve">miliardë lekë </w:t>
      </w:r>
      <w:r w:rsidRPr="00770F9D">
        <w:rPr>
          <w:rFonts w:ascii="Garamond" w:hAnsi="Garamond" w:cs="Garamond"/>
          <w:color w:val="0D0D0D"/>
          <w:lang w:eastAsia="sq-AL"/>
        </w:rPr>
        <w:t xml:space="preserve">duke rezultuar 130.2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e planit të periudhës. Në terma vjetorë këto shpenzime rezultojnë 127.3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e planit vjetor sipas buxhetit fillestar dhe të ndryshuar. Kundrejt </w:t>
      </w:r>
      <w:r w:rsidR="005F716A" w:rsidRPr="00770F9D">
        <w:rPr>
          <w:rFonts w:ascii="Garamond" w:hAnsi="Garamond" w:cs="Garamond"/>
          <w:color w:val="0D0D0D"/>
          <w:lang w:eastAsia="sq-AL"/>
        </w:rPr>
        <w:t xml:space="preserve">së njëjtës </w:t>
      </w:r>
      <w:r w:rsidRPr="00770F9D">
        <w:rPr>
          <w:rFonts w:ascii="Garamond" w:hAnsi="Garamond" w:cs="Garamond"/>
          <w:color w:val="0D0D0D"/>
          <w:lang w:eastAsia="sq-AL"/>
        </w:rPr>
        <w:t xml:space="preserve">periudhë të vitit 2021 shpenzimet për këtë zë rezultojnë një ulje në masën 6.7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ose 200 </w:t>
      </w:r>
      <w:r w:rsidR="00C63A5C" w:rsidRPr="00770F9D">
        <w:rPr>
          <w:rFonts w:ascii="Garamond" w:hAnsi="Garamond" w:cs="Garamond"/>
          <w:color w:val="0D0D0D"/>
          <w:lang w:eastAsia="sq-AL"/>
        </w:rPr>
        <w:t xml:space="preserve">milionë lekë </w:t>
      </w:r>
      <w:r w:rsidRPr="00770F9D">
        <w:rPr>
          <w:rFonts w:ascii="Garamond" w:hAnsi="Garamond" w:cs="Garamond"/>
          <w:color w:val="0D0D0D"/>
          <w:lang w:eastAsia="sq-AL"/>
        </w:rPr>
        <w:t>më pak.</w:t>
      </w:r>
    </w:p>
    <w:p w14:paraId="06D0BBA3" w14:textId="070AF177" w:rsidR="00072546" w:rsidRPr="00770F9D" w:rsidRDefault="00072546" w:rsidP="003F46E1">
      <w:pPr>
        <w:tabs>
          <w:tab w:val="left" w:pos="2127"/>
        </w:tabs>
        <w:autoSpaceDE w:val="0"/>
        <w:autoSpaceDN w:val="0"/>
        <w:adjustRightInd w:val="0"/>
        <w:ind w:firstLine="284"/>
        <w:jc w:val="both"/>
        <w:rPr>
          <w:rFonts w:ascii="Garamond" w:hAnsi="Garamond" w:cs="Garamond"/>
          <w:color w:val="0D0D0D"/>
          <w:lang w:eastAsia="sq-AL"/>
        </w:rPr>
      </w:pPr>
      <w:r w:rsidRPr="00770F9D">
        <w:rPr>
          <w:rFonts w:ascii="Garamond" w:hAnsi="Garamond" w:cs="Garamond"/>
          <w:i/>
          <w:iCs/>
          <w:color w:val="0D0D0D"/>
          <w:lang w:eastAsia="sq-AL"/>
        </w:rPr>
        <w:t>Shpenzimet kapitale</w:t>
      </w:r>
      <w:r w:rsidRPr="00770F9D">
        <w:rPr>
          <w:rFonts w:ascii="Garamond" w:hAnsi="Garamond" w:cs="Garamond"/>
          <w:color w:val="0D0D0D"/>
          <w:lang w:eastAsia="sq-AL"/>
        </w:rPr>
        <w:t xml:space="preserve">, për periudhën </w:t>
      </w:r>
      <w:r w:rsidR="00380627" w:rsidRPr="00770F9D">
        <w:rPr>
          <w:rFonts w:ascii="Garamond" w:hAnsi="Garamond" w:cs="Garamond"/>
          <w:color w:val="0D0D0D"/>
          <w:lang w:eastAsia="sq-AL"/>
        </w:rPr>
        <w:t xml:space="preserve">11-mujore </w:t>
      </w:r>
      <w:r w:rsidRPr="00770F9D">
        <w:rPr>
          <w:rFonts w:ascii="Garamond" w:hAnsi="Garamond" w:cs="Garamond"/>
          <w:color w:val="0D0D0D"/>
          <w:lang w:eastAsia="sq-AL"/>
        </w:rPr>
        <w:t xml:space="preserve">të vitit 2022 kanë arritur një realizim në masën rreth 63 </w:t>
      </w:r>
      <w:r w:rsidR="00380627" w:rsidRPr="00770F9D">
        <w:rPr>
          <w:rFonts w:ascii="Garamond" w:hAnsi="Garamond" w:cs="Garamond"/>
          <w:color w:val="0D0D0D"/>
          <w:lang w:eastAsia="sq-AL"/>
        </w:rPr>
        <w:t xml:space="preserve">miliardë lekë </w:t>
      </w:r>
      <w:r w:rsidRPr="00770F9D">
        <w:rPr>
          <w:rFonts w:ascii="Garamond" w:hAnsi="Garamond" w:cs="Garamond"/>
          <w:color w:val="0D0D0D"/>
          <w:lang w:eastAsia="sq-AL"/>
        </w:rPr>
        <w:t xml:space="preserve">ose 66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të planit të periudhës. Krahasuar me të njëjtën periudhë të vitit 2021, ky zë rezulton 27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më i ulët ose rreth 23.2 </w:t>
      </w:r>
      <w:r w:rsidR="00380627" w:rsidRPr="00770F9D">
        <w:rPr>
          <w:rFonts w:ascii="Garamond" w:hAnsi="Garamond" w:cs="Garamond"/>
          <w:color w:val="0D0D0D"/>
          <w:lang w:eastAsia="sq-AL"/>
        </w:rPr>
        <w:t xml:space="preserve">miliardë lekë </w:t>
      </w:r>
      <w:r w:rsidRPr="00770F9D">
        <w:rPr>
          <w:rFonts w:ascii="Garamond" w:hAnsi="Garamond" w:cs="Garamond"/>
          <w:color w:val="0D0D0D"/>
          <w:lang w:eastAsia="sq-AL"/>
        </w:rPr>
        <w:t>më pak. Konkretisht:</w:t>
      </w:r>
    </w:p>
    <w:p w14:paraId="10BB0F18" w14:textId="6A749595" w:rsidR="00072546" w:rsidRPr="00770F9D" w:rsidRDefault="00072546" w:rsidP="003F46E1">
      <w:pPr>
        <w:tabs>
          <w:tab w:val="left" w:pos="2127"/>
        </w:tabs>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Financimi i brendshëm për periudhën </w:t>
      </w:r>
      <w:r w:rsidR="00380627" w:rsidRPr="00770F9D">
        <w:rPr>
          <w:rFonts w:ascii="Garamond" w:hAnsi="Garamond" w:cs="Garamond"/>
          <w:color w:val="0D0D0D"/>
          <w:lang w:eastAsia="sq-AL"/>
        </w:rPr>
        <w:t xml:space="preserve">11-mujore </w:t>
      </w:r>
      <w:r w:rsidRPr="00770F9D">
        <w:rPr>
          <w:rFonts w:ascii="Garamond" w:hAnsi="Garamond" w:cs="Garamond"/>
          <w:color w:val="0D0D0D"/>
          <w:lang w:eastAsia="sq-AL"/>
        </w:rPr>
        <w:t xml:space="preserve">të vitit 2022 është realizuar në masën rreth 33 </w:t>
      </w:r>
      <w:r w:rsidR="00380627" w:rsidRPr="00770F9D">
        <w:rPr>
          <w:rFonts w:ascii="Garamond" w:hAnsi="Garamond" w:cs="Garamond"/>
          <w:color w:val="0D0D0D"/>
          <w:lang w:eastAsia="sq-AL"/>
        </w:rPr>
        <w:t xml:space="preserve">miliardë lekë </w:t>
      </w:r>
      <w:r w:rsidRPr="00770F9D">
        <w:rPr>
          <w:rFonts w:ascii="Garamond" w:hAnsi="Garamond" w:cs="Garamond"/>
          <w:color w:val="0D0D0D"/>
          <w:lang w:eastAsia="sq-AL"/>
        </w:rPr>
        <w:t xml:space="preserve">ose 67.7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e planit të periudhës. Krahasuar me të njëjtën periudhë të vitit 2021 ky zë rezulton 18.7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më i ulët ose rreth 7.6 </w:t>
      </w:r>
      <w:r w:rsidR="00380627" w:rsidRPr="00770F9D">
        <w:rPr>
          <w:rFonts w:ascii="Garamond" w:hAnsi="Garamond" w:cs="Garamond"/>
          <w:color w:val="0D0D0D"/>
          <w:lang w:eastAsia="sq-AL"/>
        </w:rPr>
        <w:t xml:space="preserve">miliardë lekë </w:t>
      </w:r>
      <w:r w:rsidRPr="00770F9D">
        <w:rPr>
          <w:rFonts w:ascii="Garamond" w:hAnsi="Garamond" w:cs="Garamond"/>
          <w:color w:val="0D0D0D"/>
          <w:lang w:eastAsia="sq-AL"/>
        </w:rPr>
        <w:t>më pak.</w:t>
      </w:r>
    </w:p>
    <w:p w14:paraId="733ECC01" w14:textId="742B11F8" w:rsidR="00072546" w:rsidRPr="00770F9D" w:rsidRDefault="00072546" w:rsidP="003F46E1">
      <w:pPr>
        <w:tabs>
          <w:tab w:val="left" w:pos="2127"/>
        </w:tabs>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Investimet nga të ardhurat e arsimit të lartë janë realizuar në masën 611 </w:t>
      </w:r>
      <w:r w:rsidR="00C63A5C" w:rsidRPr="00770F9D">
        <w:rPr>
          <w:rFonts w:ascii="Garamond" w:hAnsi="Garamond" w:cs="Garamond"/>
          <w:color w:val="0D0D0D"/>
          <w:lang w:eastAsia="sq-AL"/>
        </w:rPr>
        <w:t>milionë lekë</w:t>
      </w:r>
      <w:r w:rsidR="00904C74" w:rsidRPr="00770F9D">
        <w:rPr>
          <w:rFonts w:ascii="Garamond" w:hAnsi="Garamond" w:cs="Garamond"/>
          <w:color w:val="0D0D0D"/>
          <w:lang w:eastAsia="sq-AL"/>
        </w:rPr>
        <w:t>,</w:t>
      </w:r>
      <w:r w:rsidR="00C63A5C" w:rsidRPr="00770F9D">
        <w:rPr>
          <w:rFonts w:ascii="Garamond" w:hAnsi="Garamond" w:cs="Garamond"/>
          <w:color w:val="0D0D0D"/>
          <w:lang w:eastAsia="sq-AL"/>
        </w:rPr>
        <w:t xml:space="preserve"> </w:t>
      </w:r>
      <w:r w:rsidRPr="00770F9D">
        <w:rPr>
          <w:rFonts w:ascii="Garamond" w:hAnsi="Garamond" w:cs="Garamond"/>
          <w:color w:val="0D0D0D"/>
          <w:lang w:eastAsia="sq-AL"/>
        </w:rPr>
        <w:t xml:space="preserve">duke rezultuar 70.3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të planit të periudhës. Krahasuar me të njëjtën periudhë të vitit 2021 ky zë rezulton 2.8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më i ulët ose 18 </w:t>
      </w:r>
      <w:r w:rsidR="00C63A5C" w:rsidRPr="00770F9D">
        <w:rPr>
          <w:rFonts w:ascii="Garamond" w:hAnsi="Garamond" w:cs="Garamond"/>
          <w:color w:val="0D0D0D"/>
          <w:lang w:eastAsia="sq-AL"/>
        </w:rPr>
        <w:t xml:space="preserve">milionë lekë </w:t>
      </w:r>
      <w:r w:rsidRPr="00770F9D">
        <w:rPr>
          <w:rFonts w:ascii="Garamond" w:hAnsi="Garamond" w:cs="Garamond"/>
          <w:color w:val="0D0D0D"/>
          <w:lang w:eastAsia="sq-AL"/>
        </w:rPr>
        <w:t>më pak.</w:t>
      </w:r>
    </w:p>
    <w:p w14:paraId="4B253CB9" w14:textId="1AE2DEB6" w:rsidR="00072546" w:rsidRPr="00770F9D" w:rsidRDefault="00072546" w:rsidP="003F46E1">
      <w:pPr>
        <w:tabs>
          <w:tab w:val="left" w:pos="2127"/>
        </w:tabs>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Financimi i huaj ka shënuar një realizim prej rreth 14.3 </w:t>
      </w:r>
      <w:r w:rsidR="00380627" w:rsidRPr="00770F9D">
        <w:rPr>
          <w:rFonts w:ascii="Garamond" w:hAnsi="Garamond" w:cs="Garamond"/>
          <w:color w:val="0D0D0D"/>
          <w:lang w:eastAsia="sq-AL"/>
        </w:rPr>
        <w:t>miliardë lekë</w:t>
      </w:r>
      <w:r w:rsidR="00904C74" w:rsidRPr="00770F9D">
        <w:rPr>
          <w:rFonts w:ascii="Garamond" w:hAnsi="Garamond" w:cs="Garamond"/>
          <w:color w:val="0D0D0D"/>
          <w:lang w:eastAsia="sq-AL"/>
        </w:rPr>
        <w:t>sh</w:t>
      </w:r>
      <w:r w:rsidR="00380627" w:rsidRPr="00770F9D">
        <w:rPr>
          <w:rFonts w:ascii="Garamond" w:hAnsi="Garamond" w:cs="Garamond"/>
          <w:color w:val="0D0D0D"/>
          <w:lang w:eastAsia="sq-AL"/>
        </w:rPr>
        <w:t xml:space="preserve"> </w:t>
      </w:r>
      <w:r w:rsidRPr="00770F9D">
        <w:rPr>
          <w:rFonts w:ascii="Garamond" w:hAnsi="Garamond" w:cs="Garamond"/>
          <w:color w:val="0D0D0D"/>
          <w:lang w:eastAsia="sq-AL"/>
        </w:rPr>
        <w:t xml:space="preserve">ose 50.1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të planit të periudhës. Krahasuar me të njëjtën periudhë të vitit 2021 ky zë rezulton 34.9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më i ulët ose rreth 7.6 </w:t>
      </w:r>
      <w:r w:rsidR="00380627" w:rsidRPr="00770F9D">
        <w:rPr>
          <w:rFonts w:ascii="Garamond" w:hAnsi="Garamond" w:cs="Garamond"/>
          <w:color w:val="0D0D0D"/>
          <w:lang w:eastAsia="sq-AL"/>
        </w:rPr>
        <w:t xml:space="preserve">miliardë lekë </w:t>
      </w:r>
      <w:r w:rsidRPr="00770F9D">
        <w:rPr>
          <w:rFonts w:ascii="Garamond" w:hAnsi="Garamond" w:cs="Garamond"/>
          <w:color w:val="0D0D0D"/>
          <w:lang w:eastAsia="sq-AL"/>
        </w:rPr>
        <w:t>më pak.</w:t>
      </w:r>
    </w:p>
    <w:p w14:paraId="6E975082" w14:textId="45EF1324" w:rsidR="00072546" w:rsidRPr="00770F9D" w:rsidRDefault="00072546" w:rsidP="003F46E1">
      <w:pPr>
        <w:tabs>
          <w:tab w:val="left" w:pos="2127"/>
        </w:tabs>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Fondi i rindërtimit për periudhën </w:t>
      </w:r>
      <w:r w:rsidR="00380627" w:rsidRPr="00770F9D">
        <w:rPr>
          <w:rFonts w:ascii="Garamond" w:hAnsi="Garamond" w:cs="Garamond"/>
          <w:color w:val="0D0D0D"/>
          <w:lang w:eastAsia="sq-AL"/>
        </w:rPr>
        <w:t xml:space="preserve">11-mujore </w:t>
      </w:r>
      <w:r w:rsidRPr="00770F9D">
        <w:rPr>
          <w:rFonts w:ascii="Garamond" w:hAnsi="Garamond" w:cs="Garamond"/>
          <w:color w:val="0D0D0D"/>
          <w:lang w:eastAsia="sq-AL"/>
        </w:rPr>
        <w:t>të vitit 2022 është realizuar në masën rreth 15.15 miliard</w:t>
      </w:r>
      <w:r w:rsidR="00904C74" w:rsidRPr="00770F9D">
        <w:rPr>
          <w:rFonts w:ascii="Garamond" w:hAnsi="Garamond" w:cs="Garamond"/>
          <w:color w:val="0D0D0D"/>
          <w:lang w:eastAsia="sq-AL"/>
        </w:rPr>
        <w:t>ë</w:t>
      </w:r>
      <w:r w:rsidRPr="00770F9D">
        <w:rPr>
          <w:rFonts w:ascii="Garamond" w:hAnsi="Garamond" w:cs="Garamond"/>
          <w:color w:val="0D0D0D"/>
          <w:lang w:eastAsia="sq-AL"/>
        </w:rPr>
        <w:t xml:space="preserve"> </w:t>
      </w:r>
      <w:r w:rsidR="00904C74" w:rsidRPr="00770F9D">
        <w:rPr>
          <w:rFonts w:ascii="Garamond" w:hAnsi="Garamond" w:cs="Garamond"/>
          <w:color w:val="0D0D0D"/>
          <w:lang w:eastAsia="sq-AL"/>
        </w:rPr>
        <w:t>lekë</w:t>
      </w:r>
      <w:r w:rsidRPr="00770F9D">
        <w:rPr>
          <w:rFonts w:ascii="Garamond" w:hAnsi="Garamond" w:cs="Garamond"/>
          <w:color w:val="0D0D0D"/>
          <w:lang w:eastAsia="sq-AL"/>
        </w:rPr>
        <w:t xml:space="preserve">, duke rezultuar 87.3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e planit të periudhës. Krahasuar me të njëjtën periudhë të vitit 2021 ky zë rezulton 34.6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më i ulët ose rreth 8 </w:t>
      </w:r>
      <w:r w:rsidR="00380627" w:rsidRPr="00770F9D">
        <w:rPr>
          <w:rFonts w:ascii="Garamond" w:hAnsi="Garamond" w:cs="Garamond"/>
          <w:color w:val="0D0D0D"/>
          <w:lang w:eastAsia="sq-AL"/>
        </w:rPr>
        <w:t xml:space="preserve">miliardë lekë </w:t>
      </w:r>
      <w:r w:rsidRPr="00770F9D">
        <w:rPr>
          <w:rFonts w:ascii="Garamond" w:hAnsi="Garamond" w:cs="Garamond"/>
          <w:color w:val="0D0D0D"/>
          <w:lang w:eastAsia="sq-AL"/>
        </w:rPr>
        <w:t>më pak.</w:t>
      </w:r>
    </w:p>
    <w:p w14:paraId="3DF87A1F" w14:textId="7133C0C7" w:rsidR="00072546" w:rsidRPr="00770F9D" w:rsidRDefault="00072546" w:rsidP="003F46E1">
      <w:pPr>
        <w:tabs>
          <w:tab w:val="left" w:pos="2127"/>
        </w:tabs>
        <w:autoSpaceDE w:val="0"/>
        <w:autoSpaceDN w:val="0"/>
        <w:adjustRightInd w:val="0"/>
        <w:ind w:firstLine="284"/>
        <w:jc w:val="both"/>
        <w:rPr>
          <w:rFonts w:ascii="Garamond" w:hAnsi="Garamond" w:cs="Garamond"/>
          <w:color w:val="0D0D0D"/>
          <w:lang w:eastAsia="sq-AL"/>
        </w:rPr>
      </w:pPr>
      <w:r w:rsidRPr="00770F9D">
        <w:rPr>
          <w:rFonts w:ascii="Garamond" w:hAnsi="Garamond" w:cs="Garamond"/>
          <w:i/>
          <w:iCs/>
          <w:color w:val="0D0D0D"/>
          <w:lang w:eastAsia="sq-AL"/>
        </w:rPr>
        <w:t>Në terma vjetorë</w:t>
      </w:r>
      <w:r w:rsidRPr="00770F9D">
        <w:rPr>
          <w:rFonts w:ascii="Garamond" w:hAnsi="Garamond" w:cs="Garamond"/>
          <w:color w:val="0D0D0D"/>
          <w:lang w:eastAsia="sq-AL"/>
        </w:rPr>
        <w:t xml:space="preserve">, shpenzimet kapitale të realizuara për periudhën </w:t>
      </w:r>
      <w:r w:rsidR="00380627" w:rsidRPr="00770F9D">
        <w:rPr>
          <w:rFonts w:ascii="Garamond" w:hAnsi="Garamond" w:cs="Garamond"/>
          <w:color w:val="0D0D0D"/>
          <w:lang w:eastAsia="sq-AL"/>
        </w:rPr>
        <w:t xml:space="preserve">11-mujore </w:t>
      </w:r>
      <w:r w:rsidRPr="00770F9D">
        <w:rPr>
          <w:rFonts w:ascii="Garamond" w:hAnsi="Garamond" w:cs="Garamond"/>
          <w:color w:val="0D0D0D"/>
          <w:lang w:eastAsia="sq-AL"/>
        </w:rPr>
        <w:t xml:space="preserve">të vitit 2022, rezultojnë në masën 52.7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të planit vjetor sipas buxhetit fillestar dhe 56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të planit vjetor të ndryshuar sipas AN nr.</w:t>
      </w:r>
      <w:r w:rsidR="00BE6D5E" w:rsidRPr="00770F9D">
        <w:rPr>
          <w:rFonts w:ascii="Garamond" w:hAnsi="Garamond" w:cs="Garamond"/>
          <w:color w:val="0D0D0D"/>
          <w:lang w:eastAsia="sq-AL"/>
        </w:rPr>
        <w:t xml:space="preserve"> </w:t>
      </w:r>
      <w:r w:rsidRPr="00770F9D">
        <w:rPr>
          <w:rFonts w:ascii="Garamond" w:hAnsi="Garamond" w:cs="Garamond"/>
          <w:color w:val="0D0D0D"/>
          <w:lang w:eastAsia="sq-AL"/>
        </w:rPr>
        <w:t>12. Konkretisht:</w:t>
      </w:r>
    </w:p>
    <w:p w14:paraId="0071CA83" w14:textId="697779EB" w:rsidR="00072546" w:rsidRPr="00770F9D" w:rsidRDefault="00072546" w:rsidP="003F46E1">
      <w:pPr>
        <w:tabs>
          <w:tab w:val="left" w:pos="2127"/>
        </w:tabs>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Financimi i brendshëm është realizuar në masën 52.5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të planit vjetor sipas buxhetit fillestar dhe 56.2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të planit vjetor të ndryshuar me AN nr.</w:t>
      </w:r>
      <w:r w:rsidR="00BE6D5E" w:rsidRPr="00770F9D">
        <w:rPr>
          <w:rFonts w:ascii="Garamond" w:hAnsi="Garamond" w:cs="Garamond"/>
          <w:color w:val="0D0D0D"/>
          <w:lang w:eastAsia="sq-AL"/>
        </w:rPr>
        <w:t xml:space="preserve"> </w:t>
      </w:r>
      <w:r w:rsidRPr="00770F9D">
        <w:rPr>
          <w:rFonts w:ascii="Garamond" w:hAnsi="Garamond" w:cs="Garamond"/>
          <w:color w:val="0D0D0D"/>
          <w:lang w:eastAsia="sq-AL"/>
        </w:rPr>
        <w:t>12.</w:t>
      </w:r>
    </w:p>
    <w:p w14:paraId="2872AF80" w14:textId="764802C3" w:rsidR="00072546" w:rsidRPr="00770F9D" w:rsidRDefault="00072546" w:rsidP="003F46E1">
      <w:pPr>
        <w:tabs>
          <w:tab w:val="left" w:pos="2127"/>
        </w:tabs>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Investimet nga të ardhurat e arsimit të lartë janë realizuar në masën 61.1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të planit vjetor fillestar dhe të ndryshuar.</w:t>
      </w:r>
    </w:p>
    <w:p w14:paraId="52C385E9" w14:textId="71C75C98" w:rsidR="00072546" w:rsidRPr="00770F9D" w:rsidRDefault="00072546" w:rsidP="003F46E1">
      <w:pPr>
        <w:tabs>
          <w:tab w:val="left" w:pos="2127"/>
        </w:tabs>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Financimi i huaj është realizuar në masën 41.3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të planit vjetor sipas buxhetit fillestar dhe 42.1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të planit vjetor të ndryshuar me AN nr.</w:t>
      </w:r>
      <w:r w:rsidR="00FE08C7" w:rsidRPr="00770F9D">
        <w:rPr>
          <w:rFonts w:ascii="Garamond" w:hAnsi="Garamond" w:cs="Garamond"/>
          <w:color w:val="0D0D0D"/>
          <w:lang w:eastAsia="sq-AL"/>
        </w:rPr>
        <w:t xml:space="preserve"> </w:t>
      </w:r>
      <w:r w:rsidRPr="00770F9D">
        <w:rPr>
          <w:rFonts w:ascii="Garamond" w:hAnsi="Garamond" w:cs="Garamond"/>
          <w:color w:val="0D0D0D"/>
          <w:lang w:eastAsia="sq-AL"/>
        </w:rPr>
        <w:t>12.</w:t>
      </w:r>
    </w:p>
    <w:p w14:paraId="31F51AC4" w14:textId="46973080" w:rsidR="00072546" w:rsidRPr="00770F9D" w:rsidRDefault="00072546" w:rsidP="003F46E1">
      <w:pPr>
        <w:tabs>
          <w:tab w:val="left" w:pos="2127"/>
        </w:tabs>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Fondi i rindërtimit është realizuar në masën 75.8 </w:t>
      </w:r>
      <w:r w:rsidR="00623F19" w:rsidRPr="00770F9D">
        <w:rPr>
          <w:rFonts w:ascii="Garamond" w:hAnsi="Garamond" w:cs="Garamond"/>
          <w:color w:val="0D0D0D"/>
          <w:lang w:eastAsia="sq-AL"/>
        </w:rPr>
        <w:t>për qind</w:t>
      </w:r>
      <w:r w:rsidRPr="00770F9D">
        <w:rPr>
          <w:rFonts w:ascii="Garamond" w:hAnsi="Garamond" w:cs="Garamond"/>
          <w:color w:val="0D0D0D"/>
          <w:lang w:eastAsia="sq-AL"/>
        </w:rPr>
        <w:t xml:space="preserve"> të planit vjetor fillestar dhe të ndryshuar.</w:t>
      </w:r>
    </w:p>
    <w:p w14:paraId="32087EC1" w14:textId="10A25C64" w:rsidR="00F468C9" w:rsidRPr="00770F9D" w:rsidRDefault="00F468C9" w:rsidP="003F46E1">
      <w:pPr>
        <w:tabs>
          <w:tab w:val="left" w:pos="2127"/>
        </w:tabs>
        <w:ind w:firstLine="284"/>
        <w:jc w:val="both"/>
        <w:rPr>
          <w:rFonts w:ascii="Garamond" w:eastAsia="Times New Roman" w:hAnsi="Garamond" w:cstheme="majorBidi"/>
          <w:b/>
          <w:i/>
          <w:color w:val="0D0D0D" w:themeColor="text1" w:themeTint="F2"/>
        </w:rPr>
      </w:pPr>
      <w:r w:rsidRPr="00770F9D">
        <w:rPr>
          <w:rFonts w:ascii="Garamond" w:eastAsia="Times New Roman" w:hAnsi="Garamond" w:cstheme="majorBidi"/>
          <w:b/>
          <w:i/>
          <w:color w:val="0D0D0D" w:themeColor="text1" w:themeTint="F2"/>
        </w:rPr>
        <w:t xml:space="preserve">Shpenzimet e </w:t>
      </w:r>
      <w:r w:rsidR="00FE08C7" w:rsidRPr="00770F9D">
        <w:rPr>
          <w:rFonts w:ascii="Garamond" w:eastAsia="Times New Roman" w:hAnsi="Garamond" w:cstheme="majorBidi"/>
          <w:b/>
          <w:i/>
          <w:color w:val="0D0D0D" w:themeColor="text1" w:themeTint="F2"/>
        </w:rPr>
        <w:t xml:space="preserve">pushtetit vendor </w:t>
      </w:r>
    </w:p>
    <w:p w14:paraId="0AF37F25" w14:textId="225F527A" w:rsidR="00F468C9" w:rsidRPr="00770F9D" w:rsidRDefault="00F468C9" w:rsidP="003F46E1">
      <w:pPr>
        <w:tabs>
          <w:tab w:val="left" w:pos="2127"/>
        </w:tabs>
        <w:ind w:firstLine="284"/>
        <w:jc w:val="both"/>
        <w:rPr>
          <w:rFonts w:ascii="Garamond" w:eastAsia="Times New Roman" w:hAnsi="Garamond" w:cstheme="majorBidi"/>
          <w:color w:val="0D0D0D" w:themeColor="text1" w:themeTint="F2"/>
        </w:rPr>
      </w:pPr>
      <w:r w:rsidRPr="00770F9D">
        <w:rPr>
          <w:rFonts w:ascii="Garamond" w:eastAsia="Times New Roman" w:hAnsi="Garamond" w:cstheme="majorBidi"/>
          <w:color w:val="0D0D0D" w:themeColor="text1" w:themeTint="F2"/>
        </w:rPr>
        <w:t>Referuar treguesve fiskalë të buxhetit të konsoliduar, niveli i shpenzimeve të pushtetit vendor për 11-mujorin 2022 përfaqëson 9.5 për qind të totalit të shpenzimeve ko</w:t>
      </w:r>
      <w:r w:rsidR="00623F19" w:rsidRPr="00770F9D">
        <w:rPr>
          <w:rFonts w:ascii="Garamond" w:eastAsia="Times New Roman" w:hAnsi="Garamond" w:cstheme="majorBidi"/>
          <w:color w:val="0D0D0D" w:themeColor="text1" w:themeTint="F2"/>
        </w:rPr>
        <w:t>r</w:t>
      </w:r>
      <w:r w:rsidRPr="00770F9D">
        <w:rPr>
          <w:rFonts w:ascii="Garamond" w:eastAsia="Times New Roman" w:hAnsi="Garamond" w:cstheme="majorBidi"/>
          <w:color w:val="0D0D0D" w:themeColor="text1" w:themeTint="F2"/>
        </w:rPr>
        <w:t>rente. Niveli i tyre aktual prej rreth 48.7 miliardë lekë, rezulton në rreth 88 për qind të planit të periudhës, ose 81 për qind të planit vjetor sipas buxhetit fillestar të ndryshuar</w:t>
      </w:r>
      <w:r w:rsidR="007F7DC8" w:rsidRPr="00770F9D">
        <w:rPr>
          <w:rFonts w:ascii="Garamond" w:eastAsia="Times New Roman" w:hAnsi="Garamond" w:cstheme="majorBidi"/>
          <w:color w:val="0D0D0D" w:themeColor="text1" w:themeTint="F2"/>
        </w:rPr>
        <w:t>,</w:t>
      </w:r>
      <w:r w:rsidRPr="00770F9D">
        <w:rPr>
          <w:rFonts w:ascii="Garamond" w:eastAsia="Times New Roman" w:hAnsi="Garamond" w:cstheme="majorBidi"/>
          <w:color w:val="0D0D0D" w:themeColor="text1" w:themeTint="F2"/>
        </w:rPr>
        <w:t xml:space="preserve"> sipas AN nr.</w:t>
      </w:r>
      <w:r w:rsidR="007F7DC8" w:rsidRPr="00770F9D">
        <w:rPr>
          <w:rFonts w:ascii="Garamond" w:eastAsia="Times New Roman" w:hAnsi="Garamond" w:cstheme="majorBidi"/>
          <w:color w:val="0D0D0D" w:themeColor="text1" w:themeTint="F2"/>
        </w:rPr>
        <w:t xml:space="preserve"> </w:t>
      </w:r>
      <w:r w:rsidRPr="00770F9D">
        <w:rPr>
          <w:rFonts w:ascii="Garamond" w:eastAsia="Times New Roman" w:hAnsi="Garamond" w:cstheme="majorBidi"/>
          <w:color w:val="0D0D0D" w:themeColor="text1" w:themeTint="F2"/>
        </w:rPr>
        <w:t xml:space="preserve">12. Krahasuar me të njëjtën periudhë të vitit 2021, shpenzimet e pushtetit vendor rezultuan 7.2 për qind më të larta ose rreth 3.3 miliardë lekë më shumë. </w:t>
      </w:r>
    </w:p>
    <w:p w14:paraId="4363D826" w14:textId="41B034FB" w:rsidR="00F468C9" w:rsidRPr="00770F9D" w:rsidRDefault="00F468C9" w:rsidP="007F7DC8">
      <w:pPr>
        <w:tabs>
          <w:tab w:val="left" w:pos="2127"/>
        </w:tabs>
        <w:jc w:val="center"/>
        <w:rPr>
          <w:rFonts w:ascii="Garamond" w:eastAsia="Century Schoolbook" w:hAnsi="Garamond" w:cstheme="majorBidi"/>
          <w:color w:val="0D0D0D" w:themeColor="text1" w:themeTint="F2"/>
          <w:sz w:val="20"/>
          <w:szCs w:val="20"/>
        </w:rPr>
      </w:pPr>
      <w:r w:rsidRPr="00770F9D">
        <w:rPr>
          <w:rFonts w:ascii="Garamond" w:eastAsia="Times New Roman" w:hAnsi="Garamond" w:cstheme="majorBidi"/>
          <w:b/>
          <w:bCs/>
          <w:color w:val="0D0D0D" w:themeColor="text1" w:themeTint="F2"/>
          <w:sz w:val="20"/>
          <w:szCs w:val="20"/>
        </w:rPr>
        <w:t>Tabela 4.2.5:</w:t>
      </w:r>
      <w:r w:rsidRPr="00770F9D">
        <w:rPr>
          <w:rFonts w:ascii="Garamond" w:eastAsia="Times New Roman" w:hAnsi="Garamond" w:cstheme="majorBidi"/>
          <w:color w:val="0D0D0D" w:themeColor="text1" w:themeTint="F2"/>
          <w:sz w:val="20"/>
          <w:szCs w:val="20"/>
        </w:rPr>
        <w:t xml:space="preserve"> Shpenzime</w:t>
      </w:r>
      <w:r w:rsidR="000375E8">
        <w:rPr>
          <w:rFonts w:ascii="Garamond" w:eastAsia="Times New Roman" w:hAnsi="Garamond" w:cstheme="majorBidi"/>
          <w:color w:val="0D0D0D" w:themeColor="text1" w:themeTint="F2"/>
          <w:sz w:val="20"/>
          <w:szCs w:val="20"/>
        </w:rPr>
        <w:t>t e pushtetit vendor (në milion lek</w:t>
      </w:r>
      <w:r w:rsidRPr="00770F9D">
        <w:rPr>
          <w:rFonts w:ascii="Garamond" w:eastAsia="Century Schoolbook" w:hAnsi="Garamond" w:cstheme="majorBidi"/>
          <w:color w:val="0D0D0D" w:themeColor="text1" w:themeTint="F2"/>
          <w:sz w:val="20"/>
          <w:szCs w:val="20"/>
        </w:rPr>
        <w:t>)</w:t>
      </w:r>
    </w:p>
    <w:tbl>
      <w:tblPr>
        <w:tblStyle w:val="TableGrid31"/>
        <w:tblW w:w="9430" w:type="dxa"/>
        <w:jc w:val="center"/>
        <w:tblBorders>
          <w:left w:val="none" w:sz="0" w:space="0" w:color="auto"/>
          <w:right w:val="none" w:sz="0" w:space="0" w:color="auto"/>
        </w:tblBorders>
        <w:tblLook w:val="04A0" w:firstRow="1" w:lastRow="0" w:firstColumn="1" w:lastColumn="0" w:noHBand="0" w:noVBand="1"/>
      </w:tblPr>
      <w:tblGrid>
        <w:gridCol w:w="3498"/>
        <w:gridCol w:w="1044"/>
        <w:gridCol w:w="1140"/>
        <w:gridCol w:w="1329"/>
        <w:gridCol w:w="2419"/>
      </w:tblGrid>
      <w:tr w:rsidR="00F468C9" w:rsidRPr="00770F9D" w14:paraId="0E3998BD" w14:textId="77777777" w:rsidTr="007F7DC8">
        <w:trPr>
          <w:trHeight w:val="20"/>
          <w:jc w:val="center"/>
        </w:trPr>
        <w:tc>
          <w:tcPr>
            <w:tcW w:w="3498" w:type="dxa"/>
            <w:vMerge w:val="restart"/>
            <w:noWrap/>
            <w:vAlign w:val="center"/>
            <w:hideMark/>
          </w:tcPr>
          <w:p w14:paraId="686804B1" w14:textId="77777777" w:rsidR="00F468C9" w:rsidRPr="00770F9D" w:rsidRDefault="00F468C9" w:rsidP="007F7DC8">
            <w:pPr>
              <w:jc w:val="center"/>
              <w:rPr>
                <w:rFonts w:ascii="Garamond" w:eastAsia="Times New Roman" w:hAnsi="Garamond" w:cstheme="majorBidi"/>
                <w:b/>
                <w:color w:val="0D0D0D" w:themeColor="text1" w:themeTint="F2"/>
                <w:sz w:val="20"/>
                <w:szCs w:val="20"/>
                <w:lang w:val="sq-AL"/>
              </w:rPr>
            </w:pPr>
            <w:r w:rsidRPr="00770F9D">
              <w:rPr>
                <w:rFonts w:ascii="Garamond" w:eastAsia="Times New Roman" w:hAnsi="Garamond" w:cstheme="majorBidi"/>
                <w:b/>
                <w:color w:val="0D0D0D" w:themeColor="text1" w:themeTint="F2"/>
                <w:sz w:val="20"/>
                <w:szCs w:val="20"/>
                <w:lang w:val="sq-AL"/>
              </w:rPr>
              <w:t>Emërtimi</w:t>
            </w:r>
          </w:p>
        </w:tc>
        <w:tc>
          <w:tcPr>
            <w:tcW w:w="2184" w:type="dxa"/>
            <w:gridSpan w:val="2"/>
            <w:noWrap/>
            <w:vAlign w:val="center"/>
            <w:hideMark/>
          </w:tcPr>
          <w:p w14:paraId="7988E0CD" w14:textId="66088E0B" w:rsidR="00F468C9" w:rsidRPr="00770F9D" w:rsidRDefault="00F468C9" w:rsidP="007F7DC8">
            <w:pPr>
              <w:jc w:val="center"/>
              <w:rPr>
                <w:rFonts w:ascii="Garamond" w:eastAsia="Times New Roman" w:hAnsi="Garamond" w:cstheme="majorBidi"/>
                <w:b/>
                <w:color w:val="0D0D0D" w:themeColor="text1" w:themeTint="F2"/>
                <w:sz w:val="20"/>
                <w:szCs w:val="20"/>
                <w:lang w:val="sq-AL"/>
              </w:rPr>
            </w:pPr>
            <w:r w:rsidRPr="00770F9D">
              <w:rPr>
                <w:rFonts w:ascii="Garamond" w:eastAsia="Times New Roman" w:hAnsi="Garamond" w:cstheme="majorBidi"/>
                <w:b/>
                <w:color w:val="0D0D0D" w:themeColor="text1" w:themeTint="F2"/>
                <w:sz w:val="20"/>
                <w:szCs w:val="20"/>
                <w:lang w:val="sq-AL"/>
              </w:rPr>
              <w:t>Fakti 11</w:t>
            </w:r>
            <w:r w:rsidR="007F7DC8" w:rsidRPr="00770F9D">
              <w:rPr>
                <w:rFonts w:ascii="Garamond" w:eastAsia="Times New Roman" w:hAnsi="Garamond" w:cstheme="majorBidi"/>
                <w:b/>
                <w:color w:val="0D0D0D" w:themeColor="text1" w:themeTint="F2"/>
                <w:sz w:val="20"/>
                <w:szCs w:val="20"/>
                <w:lang w:val="sq-AL"/>
              </w:rPr>
              <w:t>-</w:t>
            </w:r>
            <w:r w:rsidRPr="00770F9D">
              <w:rPr>
                <w:rFonts w:ascii="Garamond" w:eastAsia="Times New Roman" w:hAnsi="Garamond" w:cstheme="majorBidi"/>
                <w:b/>
                <w:color w:val="0D0D0D" w:themeColor="text1" w:themeTint="F2"/>
                <w:sz w:val="20"/>
                <w:szCs w:val="20"/>
                <w:lang w:val="sq-AL"/>
              </w:rPr>
              <w:t>mujor</w:t>
            </w:r>
          </w:p>
        </w:tc>
        <w:tc>
          <w:tcPr>
            <w:tcW w:w="3748" w:type="dxa"/>
            <w:gridSpan w:val="2"/>
            <w:noWrap/>
            <w:vAlign w:val="center"/>
            <w:hideMark/>
          </w:tcPr>
          <w:p w14:paraId="132504E6" w14:textId="77777777" w:rsidR="00F468C9" w:rsidRPr="00770F9D" w:rsidRDefault="00F468C9" w:rsidP="007F7DC8">
            <w:pPr>
              <w:jc w:val="center"/>
              <w:rPr>
                <w:rFonts w:ascii="Garamond" w:eastAsia="Times New Roman" w:hAnsi="Garamond" w:cstheme="majorBidi"/>
                <w:b/>
                <w:color w:val="0D0D0D" w:themeColor="text1" w:themeTint="F2"/>
                <w:sz w:val="20"/>
                <w:szCs w:val="20"/>
                <w:lang w:val="sq-AL"/>
              </w:rPr>
            </w:pPr>
            <w:r w:rsidRPr="00770F9D">
              <w:rPr>
                <w:rFonts w:ascii="Garamond" w:eastAsia="Times New Roman" w:hAnsi="Garamond" w:cstheme="majorBidi"/>
                <w:b/>
                <w:color w:val="0D0D0D" w:themeColor="text1" w:themeTint="F2"/>
                <w:sz w:val="20"/>
                <w:szCs w:val="20"/>
                <w:lang w:val="sq-AL"/>
              </w:rPr>
              <w:t>Diferenca</w:t>
            </w:r>
          </w:p>
        </w:tc>
      </w:tr>
      <w:tr w:rsidR="00F468C9" w:rsidRPr="00770F9D" w14:paraId="7D0310B0" w14:textId="77777777" w:rsidTr="007F7DC8">
        <w:trPr>
          <w:trHeight w:val="20"/>
          <w:jc w:val="center"/>
        </w:trPr>
        <w:tc>
          <w:tcPr>
            <w:tcW w:w="3498" w:type="dxa"/>
            <w:vMerge/>
            <w:vAlign w:val="center"/>
            <w:hideMark/>
          </w:tcPr>
          <w:p w14:paraId="52A55271" w14:textId="77777777" w:rsidR="00F468C9" w:rsidRPr="00770F9D" w:rsidRDefault="00F468C9" w:rsidP="007F7DC8">
            <w:pPr>
              <w:jc w:val="center"/>
              <w:rPr>
                <w:rFonts w:ascii="Garamond" w:eastAsia="Times New Roman" w:hAnsi="Garamond" w:cstheme="majorBidi"/>
                <w:b/>
                <w:color w:val="0D0D0D" w:themeColor="text1" w:themeTint="F2"/>
                <w:sz w:val="20"/>
                <w:szCs w:val="20"/>
                <w:lang w:val="sq-AL"/>
              </w:rPr>
            </w:pPr>
          </w:p>
        </w:tc>
        <w:tc>
          <w:tcPr>
            <w:tcW w:w="1044" w:type="dxa"/>
            <w:noWrap/>
            <w:vAlign w:val="center"/>
            <w:hideMark/>
          </w:tcPr>
          <w:p w14:paraId="2B589357" w14:textId="77777777" w:rsidR="00F468C9" w:rsidRPr="00770F9D" w:rsidRDefault="00F468C9" w:rsidP="007F7DC8">
            <w:pPr>
              <w:jc w:val="center"/>
              <w:rPr>
                <w:rFonts w:ascii="Garamond" w:eastAsia="Times New Roman" w:hAnsi="Garamond" w:cstheme="majorBidi"/>
                <w:b/>
                <w:color w:val="0D0D0D" w:themeColor="text1" w:themeTint="F2"/>
                <w:sz w:val="20"/>
                <w:szCs w:val="20"/>
                <w:lang w:val="sq-AL"/>
              </w:rPr>
            </w:pPr>
            <w:r w:rsidRPr="00770F9D">
              <w:rPr>
                <w:rFonts w:ascii="Garamond" w:eastAsia="Times New Roman" w:hAnsi="Garamond" w:cstheme="majorBidi"/>
                <w:b/>
                <w:color w:val="0D0D0D" w:themeColor="text1" w:themeTint="F2"/>
                <w:sz w:val="20"/>
                <w:szCs w:val="20"/>
                <w:lang w:val="sq-AL"/>
              </w:rPr>
              <w:t>2022</w:t>
            </w:r>
          </w:p>
        </w:tc>
        <w:tc>
          <w:tcPr>
            <w:tcW w:w="1139" w:type="dxa"/>
            <w:noWrap/>
            <w:vAlign w:val="center"/>
            <w:hideMark/>
          </w:tcPr>
          <w:p w14:paraId="001945BA" w14:textId="77777777" w:rsidR="00F468C9" w:rsidRPr="00770F9D" w:rsidRDefault="00F468C9" w:rsidP="007F7DC8">
            <w:pPr>
              <w:jc w:val="center"/>
              <w:rPr>
                <w:rFonts w:ascii="Garamond" w:eastAsia="Times New Roman" w:hAnsi="Garamond" w:cstheme="majorBidi"/>
                <w:b/>
                <w:color w:val="0D0D0D" w:themeColor="text1" w:themeTint="F2"/>
                <w:sz w:val="20"/>
                <w:szCs w:val="20"/>
                <w:lang w:val="sq-AL"/>
              </w:rPr>
            </w:pPr>
            <w:r w:rsidRPr="00770F9D">
              <w:rPr>
                <w:rFonts w:ascii="Garamond" w:eastAsia="Times New Roman" w:hAnsi="Garamond" w:cstheme="majorBidi"/>
                <w:b/>
                <w:color w:val="0D0D0D" w:themeColor="text1" w:themeTint="F2"/>
                <w:sz w:val="20"/>
                <w:szCs w:val="20"/>
                <w:lang w:val="sq-AL"/>
              </w:rPr>
              <w:t>2022</w:t>
            </w:r>
          </w:p>
        </w:tc>
        <w:tc>
          <w:tcPr>
            <w:tcW w:w="1329" w:type="dxa"/>
            <w:vAlign w:val="center"/>
            <w:hideMark/>
          </w:tcPr>
          <w:p w14:paraId="6494B13B" w14:textId="5056FC4E" w:rsidR="00F468C9" w:rsidRPr="00770F9D" w:rsidRDefault="00F468C9" w:rsidP="007F7DC8">
            <w:pPr>
              <w:jc w:val="center"/>
              <w:rPr>
                <w:rFonts w:ascii="Garamond" w:eastAsia="Times New Roman" w:hAnsi="Garamond" w:cstheme="majorBidi"/>
                <w:b/>
                <w:color w:val="0D0D0D" w:themeColor="text1" w:themeTint="F2"/>
                <w:sz w:val="20"/>
                <w:szCs w:val="20"/>
                <w:lang w:val="sq-AL"/>
              </w:rPr>
            </w:pPr>
            <w:r w:rsidRPr="00770F9D">
              <w:rPr>
                <w:rFonts w:ascii="Garamond" w:eastAsia="Times New Roman" w:hAnsi="Garamond" w:cstheme="majorBidi"/>
                <w:b/>
                <w:color w:val="0D0D0D" w:themeColor="text1" w:themeTint="F2"/>
                <w:sz w:val="20"/>
                <w:szCs w:val="20"/>
                <w:lang w:val="sq-AL"/>
              </w:rPr>
              <w:t>2022/2021</w:t>
            </w:r>
          </w:p>
        </w:tc>
        <w:tc>
          <w:tcPr>
            <w:tcW w:w="2419" w:type="dxa"/>
            <w:vAlign w:val="center"/>
            <w:hideMark/>
          </w:tcPr>
          <w:p w14:paraId="37601B46" w14:textId="77777777" w:rsidR="00F468C9" w:rsidRPr="00770F9D" w:rsidRDefault="00F468C9" w:rsidP="007F7DC8">
            <w:pPr>
              <w:jc w:val="center"/>
              <w:rPr>
                <w:rFonts w:ascii="Garamond" w:eastAsia="Times New Roman" w:hAnsi="Garamond" w:cstheme="majorBidi"/>
                <w:b/>
                <w:color w:val="0D0D0D" w:themeColor="text1" w:themeTint="F2"/>
                <w:sz w:val="20"/>
                <w:szCs w:val="20"/>
                <w:lang w:val="sq-AL"/>
              </w:rPr>
            </w:pPr>
            <w:r w:rsidRPr="00770F9D">
              <w:rPr>
                <w:rFonts w:ascii="Garamond" w:eastAsia="Times New Roman" w:hAnsi="Garamond" w:cstheme="majorBidi"/>
                <w:b/>
                <w:color w:val="0D0D0D" w:themeColor="text1" w:themeTint="F2"/>
                <w:sz w:val="20"/>
                <w:szCs w:val="20"/>
                <w:lang w:val="sq-AL"/>
              </w:rPr>
              <w:t>2022 ndaj 2021 në %</w:t>
            </w:r>
          </w:p>
        </w:tc>
      </w:tr>
      <w:tr w:rsidR="00F468C9" w:rsidRPr="00770F9D" w14:paraId="6748A770" w14:textId="77777777" w:rsidTr="007F7DC8">
        <w:trPr>
          <w:trHeight w:val="20"/>
          <w:jc w:val="center"/>
        </w:trPr>
        <w:tc>
          <w:tcPr>
            <w:tcW w:w="3498" w:type="dxa"/>
            <w:noWrap/>
            <w:vAlign w:val="center"/>
          </w:tcPr>
          <w:p w14:paraId="79A41BFB" w14:textId="77777777" w:rsidR="00F468C9" w:rsidRPr="00770F9D" w:rsidRDefault="00F468C9" w:rsidP="00BB0492">
            <w:pPr>
              <w:jc w:val="both"/>
              <w:rPr>
                <w:rFonts w:ascii="Garamond" w:hAnsi="Garamond" w:cstheme="majorBidi"/>
                <w:b/>
                <w:color w:val="0D0D0D" w:themeColor="text1" w:themeTint="F2"/>
                <w:sz w:val="20"/>
                <w:szCs w:val="20"/>
                <w:lang w:val="sq-AL"/>
              </w:rPr>
            </w:pPr>
            <w:r w:rsidRPr="00770F9D">
              <w:rPr>
                <w:rFonts w:ascii="Garamond" w:hAnsi="Garamond" w:cstheme="majorBidi"/>
                <w:b/>
                <w:color w:val="0D0D0D" w:themeColor="text1" w:themeTint="F2"/>
                <w:sz w:val="20"/>
                <w:szCs w:val="20"/>
                <w:lang w:val="sq-AL"/>
              </w:rPr>
              <w:t>Shpenzime nga Pushtetit Vendor</w:t>
            </w:r>
          </w:p>
        </w:tc>
        <w:tc>
          <w:tcPr>
            <w:tcW w:w="1044" w:type="dxa"/>
            <w:noWrap/>
            <w:vAlign w:val="center"/>
          </w:tcPr>
          <w:p w14:paraId="27D269B1" w14:textId="77777777" w:rsidR="00F468C9" w:rsidRPr="00770F9D" w:rsidRDefault="00F468C9" w:rsidP="007F7DC8">
            <w:pPr>
              <w:jc w:val="right"/>
              <w:rPr>
                <w:rFonts w:ascii="Garamond" w:hAnsi="Garamond" w:cstheme="majorBidi"/>
                <w:color w:val="0D0D0D" w:themeColor="text1" w:themeTint="F2"/>
                <w:sz w:val="20"/>
                <w:szCs w:val="20"/>
                <w:lang w:val="sq-AL"/>
              </w:rPr>
            </w:pPr>
            <w:r w:rsidRPr="00770F9D">
              <w:rPr>
                <w:rFonts w:ascii="Garamond" w:hAnsi="Garamond" w:cstheme="majorBidi"/>
                <w:color w:val="0D0D0D" w:themeColor="text1" w:themeTint="F2"/>
                <w:sz w:val="20"/>
                <w:szCs w:val="20"/>
                <w:lang w:val="sq-AL"/>
              </w:rPr>
              <w:t>48,733</w:t>
            </w:r>
          </w:p>
        </w:tc>
        <w:tc>
          <w:tcPr>
            <w:tcW w:w="1139" w:type="dxa"/>
            <w:noWrap/>
            <w:vAlign w:val="center"/>
          </w:tcPr>
          <w:p w14:paraId="4E2D685E" w14:textId="77777777" w:rsidR="00F468C9" w:rsidRPr="00770F9D" w:rsidRDefault="00F468C9" w:rsidP="007F7DC8">
            <w:pPr>
              <w:jc w:val="right"/>
              <w:rPr>
                <w:rFonts w:ascii="Garamond" w:hAnsi="Garamond" w:cstheme="majorBidi"/>
                <w:color w:val="0D0D0D" w:themeColor="text1" w:themeTint="F2"/>
                <w:sz w:val="20"/>
                <w:szCs w:val="20"/>
                <w:lang w:val="sq-AL"/>
              </w:rPr>
            </w:pPr>
            <w:r w:rsidRPr="00770F9D">
              <w:rPr>
                <w:rFonts w:ascii="Garamond" w:hAnsi="Garamond" w:cstheme="majorBidi"/>
                <w:color w:val="0D0D0D" w:themeColor="text1" w:themeTint="F2"/>
                <w:sz w:val="20"/>
                <w:szCs w:val="20"/>
                <w:lang w:val="sq-AL"/>
              </w:rPr>
              <w:t>45,475</w:t>
            </w:r>
          </w:p>
        </w:tc>
        <w:tc>
          <w:tcPr>
            <w:tcW w:w="1329" w:type="dxa"/>
            <w:noWrap/>
            <w:vAlign w:val="center"/>
          </w:tcPr>
          <w:p w14:paraId="3F09B969" w14:textId="77777777" w:rsidR="00F468C9" w:rsidRPr="00770F9D" w:rsidRDefault="00F468C9" w:rsidP="007F7DC8">
            <w:pPr>
              <w:jc w:val="right"/>
              <w:rPr>
                <w:rFonts w:ascii="Garamond" w:hAnsi="Garamond" w:cstheme="majorBidi"/>
                <w:color w:val="0D0D0D" w:themeColor="text1" w:themeTint="F2"/>
                <w:sz w:val="20"/>
                <w:szCs w:val="20"/>
                <w:lang w:val="sq-AL"/>
              </w:rPr>
            </w:pPr>
            <w:r w:rsidRPr="00770F9D">
              <w:rPr>
                <w:rFonts w:ascii="Garamond" w:hAnsi="Garamond" w:cstheme="majorBidi"/>
                <w:color w:val="0D0D0D" w:themeColor="text1" w:themeTint="F2"/>
                <w:sz w:val="20"/>
                <w:szCs w:val="20"/>
                <w:lang w:val="sq-AL"/>
              </w:rPr>
              <w:t>3,258</w:t>
            </w:r>
          </w:p>
        </w:tc>
        <w:tc>
          <w:tcPr>
            <w:tcW w:w="2419" w:type="dxa"/>
            <w:noWrap/>
            <w:vAlign w:val="center"/>
          </w:tcPr>
          <w:p w14:paraId="731AD41F" w14:textId="77777777" w:rsidR="00F468C9" w:rsidRPr="00770F9D" w:rsidRDefault="00F468C9" w:rsidP="007F7DC8">
            <w:pPr>
              <w:jc w:val="right"/>
              <w:rPr>
                <w:rFonts w:ascii="Garamond" w:hAnsi="Garamond" w:cstheme="majorBidi"/>
                <w:color w:val="0D0D0D" w:themeColor="text1" w:themeTint="F2"/>
                <w:sz w:val="20"/>
                <w:szCs w:val="20"/>
                <w:lang w:val="sq-AL"/>
              </w:rPr>
            </w:pPr>
            <w:r w:rsidRPr="00770F9D">
              <w:rPr>
                <w:rFonts w:ascii="Garamond" w:hAnsi="Garamond" w:cstheme="majorBidi"/>
                <w:color w:val="0D0D0D" w:themeColor="text1" w:themeTint="F2"/>
                <w:sz w:val="20"/>
                <w:szCs w:val="20"/>
                <w:lang w:val="sq-AL"/>
              </w:rPr>
              <w:t>107.2%</w:t>
            </w:r>
          </w:p>
        </w:tc>
      </w:tr>
      <w:tr w:rsidR="00F468C9" w:rsidRPr="00770F9D" w14:paraId="2F3F00B3" w14:textId="77777777" w:rsidTr="007F7DC8">
        <w:trPr>
          <w:trHeight w:val="20"/>
          <w:jc w:val="center"/>
        </w:trPr>
        <w:tc>
          <w:tcPr>
            <w:tcW w:w="3498" w:type="dxa"/>
            <w:noWrap/>
            <w:vAlign w:val="center"/>
            <w:hideMark/>
          </w:tcPr>
          <w:p w14:paraId="694C6F64" w14:textId="2D42F693" w:rsidR="00F468C9" w:rsidRPr="00770F9D" w:rsidRDefault="00F468C9" w:rsidP="00BB0492">
            <w:pPr>
              <w:jc w:val="both"/>
              <w:rPr>
                <w:rFonts w:ascii="Garamond" w:hAnsi="Garamond" w:cstheme="majorBidi"/>
                <w:i/>
                <w:iCs/>
                <w:color w:val="0D0D0D" w:themeColor="text1" w:themeTint="F2"/>
                <w:sz w:val="20"/>
                <w:szCs w:val="20"/>
                <w:lang w:val="sq-AL"/>
              </w:rPr>
            </w:pPr>
            <w:r w:rsidRPr="00770F9D">
              <w:rPr>
                <w:rFonts w:ascii="Garamond" w:hAnsi="Garamond" w:cstheme="majorBidi"/>
                <w:i/>
                <w:iCs/>
                <w:color w:val="0D0D0D" w:themeColor="text1" w:themeTint="F2"/>
                <w:sz w:val="20"/>
                <w:szCs w:val="20"/>
                <w:lang w:val="sq-AL"/>
              </w:rPr>
              <w:t xml:space="preserve">Shpenzime </w:t>
            </w:r>
            <w:r w:rsidR="007F7DC8" w:rsidRPr="00770F9D">
              <w:rPr>
                <w:rFonts w:ascii="Garamond" w:hAnsi="Garamond" w:cstheme="majorBidi"/>
                <w:i/>
                <w:iCs/>
                <w:color w:val="0D0D0D" w:themeColor="text1" w:themeTint="F2"/>
                <w:sz w:val="20"/>
                <w:szCs w:val="20"/>
                <w:lang w:val="sq-AL"/>
              </w:rPr>
              <w:t>korrente</w:t>
            </w:r>
          </w:p>
        </w:tc>
        <w:tc>
          <w:tcPr>
            <w:tcW w:w="1044" w:type="dxa"/>
            <w:noWrap/>
            <w:vAlign w:val="center"/>
            <w:hideMark/>
          </w:tcPr>
          <w:p w14:paraId="345A4B43" w14:textId="77777777" w:rsidR="00F468C9" w:rsidRPr="00770F9D" w:rsidRDefault="00F468C9" w:rsidP="007F7DC8">
            <w:pPr>
              <w:jc w:val="right"/>
              <w:rPr>
                <w:rFonts w:ascii="Garamond" w:hAnsi="Garamond" w:cstheme="majorBidi"/>
                <w:color w:val="0D0D0D" w:themeColor="text1" w:themeTint="F2"/>
                <w:sz w:val="20"/>
                <w:szCs w:val="20"/>
                <w:lang w:val="sq-AL"/>
              </w:rPr>
            </w:pPr>
            <w:r w:rsidRPr="00770F9D">
              <w:rPr>
                <w:rFonts w:ascii="Garamond" w:hAnsi="Garamond" w:cstheme="majorBidi"/>
                <w:color w:val="0D0D0D" w:themeColor="text1" w:themeTint="F2"/>
                <w:sz w:val="20"/>
                <w:szCs w:val="20"/>
                <w:lang w:val="sq-AL"/>
              </w:rPr>
              <w:t>39,735</w:t>
            </w:r>
          </w:p>
        </w:tc>
        <w:tc>
          <w:tcPr>
            <w:tcW w:w="1139" w:type="dxa"/>
            <w:noWrap/>
            <w:vAlign w:val="center"/>
            <w:hideMark/>
          </w:tcPr>
          <w:p w14:paraId="07060D74" w14:textId="77777777" w:rsidR="00F468C9" w:rsidRPr="00770F9D" w:rsidRDefault="00F468C9" w:rsidP="007F7DC8">
            <w:pPr>
              <w:jc w:val="right"/>
              <w:rPr>
                <w:rFonts w:ascii="Garamond" w:hAnsi="Garamond" w:cstheme="majorBidi"/>
                <w:color w:val="0D0D0D" w:themeColor="text1" w:themeTint="F2"/>
                <w:sz w:val="20"/>
                <w:szCs w:val="20"/>
                <w:lang w:val="sq-AL"/>
              </w:rPr>
            </w:pPr>
            <w:r w:rsidRPr="00770F9D">
              <w:rPr>
                <w:rFonts w:ascii="Garamond" w:hAnsi="Garamond" w:cstheme="majorBidi"/>
                <w:color w:val="0D0D0D" w:themeColor="text1" w:themeTint="F2"/>
                <w:sz w:val="20"/>
                <w:szCs w:val="20"/>
                <w:lang w:val="sq-AL"/>
              </w:rPr>
              <w:t>36,448</w:t>
            </w:r>
          </w:p>
        </w:tc>
        <w:tc>
          <w:tcPr>
            <w:tcW w:w="1329" w:type="dxa"/>
            <w:noWrap/>
            <w:vAlign w:val="center"/>
            <w:hideMark/>
          </w:tcPr>
          <w:p w14:paraId="0E3ED2E4" w14:textId="77777777" w:rsidR="00F468C9" w:rsidRPr="00770F9D" w:rsidRDefault="00F468C9" w:rsidP="007F7DC8">
            <w:pPr>
              <w:jc w:val="right"/>
              <w:rPr>
                <w:rFonts w:ascii="Garamond" w:hAnsi="Garamond" w:cstheme="majorBidi"/>
                <w:color w:val="0D0D0D" w:themeColor="text1" w:themeTint="F2"/>
                <w:sz w:val="20"/>
                <w:szCs w:val="20"/>
                <w:lang w:val="sq-AL"/>
              </w:rPr>
            </w:pPr>
            <w:r w:rsidRPr="00770F9D">
              <w:rPr>
                <w:rFonts w:ascii="Garamond" w:hAnsi="Garamond" w:cstheme="majorBidi"/>
                <w:color w:val="0D0D0D" w:themeColor="text1" w:themeTint="F2"/>
                <w:sz w:val="20"/>
                <w:szCs w:val="20"/>
                <w:lang w:val="sq-AL"/>
              </w:rPr>
              <w:t>3,287</w:t>
            </w:r>
          </w:p>
        </w:tc>
        <w:tc>
          <w:tcPr>
            <w:tcW w:w="2419" w:type="dxa"/>
            <w:noWrap/>
            <w:vAlign w:val="center"/>
            <w:hideMark/>
          </w:tcPr>
          <w:p w14:paraId="1B2D2DB4" w14:textId="77777777" w:rsidR="00F468C9" w:rsidRPr="00770F9D" w:rsidRDefault="00F468C9" w:rsidP="007F7DC8">
            <w:pPr>
              <w:jc w:val="right"/>
              <w:rPr>
                <w:rFonts w:ascii="Garamond" w:hAnsi="Garamond" w:cstheme="majorBidi"/>
                <w:color w:val="0D0D0D" w:themeColor="text1" w:themeTint="F2"/>
                <w:sz w:val="20"/>
                <w:szCs w:val="20"/>
                <w:lang w:val="sq-AL"/>
              </w:rPr>
            </w:pPr>
            <w:r w:rsidRPr="00770F9D">
              <w:rPr>
                <w:rFonts w:ascii="Garamond" w:hAnsi="Garamond" w:cstheme="majorBidi"/>
                <w:color w:val="0D0D0D" w:themeColor="text1" w:themeTint="F2"/>
                <w:sz w:val="20"/>
                <w:szCs w:val="20"/>
                <w:lang w:val="sq-AL"/>
              </w:rPr>
              <w:t>109.0%</w:t>
            </w:r>
          </w:p>
        </w:tc>
      </w:tr>
      <w:tr w:rsidR="00F468C9" w:rsidRPr="00770F9D" w14:paraId="33C39A29" w14:textId="77777777" w:rsidTr="007F7DC8">
        <w:trPr>
          <w:trHeight w:val="20"/>
          <w:jc w:val="center"/>
        </w:trPr>
        <w:tc>
          <w:tcPr>
            <w:tcW w:w="3498" w:type="dxa"/>
            <w:noWrap/>
            <w:vAlign w:val="center"/>
            <w:hideMark/>
          </w:tcPr>
          <w:p w14:paraId="1F0A903F" w14:textId="77777777" w:rsidR="00F468C9" w:rsidRPr="00770F9D" w:rsidRDefault="00F468C9" w:rsidP="00BB0492">
            <w:pPr>
              <w:jc w:val="both"/>
              <w:rPr>
                <w:rFonts w:ascii="Garamond" w:hAnsi="Garamond" w:cstheme="majorBidi"/>
                <w:i/>
                <w:iCs/>
                <w:color w:val="0D0D0D" w:themeColor="text1" w:themeTint="F2"/>
                <w:sz w:val="20"/>
                <w:szCs w:val="20"/>
                <w:lang w:val="sq-AL"/>
              </w:rPr>
            </w:pPr>
            <w:r w:rsidRPr="00770F9D">
              <w:rPr>
                <w:rFonts w:ascii="Garamond" w:hAnsi="Garamond" w:cstheme="majorBidi"/>
                <w:i/>
                <w:iCs/>
                <w:color w:val="0D0D0D" w:themeColor="text1" w:themeTint="F2"/>
                <w:sz w:val="20"/>
                <w:szCs w:val="20"/>
                <w:lang w:val="sq-AL"/>
              </w:rPr>
              <w:t xml:space="preserve">Personeli </w:t>
            </w:r>
          </w:p>
        </w:tc>
        <w:tc>
          <w:tcPr>
            <w:tcW w:w="1044" w:type="dxa"/>
            <w:noWrap/>
            <w:vAlign w:val="center"/>
            <w:hideMark/>
          </w:tcPr>
          <w:p w14:paraId="734C83B8" w14:textId="77777777" w:rsidR="00F468C9" w:rsidRPr="00770F9D" w:rsidRDefault="00F468C9" w:rsidP="007F7DC8">
            <w:pPr>
              <w:jc w:val="right"/>
              <w:rPr>
                <w:rFonts w:ascii="Garamond" w:hAnsi="Garamond" w:cstheme="majorBidi"/>
                <w:i/>
                <w:iCs/>
                <w:color w:val="0D0D0D" w:themeColor="text1" w:themeTint="F2"/>
                <w:sz w:val="20"/>
                <w:szCs w:val="20"/>
                <w:lang w:val="sq-AL"/>
              </w:rPr>
            </w:pPr>
            <w:r w:rsidRPr="00770F9D">
              <w:rPr>
                <w:rFonts w:ascii="Garamond" w:hAnsi="Garamond" w:cstheme="majorBidi"/>
                <w:i/>
                <w:iCs/>
                <w:color w:val="0D0D0D" w:themeColor="text1" w:themeTint="F2"/>
                <w:sz w:val="20"/>
                <w:szCs w:val="20"/>
                <w:lang w:val="sq-AL"/>
              </w:rPr>
              <w:t>22,905</w:t>
            </w:r>
          </w:p>
        </w:tc>
        <w:tc>
          <w:tcPr>
            <w:tcW w:w="1139" w:type="dxa"/>
            <w:noWrap/>
            <w:vAlign w:val="center"/>
            <w:hideMark/>
          </w:tcPr>
          <w:p w14:paraId="59662AF2" w14:textId="77777777" w:rsidR="00F468C9" w:rsidRPr="00770F9D" w:rsidRDefault="00F468C9" w:rsidP="007F7DC8">
            <w:pPr>
              <w:jc w:val="right"/>
              <w:rPr>
                <w:rFonts w:ascii="Garamond" w:hAnsi="Garamond" w:cstheme="majorBidi"/>
                <w:i/>
                <w:iCs/>
                <w:color w:val="0D0D0D" w:themeColor="text1" w:themeTint="F2"/>
                <w:sz w:val="20"/>
                <w:szCs w:val="20"/>
                <w:lang w:val="sq-AL"/>
              </w:rPr>
            </w:pPr>
            <w:r w:rsidRPr="00770F9D">
              <w:rPr>
                <w:rFonts w:ascii="Garamond" w:hAnsi="Garamond" w:cstheme="majorBidi"/>
                <w:i/>
                <w:iCs/>
                <w:color w:val="0D0D0D" w:themeColor="text1" w:themeTint="F2"/>
                <w:sz w:val="20"/>
                <w:szCs w:val="20"/>
                <w:lang w:val="sq-AL"/>
              </w:rPr>
              <w:t>21,905</w:t>
            </w:r>
          </w:p>
        </w:tc>
        <w:tc>
          <w:tcPr>
            <w:tcW w:w="1329" w:type="dxa"/>
            <w:noWrap/>
            <w:vAlign w:val="center"/>
            <w:hideMark/>
          </w:tcPr>
          <w:p w14:paraId="3F8A5E8E" w14:textId="77777777" w:rsidR="00F468C9" w:rsidRPr="00770F9D" w:rsidRDefault="00F468C9" w:rsidP="007F7DC8">
            <w:pPr>
              <w:jc w:val="right"/>
              <w:rPr>
                <w:rFonts w:ascii="Garamond" w:hAnsi="Garamond" w:cstheme="majorBidi"/>
                <w:i/>
                <w:iCs/>
                <w:color w:val="0D0D0D" w:themeColor="text1" w:themeTint="F2"/>
                <w:sz w:val="20"/>
                <w:szCs w:val="20"/>
                <w:lang w:val="sq-AL"/>
              </w:rPr>
            </w:pPr>
            <w:r w:rsidRPr="00770F9D">
              <w:rPr>
                <w:rFonts w:ascii="Garamond" w:hAnsi="Garamond" w:cstheme="majorBidi"/>
                <w:i/>
                <w:iCs/>
                <w:color w:val="0D0D0D" w:themeColor="text1" w:themeTint="F2"/>
                <w:sz w:val="20"/>
                <w:szCs w:val="20"/>
                <w:lang w:val="sq-AL"/>
              </w:rPr>
              <w:t>1,000</w:t>
            </w:r>
          </w:p>
        </w:tc>
        <w:tc>
          <w:tcPr>
            <w:tcW w:w="2419" w:type="dxa"/>
            <w:noWrap/>
            <w:vAlign w:val="center"/>
            <w:hideMark/>
          </w:tcPr>
          <w:p w14:paraId="3A5A42DB" w14:textId="77777777" w:rsidR="00F468C9" w:rsidRPr="00770F9D" w:rsidRDefault="00F468C9" w:rsidP="007F7DC8">
            <w:pPr>
              <w:jc w:val="right"/>
              <w:rPr>
                <w:rFonts w:ascii="Garamond" w:hAnsi="Garamond" w:cstheme="majorBidi"/>
                <w:color w:val="0D0D0D" w:themeColor="text1" w:themeTint="F2"/>
                <w:sz w:val="20"/>
                <w:szCs w:val="20"/>
                <w:lang w:val="sq-AL"/>
              </w:rPr>
            </w:pPr>
            <w:r w:rsidRPr="00770F9D">
              <w:rPr>
                <w:rFonts w:ascii="Garamond" w:hAnsi="Garamond" w:cstheme="majorBidi"/>
                <w:color w:val="0D0D0D" w:themeColor="text1" w:themeTint="F2"/>
                <w:sz w:val="20"/>
                <w:szCs w:val="20"/>
                <w:lang w:val="sq-AL"/>
              </w:rPr>
              <w:t>104.6%</w:t>
            </w:r>
          </w:p>
        </w:tc>
      </w:tr>
      <w:tr w:rsidR="00F468C9" w:rsidRPr="00770F9D" w14:paraId="4B72C83E" w14:textId="77777777" w:rsidTr="007F7DC8">
        <w:trPr>
          <w:trHeight w:val="20"/>
          <w:jc w:val="center"/>
        </w:trPr>
        <w:tc>
          <w:tcPr>
            <w:tcW w:w="3498" w:type="dxa"/>
            <w:noWrap/>
            <w:vAlign w:val="center"/>
            <w:hideMark/>
          </w:tcPr>
          <w:p w14:paraId="71FDDF1F" w14:textId="0A9286F1" w:rsidR="00F468C9" w:rsidRPr="00770F9D" w:rsidRDefault="00F468C9" w:rsidP="00BB0492">
            <w:pPr>
              <w:rPr>
                <w:rFonts w:ascii="Garamond" w:hAnsi="Garamond" w:cstheme="majorBidi"/>
                <w:i/>
                <w:iCs/>
                <w:color w:val="0D0D0D" w:themeColor="text1" w:themeTint="F2"/>
                <w:sz w:val="20"/>
                <w:szCs w:val="20"/>
                <w:lang w:val="sq-AL"/>
              </w:rPr>
            </w:pPr>
            <w:r w:rsidRPr="00770F9D">
              <w:rPr>
                <w:rFonts w:ascii="Garamond" w:hAnsi="Garamond" w:cstheme="majorBidi"/>
                <w:i/>
                <w:iCs/>
                <w:color w:val="0D0D0D" w:themeColor="text1" w:themeTint="F2"/>
                <w:sz w:val="20"/>
                <w:szCs w:val="20"/>
                <w:lang w:val="sq-AL"/>
              </w:rPr>
              <w:t xml:space="preserve">Shpenzime </w:t>
            </w:r>
            <w:r w:rsidR="007F7DC8" w:rsidRPr="00770F9D">
              <w:rPr>
                <w:rFonts w:ascii="Garamond" w:hAnsi="Garamond" w:cstheme="majorBidi"/>
                <w:i/>
                <w:iCs/>
                <w:color w:val="0D0D0D" w:themeColor="text1" w:themeTint="F2"/>
                <w:sz w:val="20"/>
                <w:szCs w:val="20"/>
                <w:lang w:val="sq-AL"/>
              </w:rPr>
              <w:t>oper</w:t>
            </w:r>
            <w:r w:rsidRPr="00770F9D">
              <w:rPr>
                <w:rFonts w:ascii="Garamond" w:hAnsi="Garamond" w:cstheme="majorBidi"/>
                <w:i/>
                <w:iCs/>
                <w:color w:val="0D0D0D" w:themeColor="text1" w:themeTint="F2"/>
                <w:sz w:val="20"/>
                <w:szCs w:val="20"/>
                <w:lang w:val="sq-AL"/>
              </w:rPr>
              <w:t xml:space="preserve">. </w:t>
            </w:r>
            <w:r w:rsidR="007F7DC8" w:rsidRPr="00770F9D">
              <w:rPr>
                <w:rFonts w:ascii="Garamond" w:hAnsi="Garamond" w:cstheme="majorBidi"/>
                <w:i/>
                <w:iCs/>
                <w:color w:val="0D0D0D" w:themeColor="text1" w:themeTint="F2"/>
                <w:sz w:val="20"/>
                <w:szCs w:val="20"/>
                <w:lang w:val="sq-AL"/>
              </w:rPr>
              <w:t>mirëmbajtje</w:t>
            </w:r>
          </w:p>
        </w:tc>
        <w:tc>
          <w:tcPr>
            <w:tcW w:w="1044" w:type="dxa"/>
            <w:noWrap/>
            <w:vAlign w:val="center"/>
            <w:hideMark/>
          </w:tcPr>
          <w:p w14:paraId="3365AC5D" w14:textId="77777777" w:rsidR="00F468C9" w:rsidRPr="00770F9D" w:rsidRDefault="00F468C9" w:rsidP="007F7DC8">
            <w:pPr>
              <w:jc w:val="right"/>
              <w:rPr>
                <w:rFonts w:ascii="Garamond" w:hAnsi="Garamond" w:cstheme="majorBidi"/>
                <w:i/>
                <w:iCs/>
                <w:color w:val="0D0D0D" w:themeColor="text1" w:themeTint="F2"/>
                <w:sz w:val="20"/>
                <w:szCs w:val="20"/>
                <w:lang w:val="sq-AL"/>
              </w:rPr>
            </w:pPr>
            <w:r w:rsidRPr="00770F9D">
              <w:rPr>
                <w:rFonts w:ascii="Garamond" w:hAnsi="Garamond" w:cstheme="majorBidi"/>
                <w:i/>
                <w:iCs/>
                <w:color w:val="0D0D0D" w:themeColor="text1" w:themeTint="F2"/>
                <w:sz w:val="20"/>
                <w:szCs w:val="20"/>
                <w:lang w:val="sq-AL"/>
              </w:rPr>
              <w:t>15,358</w:t>
            </w:r>
          </w:p>
        </w:tc>
        <w:tc>
          <w:tcPr>
            <w:tcW w:w="1139" w:type="dxa"/>
            <w:noWrap/>
            <w:vAlign w:val="center"/>
            <w:hideMark/>
          </w:tcPr>
          <w:p w14:paraId="5E922840" w14:textId="77777777" w:rsidR="00F468C9" w:rsidRPr="00770F9D" w:rsidRDefault="00F468C9" w:rsidP="007F7DC8">
            <w:pPr>
              <w:jc w:val="right"/>
              <w:rPr>
                <w:rFonts w:ascii="Garamond" w:hAnsi="Garamond" w:cstheme="majorBidi"/>
                <w:i/>
                <w:iCs/>
                <w:color w:val="0D0D0D" w:themeColor="text1" w:themeTint="F2"/>
                <w:sz w:val="20"/>
                <w:szCs w:val="20"/>
                <w:lang w:val="sq-AL"/>
              </w:rPr>
            </w:pPr>
            <w:r w:rsidRPr="00770F9D">
              <w:rPr>
                <w:rFonts w:ascii="Garamond" w:hAnsi="Garamond" w:cstheme="majorBidi"/>
                <w:i/>
                <w:iCs/>
                <w:color w:val="0D0D0D" w:themeColor="text1" w:themeTint="F2"/>
                <w:sz w:val="20"/>
                <w:szCs w:val="20"/>
                <w:lang w:val="sq-AL"/>
              </w:rPr>
              <w:t>13,290</w:t>
            </w:r>
          </w:p>
        </w:tc>
        <w:tc>
          <w:tcPr>
            <w:tcW w:w="1329" w:type="dxa"/>
            <w:noWrap/>
            <w:vAlign w:val="center"/>
            <w:hideMark/>
          </w:tcPr>
          <w:p w14:paraId="281F0F7F" w14:textId="77777777" w:rsidR="00F468C9" w:rsidRPr="00770F9D" w:rsidRDefault="00F468C9" w:rsidP="007F7DC8">
            <w:pPr>
              <w:jc w:val="right"/>
              <w:rPr>
                <w:rFonts w:ascii="Garamond" w:hAnsi="Garamond" w:cstheme="majorBidi"/>
                <w:i/>
                <w:iCs/>
                <w:color w:val="0D0D0D" w:themeColor="text1" w:themeTint="F2"/>
                <w:sz w:val="20"/>
                <w:szCs w:val="20"/>
                <w:lang w:val="sq-AL"/>
              </w:rPr>
            </w:pPr>
            <w:r w:rsidRPr="00770F9D">
              <w:rPr>
                <w:rFonts w:ascii="Garamond" w:hAnsi="Garamond" w:cstheme="majorBidi"/>
                <w:i/>
                <w:iCs/>
                <w:color w:val="0D0D0D" w:themeColor="text1" w:themeTint="F2"/>
                <w:sz w:val="20"/>
                <w:szCs w:val="20"/>
                <w:lang w:val="sq-AL"/>
              </w:rPr>
              <w:t>2,068</w:t>
            </w:r>
          </w:p>
        </w:tc>
        <w:tc>
          <w:tcPr>
            <w:tcW w:w="2419" w:type="dxa"/>
            <w:noWrap/>
            <w:vAlign w:val="center"/>
            <w:hideMark/>
          </w:tcPr>
          <w:p w14:paraId="4AA2325C" w14:textId="77777777" w:rsidR="00F468C9" w:rsidRPr="00770F9D" w:rsidRDefault="00F468C9" w:rsidP="007F7DC8">
            <w:pPr>
              <w:jc w:val="right"/>
              <w:rPr>
                <w:rFonts w:ascii="Garamond" w:hAnsi="Garamond" w:cstheme="majorBidi"/>
                <w:color w:val="0D0D0D" w:themeColor="text1" w:themeTint="F2"/>
                <w:sz w:val="20"/>
                <w:szCs w:val="20"/>
                <w:lang w:val="sq-AL"/>
              </w:rPr>
            </w:pPr>
            <w:r w:rsidRPr="00770F9D">
              <w:rPr>
                <w:rFonts w:ascii="Garamond" w:hAnsi="Garamond" w:cstheme="majorBidi"/>
                <w:color w:val="0D0D0D" w:themeColor="text1" w:themeTint="F2"/>
                <w:sz w:val="20"/>
                <w:szCs w:val="20"/>
                <w:lang w:val="sq-AL"/>
              </w:rPr>
              <w:t>115.6%</w:t>
            </w:r>
          </w:p>
        </w:tc>
      </w:tr>
      <w:tr w:rsidR="00F468C9" w:rsidRPr="00770F9D" w14:paraId="10798334" w14:textId="77777777" w:rsidTr="007F7DC8">
        <w:trPr>
          <w:trHeight w:val="20"/>
          <w:jc w:val="center"/>
        </w:trPr>
        <w:tc>
          <w:tcPr>
            <w:tcW w:w="3498" w:type="dxa"/>
            <w:noWrap/>
            <w:vAlign w:val="center"/>
            <w:hideMark/>
          </w:tcPr>
          <w:p w14:paraId="0D78BDAE" w14:textId="77777777" w:rsidR="00F468C9" w:rsidRPr="00770F9D" w:rsidRDefault="00F468C9" w:rsidP="00BB0492">
            <w:pPr>
              <w:rPr>
                <w:rFonts w:ascii="Garamond" w:hAnsi="Garamond" w:cstheme="majorBidi"/>
                <w:i/>
                <w:iCs/>
                <w:color w:val="0D0D0D" w:themeColor="text1" w:themeTint="F2"/>
                <w:sz w:val="20"/>
                <w:szCs w:val="20"/>
                <w:lang w:val="sq-AL"/>
              </w:rPr>
            </w:pPr>
            <w:r w:rsidRPr="00770F9D">
              <w:rPr>
                <w:rFonts w:ascii="Garamond" w:hAnsi="Garamond" w:cstheme="majorBidi"/>
                <w:i/>
                <w:iCs/>
                <w:color w:val="0D0D0D" w:themeColor="text1" w:themeTint="F2"/>
                <w:sz w:val="20"/>
                <w:szCs w:val="20"/>
                <w:lang w:val="sq-AL"/>
              </w:rPr>
              <w:t>Interesa</w:t>
            </w:r>
          </w:p>
        </w:tc>
        <w:tc>
          <w:tcPr>
            <w:tcW w:w="1044" w:type="dxa"/>
            <w:noWrap/>
            <w:vAlign w:val="center"/>
            <w:hideMark/>
          </w:tcPr>
          <w:p w14:paraId="6C1176CD" w14:textId="77777777" w:rsidR="00F468C9" w:rsidRPr="00770F9D" w:rsidRDefault="00F468C9" w:rsidP="007F7DC8">
            <w:pPr>
              <w:jc w:val="right"/>
              <w:rPr>
                <w:rFonts w:ascii="Garamond" w:hAnsi="Garamond" w:cstheme="majorBidi"/>
                <w:i/>
                <w:iCs/>
                <w:color w:val="0D0D0D" w:themeColor="text1" w:themeTint="F2"/>
                <w:sz w:val="20"/>
                <w:szCs w:val="20"/>
                <w:lang w:val="sq-AL"/>
              </w:rPr>
            </w:pPr>
            <w:r w:rsidRPr="00770F9D">
              <w:rPr>
                <w:rFonts w:ascii="Garamond" w:hAnsi="Garamond" w:cstheme="majorBidi"/>
                <w:i/>
                <w:iCs/>
                <w:color w:val="0D0D0D" w:themeColor="text1" w:themeTint="F2"/>
                <w:sz w:val="20"/>
                <w:szCs w:val="20"/>
                <w:lang w:val="sq-AL"/>
              </w:rPr>
              <w:t>11</w:t>
            </w:r>
          </w:p>
        </w:tc>
        <w:tc>
          <w:tcPr>
            <w:tcW w:w="1139" w:type="dxa"/>
            <w:noWrap/>
            <w:vAlign w:val="center"/>
            <w:hideMark/>
          </w:tcPr>
          <w:p w14:paraId="75079852" w14:textId="77777777" w:rsidR="00F468C9" w:rsidRPr="00770F9D" w:rsidRDefault="00F468C9" w:rsidP="007F7DC8">
            <w:pPr>
              <w:jc w:val="right"/>
              <w:rPr>
                <w:rFonts w:ascii="Garamond" w:hAnsi="Garamond" w:cstheme="majorBidi"/>
                <w:i/>
                <w:iCs/>
                <w:color w:val="0D0D0D" w:themeColor="text1" w:themeTint="F2"/>
                <w:sz w:val="20"/>
                <w:szCs w:val="20"/>
                <w:lang w:val="sq-AL"/>
              </w:rPr>
            </w:pPr>
            <w:r w:rsidRPr="00770F9D">
              <w:rPr>
                <w:rFonts w:ascii="Garamond" w:hAnsi="Garamond" w:cstheme="majorBidi"/>
                <w:i/>
                <w:iCs/>
                <w:color w:val="0D0D0D" w:themeColor="text1" w:themeTint="F2"/>
                <w:sz w:val="20"/>
                <w:szCs w:val="20"/>
                <w:lang w:val="sq-AL"/>
              </w:rPr>
              <w:t>16</w:t>
            </w:r>
          </w:p>
        </w:tc>
        <w:tc>
          <w:tcPr>
            <w:tcW w:w="1329" w:type="dxa"/>
            <w:noWrap/>
            <w:vAlign w:val="center"/>
            <w:hideMark/>
          </w:tcPr>
          <w:p w14:paraId="3F6B79C0" w14:textId="77777777" w:rsidR="00F468C9" w:rsidRPr="00770F9D" w:rsidRDefault="00F468C9" w:rsidP="007F7DC8">
            <w:pPr>
              <w:jc w:val="right"/>
              <w:rPr>
                <w:rFonts w:ascii="Garamond" w:hAnsi="Garamond" w:cstheme="majorBidi"/>
                <w:i/>
                <w:iCs/>
                <w:color w:val="0D0D0D" w:themeColor="text1" w:themeTint="F2"/>
                <w:sz w:val="20"/>
                <w:szCs w:val="20"/>
                <w:lang w:val="sq-AL"/>
              </w:rPr>
            </w:pPr>
            <w:r w:rsidRPr="00770F9D">
              <w:rPr>
                <w:rFonts w:ascii="Garamond" w:hAnsi="Garamond" w:cstheme="majorBidi"/>
                <w:i/>
                <w:iCs/>
                <w:color w:val="0D0D0D" w:themeColor="text1" w:themeTint="F2"/>
                <w:sz w:val="20"/>
                <w:szCs w:val="20"/>
                <w:lang w:val="sq-AL"/>
              </w:rPr>
              <w:t>-5</w:t>
            </w:r>
          </w:p>
        </w:tc>
        <w:tc>
          <w:tcPr>
            <w:tcW w:w="2419" w:type="dxa"/>
            <w:noWrap/>
            <w:vAlign w:val="center"/>
            <w:hideMark/>
          </w:tcPr>
          <w:p w14:paraId="192A8D40" w14:textId="77777777" w:rsidR="00F468C9" w:rsidRPr="00770F9D" w:rsidRDefault="00F468C9" w:rsidP="007F7DC8">
            <w:pPr>
              <w:jc w:val="right"/>
              <w:rPr>
                <w:rFonts w:ascii="Garamond" w:hAnsi="Garamond" w:cstheme="majorBidi"/>
                <w:color w:val="0D0D0D" w:themeColor="text1" w:themeTint="F2"/>
                <w:sz w:val="20"/>
                <w:szCs w:val="20"/>
                <w:lang w:val="sq-AL"/>
              </w:rPr>
            </w:pPr>
            <w:r w:rsidRPr="00770F9D">
              <w:rPr>
                <w:rFonts w:ascii="Garamond" w:hAnsi="Garamond" w:cstheme="majorBidi"/>
                <w:color w:val="0D0D0D" w:themeColor="text1" w:themeTint="F2"/>
                <w:sz w:val="20"/>
                <w:szCs w:val="20"/>
                <w:lang w:val="sq-AL"/>
              </w:rPr>
              <w:t>68.8%</w:t>
            </w:r>
          </w:p>
        </w:tc>
      </w:tr>
      <w:tr w:rsidR="00F468C9" w:rsidRPr="00770F9D" w14:paraId="4CC8C454" w14:textId="77777777" w:rsidTr="007F7DC8">
        <w:trPr>
          <w:trHeight w:val="20"/>
          <w:jc w:val="center"/>
        </w:trPr>
        <w:tc>
          <w:tcPr>
            <w:tcW w:w="3498" w:type="dxa"/>
            <w:noWrap/>
            <w:vAlign w:val="center"/>
            <w:hideMark/>
          </w:tcPr>
          <w:p w14:paraId="20AB2926" w14:textId="77777777" w:rsidR="00F468C9" w:rsidRPr="00770F9D" w:rsidRDefault="00F468C9" w:rsidP="00BB0492">
            <w:pPr>
              <w:rPr>
                <w:rFonts w:ascii="Garamond" w:hAnsi="Garamond" w:cstheme="majorBidi"/>
                <w:i/>
                <w:iCs/>
                <w:color w:val="0D0D0D" w:themeColor="text1" w:themeTint="F2"/>
                <w:sz w:val="20"/>
                <w:szCs w:val="20"/>
                <w:lang w:val="sq-AL"/>
              </w:rPr>
            </w:pPr>
            <w:r w:rsidRPr="00770F9D">
              <w:rPr>
                <w:rFonts w:ascii="Garamond" w:hAnsi="Garamond" w:cstheme="majorBidi"/>
                <w:i/>
                <w:iCs/>
                <w:color w:val="0D0D0D" w:themeColor="text1" w:themeTint="F2"/>
                <w:sz w:val="20"/>
                <w:szCs w:val="20"/>
                <w:lang w:val="sq-AL"/>
              </w:rPr>
              <w:t>Subvencione</w:t>
            </w:r>
          </w:p>
        </w:tc>
        <w:tc>
          <w:tcPr>
            <w:tcW w:w="1044" w:type="dxa"/>
            <w:noWrap/>
            <w:vAlign w:val="center"/>
            <w:hideMark/>
          </w:tcPr>
          <w:p w14:paraId="615666AD" w14:textId="77777777" w:rsidR="00F468C9" w:rsidRPr="00770F9D" w:rsidRDefault="00F468C9" w:rsidP="007F7DC8">
            <w:pPr>
              <w:jc w:val="right"/>
              <w:rPr>
                <w:rFonts w:ascii="Garamond" w:hAnsi="Garamond" w:cstheme="majorBidi"/>
                <w:i/>
                <w:iCs/>
                <w:color w:val="0D0D0D" w:themeColor="text1" w:themeTint="F2"/>
                <w:sz w:val="20"/>
                <w:szCs w:val="20"/>
                <w:lang w:val="sq-AL"/>
              </w:rPr>
            </w:pPr>
            <w:r w:rsidRPr="00770F9D">
              <w:rPr>
                <w:rFonts w:ascii="Garamond" w:hAnsi="Garamond" w:cstheme="majorBidi"/>
                <w:i/>
                <w:iCs/>
                <w:color w:val="0D0D0D" w:themeColor="text1" w:themeTint="F2"/>
                <w:sz w:val="20"/>
                <w:szCs w:val="20"/>
                <w:lang w:val="sq-AL"/>
              </w:rPr>
              <w:t>156.5</w:t>
            </w:r>
          </w:p>
        </w:tc>
        <w:tc>
          <w:tcPr>
            <w:tcW w:w="1139" w:type="dxa"/>
            <w:noWrap/>
            <w:vAlign w:val="center"/>
            <w:hideMark/>
          </w:tcPr>
          <w:p w14:paraId="4AADECD0" w14:textId="77777777" w:rsidR="00F468C9" w:rsidRPr="00770F9D" w:rsidRDefault="00F468C9" w:rsidP="007F7DC8">
            <w:pPr>
              <w:jc w:val="right"/>
              <w:rPr>
                <w:rFonts w:ascii="Garamond" w:hAnsi="Garamond" w:cstheme="majorBidi"/>
                <w:i/>
                <w:iCs/>
                <w:color w:val="0D0D0D" w:themeColor="text1" w:themeTint="F2"/>
                <w:sz w:val="20"/>
                <w:szCs w:val="20"/>
                <w:lang w:val="sq-AL"/>
              </w:rPr>
            </w:pPr>
            <w:r w:rsidRPr="00770F9D">
              <w:rPr>
                <w:rFonts w:ascii="Garamond" w:hAnsi="Garamond" w:cstheme="majorBidi"/>
                <w:i/>
                <w:iCs/>
                <w:color w:val="0D0D0D" w:themeColor="text1" w:themeTint="F2"/>
                <w:sz w:val="20"/>
                <w:szCs w:val="20"/>
                <w:lang w:val="sq-AL"/>
              </w:rPr>
              <w:t>125</w:t>
            </w:r>
          </w:p>
        </w:tc>
        <w:tc>
          <w:tcPr>
            <w:tcW w:w="1329" w:type="dxa"/>
            <w:noWrap/>
            <w:vAlign w:val="center"/>
            <w:hideMark/>
          </w:tcPr>
          <w:p w14:paraId="0D62CBF8" w14:textId="77777777" w:rsidR="00F468C9" w:rsidRPr="00770F9D" w:rsidRDefault="00F468C9" w:rsidP="007F7DC8">
            <w:pPr>
              <w:jc w:val="right"/>
              <w:rPr>
                <w:rFonts w:ascii="Garamond" w:hAnsi="Garamond" w:cstheme="majorBidi"/>
                <w:i/>
                <w:iCs/>
                <w:color w:val="0D0D0D" w:themeColor="text1" w:themeTint="F2"/>
                <w:sz w:val="20"/>
                <w:szCs w:val="20"/>
                <w:lang w:val="sq-AL"/>
              </w:rPr>
            </w:pPr>
            <w:r w:rsidRPr="00770F9D">
              <w:rPr>
                <w:rFonts w:ascii="Garamond" w:hAnsi="Garamond" w:cstheme="majorBidi"/>
                <w:i/>
                <w:iCs/>
                <w:color w:val="0D0D0D" w:themeColor="text1" w:themeTint="F2"/>
                <w:sz w:val="20"/>
                <w:szCs w:val="20"/>
                <w:lang w:val="sq-AL"/>
              </w:rPr>
              <w:t>32</w:t>
            </w:r>
          </w:p>
        </w:tc>
        <w:tc>
          <w:tcPr>
            <w:tcW w:w="2419" w:type="dxa"/>
            <w:noWrap/>
            <w:vAlign w:val="center"/>
            <w:hideMark/>
          </w:tcPr>
          <w:p w14:paraId="2237ABDB" w14:textId="77777777" w:rsidR="00F468C9" w:rsidRPr="00770F9D" w:rsidRDefault="00F468C9" w:rsidP="007F7DC8">
            <w:pPr>
              <w:jc w:val="right"/>
              <w:rPr>
                <w:rFonts w:ascii="Garamond" w:hAnsi="Garamond" w:cstheme="majorBidi"/>
                <w:color w:val="0D0D0D" w:themeColor="text1" w:themeTint="F2"/>
                <w:sz w:val="20"/>
                <w:szCs w:val="20"/>
                <w:lang w:val="sq-AL"/>
              </w:rPr>
            </w:pPr>
            <w:r w:rsidRPr="00770F9D">
              <w:rPr>
                <w:rFonts w:ascii="Garamond" w:hAnsi="Garamond" w:cstheme="majorBidi"/>
                <w:color w:val="0D0D0D" w:themeColor="text1" w:themeTint="F2"/>
                <w:sz w:val="20"/>
                <w:szCs w:val="20"/>
                <w:lang w:val="sq-AL"/>
              </w:rPr>
              <w:t>125.2%</w:t>
            </w:r>
          </w:p>
        </w:tc>
      </w:tr>
      <w:tr w:rsidR="00F468C9" w:rsidRPr="00770F9D" w14:paraId="3B954996" w14:textId="77777777" w:rsidTr="007F7DC8">
        <w:trPr>
          <w:trHeight w:val="20"/>
          <w:jc w:val="center"/>
        </w:trPr>
        <w:tc>
          <w:tcPr>
            <w:tcW w:w="3498" w:type="dxa"/>
            <w:noWrap/>
            <w:vAlign w:val="center"/>
            <w:hideMark/>
          </w:tcPr>
          <w:p w14:paraId="4D20A734" w14:textId="77777777" w:rsidR="00F468C9" w:rsidRPr="00770F9D" w:rsidRDefault="00F468C9" w:rsidP="00BB0492">
            <w:pPr>
              <w:rPr>
                <w:rFonts w:ascii="Garamond" w:hAnsi="Garamond" w:cstheme="majorBidi"/>
                <w:i/>
                <w:iCs/>
                <w:color w:val="0D0D0D" w:themeColor="text1" w:themeTint="F2"/>
                <w:sz w:val="20"/>
                <w:szCs w:val="20"/>
                <w:lang w:val="sq-AL"/>
              </w:rPr>
            </w:pPr>
            <w:r w:rsidRPr="00770F9D">
              <w:rPr>
                <w:rFonts w:ascii="Garamond" w:hAnsi="Garamond" w:cstheme="majorBidi"/>
                <w:i/>
                <w:iCs/>
                <w:color w:val="0D0D0D" w:themeColor="text1" w:themeTint="F2"/>
                <w:sz w:val="20"/>
                <w:szCs w:val="20"/>
                <w:lang w:val="sq-AL"/>
              </w:rPr>
              <w:t>Te tjera</w:t>
            </w:r>
          </w:p>
        </w:tc>
        <w:tc>
          <w:tcPr>
            <w:tcW w:w="1044" w:type="dxa"/>
            <w:noWrap/>
            <w:vAlign w:val="center"/>
            <w:hideMark/>
          </w:tcPr>
          <w:p w14:paraId="78BB43D0" w14:textId="77777777" w:rsidR="00F468C9" w:rsidRPr="00770F9D" w:rsidRDefault="00F468C9" w:rsidP="007F7DC8">
            <w:pPr>
              <w:jc w:val="right"/>
              <w:rPr>
                <w:rFonts w:ascii="Garamond" w:hAnsi="Garamond" w:cstheme="majorBidi"/>
                <w:i/>
                <w:iCs/>
                <w:color w:val="0D0D0D" w:themeColor="text1" w:themeTint="F2"/>
                <w:sz w:val="20"/>
                <w:szCs w:val="20"/>
                <w:lang w:val="sq-AL"/>
              </w:rPr>
            </w:pPr>
            <w:r w:rsidRPr="00770F9D">
              <w:rPr>
                <w:rFonts w:ascii="Garamond" w:hAnsi="Garamond" w:cstheme="majorBidi"/>
                <w:i/>
                <w:iCs/>
                <w:color w:val="0D0D0D" w:themeColor="text1" w:themeTint="F2"/>
                <w:sz w:val="20"/>
                <w:szCs w:val="20"/>
                <w:lang w:val="sq-AL"/>
              </w:rPr>
              <w:t>1,304</w:t>
            </w:r>
          </w:p>
        </w:tc>
        <w:tc>
          <w:tcPr>
            <w:tcW w:w="1139" w:type="dxa"/>
            <w:noWrap/>
            <w:vAlign w:val="center"/>
            <w:hideMark/>
          </w:tcPr>
          <w:p w14:paraId="43257F2B" w14:textId="77777777" w:rsidR="00F468C9" w:rsidRPr="00770F9D" w:rsidRDefault="00F468C9" w:rsidP="007F7DC8">
            <w:pPr>
              <w:jc w:val="right"/>
              <w:rPr>
                <w:rFonts w:ascii="Garamond" w:hAnsi="Garamond" w:cstheme="majorBidi"/>
                <w:i/>
                <w:iCs/>
                <w:color w:val="0D0D0D" w:themeColor="text1" w:themeTint="F2"/>
                <w:sz w:val="20"/>
                <w:szCs w:val="20"/>
                <w:lang w:val="sq-AL"/>
              </w:rPr>
            </w:pPr>
            <w:r w:rsidRPr="00770F9D">
              <w:rPr>
                <w:rFonts w:ascii="Garamond" w:hAnsi="Garamond" w:cstheme="majorBidi"/>
                <w:i/>
                <w:iCs/>
                <w:color w:val="0D0D0D" w:themeColor="text1" w:themeTint="F2"/>
                <w:sz w:val="20"/>
                <w:szCs w:val="20"/>
                <w:lang w:val="sq-AL"/>
              </w:rPr>
              <w:t>1,112</w:t>
            </w:r>
          </w:p>
        </w:tc>
        <w:tc>
          <w:tcPr>
            <w:tcW w:w="1329" w:type="dxa"/>
            <w:noWrap/>
            <w:vAlign w:val="center"/>
            <w:hideMark/>
          </w:tcPr>
          <w:p w14:paraId="108C7129" w14:textId="77777777" w:rsidR="00F468C9" w:rsidRPr="00770F9D" w:rsidRDefault="00F468C9" w:rsidP="007F7DC8">
            <w:pPr>
              <w:jc w:val="right"/>
              <w:rPr>
                <w:rFonts w:ascii="Garamond" w:hAnsi="Garamond" w:cstheme="majorBidi"/>
                <w:i/>
                <w:iCs/>
                <w:color w:val="0D0D0D" w:themeColor="text1" w:themeTint="F2"/>
                <w:sz w:val="20"/>
                <w:szCs w:val="20"/>
                <w:lang w:val="sq-AL"/>
              </w:rPr>
            </w:pPr>
            <w:r w:rsidRPr="00770F9D">
              <w:rPr>
                <w:rFonts w:ascii="Garamond" w:hAnsi="Garamond" w:cstheme="majorBidi"/>
                <w:i/>
                <w:iCs/>
                <w:color w:val="0D0D0D" w:themeColor="text1" w:themeTint="F2"/>
                <w:sz w:val="20"/>
                <w:szCs w:val="20"/>
                <w:lang w:val="sq-AL"/>
              </w:rPr>
              <w:t>192</w:t>
            </w:r>
          </w:p>
        </w:tc>
        <w:tc>
          <w:tcPr>
            <w:tcW w:w="2419" w:type="dxa"/>
            <w:noWrap/>
            <w:vAlign w:val="center"/>
            <w:hideMark/>
          </w:tcPr>
          <w:p w14:paraId="76DDF1E1" w14:textId="77777777" w:rsidR="00F468C9" w:rsidRPr="00770F9D" w:rsidRDefault="00F468C9" w:rsidP="007F7DC8">
            <w:pPr>
              <w:jc w:val="right"/>
              <w:rPr>
                <w:rFonts w:ascii="Garamond" w:hAnsi="Garamond" w:cstheme="majorBidi"/>
                <w:color w:val="0D0D0D" w:themeColor="text1" w:themeTint="F2"/>
                <w:sz w:val="20"/>
                <w:szCs w:val="20"/>
                <w:lang w:val="sq-AL"/>
              </w:rPr>
            </w:pPr>
            <w:r w:rsidRPr="00770F9D">
              <w:rPr>
                <w:rFonts w:ascii="Garamond" w:hAnsi="Garamond" w:cstheme="majorBidi"/>
                <w:color w:val="0D0D0D" w:themeColor="text1" w:themeTint="F2"/>
                <w:sz w:val="20"/>
                <w:szCs w:val="20"/>
                <w:lang w:val="sq-AL"/>
              </w:rPr>
              <w:t>117.3%</w:t>
            </w:r>
          </w:p>
        </w:tc>
      </w:tr>
      <w:tr w:rsidR="00F468C9" w:rsidRPr="00770F9D" w14:paraId="3A122001" w14:textId="77777777" w:rsidTr="007F7DC8">
        <w:trPr>
          <w:trHeight w:val="20"/>
          <w:jc w:val="center"/>
        </w:trPr>
        <w:tc>
          <w:tcPr>
            <w:tcW w:w="3498" w:type="dxa"/>
            <w:noWrap/>
            <w:vAlign w:val="center"/>
            <w:hideMark/>
          </w:tcPr>
          <w:p w14:paraId="6934DB47" w14:textId="0119A837" w:rsidR="00F468C9" w:rsidRPr="00770F9D" w:rsidRDefault="00F468C9" w:rsidP="00BB0492">
            <w:pPr>
              <w:jc w:val="both"/>
              <w:rPr>
                <w:rFonts w:ascii="Garamond" w:hAnsi="Garamond" w:cstheme="majorBidi"/>
                <w:iCs/>
                <w:color w:val="0D0D0D" w:themeColor="text1" w:themeTint="F2"/>
                <w:sz w:val="20"/>
                <w:szCs w:val="20"/>
                <w:lang w:val="sq-AL"/>
              </w:rPr>
            </w:pPr>
            <w:r w:rsidRPr="00770F9D">
              <w:rPr>
                <w:rFonts w:ascii="Garamond" w:hAnsi="Garamond" w:cstheme="majorBidi"/>
                <w:iCs/>
                <w:color w:val="0D0D0D" w:themeColor="text1" w:themeTint="F2"/>
                <w:sz w:val="20"/>
                <w:szCs w:val="20"/>
                <w:lang w:val="sq-AL"/>
              </w:rPr>
              <w:t xml:space="preserve">Shpenzime </w:t>
            </w:r>
            <w:r w:rsidR="007F7DC8" w:rsidRPr="00770F9D">
              <w:rPr>
                <w:rFonts w:ascii="Garamond" w:hAnsi="Garamond" w:cstheme="majorBidi"/>
                <w:iCs/>
                <w:color w:val="0D0D0D" w:themeColor="text1" w:themeTint="F2"/>
                <w:sz w:val="20"/>
                <w:szCs w:val="20"/>
                <w:lang w:val="sq-AL"/>
              </w:rPr>
              <w:t>kapitale</w:t>
            </w:r>
          </w:p>
        </w:tc>
        <w:tc>
          <w:tcPr>
            <w:tcW w:w="1044" w:type="dxa"/>
            <w:noWrap/>
            <w:vAlign w:val="center"/>
            <w:hideMark/>
          </w:tcPr>
          <w:p w14:paraId="2BCD2031" w14:textId="77777777" w:rsidR="00F468C9" w:rsidRPr="00770F9D" w:rsidRDefault="00F468C9" w:rsidP="007F7DC8">
            <w:pPr>
              <w:jc w:val="right"/>
              <w:rPr>
                <w:rFonts w:ascii="Garamond" w:hAnsi="Garamond" w:cstheme="majorBidi"/>
                <w:color w:val="0D0D0D" w:themeColor="text1" w:themeTint="F2"/>
                <w:sz w:val="20"/>
                <w:szCs w:val="20"/>
                <w:lang w:val="sq-AL"/>
              </w:rPr>
            </w:pPr>
            <w:r w:rsidRPr="00770F9D">
              <w:rPr>
                <w:rFonts w:ascii="Garamond" w:hAnsi="Garamond" w:cstheme="majorBidi"/>
                <w:color w:val="0D0D0D" w:themeColor="text1" w:themeTint="F2"/>
                <w:sz w:val="20"/>
                <w:szCs w:val="20"/>
                <w:lang w:val="sq-AL"/>
              </w:rPr>
              <w:t>8,998</w:t>
            </w:r>
          </w:p>
        </w:tc>
        <w:tc>
          <w:tcPr>
            <w:tcW w:w="1139" w:type="dxa"/>
            <w:noWrap/>
            <w:vAlign w:val="center"/>
            <w:hideMark/>
          </w:tcPr>
          <w:p w14:paraId="7758B2C4" w14:textId="77777777" w:rsidR="00F468C9" w:rsidRPr="00770F9D" w:rsidRDefault="00F468C9" w:rsidP="007F7DC8">
            <w:pPr>
              <w:jc w:val="right"/>
              <w:rPr>
                <w:rFonts w:ascii="Garamond" w:hAnsi="Garamond" w:cstheme="majorBidi"/>
                <w:color w:val="0D0D0D" w:themeColor="text1" w:themeTint="F2"/>
                <w:sz w:val="20"/>
                <w:szCs w:val="20"/>
                <w:lang w:val="sq-AL"/>
              </w:rPr>
            </w:pPr>
            <w:r w:rsidRPr="00770F9D">
              <w:rPr>
                <w:rFonts w:ascii="Garamond" w:hAnsi="Garamond" w:cstheme="majorBidi"/>
                <w:color w:val="0D0D0D" w:themeColor="text1" w:themeTint="F2"/>
                <w:sz w:val="20"/>
                <w:szCs w:val="20"/>
                <w:lang w:val="sq-AL"/>
              </w:rPr>
              <w:t>9,027</w:t>
            </w:r>
          </w:p>
        </w:tc>
        <w:tc>
          <w:tcPr>
            <w:tcW w:w="1329" w:type="dxa"/>
            <w:noWrap/>
            <w:vAlign w:val="center"/>
            <w:hideMark/>
          </w:tcPr>
          <w:p w14:paraId="20CF0789" w14:textId="77777777" w:rsidR="00F468C9" w:rsidRPr="00770F9D" w:rsidRDefault="00F468C9" w:rsidP="007F7DC8">
            <w:pPr>
              <w:jc w:val="right"/>
              <w:rPr>
                <w:rFonts w:ascii="Garamond" w:hAnsi="Garamond" w:cstheme="majorBidi"/>
                <w:color w:val="0D0D0D" w:themeColor="text1" w:themeTint="F2"/>
                <w:sz w:val="20"/>
                <w:szCs w:val="20"/>
                <w:lang w:val="sq-AL"/>
              </w:rPr>
            </w:pPr>
            <w:r w:rsidRPr="00770F9D">
              <w:rPr>
                <w:rFonts w:ascii="Garamond" w:hAnsi="Garamond" w:cstheme="majorBidi"/>
                <w:color w:val="0D0D0D" w:themeColor="text1" w:themeTint="F2"/>
                <w:sz w:val="20"/>
                <w:szCs w:val="20"/>
                <w:lang w:val="sq-AL"/>
              </w:rPr>
              <w:t>-29</w:t>
            </w:r>
          </w:p>
        </w:tc>
        <w:tc>
          <w:tcPr>
            <w:tcW w:w="2419" w:type="dxa"/>
            <w:noWrap/>
            <w:vAlign w:val="center"/>
            <w:hideMark/>
          </w:tcPr>
          <w:p w14:paraId="4160CFD6" w14:textId="77777777" w:rsidR="00F468C9" w:rsidRPr="00770F9D" w:rsidRDefault="00F468C9" w:rsidP="007F7DC8">
            <w:pPr>
              <w:jc w:val="right"/>
              <w:rPr>
                <w:rFonts w:ascii="Garamond" w:hAnsi="Garamond" w:cstheme="majorBidi"/>
                <w:color w:val="0D0D0D" w:themeColor="text1" w:themeTint="F2"/>
                <w:sz w:val="20"/>
                <w:szCs w:val="20"/>
                <w:lang w:val="sq-AL"/>
              </w:rPr>
            </w:pPr>
            <w:r w:rsidRPr="00770F9D">
              <w:rPr>
                <w:rFonts w:ascii="Garamond" w:hAnsi="Garamond" w:cstheme="majorBidi"/>
                <w:color w:val="0D0D0D" w:themeColor="text1" w:themeTint="F2"/>
                <w:sz w:val="20"/>
                <w:szCs w:val="20"/>
                <w:lang w:val="sq-AL"/>
              </w:rPr>
              <w:t>99.7%</w:t>
            </w:r>
          </w:p>
        </w:tc>
      </w:tr>
    </w:tbl>
    <w:p w14:paraId="6462A957" w14:textId="77777777" w:rsidR="00F468C9" w:rsidRPr="00770F9D" w:rsidRDefault="00F468C9" w:rsidP="005674F2">
      <w:pPr>
        <w:ind w:firstLine="284"/>
        <w:rPr>
          <w:rFonts w:ascii="Garamond" w:hAnsi="Garamond" w:cstheme="majorBidi"/>
          <w:color w:val="0D0D0D" w:themeColor="text1" w:themeTint="F2"/>
        </w:rPr>
      </w:pPr>
    </w:p>
    <w:p w14:paraId="38076CC9" w14:textId="7ED1EE27"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i/>
          <w:color w:val="0D0D0D" w:themeColor="text1" w:themeTint="F2"/>
        </w:rPr>
        <w:t xml:space="preserve">Niveli i suficitit </w:t>
      </w:r>
      <w:r w:rsidRPr="00770F9D">
        <w:rPr>
          <w:rFonts w:ascii="Garamond" w:hAnsi="Garamond" w:cstheme="majorBidi"/>
          <w:color w:val="0D0D0D" w:themeColor="text1" w:themeTint="F2"/>
        </w:rPr>
        <w:t xml:space="preserve">për periudhën </w:t>
      </w:r>
      <w:r w:rsidR="00380627" w:rsidRPr="00770F9D">
        <w:rPr>
          <w:rFonts w:ascii="Garamond" w:hAnsi="Garamond" w:cstheme="majorBidi"/>
          <w:color w:val="0D0D0D" w:themeColor="text1" w:themeTint="F2"/>
        </w:rPr>
        <w:t xml:space="preserve">11-mujore </w:t>
      </w:r>
      <w:r w:rsidRPr="00770F9D">
        <w:rPr>
          <w:rFonts w:ascii="Garamond" w:hAnsi="Garamond" w:cstheme="majorBidi"/>
          <w:color w:val="0D0D0D" w:themeColor="text1" w:themeTint="F2"/>
        </w:rPr>
        <w:t xml:space="preserve">të vitit 2022 rezultoi në rreth 9.2 </w:t>
      </w:r>
      <w:r w:rsidR="00380627" w:rsidRPr="00770F9D">
        <w:rPr>
          <w:rFonts w:ascii="Garamond" w:hAnsi="Garamond" w:cstheme="majorBidi"/>
          <w:color w:val="0D0D0D" w:themeColor="text1" w:themeTint="F2"/>
        </w:rPr>
        <w:t xml:space="preserve">miliardë lekë </w:t>
      </w:r>
      <w:r w:rsidRPr="00770F9D">
        <w:rPr>
          <w:rFonts w:ascii="Garamond" w:hAnsi="Garamond" w:cstheme="majorBidi"/>
          <w:color w:val="0D0D0D" w:themeColor="text1" w:themeTint="F2"/>
        </w:rPr>
        <w:t>nga 66.95 miliard lekë deficit i planifikuar. Krahasuar me të njëjtën periudhë të vitit 2021, ku niveli i deficitit rezultonte në masën prej rreth 33 miliard</w:t>
      </w:r>
      <w:r w:rsidR="0038500F" w:rsidRPr="00770F9D">
        <w:rPr>
          <w:rFonts w:ascii="Garamond" w:hAnsi="Garamond" w:cstheme="majorBidi"/>
          <w:color w:val="0D0D0D" w:themeColor="text1" w:themeTint="F2"/>
        </w:rPr>
        <w:t>ë</w:t>
      </w:r>
      <w:r w:rsidRPr="00770F9D">
        <w:rPr>
          <w:rFonts w:ascii="Garamond" w:hAnsi="Garamond" w:cstheme="majorBidi"/>
          <w:color w:val="0D0D0D" w:themeColor="text1" w:themeTint="F2"/>
        </w:rPr>
        <w:t xml:space="preserve"> </w:t>
      </w:r>
      <w:r w:rsidR="0038500F" w:rsidRPr="00770F9D">
        <w:rPr>
          <w:rFonts w:ascii="Garamond" w:hAnsi="Garamond" w:cstheme="majorBidi"/>
          <w:color w:val="0D0D0D" w:themeColor="text1" w:themeTint="F2"/>
        </w:rPr>
        <w:t>lekë</w:t>
      </w:r>
      <w:r w:rsidRPr="00770F9D">
        <w:rPr>
          <w:rFonts w:ascii="Garamond" w:hAnsi="Garamond" w:cstheme="majorBidi"/>
          <w:color w:val="0D0D0D" w:themeColor="text1" w:themeTint="F2"/>
        </w:rPr>
        <w:t xml:space="preserve">, për periudhën </w:t>
      </w:r>
      <w:r w:rsidR="00380627" w:rsidRPr="00770F9D">
        <w:rPr>
          <w:rFonts w:ascii="Garamond" w:hAnsi="Garamond" w:cstheme="majorBidi"/>
          <w:color w:val="0D0D0D" w:themeColor="text1" w:themeTint="F2"/>
        </w:rPr>
        <w:t xml:space="preserve">11-mujore </w:t>
      </w:r>
      <w:r w:rsidRPr="00770F9D">
        <w:rPr>
          <w:rFonts w:ascii="Garamond" w:hAnsi="Garamond" w:cstheme="majorBidi"/>
          <w:color w:val="0D0D0D" w:themeColor="text1" w:themeTint="F2"/>
        </w:rPr>
        <w:t>të vitit 2022 vihet re një rritje e ndjeshme e nivelit të suficitit.</w:t>
      </w:r>
    </w:p>
    <w:p w14:paraId="6C74A82B" w14:textId="32E8C4E1" w:rsidR="00F468C9" w:rsidRPr="00770F9D" w:rsidRDefault="00BB0492" w:rsidP="003F46E1">
      <w:pPr>
        <w:pStyle w:val="Heading2"/>
        <w:snapToGrid w:val="0"/>
        <w:ind w:left="0" w:firstLine="284"/>
        <w:jc w:val="both"/>
        <w:rPr>
          <w:rFonts w:ascii="Garamond" w:hAnsi="Garamond" w:cstheme="majorBidi"/>
          <w:b/>
          <w:color w:val="0D0D0D" w:themeColor="text1" w:themeTint="F2"/>
        </w:rPr>
      </w:pPr>
      <w:bookmarkStart w:id="28" w:name="_Toc126050947"/>
      <w:bookmarkStart w:id="29" w:name="_Toc484076175"/>
      <w:r w:rsidRPr="00770F9D">
        <w:rPr>
          <w:rFonts w:ascii="Garamond" w:hAnsi="Garamond" w:cstheme="majorBidi"/>
          <w:b/>
          <w:color w:val="0D0D0D" w:themeColor="text1" w:themeTint="F2"/>
        </w:rPr>
        <w:t>4</w:t>
      </w:r>
      <w:r w:rsidR="00072546" w:rsidRPr="00770F9D">
        <w:rPr>
          <w:rFonts w:ascii="Garamond" w:hAnsi="Garamond" w:cstheme="majorBidi"/>
          <w:b/>
          <w:color w:val="0D0D0D" w:themeColor="text1" w:themeTint="F2"/>
        </w:rPr>
        <w:t xml:space="preserve">.3 </w:t>
      </w:r>
      <w:r w:rsidR="00F468C9" w:rsidRPr="00770F9D">
        <w:rPr>
          <w:rFonts w:ascii="Garamond" w:hAnsi="Garamond" w:cstheme="majorBidi"/>
          <w:b/>
          <w:color w:val="0D0D0D" w:themeColor="text1" w:themeTint="F2"/>
        </w:rPr>
        <w:t>Planet buxhetore për vitin e dorëzimit të ERP</w:t>
      </w:r>
      <w:bookmarkEnd w:id="28"/>
      <w:r w:rsidR="00E17808" w:rsidRPr="00770F9D">
        <w:rPr>
          <w:rFonts w:ascii="Garamond" w:hAnsi="Garamond" w:cstheme="majorBidi"/>
          <w:b/>
          <w:color w:val="0D0D0D" w:themeColor="text1" w:themeTint="F2"/>
        </w:rPr>
        <w:t>-së</w:t>
      </w:r>
    </w:p>
    <w:p w14:paraId="526457BB" w14:textId="257069F2" w:rsidR="00F468C9" w:rsidRPr="00770F9D" w:rsidRDefault="00F468C9" w:rsidP="003F46E1">
      <w:pPr>
        <w:ind w:firstLine="284"/>
        <w:jc w:val="both"/>
        <w:rPr>
          <w:rStyle w:val="jlqj4b"/>
          <w:rFonts w:ascii="Garamond" w:eastAsia="Times New Roman" w:hAnsi="Garamond" w:cstheme="majorBidi"/>
          <w:color w:val="0D0D0D" w:themeColor="text1" w:themeTint="F2"/>
        </w:rPr>
      </w:pPr>
      <w:r w:rsidRPr="00770F9D">
        <w:rPr>
          <w:rFonts w:ascii="Garamond" w:eastAsia="Times New Roman" w:hAnsi="Garamond" w:cstheme="majorBidi"/>
          <w:color w:val="0D0D0D" w:themeColor="text1" w:themeTint="F2"/>
        </w:rPr>
        <w:t xml:space="preserve">Në programimin e të ardhurave nga </w:t>
      </w:r>
      <w:r w:rsidR="00E17808" w:rsidRPr="00770F9D">
        <w:rPr>
          <w:rFonts w:ascii="Garamond" w:eastAsia="Times New Roman" w:hAnsi="Garamond" w:cstheme="majorBidi"/>
          <w:color w:val="0D0D0D" w:themeColor="text1" w:themeTint="F2"/>
        </w:rPr>
        <w:t xml:space="preserve">tatimet dhe doganat </w:t>
      </w:r>
      <w:r w:rsidRPr="00770F9D">
        <w:rPr>
          <w:rFonts w:ascii="Garamond" w:eastAsia="Times New Roman" w:hAnsi="Garamond" w:cstheme="majorBidi"/>
          <w:color w:val="0D0D0D" w:themeColor="text1" w:themeTint="F2"/>
        </w:rPr>
        <w:t>për vitin 2023, janë marrë në konsideratë faktorët kryesorë me ndikim në buxhet</w:t>
      </w:r>
      <w:r w:rsidR="00E17808" w:rsidRPr="00770F9D">
        <w:rPr>
          <w:rFonts w:ascii="Garamond" w:eastAsia="Times New Roman" w:hAnsi="Garamond" w:cstheme="majorBidi"/>
          <w:color w:val="0D0D0D" w:themeColor="text1" w:themeTint="F2"/>
        </w:rPr>
        <w:t>,</w:t>
      </w:r>
      <w:r w:rsidRPr="00770F9D">
        <w:rPr>
          <w:rFonts w:ascii="Garamond" w:eastAsia="Times New Roman" w:hAnsi="Garamond" w:cstheme="majorBidi"/>
          <w:color w:val="0D0D0D" w:themeColor="text1" w:themeTint="F2"/>
        </w:rPr>
        <w:t xml:space="preserve"> si rrjedhojë e një analize të mirëfilltë nga ana e strukturave përgjegjëse në MFE, sipas së cilës rezulton të kemi rritje të të ardhurave si rezultat i miradministrimit, luftës ndaj informalitetit dhe kontrollit të zinxhirit të transaksioneve ndërmjet operatorëve duke u fokusuar në ato segmente dhe tatimpagues</w:t>
      </w:r>
      <w:r w:rsidR="00E17808" w:rsidRPr="00770F9D">
        <w:rPr>
          <w:rFonts w:ascii="Garamond" w:eastAsia="Times New Roman" w:hAnsi="Garamond" w:cstheme="majorBidi"/>
          <w:color w:val="0D0D0D" w:themeColor="text1" w:themeTint="F2"/>
        </w:rPr>
        <w:t>,</w:t>
      </w:r>
      <w:r w:rsidRPr="00770F9D">
        <w:rPr>
          <w:rFonts w:ascii="Garamond" w:eastAsia="Times New Roman" w:hAnsi="Garamond" w:cstheme="majorBidi"/>
          <w:color w:val="0D0D0D" w:themeColor="text1" w:themeTint="F2"/>
        </w:rPr>
        <w:t xml:space="preserve"> që kontribuojnë më shumë tek të ardhurat. Projeksionet tona janë optimiste edhe duke marrë në konsideratë rritjen e çmimeve të të gjithë produkteve dhe kryesisht të karburantit, energjisë të cilët kanë një peshë të konsiderueshme në arkëtimin e të ardhurave. Programimi i të ardhurave për vitin 2023, mbështet synimet e Ministrisë së Financave dhe Ekonomisë për rritjen e të ardhurave tatimore dhe doganore, përfshirë edhe kontributet janë parashikuar bazuar në analizën e trendit historik të 60 grup-produkteve kryesore, për një periudhë shumëvjeçare</w:t>
      </w:r>
      <w:r w:rsidR="00E17808" w:rsidRPr="00770F9D">
        <w:rPr>
          <w:rFonts w:ascii="Garamond" w:eastAsia="Times New Roman" w:hAnsi="Garamond" w:cstheme="majorBidi"/>
          <w:color w:val="0D0D0D" w:themeColor="text1" w:themeTint="F2"/>
        </w:rPr>
        <w:t>,</w:t>
      </w:r>
      <w:r w:rsidRPr="00770F9D">
        <w:rPr>
          <w:rFonts w:ascii="Garamond" w:eastAsia="Times New Roman" w:hAnsi="Garamond" w:cstheme="majorBidi"/>
          <w:color w:val="0D0D0D" w:themeColor="text1" w:themeTint="F2"/>
        </w:rPr>
        <w:t xml:space="preserve"> si dhe mbajtjen nën kontroll të defi</w:t>
      </w:r>
      <w:r w:rsidR="00E17808" w:rsidRPr="00770F9D">
        <w:rPr>
          <w:rFonts w:ascii="Garamond" w:eastAsia="Times New Roman" w:hAnsi="Garamond" w:cstheme="majorBidi"/>
          <w:color w:val="0D0D0D" w:themeColor="text1" w:themeTint="F2"/>
        </w:rPr>
        <w:t>c</w:t>
      </w:r>
      <w:r w:rsidRPr="00770F9D">
        <w:rPr>
          <w:rFonts w:ascii="Garamond" w:eastAsia="Times New Roman" w:hAnsi="Garamond" w:cstheme="majorBidi"/>
          <w:color w:val="0D0D0D" w:themeColor="text1" w:themeTint="F2"/>
        </w:rPr>
        <w:t xml:space="preserve">itit buxhetor dhe borxhit publik. Ky program bazohet në faktorët që do </w:t>
      </w:r>
      <w:r w:rsidR="00B900DE" w:rsidRPr="00770F9D">
        <w:rPr>
          <w:rFonts w:ascii="Garamond" w:eastAsia="Times New Roman" w:hAnsi="Garamond" w:cstheme="majorBidi"/>
          <w:color w:val="0D0D0D" w:themeColor="text1" w:themeTint="F2"/>
        </w:rPr>
        <w:t xml:space="preserve">të </w:t>
      </w:r>
      <w:r w:rsidRPr="00770F9D">
        <w:rPr>
          <w:rFonts w:ascii="Garamond" w:eastAsia="Times New Roman" w:hAnsi="Garamond" w:cstheme="majorBidi"/>
          <w:color w:val="0D0D0D" w:themeColor="text1" w:themeTint="F2"/>
        </w:rPr>
        <w:t>impaktojnë këtë periudhë dhe risqet e mundshme që mund të shfaqen (inflacioni, importet, çmimet, investimet, energjia elektrike etj.).</w:t>
      </w:r>
    </w:p>
    <w:p w14:paraId="0CEE6904" w14:textId="77777777" w:rsidR="00072546" w:rsidRPr="00770F9D" w:rsidRDefault="00072546" w:rsidP="003F46E1">
      <w:pPr>
        <w:autoSpaceDE w:val="0"/>
        <w:autoSpaceDN w:val="0"/>
        <w:adjustRightInd w:val="0"/>
        <w:ind w:firstLine="284"/>
        <w:jc w:val="both"/>
        <w:rPr>
          <w:rFonts w:ascii="Garamond" w:hAnsi="Garamond" w:cs="Garamond"/>
          <w:i/>
          <w:iCs/>
          <w:color w:val="0D0D0D"/>
          <w:lang w:eastAsia="sq-AL"/>
        </w:rPr>
      </w:pPr>
      <w:r w:rsidRPr="00770F9D">
        <w:rPr>
          <w:rFonts w:ascii="Garamond" w:hAnsi="Garamond" w:cs="Garamond"/>
          <w:i/>
          <w:iCs/>
          <w:color w:val="0D0D0D"/>
          <w:lang w:eastAsia="sq-AL"/>
        </w:rPr>
        <w:t>Parashikimi i të ardhurave sipas zërave për vitin 2023</w:t>
      </w:r>
    </w:p>
    <w:p w14:paraId="313F8603" w14:textId="0465B073"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Të ardhurat nga TVSH</w:t>
      </w:r>
      <w:r w:rsidR="00B900DE" w:rsidRPr="00770F9D">
        <w:rPr>
          <w:rFonts w:ascii="Garamond" w:hAnsi="Garamond" w:cs="Garamond"/>
          <w:color w:val="0D0D0D"/>
          <w:lang w:eastAsia="sq-AL"/>
        </w:rPr>
        <w:t>-ja</w:t>
      </w:r>
      <w:r w:rsidRPr="00770F9D">
        <w:rPr>
          <w:rFonts w:ascii="Garamond" w:hAnsi="Garamond" w:cs="Garamond"/>
          <w:color w:val="0D0D0D"/>
          <w:lang w:eastAsia="sq-AL"/>
        </w:rPr>
        <w:t xml:space="preserve"> parashikohet të jetë rreth 211 miliardë lekë, 18 miliardë lek</w:t>
      </w:r>
      <w:r w:rsidR="00B900DE" w:rsidRPr="00770F9D">
        <w:rPr>
          <w:rFonts w:ascii="Garamond" w:hAnsi="Garamond" w:cs="Garamond"/>
          <w:color w:val="0D0D0D"/>
          <w:lang w:eastAsia="sq-AL"/>
        </w:rPr>
        <w:t>ë</w:t>
      </w:r>
      <w:r w:rsidRPr="00770F9D">
        <w:rPr>
          <w:rFonts w:ascii="Garamond" w:hAnsi="Garamond" w:cs="Garamond"/>
          <w:color w:val="0D0D0D"/>
          <w:lang w:eastAsia="sq-AL"/>
        </w:rPr>
        <w:t xml:space="preserve"> ose 9% më shumë se pritshmëria për vitin 2022. Burimet e rritjes së TVSH-së në vitin 2023 do të jenë:</w:t>
      </w:r>
    </w:p>
    <w:p w14:paraId="6D04E679" w14:textId="00E5BAA3"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TVSH-</w:t>
      </w:r>
      <w:r w:rsidR="00B900DE" w:rsidRPr="00770F9D">
        <w:rPr>
          <w:rFonts w:ascii="Garamond" w:hAnsi="Garamond" w:cs="Garamond"/>
          <w:color w:val="0D0D0D"/>
          <w:lang w:eastAsia="sq-AL"/>
        </w:rPr>
        <w:t>ja</w:t>
      </w:r>
      <w:r w:rsidRPr="00770F9D">
        <w:rPr>
          <w:rFonts w:ascii="Garamond" w:hAnsi="Garamond" w:cs="Garamond"/>
          <w:color w:val="0D0D0D"/>
          <w:lang w:eastAsia="sq-AL"/>
        </w:rPr>
        <w:t xml:space="preserve"> që do të gjenerohet si rezultat i rimëkëmbjes ekonomike; </w:t>
      </w:r>
    </w:p>
    <w:p w14:paraId="700A9170" w14:textId="70D1FCAB"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TVSH</w:t>
      </w:r>
      <w:r w:rsidR="00B900DE" w:rsidRPr="00770F9D">
        <w:rPr>
          <w:rFonts w:ascii="Garamond" w:hAnsi="Garamond" w:cs="Garamond"/>
          <w:color w:val="0D0D0D"/>
          <w:lang w:eastAsia="sq-AL"/>
        </w:rPr>
        <w:t>-ja</w:t>
      </w:r>
      <w:r w:rsidRPr="00770F9D">
        <w:rPr>
          <w:rFonts w:ascii="Garamond" w:hAnsi="Garamond" w:cs="Garamond"/>
          <w:color w:val="0D0D0D"/>
          <w:lang w:eastAsia="sq-AL"/>
        </w:rPr>
        <w:t xml:space="preserve"> nga rritja e volumit të importeve dhe konjuktura e çmimeve ndërkombëtare; </w:t>
      </w:r>
    </w:p>
    <w:p w14:paraId="607A5BAA" w14:textId="23E54ACF"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TVSH</w:t>
      </w:r>
      <w:r w:rsidR="00C45D12" w:rsidRPr="00770F9D">
        <w:rPr>
          <w:rFonts w:ascii="Garamond" w:hAnsi="Garamond" w:cs="Garamond"/>
          <w:color w:val="0D0D0D"/>
          <w:lang w:eastAsia="sq-AL"/>
        </w:rPr>
        <w:t>-ja</w:t>
      </w:r>
      <w:r w:rsidRPr="00770F9D">
        <w:rPr>
          <w:rFonts w:ascii="Garamond" w:hAnsi="Garamond" w:cs="Garamond"/>
          <w:color w:val="0D0D0D"/>
          <w:lang w:eastAsia="sq-AL"/>
        </w:rPr>
        <w:t xml:space="preserve"> nga përmirësimi i administrimit, lufta ndaj informalitetit dhe kontrolli i zinxhirit të transaksioneve ndërmjet operatorëve;</w:t>
      </w:r>
    </w:p>
    <w:p w14:paraId="511B6AD7" w14:textId="2D483EFE"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TVSH si rezultat i miradminstrit tatimor.</w:t>
      </w:r>
    </w:p>
    <w:p w14:paraId="2B886BFA" w14:textId="5A6B532C"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 xml:space="preserve">Të ardhurat nga “Tatimi mbi </w:t>
      </w:r>
      <w:r w:rsidR="00C45D12" w:rsidRPr="00770F9D">
        <w:rPr>
          <w:rFonts w:ascii="Garamond" w:hAnsi="Garamond" w:cs="Garamond"/>
          <w:color w:val="0D0D0D"/>
          <w:lang w:eastAsia="sq-AL"/>
        </w:rPr>
        <w:t>fitimin</w:t>
      </w:r>
      <w:r w:rsidRPr="00770F9D">
        <w:rPr>
          <w:rFonts w:ascii="Garamond" w:hAnsi="Garamond" w:cs="Garamond"/>
          <w:color w:val="0D0D0D"/>
          <w:lang w:eastAsia="sq-AL"/>
        </w:rPr>
        <w:t>” vlerësohen me rritje 8% ose 4 miliardë lekë më shumë se viti 2022, pra parashikohet të arkëtohen 49.5 miliardë lekë. Rritja e parashikuar në tatimin mbi fitimin bazohet:</w:t>
      </w:r>
    </w:p>
    <w:p w14:paraId="2BA326E5" w14:textId="30AB3BA1"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Në rikuperimin e ekonomisë dhe rritjen e saj, çka do reflektohet edhe në deklaratat e tatimpaguesve;</w:t>
      </w:r>
    </w:p>
    <w:p w14:paraId="2D17E733" w14:textId="1B9EA1F0"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Në forcimin e kontrollit të deklaratave, bazuar në kriteret e riskut;</w:t>
      </w:r>
    </w:p>
    <w:p w14:paraId="090D585C" w14:textId="242B2BE2"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Efektet e paketës fiskale 2023.</w:t>
      </w:r>
    </w:p>
    <w:p w14:paraId="60038A2D" w14:textId="6BCD27BF"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Të ardhurat nga “Akciza” vlerësohen të jenë 59 miliardë lekë, me një rritje prej 4 miliardë lekë</w:t>
      </w:r>
      <w:r w:rsidR="00C45D12" w:rsidRPr="00770F9D">
        <w:rPr>
          <w:rFonts w:ascii="Garamond" w:hAnsi="Garamond" w:cs="Garamond"/>
          <w:color w:val="0D0D0D"/>
          <w:lang w:eastAsia="sq-AL"/>
        </w:rPr>
        <w:t>sh</w:t>
      </w:r>
      <w:r w:rsidRPr="00770F9D">
        <w:rPr>
          <w:rFonts w:ascii="Garamond" w:hAnsi="Garamond" w:cs="Garamond"/>
          <w:color w:val="0D0D0D"/>
          <w:lang w:eastAsia="sq-AL"/>
        </w:rPr>
        <w:t xml:space="preserve"> ose 7.3% më shumë se pritshmëritë për vitin 2022. Faktorët kryesorë që do </w:t>
      </w:r>
      <w:r w:rsidR="00B55372" w:rsidRPr="00770F9D">
        <w:rPr>
          <w:rFonts w:ascii="Garamond" w:hAnsi="Garamond" w:cs="Garamond"/>
          <w:color w:val="0D0D0D"/>
          <w:lang w:eastAsia="sq-AL"/>
        </w:rPr>
        <w:t xml:space="preserve">të </w:t>
      </w:r>
      <w:r w:rsidRPr="00770F9D">
        <w:rPr>
          <w:rFonts w:ascii="Garamond" w:hAnsi="Garamond" w:cs="Garamond"/>
          <w:color w:val="0D0D0D"/>
          <w:lang w:eastAsia="sq-AL"/>
        </w:rPr>
        <w:t>ndikojnë në rritjen e parashikuar të të ardhurave nga akciza lidhen me:</w:t>
      </w:r>
      <w:r w:rsidR="00B55372" w:rsidRPr="00770F9D">
        <w:rPr>
          <w:rFonts w:ascii="Garamond" w:hAnsi="Garamond" w:cs="Garamond"/>
          <w:color w:val="0D0D0D"/>
          <w:lang w:eastAsia="sq-AL"/>
        </w:rPr>
        <w:t xml:space="preserve"> </w:t>
      </w:r>
      <w:r w:rsidRPr="00770F9D">
        <w:rPr>
          <w:rFonts w:ascii="Garamond" w:hAnsi="Garamond" w:cs="Garamond"/>
          <w:color w:val="0D0D0D"/>
          <w:lang w:eastAsia="sq-AL"/>
        </w:rPr>
        <w:t>rritjen e importit të mallrave të fortë si karburante dhe cigare, si dhe forcimin e luftës kundër informalitetit, nëpërmjet kontrollit rigoroz të subjekteve të akcizës</w:t>
      </w:r>
      <w:r w:rsidR="00863FE3" w:rsidRPr="00770F9D">
        <w:rPr>
          <w:rFonts w:ascii="Garamond" w:hAnsi="Garamond" w:cs="Garamond"/>
          <w:color w:val="0D0D0D"/>
          <w:lang w:eastAsia="sq-AL"/>
        </w:rPr>
        <w:t>,</w:t>
      </w:r>
      <w:r w:rsidRPr="00770F9D">
        <w:rPr>
          <w:rFonts w:ascii="Garamond" w:hAnsi="Garamond" w:cs="Garamond"/>
          <w:color w:val="0D0D0D"/>
          <w:lang w:eastAsia="sq-AL"/>
        </w:rPr>
        <w:t xml:space="preserve"> si dhe disiplinimit të mëtejshëm të procedurave të përfitimit të përjashtimeve dhe rimbursimeve nga kjo taksë</w:t>
      </w:r>
      <w:r w:rsidR="00863FE3" w:rsidRPr="00770F9D">
        <w:rPr>
          <w:rFonts w:ascii="Garamond" w:hAnsi="Garamond" w:cs="Garamond"/>
          <w:color w:val="0D0D0D"/>
          <w:lang w:eastAsia="sq-AL"/>
        </w:rPr>
        <w:t>,</w:t>
      </w:r>
      <w:r w:rsidRPr="00770F9D">
        <w:rPr>
          <w:rFonts w:ascii="Garamond" w:hAnsi="Garamond" w:cs="Garamond"/>
          <w:color w:val="0D0D0D"/>
          <w:lang w:eastAsia="sq-AL"/>
        </w:rPr>
        <w:t xml:space="preserve"> si dhe efektet e paketës fiskale. </w:t>
      </w:r>
    </w:p>
    <w:p w14:paraId="2E8DBE7B" w14:textId="0DF724D2" w:rsidR="00F468C9" w:rsidRPr="00770F9D" w:rsidRDefault="00F468C9" w:rsidP="003F46E1">
      <w:pPr>
        <w:ind w:firstLine="284"/>
        <w:jc w:val="both"/>
        <w:textAlignment w:val="baseline"/>
        <w:rPr>
          <w:rStyle w:val="jlqj4b"/>
          <w:rFonts w:ascii="Garamond" w:hAnsi="Garamond" w:cstheme="majorBidi"/>
          <w:color w:val="0D0D0D" w:themeColor="text1" w:themeTint="F2"/>
        </w:rPr>
      </w:pPr>
      <w:r w:rsidRPr="00770F9D">
        <w:rPr>
          <w:rStyle w:val="jlqj4b"/>
          <w:rFonts w:ascii="Garamond" w:hAnsi="Garamond" w:cstheme="majorBidi"/>
          <w:color w:val="0D0D0D" w:themeColor="text1" w:themeTint="F2"/>
        </w:rPr>
        <w:t xml:space="preserve">Të ardhurat nga “Tatimi mbi të </w:t>
      </w:r>
      <w:r w:rsidR="00863FE3" w:rsidRPr="00770F9D">
        <w:rPr>
          <w:rStyle w:val="jlqj4b"/>
          <w:rFonts w:ascii="Garamond" w:hAnsi="Garamond" w:cstheme="majorBidi"/>
          <w:color w:val="0D0D0D" w:themeColor="text1" w:themeTint="F2"/>
        </w:rPr>
        <w:t>ardhurat personale</w:t>
      </w:r>
      <w:r w:rsidRPr="00770F9D">
        <w:rPr>
          <w:rStyle w:val="jlqj4b"/>
          <w:rFonts w:ascii="Garamond" w:hAnsi="Garamond" w:cstheme="majorBidi"/>
          <w:color w:val="0D0D0D" w:themeColor="text1" w:themeTint="F2"/>
        </w:rPr>
        <w:t>” parashikohen 49 miliardë lekë, me një rritje prej 2 miliardë lekë</w:t>
      </w:r>
      <w:r w:rsidR="00863FE3" w:rsidRPr="00770F9D">
        <w:rPr>
          <w:rStyle w:val="jlqj4b"/>
          <w:rFonts w:ascii="Garamond" w:hAnsi="Garamond" w:cstheme="majorBidi"/>
          <w:color w:val="0D0D0D" w:themeColor="text1" w:themeTint="F2"/>
        </w:rPr>
        <w:t>sh</w:t>
      </w:r>
      <w:r w:rsidRPr="00770F9D">
        <w:rPr>
          <w:rStyle w:val="jlqj4b"/>
          <w:rFonts w:ascii="Garamond" w:hAnsi="Garamond" w:cstheme="majorBidi"/>
          <w:color w:val="0D0D0D" w:themeColor="text1" w:themeTint="F2"/>
        </w:rPr>
        <w:t xml:space="preserve"> ose 4% më shumë se pritshmëritë për vitin 2022.</w:t>
      </w:r>
      <w:r w:rsidR="00C2503C" w:rsidRPr="00770F9D">
        <w:rPr>
          <w:rStyle w:val="jlqj4b"/>
          <w:rFonts w:ascii="Garamond" w:hAnsi="Garamond" w:cstheme="majorBidi"/>
          <w:color w:val="0D0D0D" w:themeColor="text1" w:themeTint="F2"/>
        </w:rPr>
        <w:t xml:space="preserve"> </w:t>
      </w:r>
      <w:r w:rsidRPr="00770F9D">
        <w:rPr>
          <w:rStyle w:val="jlqj4b"/>
          <w:rFonts w:ascii="Garamond" w:hAnsi="Garamond" w:cstheme="majorBidi"/>
          <w:color w:val="0D0D0D" w:themeColor="text1" w:themeTint="F2"/>
        </w:rPr>
        <w:t>Në parashikimin e të ardhurave nga tatimi mbi të ardhurat personale janë marrë në konsideratë rimëkëmbja ekonomike dhe impakti i saj në nivelin e pagës mesatare si dhe rritja e numrit të të punësuarve në sektorin privat, si dhe incentivat për nxitjen e punësimit</w:t>
      </w:r>
      <w:r w:rsidR="00C2503C" w:rsidRPr="00770F9D">
        <w:rPr>
          <w:rStyle w:val="jlqj4b"/>
          <w:rFonts w:ascii="Garamond" w:hAnsi="Garamond" w:cstheme="majorBidi"/>
          <w:color w:val="0D0D0D" w:themeColor="text1" w:themeTint="F2"/>
        </w:rPr>
        <w:t>,</w:t>
      </w:r>
      <w:r w:rsidRPr="00770F9D">
        <w:rPr>
          <w:rStyle w:val="jlqj4b"/>
          <w:rFonts w:ascii="Garamond" w:hAnsi="Garamond" w:cstheme="majorBidi"/>
          <w:color w:val="0D0D0D" w:themeColor="text1" w:themeTint="F2"/>
        </w:rPr>
        <w:t xml:space="preserve"> si dhe efektet e paketës fiskale 2023.</w:t>
      </w:r>
    </w:p>
    <w:p w14:paraId="0E3A024E" w14:textId="5E9E0707" w:rsidR="00F468C9" w:rsidRPr="00770F9D" w:rsidRDefault="00F468C9" w:rsidP="003F46E1">
      <w:pPr>
        <w:ind w:firstLine="284"/>
        <w:jc w:val="both"/>
        <w:textAlignment w:val="baseline"/>
        <w:rPr>
          <w:rStyle w:val="jlqj4b"/>
          <w:rFonts w:ascii="Garamond" w:hAnsi="Garamond" w:cstheme="majorBidi"/>
          <w:color w:val="0D0D0D" w:themeColor="text1" w:themeTint="F2"/>
        </w:rPr>
      </w:pPr>
      <w:r w:rsidRPr="00770F9D">
        <w:rPr>
          <w:rStyle w:val="jlqj4b"/>
          <w:rFonts w:ascii="Garamond" w:hAnsi="Garamond" w:cstheme="majorBidi"/>
          <w:color w:val="0D0D0D" w:themeColor="text1" w:themeTint="F2"/>
        </w:rPr>
        <w:t xml:space="preserve">Të ardhurat nga “Taksa </w:t>
      </w:r>
      <w:r w:rsidR="00C2503C" w:rsidRPr="00770F9D">
        <w:rPr>
          <w:rStyle w:val="jlqj4b"/>
          <w:rFonts w:ascii="Garamond" w:hAnsi="Garamond" w:cstheme="majorBidi"/>
          <w:color w:val="0D0D0D" w:themeColor="text1" w:themeTint="F2"/>
        </w:rPr>
        <w:t>nacionale dhe të tjera</w:t>
      </w:r>
      <w:r w:rsidRPr="00770F9D">
        <w:rPr>
          <w:rStyle w:val="jlqj4b"/>
          <w:rFonts w:ascii="Garamond" w:hAnsi="Garamond" w:cstheme="majorBidi"/>
          <w:color w:val="0D0D0D" w:themeColor="text1" w:themeTint="F2"/>
        </w:rPr>
        <w:t>” vlerësohen të jenë 54.3 miliardë lekë. Parashikimet për këtë taksë për vitin 2023 janë 12% ose 6 miliardë lekë më shumë se i pritshmi 2022 dhe bazohen në rritjen e mbledhjes së taksës së qarkullimit të automjeteve</w:t>
      </w:r>
      <w:r w:rsidR="00C2503C" w:rsidRPr="00770F9D">
        <w:rPr>
          <w:rStyle w:val="jlqj4b"/>
          <w:rFonts w:ascii="Garamond" w:hAnsi="Garamond" w:cstheme="majorBidi"/>
          <w:color w:val="0D0D0D" w:themeColor="text1" w:themeTint="F2"/>
        </w:rPr>
        <w:t>,</w:t>
      </w:r>
      <w:r w:rsidRPr="00770F9D">
        <w:rPr>
          <w:rStyle w:val="jlqj4b"/>
          <w:rFonts w:ascii="Garamond" w:hAnsi="Garamond" w:cstheme="majorBidi"/>
          <w:color w:val="0D0D0D" w:themeColor="text1" w:themeTint="F2"/>
        </w:rPr>
        <w:t xml:space="preserve"> si dhe rezultat i sasive të karburantit që do të hidhen në treg. Në këtë takse jan</w:t>
      </w:r>
      <w:r w:rsidR="00C2503C" w:rsidRPr="00770F9D">
        <w:rPr>
          <w:rStyle w:val="jlqj4b"/>
          <w:rFonts w:ascii="Garamond" w:hAnsi="Garamond" w:cstheme="majorBidi"/>
          <w:color w:val="0D0D0D" w:themeColor="text1" w:themeTint="F2"/>
        </w:rPr>
        <w:t>ë</w:t>
      </w:r>
      <w:r w:rsidRPr="00770F9D">
        <w:rPr>
          <w:rStyle w:val="jlqj4b"/>
          <w:rFonts w:ascii="Garamond" w:hAnsi="Garamond" w:cstheme="majorBidi"/>
          <w:color w:val="0D0D0D" w:themeColor="text1" w:themeTint="F2"/>
        </w:rPr>
        <w:t xml:space="preserve"> të përfshira:</w:t>
      </w:r>
    </w:p>
    <w:p w14:paraId="62771B1D" w14:textId="1813111F" w:rsidR="00F468C9" w:rsidRPr="00770F9D" w:rsidRDefault="00F468C9" w:rsidP="003F46E1">
      <w:pPr>
        <w:ind w:firstLine="284"/>
        <w:jc w:val="both"/>
        <w:textAlignment w:val="baseline"/>
        <w:rPr>
          <w:rStyle w:val="jlqj4b"/>
          <w:rFonts w:ascii="Garamond" w:hAnsi="Garamond" w:cstheme="majorBidi"/>
          <w:color w:val="0D0D0D" w:themeColor="text1" w:themeTint="F2"/>
        </w:rPr>
      </w:pPr>
      <w:r w:rsidRPr="00770F9D">
        <w:rPr>
          <w:rStyle w:val="jlqj4b"/>
          <w:rFonts w:ascii="Garamond" w:hAnsi="Garamond" w:cstheme="majorBidi"/>
          <w:color w:val="0D0D0D" w:themeColor="text1" w:themeTint="F2"/>
        </w:rPr>
        <w:t xml:space="preserve">a) Të ardhurat nga “Takse mbi </w:t>
      </w:r>
      <w:r w:rsidR="00C2503C" w:rsidRPr="00770F9D">
        <w:rPr>
          <w:rStyle w:val="jlqj4b"/>
          <w:rFonts w:ascii="Garamond" w:hAnsi="Garamond" w:cstheme="majorBidi"/>
          <w:color w:val="0D0D0D" w:themeColor="text1" w:themeTint="F2"/>
        </w:rPr>
        <w:t>lojërat e fatit</w:t>
      </w:r>
      <w:r w:rsidRPr="00770F9D">
        <w:rPr>
          <w:rStyle w:val="jlqj4b"/>
          <w:rFonts w:ascii="Garamond" w:hAnsi="Garamond" w:cstheme="majorBidi"/>
          <w:color w:val="0D0D0D" w:themeColor="text1" w:themeTint="F2"/>
        </w:rPr>
        <w:t>” në vitin 2023 vlerësohet të jenë 2 miliardë lekë. Nga miratimi në ligj i loj</w:t>
      </w:r>
      <w:r w:rsidR="00C2503C" w:rsidRPr="00770F9D">
        <w:rPr>
          <w:rStyle w:val="jlqj4b"/>
          <w:rFonts w:ascii="Garamond" w:hAnsi="Garamond" w:cstheme="majorBidi"/>
          <w:color w:val="0D0D0D" w:themeColor="text1" w:themeTint="F2"/>
        </w:rPr>
        <w:t>ë</w:t>
      </w:r>
      <w:r w:rsidRPr="00770F9D">
        <w:rPr>
          <w:rStyle w:val="jlqj4b"/>
          <w:rFonts w:ascii="Garamond" w:hAnsi="Garamond" w:cstheme="majorBidi"/>
          <w:color w:val="0D0D0D" w:themeColor="text1" w:themeTint="F2"/>
        </w:rPr>
        <w:t xml:space="preserve">rave të fatit </w:t>
      </w:r>
      <w:r w:rsidR="00C2503C" w:rsidRPr="00770F9D">
        <w:rPr>
          <w:rStyle w:val="jlqj4b"/>
          <w:rFonts w:ascii="Garamond" w:hAnsi="Garamond" w:cstheme="majorBidi"/>
          <w:color w:val="0D0D0D" w:themeColor="text1" w:themeTint="F2"/>
        </w:rPr>
        <w:t>“</w:t>
      </w:r>
      <w:r w:rsidRPr="00770F9D">
        <w:rPr>
          <w:rStyle w:val="jlqj4b"/>
          <w:rFonts w:ascii="Garamond" w:hAnsi="Garamond" w:cstheme="majorBidi"/>
          <w:color w:val="0D0D0D" w:themeColor="text1" w:themeTint="F2"/>
        </w:rPr>
        <w:t>baste sportive</w:t>
      </w:r>
      <w:r w:rsidR="00C2503C" w:rsidRPr="00770F9D">
        <w:rPr>
          <w:rStyle w:val="jlqj4b"/>
          <w:rFonts w:ascii="Garamond" w:hAnsi="Garamond" w:cstheme="majorBidi"/>
          <w:color w:val="0D0D0D" w:themeColor="text1" w:themeTint="F2"/>
        </w:rPr>
        <w:t>”</w:t>
      </w:r>
      <w:r w:rsidRPr="00770F9D">
        <w:rPr>
          <w:rStyle w:val="jlqj4b"/>
          <w:rFonts w:ascii="Garamond" w:hAnsi="Garamond" w:cstheme="majorBidi"/>
          <w:color w:val="0D0D0D" w:themeColor="text1" w:themeTint="F2"/>
        </w:rPr>
        <w:t xml:space="preserve">, me efekt nga 1 janari 2023, vlerësohet të arkëtohen në buxhetin e shtetit 2 miliardë lekë. </w:t>
      </w:r>
    </w:p>
    <w:p w14:paraId="0E580AE5" w14:textId="77777777" w:rsidR="00F468C9" w:rsidRPr="00770F9D" w:rsidRDefault="00F468C9" w:rsidP="003F46E1">
      <w:pPr>
        <w:ind w:firstLine="284"/>
        <w:jc w:val="both"/>
        <w:textAlignment w:val="baseline"/>
        <w:rPr>
          <w:rStyle w:val="jlqj4b"/>
          <w:rFonts w:ascii="Garamond" w:hAnsi="Garamond" w:cstheme="majorBidi"/>
          <w:color w:val="0D0D0D" w:themeColor="text1" w:themeTint="F2"/>
        </w:rPr>
      </w:pPr>
      <w:r w:rsidRPr="00770F9D">
        <w:rPr>
          <w:rStyle w:val="jlqj4b"/>
          <w:rFonts w:ascii="Garamond" w:hAnsi="Garamond" w:cstheme="majorBidi"/>
          <w:color w:val="0D0D0D" w:themeColor="text1" w:themeTint="F2"/>
        </w:rPr>
        <w:t>b) Taksa speciale për “prodhuesit e energjisë elektrike që e eksportojnë”</w:t>
      </w:r>
    </w:p>
    <w:p w14:paraId="62A6A11F" w14:textId="1F806046" w:rsidR="00F468C9" w:rsidRPr="00770F9D" w:rsidRDefault="00F468C9" w:rsidP="003F46E1">
      <w:pPr>
        <w:ind w:firstLine="284"/>
        <w:jc w:val="both"/>
        <w:textAlignment w:val="baseline"/>
        <w:rPr>
          <w:rStyle w:val="jlqj4b"/>
          <w:rFonts w:ascii="Garamond" w:hAnsi="Garamond" w:cstheme="majorBidi"/>
          <w:color w:val="0D0D0D" w:themeColor="text1" w:themeTint="F2"/>
        </w:rPr>
      </w:pPr>
      <w:r w:rsidRPr="00770F9D">
        <w:rPr>
          <w:rStyle w:val="jlqj4b"/>
          <w:rFonts w:ascii="Garamond" w:hAnsi="Garamond" w:cstheme="majorBidi"/>
          <w:color w:val="0D0D0D" w:themeColor="text1" w:themeTint="F2"/>
        </w:rPr>
        <w:t xml:space="preserve">Fitimet e realizuara nga prodhuesit e energjisë elektrike, të cilët, për shkak të çmimeve shumëfish të rritura gjatë vitit 2022, kanë realizuar fitime pa rritje kostosh, do </w:t>
      </w:r>
      <w:r w:rsidR="00C2503C" w:rsidRPr="00770F9D">
        <w:rPr>
          <w:rStyle w:val="jlqj4b"/>
          <w:rFonts w:ascii="Garamond" w:hAnsi="Garamond" w:cstheme="majorBidi"/>
          <w:color w:val="0D0D0D" w:themeColor="text1" w:themeTint="F2"/>
        </w:rPr>
        <w:t xml:space="preserve">të </w:t>
      </w:r>
      <w:r w:rsidRPr="00770F9D">
        <w:rPr>
          <w:rStyle w:val="jlqj4b"/>
          <w:rFonts w:ascii="Garamond" w:hAnsi="Garamond" w:cstheme="majorBidi"/>
          <w:color w:val="0D0D0D" w:themeColor="text1" w:themeTint="F2"/>
        </w:rPr>
        <w:t>tatohen për këto fitime shtesë me tarifën 33%. Të ardhurat e pritshme vlerësohen të jenë 8.3 miliardë lekë.</w:t>
      </w:r>
    </w:p>
    <w:p w14:paraId="23F40C3A" w14:textId="54FFA857" w:rsidR="00F468C9" w:rsidRPr="00770F9D" w:rsidRDefault="00F468C9" w:rsidP="003F46E1">
      <w:pPr>
        <w:ind w:firstLine="284"/>
        <w:jc w:val="both"/>
        <w:textAlignment w:val="baseline"/>
        <w:rPr>
          <w:rStyle w:val="jlqj4b"/>
          <w:rFonts w:ascii="Garamond" w:hAnsi="Garamond" w:cstheme="majorBidi"/>
          <w:color w:val="0D0D0D" w:themeColor="text1" w:themeTint="F2"/>
        </w:rPr>
      </w:pPr>
      <w:r w:rsidRPr="00770F9D">
        <w:rPr>
          <w:rStyle w:val="jlqj4b"/>
          <w:rFonts w:ascii="Garamond" w:hAnsi="Garamond" w:cstheme="majorBidi"/>
          <w:color w:val="0D0D0D" w:themeColor="text1" w:themeTint="F2"/>
        </w:rPr>
        <w:t xml:space="preserve">Të ardhurat nga “Taksa </w:t>
      </w:r>
      <w:r w:rsidR="00A427A6" w:rsidRPr="00770F9D">
        <w:rPr>
          <w:rStyle w:val="jlqj4b"/>
          <w:rFonts w:ascii="Garamond" w:hAnsi="Garamond" w:cstheme="majorBidi"/>
          <w:color w:val="0D0D0D" w:themeColor="text1" w:themeTint="F2"/>
        </w:rPr>
        <w:t>doganore</w:t>
      </w:r>
      <w:r w:rsidRPr="00770F9D">
        <w:rPr>
          <w:rStyle w:val="jlqj4b"/>
          <w:rFonts w:ascii="Garamond" w:hAnsi="Garamond" w:cstheme="majorBidi"/>
          <w:color w:val="0D0D0D" w:themeColor="text1" w:themeTint="F2"/>
        </w:rPr>
        <w:t xml:space="preserve">” në vitin 2023 vlerësohet të jenë 8.5 miliardë lekë, parashikimi për vitin 2023 sipas projeksioneve, parashikohet e njëjta vlerë arkëtimesh sa i pritshmi 2022. Në programimin e të ardhurave janë marrë në konsideratë efektet e rritjes së importeve të tatueshme, si dhe disa efekte minimale nga lëvizja e tarifave doganore. </w:t>
      </w:r>
    </w:p>
    <w:p w14:paraId="7FD2EBFE" w14:textId="0690F4CE" w:rsidR="00F468C9" w:rsidRPr="00770F9D" w:rsidRDefault="00F468C9" w:rsidP="003F46E1">
      <w:pPr>
        <w:ind w:firstLine="284"/>
        <w:jc w:val="both"/>
        <w:textAlignment w:val="baseline"/>
        <w:rPr>
          <w:rStyle w:val="jlqj4b"/>
          <w:rFonts w:ascii="Garamond" w:hAnsi="Garamond" w:cstheme="majorBidi"/>
          <w:color w:val="0D0D0D" w:themeColor="text1" w:themeTint="F2"/>
        </w:rPr>
      </w:pPr>
      <w:r w:rsidRPr="00770F9D">
        <w:rPr>
          <w:rStyle w:val="jlqj4b"/>
          <w:rFonts w:ascii="Garamond" w:hAnsi="Garamond" w:cstheme="majorBidi"/>
          <w:color w:val="0D0D0D" w:themeColor="text1" w:themeTint="F2"/>
        </w:rPr>
        <w:t xml:space="preserve">Të ardhurat nga “Kontributet për </w:t>
      </w:r>
      <w:r w:rsidR="00A427A6" w:rsidRPr="00770F9D">
        <w:rPr>
          <w:rStyle w:val="jlqj4b"/>
          <w:rFonts w:ascii="Garamond" w:hAnsi="Garamond" w:cstheme="majorBidi"/>
          <w:color w:val="0D0D0D" w:themeColor="text1" w:themeTint="F2"/>
        </w:rPr>
        <w:t>sigurime shoqërore e shëndetësore</w:t>
      </w:r>
      <w:r w:rsidRPr="00770F9D">
        <w:rPr>
          <w:rStyle w:val="jlqj4b"/>
          <w:rFonts w:ascii="Garamond" w:hAnsi="Garamond" w:cstheme="majorBidi"/>
          <w:color w:val="0D0D0D" w:themeColor="text1" w:themeTint="F2"/>
        </w:rPr>
        <w:t xml:space="preserve">” në vitin 2023 parashikohet të rriten me 7%, krahasuar me të pritshmin e vitit 2022. </w:t>
      </w:r>
    </w:p>
    <w:p w14:paraId="59B47E3C" w14:textId="77777777" w:rsidR="00F468C9" w:rsidRPr="00770F9D" w:rsidRDefault="00F468C9" w:rsidP="003F46E1">
      <w:pPr>
        <w:ind w:firstLine="284"/>
        <w:jc w:val="both"/>
        <w:textAlignment w:val="baseline"/>
        <w:rPr>
          <w:rStyle w:val="jlqj4b"/>
          <w:rFonts w:ascii="Garamond" w:hAnsi="Garamond" w:cstheme="majorBidi"/>
          <w:color w:val="0D0D0D" w:themeColor="text1" w:themeTint="F2"/>
        </w:rPr>
      </w:pPr>
      <w:r w:rsidRPr="00770F9D">
        <w:rPr>
          <w:rStyle w:val="jlqj4b"/>
          <w:rFonts w:ascii="Garamond" w:hAnsi="Garamond" w:cstheme="majorBidi"/>
          <w:color w:val="0D0D0D" w:themeColor="text1" w:themeTint="F2"/>
        </w:rPr>
        <w:t xml:space="preserve"> Rritja e programuar e të ardhurave mbështetet në këta faktorë:</w:t>
      </w:r>
    </w:p>
    <w:p w14:paraId="7C5BB383" w14:textId="1FAA01C7" w:rsidR="00F468C9" w:rsidRPr="00770F9D" w:rsidRDefault="00791EE4" w:rsidP="003F46E1">
      <w:pPr>
        <w:ind w:firstLine="284"/>
        <w:jc w:val="both"/>
        <w:textAlignment w:val="baseline"/>
        <w:rPr>
          <w:rStyle w:val="jlqj4b"/>
          <w:rFonts w:ascii="Garamond" w:hAnsi="Garamond" w:cstheme="majorBidi"/>
          <w:color w:val="0D0D0D" w:themeColor="text1" w:themeTint="F2"/>
        </w:rPr>
      </w:pPr>
      <w:r w:rsidRPr="00770F9D">
        <w:rPr>
          <w:rStyle w:val="jlqj4b"/>
          <w:rFonts w:ascii="Garamond" w:hAnsi="Garamond" w:cstheme="majorBidi"/>
          <w:color w:val="0D0D0D" w:themeColor="text1" w:themeTint="F2"/>
        </w:rPr>
        <w:t xml:space="preserve">- </w:t>
      </w:r>
      <w:r w:rsidR="00F468C9" w:rsidRPr="00770F9D">
        <w:rPr>
          <w:rStyle w:val="jlqj4b"/>
          <w:rFonts w:ascii="Garamond" w:hAnsi="Garamond" w:cstheme="majorBidi"/>
          <w:color w:val="0D0D0D" w:themeColor="text1" w:themeTint="F2"/>
        </w:rPr>
        <w:t xml:space="preserve">rritjen ekonomike çka do </w:t>
      </w:r>
      <w:r w:rsidR="00A427A6" w:rsidRPr="00770F9D">
        <w:rPr>
          <w:rStyle w:val="jlqj4b"/>
          <w:rFonts w:ascii="Garamond" w:hAnsi="Garamond" w:cstheme="majorBidi"/>
          <w:color w:val="0D0D0D" w:themeColor="text1" w:themeTint="F2"/>
        </w:rPr>
        <w:t xml:space="preserve">të </w:t>
      </w:r>
      <w:r w:rsidR="00F468C9" w:rsidRPr="00770F9D">
        <w:rPr>
          <w:rStyle w:val="jlqj4b"/>
          <w:rFonts w:ascii="Garamond" w:hAnsi="Garamond" w:cstheme="majorBidi"/>
          <w:color w:val="0D0D0D" w:themeColor="text1" w:themeTint="F2"/>
        </w:rPr>
        <w:t>reflektohet në rritjen e numrit të punëmarrësve;</w:t>
      </w:r>
    </w:p>
    <w:p w14:paraId="6502A21F" w14:textId="5258176C" w:rsidR="00F468C9" w:rsidRPr="00C75E11" w:rsidRDefault="00791EE4" w:rsidP="003F46E1">
      <w:pPr>
        <w:ind w:firstLine="284"/>
        <w:jc w:val="both"/>
        <w:textAlignment w:val="baseline"/>
        <w:rPr>
          <w:rStyle w:val="jlqj4b"/>
          <w:rFonts w:ascii="Garamond" w:hAnsi="Garamond" w:cstheme="majorBidi"/>
          <w:color w:val="0D0D0D" w:themeColor="text1" w:themeTint="F2"/>
        </w:rPr>
      </w:pPr>
      <w:r w:rsidRPr="00770F9D">
        <w:rPr>
          <w:rStyle w:val="jlqj4b"/>
          <w:rFonts w:ascii="Garamond" w:hAnsi="Garamond" w:cstheme="majorBidi"/>
          <w:color w:val="0D0D0D" w:themeColor="text1" w:themeTint="F2"/>
        </w:rPr>
        <w:t xml:space="preserve">- </w:t>
      </w:r>
      <w:r w:rsidR="00F468C9" w:rsidRPr="00770F9D">
        <w:rPr>
          <w:rStyle w:val="jlqj4b"/>
          <w:rFonts w:ascii="Garamond" w:hAnsi="Garamond" w:cstheme="majorBidi"/>
          <w:color w:val="0D0D0D" w:themeColor="text1" w:themeTint="F2"/>
        </w:rPr>
        <w:t xml:space="preserve">forcimin e administrimit nëpërmjet kontrollit të nivelit të pagës të deklaruar dhe deviacionit të saj nga paga reale që </w:t>
      </w:r>
      <w:r w:rsidR="00F468C9" w:rsidRPr="00C75E11">
        <w:rPr>
          <w:rStyle w:val="jlqj4b"/>
          <w:rFonts w:ascii="Garamond" w:hAnsi="Garamond" w:cstheme="majorBidi"/>
          <w:color w:val="0D0D0D" w:themeColor="text1" w:themeTint="F2"/>
        </w:rPr>
        <w:t>përfitohet;</w:t>
      </w:r>
    </w:p>
    <w:p w14:paraId="31127114" w14:textId="423E7DC9" w:rsidR="00F468C9" w:rsidRPr="00770F9D" w:rsidRDefault="00791EE4" w:rsidP="003F46E1">
      <w:pPr>
        <w:ind w:firstLine="284"/>
        <w:jc w:val="both"/>
        <w:textAlignment w:val="baseline"/>
        <w:rPr>
          <w:rStyle w:val="jlqj4b"/>
          <w:rFonts w:ascii="Garamond" w:hAnsi="Garamond" w:cstheme="majorBidi"/>
          <w:color w:val="0D0D0D" w:themeColor="text1" w:themeTint="F2"/>
        </w:rPr>
      </w:pPr>
      <w:r w:rsidRPr="00C75E11">
        <w:rPr>
          <w:rStyle w:val="jlqj4b"/>
          <w:rFonts w:ascii="Garamond" w:hAnsi="Garamond" w:cstheme="majorBidi"/>
          <w:color w:val="0D0D0D" w:themeColor="text1" w:themeTint="F2"/>
        </w:rPr>
        <w:t xml:space="preserve">- </w:t>
      </w:r>
      <w:r w:rsidR="00F468C9" w:rsidRPr="00C75E11">
        <w:rPr>
          <w:rStyle w:val="jlqj4b"/>
          <w:rFonts w:ascii="Garamond" w:hAnsi="Garamond" w:cstheme="majorBidi"/>
          <w:color w:val="0D0D0D" w:themeColor="text1" w:themeTint="F2"/>
        </w:rPr>
        <w:t>rritja e pagës minimale nga 32.000 lekë n</w:t>
      </w:r>
      <w:r w:rsidR="001E0489" w:rsidRPr="00C75E11">
        <w:rPr>
          <w:rStyle w:val="jlqj4b"/>
          <w:rFonts w:ascii="Garamond" w:hAnsi="Garamond" w:cstheme="majorBidi"/>
          <w:color w:val="0D0D0D" w:themeColor="text1" w:themeTint="F2"/>
        </w:rPr>
        <w:t>ë</w:t>
      </w:r>
      <w:r w:rsidR="00F468C9" w:rsidRPr="00C75E11">
        <w:rPr>
          <w:rStyle w:val="jlqj4b"/>
          <w:rFonts w:ascii="Garamond" w:hAnsi="Garamond" w:cstheme="majorBidi"/>
          <w:color w:val="0D0D0D" w:themeColor="text1" w:themeTint="F2"/>
        </w:rPr>
        <w:t xml:space="preserve"> 34.000 lekë.</w:t>
      </w:r>
    </w:p>
    <w:p w14:paraId="3D6F114D" w14:textId="5B5B034D" w:rsidR="00F468C9" w:rsidRPr="00770F9D" w:rsidRDefault="00F468C9" w:rsidP="003F46E1">
      <w:pPr>
        <w:ind w:firstLine="284"/>
        <w:jc w:val="both"/>
        <w:rPr>
          <w:rFonts w:ascii="Garamond" w:hAnsi="Garamond" w:cstheme="majorBidi"/>
          <w:bCs/>
          <w:color w:val="0D0D0D" w:themeColor="text1" w:themeTint="F2"/>
          <w:shd w:val="clear" w:color="auto" w:fill="FFFFFF"/>
        </w:rPr>
      </w:pPr>
      <w:r w:rsidRPr="00770F9D">
        <w:rPr>
          <w:rFonts w:ascii="Garamond" w:hAnsi="Garamond" w:cstheme="majorBidi"/>
          <w:bCs/>
          <w:color w:val="0D0D0D" w:themeColor="text1" w:themeTint="F2"/>
          <w:shd w:val="clear" w:color="auto" w:fill="FFFFFF"/>
        </w:rPr>
        <w:t xml:space="preserve">Të ardhurat e pushtetit vendor për vitin 2023, janë planifikuar në masën 29,153 </w:t>
      </w:r>
      <w:r w:rsidR="00A84445" w:rsidRPr="00770F9D">
        <w:rPr>
          <w:rFonts w:ascii="Garamond" w:hAnsi="Garamond" w:cstheme="majorBidi"/>
          <w:bCs/>
          <w:color w:val="0D0D0D" w:themeColor="text1" w:themeTint="F2"/>
          <w:shd w:val="clear" w:color="auto" w:fill="FFFFFF"/>
        </w:rPr>
        <w:t xml:space="preserve">milionë </w:t>
      </w:r>
      <w:r w:rsidRPr="00770F9D">
        <w:rPr>
          <w:rFonts w:ascii="Garamond" w:hAnsi="Garamond" w:cstheme="majorBidi"/>
          <w:bCs/>
          <w:color w:val="0D0D0D" w:themeColor="text1" w:themeTint="F2"/>
          <w:shd w:val="clear" w:color="auto" w:fill="FFFFFF"/>
        </w:rPr>
        <w:t>lekë, pra parashikohet të kenë një rritje rreth 1.5 miliard</w:t>
      </w:r>
      <w:r w:rsidR="0094009A" w:rsidRPr="00770F9D">
        <w:rPr>
          <w:rFonts w:ascii="Garamond" w:hAnsi="Garamond" w:cstheme="majorBidi"/>
          <w:bCs/>
          <w:color w:val="0D0D0D" w:themeColor="text1" w:themeTint="F2"/>
          <w:shd w:val="clear" w:color="auto" w:fill="FFFFFF"/>
        </w:rPr>
        <w:t>ë</w:t>
      </w:r>
      <w:r w:rsidRPr="00770F9D">
        <w:rPr>
          <w:rFonts w:ascii="Garamond" w:hAnsi="Garamond" w:cstheme="majorBidi"/>
          <w:bCs/>
          <w:color w:val="0D0D0D" w:themeColor="text1" w:themeTint="F2"/>
          <w:shd w:val="clear" w:color="auto" w:fill="FFFFFF"/>
        </w:rPr>
        <w:t xml:space="preserve"> lekë më shumë se sa plani i vitit 2022, ose një rritje prej 6%. Kjo rritje e nivelit të të ardhurave do të vazhdojë</w:t>
      </w:r>
      <w:r w:rsidR="0094009A" w:rsidRPr="00770F9D">
        <w:rPr>
          <w:rFonts w:ascii="Garamond" w:hAnsi="Garamond" w:cstheme="majorBidi"/>
          <w:bCs/>
          <w:color w:val="0D0D0D" w:themeColor="text1" w:themeTint="F2"/>
          <w:shd w:val="clear" w:color="auto" w:fill="FFFFFF"/>
        </w:rPr>
        <w:t>,</w:t>
      </w:r>
      <w:r w:rsidRPr="00770F9D">
        <w:rPr>
          <w:rFonts w:ascii="Garamond" w:hAnsi="Garamond" w:cstheme="majorBidi"/>
          <w:bCs/>
          <w:color w:val="0D0D0D" w:themeColor="text1" w:themeTint="F2"/>
          <w:shd w:val="clear" w:color="auto" w:fill="FFFFFF"/>
        </w:rPr>
        <w:t xml:space="preserve"> si rrjedhojë e ndarjes më të drejtë dhe transparente të financave për njësitë e vetëqeverisjes vendore, përmirësimit të vazhdueshëm të skemës së financimit të funksioneve të veta</w:t>
      </w:r>
      <w:r w:rsidR="0094009A" w:rsidRPr="00770F9D">
        <w:rPr>
          <w:rFonts w:ascii="Garamond" w:hAnsi="Garamond" w:cstheme="majorBidi"/>
          <w:bCs/>
          <w:color w:val="0D0D0D" w:themeColor="text1" w:themeTint="F2"/>
          <w:shd w:val="clear" w:color="auto" w:fill="FFFFFF"/>
        </w:rPr>
        <w:t>,</w:t>
      </w:r>
      <w:r w:rsidRPr="00770F9D">
        <w:rPr>
          <w:rFonts w:ascii="Garamond" w:hAnsi="Garamond" w:cstheme="majorBidi"/>
          <w:bCs/>
          <w:color w:val="0D0D0D" w:themeColor="text1" w:themeTint="F2"/>
          <w:shd w:val="clear" w:color="auto" w:fill="FFFFFF"/>
        </w:rPr>
        <w:t xml:space="preserve"> si dhe rritjes së burimeve të financimit të njësive të vetëqeverisjes vendore. Gjithashtu, ndryshimet në taksën e pasurisë, parashikohet të ndikojnë në peshën e rritjes së të ardhurave në buxhetin vendor.</w:t>
      </w:r>
    </w:p>
    <w:p w14:paraId="4697A014" w14:textId="77777777"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Faktorët e jashtëm që janë marrë në konsideratë në ndikimin e rritjes së të ardhurave për vitin 2023 janë:</w:t>
      </w:r>
    </w:p>
    <w:p w14:paraId="41E4E759" w14:textId="5E62D1C2" w:rsidR="00072546" w:rsidRPr="00770F9D" w:rsidRDefault="00791EE4" w:rsidP="003F46E1">
      <w:pPr>
        <w:tabs>
          <w:tab w:val="left" w:pos="720"/>
        </w:tabs>
        <w:autoSpaceDE w:val="0"/>
        <w:autoSpaceDN w:val="0"/>
        <w:adjustRightInd w:val="0"/>
        <w:ind w:firstLine="284"/>
        <w:jc w:val="both"/>
        <w:rPr>
          <w:rFonts w:ascii="Garamond" w:hAnsi="Garamond" w:cs="Garamond"/>
          <w:color w:val="0D0D0D"/>
          <w:lang w:eastAsia="sq-AL"/>
        </w:rPr>
      </w:pPr>
      <w:r w:rsidRPr="00770F9D">
        <w:rPr>
          <w:rFonts w:ascii="Garamond" w:hAnsi="Garamond" w:cs="Symbol"/>
          <w:color w:val="0D0D0D"/>
          <w:lang w:eastAsia="sq-AL"/>
        </w:rPr>
        <w:t>-</w:t>
      </w:r>
      <w:r w:rsidR="00BA4F1A" w:rsidRPr="00770F9D">
        <w:rPr>
          <w:rFonts w:ascii="Garamond" w:hAnsi="Garamond" w:cs="Symbol"/>
          <w:color w:val="0D0D0D"/>
          <w:lang w:eastAsia="sq-AL"/>
        </w:rPr>
        <w:t xml:space="preserve"> </w:t>
      </w:r>
      <w:r w:rsidR="00072546" w:rsidRPr="00770F9D">
        <w:rPr>
          <w:rFonts w:ascii="Garamond" w:hAnsi="Garamond" w:cs="Garamond"/>
          <w:color w:val="0D0D0D"/>
          <w:lang w:eastAsia="sq-AL"/>
        </w:rPr>
        <w:t>Kuadri makroekonomik</w:t>
      </w:r>
    </w:p>
    <w:p w14:paraId="058C1122" w14:textId="79FC360E"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 xml:space="preserve">Rritja nominale e </w:t>
      </w:r>
      <w:r w:rsidR="0094009A" w:rsidRPr="00770F9D">
        <w:rPr>
          <w:rFonts w:ascii="Garamond" w:hAnsi="Garamond" w:cs="Garamond"/>
          <w:color w:val="0D0D0D"/>
          <w:lang w:eastAsia="sq-AL"/>
        </w:rPr>
        <w:t>prodhimit të brendshëm bruto</w:t>
      </w:r>
      <w:r w:rsidRPr="00770F9D">
        <w:rPr>
          <w:rFonts w:ascii="Garamond" w:hAnsi="Garamond" w:cs="Garamond"/>
          <w:color w:val="0D0D0D"/>
          <w:lang w:eastAsia="sq-AL"/>
        </w:rPr>
        <w:t xml:space="preserve">, e zbritur nga </w:t>
      </w:r>
      <w:r w:rsidR="00746206" w:rsidRPr="00770F9D">
        <w:rPr>
          <w:rFonts w:ascii="Garamond" w:hAnsi="Garamond" w:cs="Garamond"/>
          <w:color w:val="0D0D0D"/>
          <w:lang w:eastAsia="sq-AL"/>
        </w:rPr>
        <w:t>koeficienti i elasticitetit</w:t>
      </w:r>
      <w:r w:rsidRPr="00770F9D">
        <w:rPr>
          <w:rFonts w:ascii="Garamond" w:hAnsi="Garamond" w:cs="Garamond"/>
          <w:color w:val="0D0D0D"/>
          <w:lang w:eastAsia="sq-AL"/>
        </w:rPr>
        <w:t xml:space="preserve">, zbatohet duke e analizuar këtë efekt në mënyrë të integruar me faktorë të tjerë për secilën taksë në veçanti, lidhur me të dhënat historike dhe parashikimet e çmimeve në tregjet ndërkombëtare ndaj taksave të reklamave valorem si vlerë </w:t>
      </w:r>
      <w:r w:rsidRPr="00996F2C">
        <w:rPr>
          <w:rFonts w:ascii="Garamond" w:hAnsi="Garamond" w:cs="Garamond"/>
          <w:color w:val="0D0D0D"/>
          <w:lang w:eastAsia="sq-AL"/>
        </w:rPr>
        <w:t>e shtuar. Taksa,</w:t>
      </w:r>
      <w:r w:rsidRPr="00770F9D">
        <w:rPr>
          <w:rFonts w:ascii="Garamond" w:hAnsi="Garamond" w:cs="Garamond"/>
          <w:color w:val="0D0D0D"/>
          <w:lang w:eastAsia="sq-AL"/>
        </w:rPr>
        <w:t xml:space="preserve"> </w:t>
      </w:r>
      <w:r w:rsidR="00746206" w:rsidRPr="00770F9D">
        <w:rPr>
          <w:rFonts w:ascii="Garamond" w:hAnsi="Garamond" w:cs="Garamond"/>
          <w:color w:val="0D0D0D"/>
          <w:lang w:eastAsia="sq-AL"/>
        </w:rPr>
        <w:t>qiraja e mineraleve dhe taksa d</w:t>
      </w:r>
      <w:r w:rsidRPr="00770F9D">
        <w:rPr>
          <w:rFonts w:ascii="Garamond" w:hAnsi="Garamond" w:cs="Garamond"/>
          <w:color w:val="0D0D0D"/>
          <w:lang w:eastAsia="sq-AL"/>
        </w:rPr>
        <w:t xml:space="preserve">oganore. Projeksioni përfshin faktorë që lidhen me rritjen nominale të PBB-së, kursin mesatar të këmbimit </w:t>
      </w:r>
      <w:r w:rsidR="00746206" w:rsidRPr="00770F9D">
        <w:rPr>
          <w:rFonts w:ascii="Garamond" w:hAnsi="Garamond" w:cs="Garamond"/>
          <w:color w:val="0D0D0D"/>
          <w:lang w:eastAsia="sq-AL"/>
        </w:rPr>
        <w:t xml:space="preserve">euro-ALL </w:t>
      </w:r>
      <w:r w:rsidRPr="00770F9D">
        <w:rPr>
          <w:rFonts w:ascii="Garamond" w:hAnsi="Garamond" w:cs="Garamond"/>
          <w:color w:val="0D0D0D"/>
          <w:lang w:eastAsia="sq-AL"/>
        </w:rPr>
        <w:t xml:space="preserve">dhe USD-ALL, si dhe çmimet e naftës bruto </w:t>
      </w:r>
      <w:r w:rsidRPr="00770F9D">
        <w:rPr>
          <w:rFonts w:ascii="Garamond" w:hAnsi="Garamond" w:cs="Garamond"/>
          <w:i/>
          <w:iCs/>
          <w:color w:val="0D0D0D"/>
          <w:lang w:eastAsia="sq-AL"/>
        </w:rPr>
        <w:t>Brent</w:t>
      </w:r>
      <w:r w:rsidRPr="00770F9D">
        <w:rPr>
          <w:rFonts w:ascii="Garamond" w:hAnsi="Garamond" w:cs="Garamond"/>
          <w:color w:val="0D0D0D"/>
          <w:lang w:eastAsia="sq-AL"/>
        </w:rPr>
        <w:t xml:space="preserve"> dhe mineraleve të tjera.</w:t>
      </w:r>
    </w:p>
    <w:p w14:paraId="09DDF113" w14:textId="324CFDF1" w:rsidR="00072546" w:rsidRPr="00770F9D" w:rsidRDefault="00791EE4" w:rsidP="003F46E1">
      <w:pPr>
        <w:autoSpaceDE w:val="0"/>
        <w:autoSpaceDN w:val="0"/>
        <w:adjustRightInd w:val="0"/>
        <w:ind w:firstLine="284"/>
        <w:jc w:val="both"/>
        <w:rPr>
          <w:rFonts w:ascii="Garamond" w:hAnsi="Garamond" w:cs="Garamond"/>
          <w:i/>
          <w:iCs/>
          <w:color w:val="0D0D0D"/>
          <w:lang w:eastAsia="sq-AL"/>
        </w:rPr>
      </w:pPr>
      <w:r w:rsidRPr="00770F9D">
        <w:rPr>
          <w:rFonts w:ascii="Garamond" w:hAnsi="Garamond" w:cs="Symbol"/>
          <w:color w:val="0D0D0D"/>
          <w:lang w:eastAsia="sq-AL"/>
        </w:rPr>
        <w:t>-</w:t>
      </w:r>
      <w:r w:rsidR="00BA4F1A" w:rsidRPr="00770F9D">
        <w:rPr>
          <w:rFonts w:ascii="Garamond" w:hAnsi="Garamond" w:cs="Symbol"/>
          <w:color w:val="0D0D0D"/>
          <w:lang w:eastAsia="sq-AL"/>
        </w:rPr>
        <w:t xml:space="preserve"> </w:t>
      </w:r>
      <w:r w:rsidR="00072546" w:rsidRPr="00770F9D">
        <w:rPr>
          <w:rFonts w:ascii="Garamond" w:hAnsi="Garamond" w:cs="Garamond"/>
          <w:color w:val="0D0D0D"/>
          <w:lang w:eastAsia="sq-AL"/>
        </w:rPr>
        <w:t>Efektet e politikës fiskale</w:t>
      </w:r>
    </w:p>
    <w:p w14:paraId="2276284A" w14:textId="5BB2AF58"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Parashikimi i të ardhurave për vitin 2023 mbështet objektivat e Ministrisë së Financave dhe Ekonomisë për rimëkëmbjen fiskale, si dhe mbajtjen nën kontroll të deficitit buxhetor dhe borxhit publik. Përparësi do t’i jepet zbatimit dhe qëndrueshmërisë së politikave fiskale</w:t>
      </w:r>
      <w:r w:rsidR="00746206" w:rsidRPr="00770F9D">
        <w:rPr>
          <w:rFonts w:ascii="Garamond" w:hAnsi="Garamond" w:cs="Garamond"/>
          <w:color w:val="0D0D0D"/>
          <w:lang w:eastAsia="sq-AL"/>
        </w:rPr>
        <w:t>,</w:t>
      </w:r>
      <w:r w:rsidRPr="00770F9D">
        <w:rPr>
          <w:rFonts w:ascii="Garamond" w:hAnsi="Garamond" w:cs="Garamond"/>
          <w:color w:val="0D0D0D"/>
          <w:lang w:eastAsia="sq-AL"/>
        </w:rPr>
        <w:t xml:space="preserve"> duke stimuluar thjeshtësinë, transparencën, reduktimin e kostove të administrimit dhe shmangien e përjashtimeve apo tarifave të favorshme. Në këtë kuadër janë miratuar ndryshimet fiskale 2023 me këto efekte në të ardhurat:</w:t>
      </w:r>
    </w:p>
    <w:p w14:paraId="29F4762D" w14:textId="4F59200D"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olor w:val="0D0D0D"/>
          <w:lang w:eastAsia="sq-AL"/>
        </w:rPr>
        <w:t>-</w:t>
      </w:r>
      <w:r w:rsidR="00BA4F1A" w:rsidRPr="00770F9D">
        <w:rPr>
          <w:rFonts w:ascii="Garamond" w:hAnsi="Garamond"/>
          <w:b/>
          <w:bCs/>
          <w:color w:val="0D0D0D"/>
          <w:lang w:eastAsia="sq-AL"/>
        </w:rPr>
        <w:t xml:space="preserve"> </w:t>
      </w:r>
      <w:r w:rsidRPr="00770F9D">
        <w:rPr>
          <w:rFonts w:ascii="Garamond" w:hAnsi="Garamond" w:cs="Garamond"/>
          <w:color w:val="0D0D0D"/>
          <w:lang w:eastAsia="sq-AL"/>
        </w:rPr>
        <w:t>Përjashtimin nga TVSH-ja të artikujve të përfshirë në kreun 4401 të Nomenklaturës së Kombinuar të Mallrave, me efekt deri më 31 dhjetor 2023, me qëllim mbrojtjen dhe suportimin e individëve në kushtet e një krize energjetike. Në këtë fazë, efekti i parashikuar në buxhetin e shtetit nuk mund të matet.</w:t>
      </w:r>
    </w:p>
    <w:p w14:paraId="22666747" w14:textId="1D616B19"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olor w:val="0D0D0D"/>
          <w:lang w:eastAsia="sq-AL"/>
        </w:rPr>
        <w:t>-</w:t>
      </w:r>
      <w:r w:rsidR="00BA4F1A" w:rsidRPr="00770F9D">
        <w:rPr>
          <w:rFonts w:ascii="Garamond" w:hAnsi="Garamond"/>
          <w:color w:val="0D0D0D"/>
          <w:lang w:eastAsia="sq-AL"/>
        </w:rPr>
        <w:t xml:space="preserve"> </w:t>
      </w:r>
      <w:r w:rsidRPr="00770F9D">
        <w:rPr>
          <w:rFonts w:ascii="Garamond" w:hAnsi="Garamond" w:cs="Garamond"/>
          <w:color w:val="0D0D0D"/>
          <w:lang w:eastAsia="sq-AL"/>
        </w:rPr>
        <w:t xml:space="preserve">Unifikimin e akcizës së birrës dhe pijeve të forta alkoolike </w:t>
      </w:r>
      <w:r w:rsidRPr="00770F9D">
        <w:rPr>
          <w:rFonts w:ascii="Garamond" w:hAnsi="Garamond" w:cs="Garamond"/>
          <w:i/>
          <w:iCs/>
          <w:color w:val="0D0D0D"/>
          <w:lang w:eastAsia="sq-AL"/>
        </w:rPr>
        <w:t>(Spirituous Beverages),</w:t>
      </w:r>
      <w:r w:rsidRPr="00770F9D">
        <w:rPr>
          <w:rFonts w:ascii="Garamond" w:hAnsi="Garamond" w:cs="Garamond"/>
          <w:color w:val="0D0D0D"/>
          <w:lang w:eastAsia="sq-AL"/>
        </w:rPr>
        <w:t xml:space="preserve"> me qëllim eliminimin e diferencimit të akcizës. Efekti i parashikuar në buxhetin e shtetit është rreth +260 milionë lekë.</w:t>
      </w:r>
    </w:p>
    <w:p w14:paraId="4D94DAD8" w14:textId="335E4E4E"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olor w:val="0D0D0D"/>
          <w:lang w:eastAsia="sq-AL"/>
        </w:rPr>
        <w:t>-</w:t>
      </w:r>
      <w:r w:rsidR="00BA4F1A" w:rsidRPr="00770F9D">
        <w:rPr>
          <w:rFonts w:ascii="Garamond" w:hAnsi="Garamond"/>
          <w:b/>
          <w:bCs/>
          <w:color w:val="0D0D0D"/>
          <w:lang w:eastAsia="sq-AL"/>
        </w:rPr>
        <w:t xml:space="preserve"> </w:t>
      </w:r>
      <w:r w:rsidRPr="00770F9D">
        <w:rPr>
          <w:rFonts w:ascii="Garamond" w:hAnsi="Garamond" w:cs="Garamond"/>
          <w:color w:val="0D0D0D"/>
          <w:lang w:eastAsia="sq-AL"/>
        </w:rPr>
        <w:t>Heqja nga lista e produkteve të akcizueshme artikujt e kreut 8507 të Nomeklaturës së Mallrave, konkretisht, artikullin “akumulatorë”. Ky ndryshim pritet të sjellë rreth -50 mln lekë reduktim në të ardhurat e akcizës.</w:t>
      </w:r>
    </w:p>
    <w:p w14:paraId="27C0B230" w14:textId="582A353E" w:rsidR="00072546" w:rsidRPr="00770F9D" w:rsidRDefault="00791EE4"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Symbol"/>
          <w:color w:val="0D0D0D"/>
          <w:lang w:eastAsia="sq-AL"/>
        </w:rPr>
        <w:t>-</w:t>
      </w:r>
      <w:r w:rsidR="00BA4F1A" w:rsidRPr="00770F9D">
        <w:rPr>
          <w:rFonts w:ascii="Garamond" w:hAnsi="Garamond" w:cs="Symbol"/>
          <w:color w:val="0D0D0D"/>
          <w:lang w:eastAsia="sq-AL"/>
        </w:rPr>
        <w:t xml:space="preserve"> </w:t>
      </w:r>
      <w:r w:rsidR="00072546" w:rsidRPr="00770F9D">
        <w:rPr>
          <w:rFonts w:ascii="Garamond" w:hAnsi="Garamond" w:cs="Garamond"/>
          <w:color w:val="0D0D0D"/>
          <w:lang w:eastAsia="sq-AL"/>
        </w:rPr>
        <w:t>Rreziqet fiskale</w:t>
      </w:r>
    </w:p>
    <w:p w14:paraId="2680B175" w14:textId="77777777"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Për sa i përket parashikimit të të ardhurave tatimore dhe doganore, rreziqet fiskale për vitin 2023 konsistojnë në:</w:t>
      </w:r>
    </w:p>
    <w:p w14:paraId="32249D10" w14:textId="47270B76" w:rsidR="00072546" w:rsidRPr="00770F9D" w:rsidRDefault="00072546" w:rsidP="00C42EA5">
      <w:pPr>
        <w:autoSpaceDE w:val="0"/>
        <w:autoSpaceDN w:val="0"/>
        <w:adjustRightInd w:val="0"/>
        <w:ind w:firstLine="284"/>
        <w:jc w:val="both"/>
        <w:rPr>
          <w:rFonts w:ascii="Garamond" w:hAnsi="Garamond" w:cs="Garamond"/>
          <w:color w:val="0D0D0D"/>
          <w:lang w:eastAsia="sq-AL"/>
        </w:rPr>
      </w:pPr>
      <w:r w:rsidRPr="00770F9D">
        <w:rPr>
          <w:rFonts w:ascii="Garamond" w:hAnsi="Garamond"/>
          <w:color w:val="0D0D0D"/>
          <w:lang w:eastAsia="sq-AL"/>
        </w:rPr>
        <w:t>-</w:t>
      </w:r>
      <w:r w:rsidR="00BA4F1A" w:rsidRPr="00770F9D">
        <w:rPr>
          <w:rFonts w:ascii="Garamond" w:hAnsi="Garamond"/>
          <w:b/>
          <w:bCs/>
          <w:color w:val="0D0D0D"/>
          <w:lang w:eastAsia="sq-AL"/>
        </w:rPr>
        <w:t xml:space="preserve"> </w:t>
      </w:r>
      <w:r w:rsidRPr="00770F9D">
        <w:rPr>
          <w:rFonts w:ascii="Garamond" w:hAnsi="Garamond" w:cs="Garamond"/>
          <w:color w:val="0D0D0D"/>
          <w:lang w:eastAsia="sq-AL"/>
        </w:rPr>
        <w:t>Zgjatj</w:t>
      </w:r>
      <w:r w:rsidR="007D50BF" w:rsidRPr="00770F9D">
        <w:rPr>
          <w:rFonts w:ascii="Garamond" w:hAnsi="Garamond" w:cs="Garamond"/>
          <w:color w:val="0D0D0D"/>
          <w:lang w:eastAsia="sq-AL"/>
        </w:rPr>
        <w:t xml:space="preserve">en </w:t>
      </w:r>
      <w:r w:rsidRPr="00770F9D">
        <w:rPr>
          <w:rFonts w:ascii="Garamond" w:hAnsi="Garamond" w:cs="Garamond"/>
          <w:color w:val="0D0D0D"/>
          <w:lang w:eastAsia="sq-AL"/>
        </w:rPr>
        <w:t xml:space="preserve">e situatës së </w:t>
      </w:r>
      <w:r w:rsidR="00784749" w:rsidRPr="00770F9D">
        <w:rPr>
          <w:rFonts w:ascii="Garamond" w:hAnsi="Garamond" w:cs="Garamond"/>
          <w:color w:val="0D0D0D"/>
          <w:lang w:eastAsia="sq-AL"/>
        </w:rPr>
        <w:t>luftës</w:t>
      </w:r>
      <w:r w:rsidRPr="00770F9D">
        <w:rPr>
          <w:rFonts w:ascii="Garamond" w:hAnsi="Garamond" w:cs="Garamond"/>
          <w:color w:val="0D0D0D"/>
          <w:lang w:eastAsia="sq-AL"/>
        </w:rPr>
        <w:t xml:space="preserve"> n</w:t>
      </w:r>
      <w:r w:rsidR="00C42EA5" w:rsidRPr="00770F9D">
        <w:rPr>
          <w:rFonts w:ascii="Garamond" w:hAnsi="Garamond" w:cs="Garamond"/>
          <w:color w:val="0D0D0D"/>
          <w:lang w:eastAsia="sq-AL"/>
        </w:rPr>
        <w:t>ë</w:t>
      </w:r>
      <w:r w:rsidRPr="00770F9D">
        <w:rPr>
          <w:rFonts w:ascii="Garamond" w:hAnsi="Garamond" w:cs="Garamond"/>
          <w:color w:val="0D0D0D"/>
          <w:lang w:eastAsia="sq-AL"/>
        </w:rPr>
        <w:t xml:space="preserve"> Ukrainë dhe efektet reale të saj të paparashikuara.</w:t>
      </w:r>
    </w:p>
    <w:p w14:paraId="41AA3432" w14:textId="3FEF762C"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olor w:val="0D0D0D"/>
          <w:lang w:eastAsia="sq-AL"/>
        </w:rPr>
        <w:t>-</w:t>
      </w:r>
      <w:r w:rsidR="00BA4F1A" w:rsidRPr="00770F9D">
        <w:rPr>
          <w:rFonts w:ascii="Garamond" w:hAnsi="Garamond"/>
          <w:b/>
          <w:bCs/>
          <w:color w:val="0D0D0D"/>
          <w:lang w:eastAsia="sq-AL"/>
        </w:rPr>
        <w:t xml:space="preserve"> </w:t>
      </w:r>
      <w:r w:rsidRPr="00770F9D">
        <w:rPr>
          <w:rFonts w:ascii="Garamond" w:hAnsi="Garamond" w:cs="Garamond"/>
          <w:color w:val="0D0D0D"/>
          <w:lang w:eastAsia="sq-AL"/>
        </w:rPr>
        <w:t>Efektet e pritshme në ekonomi si pasojë e rritjes së çmimeve të karburanteve dhe energjisë</w:t>
      </w:r>
      <w:r w:rsidR="007D50BF" w:rsidRPr="00770F9D">
        <w:rPr>
          <w:rFonts w:ascii="Garamond" w:hAnsi="Garamond" w:cs="Garamond"/>
          <w:color w:val="0D0D0D"/>
          <w:lang w:eastAsia="sq-AL"/>
        </w:rPr>
        <w:t xml:space="preserve"> </w:t>
      </w:r>
      <w:r w:rsidRPr="00770F9D">
        <w:rPr>
          <w:rFonts w:ascii="Garamond" w:hAnsi="Garamond" w:cs="Garamond"/>
          <w:color w:val="0D0D0D"/>
          <w:lang w:eastAsia="sq-AL"/>
        </w:rPr>
        <w:t>elektrike.</w:t>
      </w:r>
    </w:p>
    <w:p w14:paraId="7AACF6D7" w14:textId="7A525B76"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Totali i shpenzimeve publike për vitin 2023 është planifikuar 698.1 miliardë lekë ose 32.1% e PBB</w:t>
      </w:r>
      <w:r w:rsidR="007D50BF" w:rsidRPr="00770F9D">
        <w:rPr>
          <w:rFonts w:ascii="Garamond" w:hAnsi="Garamond" w:cs="Garamond"/>
          <w:color w:val="0D0D0D"/>
          <w:lang w:eastAsia="sq-AL"/>
        </w:rPr>
        <w:t>-së</w:t>
      </w:r>
      <w:r w:rsidRPr="00770F9D">
        <w:rPr>
          <w:rFonts w:ascii="Garamond" w:hAnsi="Garamond" w:cs="Garamond"/>
          <w:color w:val="0D0D0D"/>
          <w:lang w:eastAsia="sq-AL"/>
        </w:rPr>
        <w:t xml:space="preserve">, nga 645.3 miliardë lekë që pritet të realizohet buxheti për vitin 2022. Këto shpenzime rezultojnë rreth 52.8 miliardë lekë më shumë ose 0.7 pikë </w:t>
      </w:r>
      <w:r w:rsidR="00C42EA5" w:rsidRPr="00770F9D">
        <w:rPr>
          <w:rFonts w:ascii="Garamond" w:hAnsi="Garamond" w:cs="Garamond"/>
          <w:color w:val="0D0D0D"/>
          <w:lang w:eastAsia="sq-AL"/>
        </w:rPr>
        <w:t>për</w:t>
      </w:r>
      <w:r w:rsidR="00623F19" w:rsidRPr="00770F9D">
        <w:rPr>
          <w:rFonts w:ascii="Garamond" w:hAnsi="Garamond" w:cs="Garamond"/>
          <w:color w:val="0D0D0D"/>
          <w:lang w:eastAsia="sq-AL"/>
        </w:rPr>
        <w:t>qind</w:t>
      </w:r>
      <w:r w:rsidRPr="00770F9D">
        <w:rPr>
          <w:rFonts w:ascii="Garamond" w:hAnsi="Garamond" w:cs="Garamond"/>
          <w:color w:val="0D0D0D"/>
          <w:lang w:eastAsia="sq-AL"/>
        </w:rPr>
        <w:t>je</w:t>
      </w:r>
      <w:r w:rsidR="00C42EA5" w:rsidRPr="00770F9D">
        <w:rPr>
          <w:rFonts w:ascii="Garamond" w:hAnsi="Garamond" w:cs="Garamond"/>
          <w:color w:val="0D0D0D"/>
          <w:lang w:eastAsia="sq-AL"/>
        </w:rPr>
        <w:t>je</w:t>
      </w:r>
      <w:r w:rsidRPr="00770F9D">
        <w:rPr>
          <w:rFonts w:ascii="Garamond" w:hAnsi="Garamond" w:cs="Garamond"/>
          <w:color w:val="0D0D0D"/>
          <w:lang w:eastAsia="sq-AL"/>
        </w:rPr>
        <w:t xml:space="preserve"> më shumë se buxheti i pritshëm për vitin 2022.</w:t>
      </w:r>
    </w:p>
    <w:p w14:paraId="534427C3" w14:textId="317225F2"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Shpenzimet e personelit për vitin 2023, reflektojnë koston aktuale të </w:t>
      </w:r>
      <w:r w:rsidR="000A6A98" w:rsidRPr="00770F9D">
        <w:rPr>
          <w:rFonts w:ascii="Garamond" w:hAnsi="Garamond" w:cstheme="majorBidi"/>
          <w:color w:val="0D0D0D" w:themeColor="text1" w:themeTint="F2"/>
        </w:rPr>
        <w:t>administratës publike</w:t>
      </w:r>
      <w:r w:rsidRPr="00770F9D">
        <w:rPr>
          <w:rFonts w:ascii="Garamond" w:hAnsi="Garamond" w:cstheme="majorBidi"/>
          <w:color w:val="0D0D0D" w:themeColor="text1" w:themeTint="F2"/>
        </w:rPr>
        <w:t>, si dhe politikën e re të rritjes së pagave për sektorët e shëndetësisë, arsimit dhe mbrojtjes (nisur në 1 korrik 2022)</w:t>
      </w:r>
      <w:r w:rsidR="000A6A98"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dhe rritjen e pagave për administratën publike (nisur në 1 shtator 2022) me mesatarisht 7%. Fondi vjetor për rritjen e pagave është planifikuar në shumën 2.3 miliardë lekë dhe parashikon rritjen e pagës për funksion me 6% për punonjësit e sistemit shëndetësor dhe ata arsimorë. Shpenzimet totale për pagat në Administratën Publike janë planifikuarnë masën 96.9 miliardë lekë ose 4.5% e PBB nga 84.7 miliardë lekë në buxhetin e pritshëm për vitin 2022 ose 4.1% e PBB</w:t>
      </w:r>
      <w:r w:rsidR="000A6A98" w:rsidRPr="00770F9D">
        <w:rPr>
          <w:rFonts w:ascii="Garamond" w:hAnsi="Garamond" w:cstheme="majorBidi"/>
          <w:color w:val="0D0D0D" w:themeColor="text1" w:themeTint="F2"/>
        </w:rPr>
        <w:t>-së</w:t>
      </w:r>
      <w:r w:rsidRPr="00770F9D">
        <w:rPr>
          <w:rFonts w:ascii="Garamond" w:hAnsi="Garamond" w:cstheme="majorBidi"/>
          <w:color w:val="0D0D0D" w:themeColor="text1" w:themeTint="F2"/>
        </w:rPr>
        <w:t xml:space="preserve">. Sikurse shihet rritja e shpenzimeve të personelit krahasuar me të pritshmit e vitit 2022 rezulton me 0.4% </w:t>
      </w:r>
      <w:r w:rsidR="00EE365D" w:rsidRPr="00770F9D">
        <w:rPr>
          <w:rFonts w:ascii="Garamond" w:hAnsi="Garamond" w:cstheme="majorBidi"/>
          <w:color w:val="0D0D0D" w:themeColor="text1" w:themeTint="F2"/>
        </w:rPr>
        <w:t>pikë përqindjeje</w:t>
      </w:r>
      <w:r w:rsidRPr="00770F9D">
        <w:rPr>
          <w:rFonts w:ascii="Garamond" w:hAnsi="Garamond" w:cstheme="majorBidi"/>
          <w:color w:val="0D0D0D" w:themeColor="text1" w:themeTint="F2"/>
        </w:rPr>
        <w:t xml:space="preserve"> dhe materializon në vitin 2023 efektin vjetor të politikës së rritjes së pagave për sektorët e shëndetësisë, arsimit, mbrojtjes dhe administratës publike të rritura në gjysmën e dytë të vitit 2022 dhe politikën e re të rritjes së pagave me 6% për punonjësit e sistemit shëndetësor dhe arsimor.</w:t>
      </w:r>
    </w:p>
    <w:p w14:paraId="01E7B3B5" w14:textId="11EF085F"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Shpenzimet për interesa parashikohen në nivelin 60.9 miliardë lekë ose 2.8% të PBB</w:t>
      </w:r>
      <w:r w:rsidR="00651CFA" w:rsidRPr="00770F9D">
        <w:rPr>
          <w:rFonts w:ascii="Garamond" w:hAnsi="Garamond" w:cstheme="majorBidi"/>
          <w:color w:val="0D0D0D" w:themeColor="text1" w:themeTint="F2"/>
        </w:rPr>
        <w:t>-së</w:t>
      </w:r>
      <w:r w:rsidRPr="00770F9D">
        <w:rPr>
          <w:rFonts w:ascii="Garamond" w:hAnsi="Garamond" w:cstheme="majorBidi"/>
          <w:color w:val="0D0D0D" w:themeColor="text1" w:themeTint="F2"/>
        </w:rPr>
        <w:t>, duke përfshirë në të dhe një rezervë prej 4.9 miliardë lekë</w:t>
      </w:r>
      <w:r w:rsidR="00651CFA" w:rsidRPr="00770F9D">
        <w:rPr>
          <w:rFonts w:ascii="Garamond" w:hAnsi="Garamond" w:cstheme="majorBidi"/>
          <w:color w:val="0D0D0D" w:themeColor="text1" w:themeTint="F2"/>
        </w:rPr>
        <w:t>sh</w:t>
      </w:r>
      <w:r w:rsidRPr="00770F9D">
        <w:rPr>
          <w:rFonts w:ascii="Garamond" w:hAnsi="Garamond" w:cstheme="majorBidi"/>
          <w:color w:val="0D0D0D" w:themeColor="text1" w:themeTint="F2"/>
        </w:rPr>
        <w:t xml:space="preserve"> për </w:t>
      </w:r>
      <w:r w:rsidRPr="00C75E11">
        <w:rPr>
          <w:rFonts w:ascii="Garamond" w:hAnsi="Garamond" w:cstheme="majorBidi"/>
          <w:color w:val="0D0D0D" w:themeColor="text1" w:themeTint="F2"/>
        </w:rPr>
        <w:t>të mitiguar</w:t>
      </w:r>
      <w:r w:rsidRPr="00770F9D">
        <w:rPr>
          <w:rFonts w:ascii="Garamond" w:hAnsi="Garamond" w:cstheme="majorBidi"/>
          <w:color w:val="0D0D0D" w:themeColor="text1" w:themeTint="F2"/>
        </w:rPr>
        <w:t xml:space="preserve"> risqet e mundshme nga luhatjet e normave të interesit, kursit të këmbimit etj. Shpenzimet e pritshme për interesa për vitin 2022 parashikohen në nivelin 40 miliardë lekë ose 1.9% të PBB. Sikurse shihet parashikimi për vitin 2023 rezulton 0.9 </w:t>
      </w:r>
      <w:r w:rsidR="00EE365D" w:rsidRPr="00770F9D">
        <w:rPr>
          <w:rFonts w:ascii="Garamond" w:hAnsi="Garamond" w:cstheme="majorBidi"/>
          <w:color w:val="0D0D0D" w:themeColor="text1" w:themeTint="F2"/>
        </w:rPr>
        <w:t>pikë përqindjeje</w:t>
      </w:r>
      <w:r w:rsidRPr="00770F9D">
        <w:rPr>
          <w:rFonts w:ascii="Garamond" w:hAnsi="Garamond" w:cstheme="majorBidi"/>
          <w:color w:val="0D0D0D" w:themeColor="text1" w:themeTint="F2"/>
        </w:rPr>
        <w:t xml:space="preserve"> më i lartë krahasuar me të pritshmin e vitit 2022, rritje e cila vjen si pasojë e rritjes së normave të interesit kryesisht në tregun e brendshëm</w:t>
      </w:r>
      <w:r w:rsidR="00527B50"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 shkak të nivelit të rishikuar në rritje të normës së inflacionit.</w:t>
      </w:r>
    </w:p>
    <w:p w14:paraId="7BEF26BE" w14:textId="0A72E0A2"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Shpenzimet operative dhe të mirëmbajtjes për qeverisjen qendrore për vitin 2023 </w:t>
      </w:r>
      <w:r w:rsidRPr="00770F9D">
        <w:rPr>
          <w:rFonts w:ascii="Garamond" w:hAnsi="Garamond" w:cstheme="majorBidi"/>
          <w:i/>
          <w:iCs/>
          <w:color w:val="0D0D0D" w:themeColor="text1" w:themeTint="F2"/>
        </w:rPr>
        <w:t>(</w:t>
      </w:r>
      <w:r w:rsidRPr="00770F9D">
        <w:rPr>
          <w:rFonts w:ascii="Garamond" w:hAnsi="Garamond" w:cstheme="majorBidi"/>
          <w:i/>
          <w:color w:val="0D0D0D" w:themeColor="text1" w:themeTint="F2"/>
        </w:rPr>
        <w:t>pa përfshirë shpenzimet që realizohen nga institucione publike, që kanë si burim financimi të ardhurat jashtë limitit)</w:t>
      </w:r>
      <w:r w:rsidRPr="00770F9D">
        <w:rPr>
          <w:rFonts w:ascii="Garamond" w:hAnsi="Garamond" w:cstheme="majorBidi"/>
          <w:color w:val="0D0D0D" w:themeColor="text1" w:themeTint="F2"/>
        </w:rPr>
        <w:t>, janë parashikuar në masën 61.7 miliardë lekë ose rreth 2.8% e PBB-së. Në këtë zë është programuar mbështetja me prioritet e politikave ekzistuese të qeverisjes qendrore</w:t>
      </w:r>
      <w:r w:rsidR="004F33F5"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skema e fermerëve, mirëmbajtja e rrugëve nacionale, programet e nxitjes së punësimit, skemat për mbështetjen e zhvillimit ekonomik dhe mbështetje për arsimin dhe sportin. Shpenzimet operative dhe të mirëmbajtjes për qeverisjes qendrore deri në fund të vitit 2022 priten të realizohen në nivelin 63.4 miliardë ose 3.1% e PBB.</w:t>
      </w:r>
    </w:p>
    <w:p w14:paraId="5A67DCF3" w14:textId="3EA7169D" w:rsidR="00F468C9" w:rsidRPr="00770F9D" w:rsidRDefault="00F468C9" w:rsidP="003F46E1">
      <w:pPr>
        <w:tabs>
          <w:tab w:val="left" w:pos="5940"/>
        </w:tabs>
        <w:ind w:firstLine="284"/>
        <w:jc w:val="both"/>
        <w:rPr>
          <w:rFonts w:ascii="Garamond" w:hAnsi="Garamond" w:cstheme="majorBidi"/>
          <w:color w:val="0D0D0D" w:themeColor="text1" w:themeTint="F2"/>
        </w:rPr>
      </w:pPr>
      <w:r w:rsidRPr="00770F9D">
        <w:rPr>
          <w:rFonts w:ascii="Garamond" w:hAnsi="Garamond" w:cstheme="majorBidi"/>
          <w:bCs/>
          <w:color w:val="0D0D0D" w:themeColor="text1" w:themeTint="F2"/>
        </w:rPr>
        <w:t>Shpenzimet e buxhetit vendor për vitin 2023</w:t>
      </w:r>
      <w:r w:rsidRPr="00770F9D">
        <w:rPr>
          <w:rFonts w:ascii="Garamond" w:hAnsi="Garamond" w:cstheme="majorBidi"/>
          <w:color w:val="0D0D0D" w:themeColor="text1" w:themeTint="F2"/>
        </w:rPr>
        <w:t xml:space="preserve"> janë parashikuar në masën </w:t>
      </w:r>
      <w:r w:rsidRPr="00770F9D">
        <w:rPr>
          <w:rFonts w:ascii="Garamond" w:hAnsi="Garamond" w:cstheme="majorBidi"/>
          <w:bCs/>
          <w:color w:val="0D0D0D" w:themeColor="text1" w:themeTint="F2"/>
        </w:rPr>
        <w:t>65.5 miliardë lekë</w:t>
      </w:r>
      <w:r w:rsidRPr="00770F9D">
        <w:rPr>
          <w:rFonts w:ascii="Garamond" w:hAnsi="Garamond" w:cstheme="majorBidi"/>
          <w:color w:val="0D0D0D" w:themeColor="text1" w:themeTint="F2"/>
        </w:rPr>
        <w:t>, me një rritje prej 8.8% më shumë se buxheti fillestar i vitit 2022.</w:t>
      </w:r>
      <w:r w:rsidR="00EE365D"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 xml:space="preserve">Këto shpenzime për vitin 2023, zënë 3% të PBB-së nga 2.3% që zinin në vitin 2013. </w:t>
      </w:r>
      <w:r w:rsidRPr="00770F9D">
        <w:rPr>
          <w:rFonts w:ascii="Garamond" w:eastAsia="MS Mincho" w:hAnsi="Garamond" w:cstheme="majorBidi"/>
          <w:color w:val="0D0D0D" w:themeColor="text1" w:themeTint="F2"/>
        </w:rPr>
        <w:t>Reformat në qeverisjen vendore ndër vite janë fokusuar si në thellimin e decentralizimit fiskal, ashtu edhe menaxhimin e financave publike në nivel vendor. Gjatë viteve të fundit, procesi i menaxhimit të financave publike vendore është shoqëruar me sfida</w:t>
      </w:r>
      <w:r w:rsidR="004F33F5" w:rsidRPr="00770F9D">
        <w:rPr>
          <w:rFonts w:ascii="Garamond" w:eastAsia="MS Mincho" w:hAnsi="Garamond" w:cstheme="majorBidi"/>
          <w:color w:val="0D0D0D" w:themeColor="text1" w:themeTint="F2"/>
        </w:rPr>
        <w:t>,</w:t>
      </w:r>
      <w:r w:rsidRPr="00770F9D">
        <w:rPr>
          <w:rFonts w:ascii="Garamond" w:eastAsia="MS Mincho" w:hAnsi="Garamond" w:cstheme="majorBidi"/>
          <w:color w:val="0D0D0D" w:themeColor="text1" w:themeTint="F2"/>
        </w:rPr>
        <w:t xml:space="preserve"> për shkak të </w:t>
      </w:r>
      <w:r w:rsidRPr="00770F9D">
        <w:rPr>
          <w:rFonts w:ascii="Garamond" w:hAnsi="Garamond" w:cstheme="majorBidi"/>
          <w:color w:val="0D0D0D" w:themeColor="text1" w:themeTint="F2"/>
        </w:rPr>
        <w:t xml:space="preserve">pasojave të pandemisë COVID-19, rindërtimit nga tërmetet e vitit 2019 dhe krizës ekonomike si rrjedhojë e luftës në Ukrainë. Përballimi i këtyre sfidave të mëdha ekonomike dhe buxhetore nga njësitë e vetëqeverisjes vendore gjatë kësaj periudhe, është një tregues pozitiv i punës së zhvilluar në këto vite në drejtim të stabilitetit makroekonomik, parashikueshmërisë së fondeve dhe transparencës së përdorimit me disiplinë të fondeve buxhetore. Transferta e pakushtëzuar për vitin 2023, krahasuar me buxhetin fillestar të vitit 2022 është </w:t>
      </w:r>
      <w:r w:rsidRPr="00770F9D">
        <w:rPr>
          <w:rFonts w:ascii="Garamond" w:hAnsi="Garamond" w:cstheme="majorBidi"/>
          <w:bCs/>
          <w:color w:val="0D0D0D" w:themeColor="text1" w:themeTint="F2"/>
        </w:rPr>
        <w:t>3 miliardë lekë</w:t>
      </w:r>
      <w:r w:rsidRPr="00770F9D">
        <w:rPr>
          <w:rFonts w:ascii="Garamond" w:hAnsi="Garamond" w:cstheme="majorBidi"/>
          <w:color w:val="0D0D0D" w:themeColor="text1" w:themeTint="F2"/>
        </w:rPr>
        <w:t xml:space="preserve"> më shumë ose rreth </w:t>
      </w:r>
      <w:r w:rsidRPr="00770F9D">
        <w:rPr>
          <w:rFonts w:ascii="Garamond" w:hAnsi="Garamond" w:cstheme="majorBidi"/>
          <w:bCs/>
          <w:color w:val="0D0D0D" w:themeColor="text1" w:themeTint="F2"/>
        </w:rPr>
        <w:t xml:space="preserve">16.1 </w:t>
      </w:r>
      <w:r w:rsidR="00623F19" w:rsidRPr="00770F9D">
        <w:rPr>
          <w:rFonts w:ascii="Garamond" w:hAnsi="Garamond" w:cstheme="majorBidi"/>
          <w:bCs/>
          <w:color w:val="0D0D0D" w:themeColor="text1" w:themeTint="F2"/>
        </w:rPr>
        <w:t>për qind</w:t>
      </w:r>
      <w:r w:rsidRPr="00770F9D">
        <w:rPr>
          <w:rFonts w:ascii="Garamond" w:hAnsi="Garamond" w:cstheme="majorBidi"/>
          <w:bCs/>
          <w:color w:val="0D0D0D" w:themeColor="text1" w:themeTint="F2"/>
        </w:rPr>
        <w:t xml:space="preserve"> </w:t>
      </w:r>
      <w:r w:rsidRPr="00770F9D">
        <w:rPr>
          <w:rFonts w:ascii="Garamond" w:hAnsi="Garamond" w:cstheme="majorBidi"/>
          <w:color w:val="0D0D0D" w:themeColor="text1" w:themeTint="F2"/>
        </w:rPr>
        <w:t xml:space="preserve">më e lartë dhe krahasuar me vitin 2015 (viti para reformës administrativo-territoriale), është </w:t>
      </w:r>
      <w:r w:rsidRPr="00770F9D">
        <w:rPr>
          <w:rFonts w:ascii="Garamond" w:hAnsi="Garamond" w:cstheme="majorBidi"/>
          <w:bCs/>
          <w:color w:val="0D0D0D" w:themeColor="text1" w:themeTint="F2"/>
        </w:rPr>
        <w:t xml:space="preserve">9.4 miliardë </w:t>
      </w:r>
      <w:r w:rsidRPr="00770F9D">
        <w:rPr>
          <w:rFonts w:ascii="Garamond" w:eastAsia="Times New Roman" w:hAnsi="Garamond" w:cstheme="majorBidi"/>
          <w:bCs/>
          <w:color w:val="0D0D0D" w:themeColor="text1" w:themeTint="F2"/>
          <w:kern w:val="24"/>
        </w:rPr>
        <w:t>lekë</w:t>
      </w:r>
      <w:r w:rsidRPr="00770F9D">
        <w:rPr>
          <w:rFonts w:ascii="Garamond" w:hAnsi="Garamond" w:cstheme="majorBidi"/>
          <w:color w:val="0D0D0D" w:themeColor="text1" w:themeTint="F2"/>
        </w:rPr>
        <w:t xml:space="preserve"> më shumë </w:t>
      </w:r>
      <w:r w:rsidRPr="00770F9D">
        <w:rPr>
          <w:rFonts w:ascii="Garamond" w:hAnsi="Garamond" w:cstheme="majorBidi"/>
          <w:bCs/>
          <w:color w:val="0D0D0D" w:themeColor="text1" w:themeTint="F2"/>
        </w:rPr>
        <w:t xml:space="preserve">ose rreth 76.4 </w:t>
      </w:r>
      <w:r w:rsidR="00623F19" w:rsidRPr="00770F9D">
        <w:rPr>
          <w:rFonts w:ascii="Garamond" w:hAnsi="Garamond" w:cstheme="majorBidi"/>
          <w:bCs/>
          <w:color w:val="0D0D0D" w:themeColor="text1" w:themeTint="F2"/>
        </w:rPr>
        <w:t>për qind</w:t>
      </w:r>
      <w:r w:rsidRPr="00770F9D">
        <w:rPr>
          <w:rFonts w:ascii="Garamond" w:hAnsi="Garamond" w:cstheme="majorBidi"/>
          <w:bCs/>
          <w:color w:val="0D0D0D" w:themeColor="text1" w:themeTint="F2"/>
        </w:rPr>
        <w:t xml:space="preserve"> më e lartë. </w:t>
      </w:r>
      <w:r w:rsidRPr="00770F9D">
        <w:rPr>
          <w:rFonts w:ascii="Garamond" w:eastAsia="Times New Roman" w:hAnsi="Garamond" w:cstheme="majorBidi"/>
          <w:color w:val="0D0D0D" w:themeColor="text1" w:themeTint="F2"/>
        </w:rPr>
        <w:t xml:space="preserve">Në transfertën e pakushtëzuar të parashikuar për vitin 2023, </w:t>
      </w:r>
      <w:r w:rsidRPr="00770F9D">
        <w:rPr>
          <w:rFonts w:ascii="Garamond" w:eastAsia="Times New Roman" w:hAnsi="Garamond" w:cstheme="majorBidi"/>
          <w:bCs/>
          <w:color w:val="0D0D0D" w:themeColor="text1" w:themeTint="F2"/>
        </w:rPr>
        <w:t>21.7 miliardë lekë</w:t>
      </w:r>
      <w:r w:rsidRPr="00770F9D">
        <w:rPr>
          <w:rFonts w:ascii="Garamond" w:eastAsia="Times New Roman" w:hAnsi="Garamond" w:cstheme="majorBidi"/>
          <w:color w:val="0D0D0D" w:themeColor="text1" w:themeTint="F2"/>
        </w:rPr>
        <w:t>, do të shtohen edhe fondet p</w:t>
      </w:r>
      <w:r w:rsidRPr="00770F9D">
        <w:rPr>
          <w:rFonts w:ascii="Garamond" w:hAnsi="Garamond" w:cstheme="majorBidi"/>
          <w:color w:val="0D0D0D" w:themeColor="text1" w:themeTint="F2"/>
        </w:rPr>
        <w:t xml:space="preserve">rej </w:t>
      </w:r>
      <w:r w:rsidRPr="00770F9D">
        <w:rPr>
          <w:rFonts w:ascii="Garamond" w:hAnsi="Garamond" w:cstheme="majorBidi"/>
          <w:bCs/>
          <w:color w:val="0D0D0D" w:themeColor="text1" w:themeTint="F2"/>
        </w:rPr>
        <w:t>9.8 miliardë lekë</w:t>
      </w:r>
      <w:r w:rsidR="004F33F5" w:rsidRPr="00770F9D">
        <w:rPr>
          <w:rFonts w:ascii="Garamond" w:hAnsi="Garamond" w:cstheme="majorBidi"/>
          <w:bCs/>
          <w:color w:val="0D0D0D" w:themeColor="text1" w:themeTint="F2"/>
        </w:rPr>
        <w:t>sh</w:t>
      </w:r>
      <w:r w:rsidRPr="00770F9D">
        <w:rPr>
          <w:rFonts w:ascii="Garamond" w:hAnsi="Garamond" w:cstheme="majorBidi"/>
          <w:color w:val="0D0D0D" w:themeColor="text1" w:themeTint="F2"/>
        </w:rPr>
        <w:t xml:space="preserve"> transfertë e pakushtëzuar sektoriale </w:t>
      </w:r>
      <w:r w:rsidRPr="00770F9D">
        <w:rPr>
          <w:rFonts w:ascii="Garamond" w:eastAsia="Times New Roman" w:hAnsi="Garamond" w:cstheme="majorBidi"/>
          <w:color w:val="0D0D0D" w:themeColor="text1" w:themeTint="F2"/>
        </w:rPr>
        <w:t xml:space="preserve">për funksionet e reja. Në total, në vitin 2023, granti nga buxheti i shtetit për pushtetin vendor do të jetë në shumën </w:t>
      </w:r>
      <w:r w:rsidRPr="00770F9D">
        <w:rPr>
          <w:rFonts w:ascii="Garamond" w:eastAsia="Times New Roman" w:hAnsi="Garamond" w:cstheme="majorBidi"/>
          <w:bCs/>
          <w:color w:val="0D0D0D" w:themeColor="text1" w:themeTint="F2"/>
        </w:rPr>
        <w:t>31.5 miliardë lekë</w:t>
      </w:r>
      <w:r w:rsidRPr="00770F9D">
        <w:rPr>
          <w:rFonts w:ascii="Garamond" w:eastAsia="Times New Roman" w:hAnsi="Garamond" w:cstheme="majorBidi"/>
          <w:color w:val="0D0D0D" w:themeColor="text1" w:themeTint="F2"/>
        </w:rPr>
        <w:t xml:space="preserve">. </w:t>
      </w:r>
      <w:r w:rsidRPr="00770F9D">
        <w:rPr>
          <w:rFonts w:ascii="Garamond" w:hAnsi="Garamond" w:cstheme="majorBidi"/>
          <w:color w:val="0D0D0D" w:themeColor="text1" w:themeTint="F2"/>
        </w:rPr>
        <w:t>Të ardhurat e veta të pushtetit vendor nga viti 2015 në vitin 2023 kanë pësuar një rritje të ndjeshme</w:t>
      </w:r>
      <w:r w:rsidR="00EE365D"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 xml:space="preserve">me rreth </w:t>
      </w:r>
      <w:r w:rsidRPr="00770F9D">
        <w:rPr>
          <w:rFonts w:ascii="Garamond" w:hAnsi="Garamond" w:cstheme="majorBidi"/>
          <w:bCs/>
          <w:color w:val="0D0D0D" w:themeColor="text1" w:themeTint="F2"/>
        </w:rPr>
        <w:t>17.4 miliardë lekë</w:t>
      </w:r>
      <w:r w:rsidRPr="00770F9D">
        <w:rPr>
          <w:rFonts w:ascii="Garamond" w:hAnsi="Garamond" w:cstheme="majorBidi"/>
          <w:color w:val="0D0D0D" w:themeColor="text1" w:themeTint="F2"/>
        </w:rPr>
        <w:t xml:space="preserve">, ndërkohë krahasuar me vitin 2022 janë rritur me rreth </w:t>
      </w:r>
      <w:r w:rsidRPr="00770F9D">
        <w:rPr>
          <w:rFonts w:ascii="Garamond" w:hAnsi="Garamond" w:cstheme="majorBidi"/>
          <w:bCs/>
          <w:color w:val="0D0D0D" w:themeColor="text1" w:themeTint="F2"/>
        </w:rPr>
        <w:t>1.5 miliardë lekë</w:t>
      </w:r>
      <w:r w:rsidRPr="00770F9D">
        <w:rPr>
          <w:rFonts w:ascii="Garamond" w:hAnsi="Garamond" w:cstheme="majorBidi"/>
          <w:color w:val="0D0D0D" w:themeColor="text1" w:themeTint="F2"/>
        </w:rPr>
        <w:t>.</w:t>
      </w:r>
      <w:r w:rsidRPr="00770F9D">
        <w:rPr>
          <w:rFonts w:ascii="Garamond" w:hAnsi="Garamond" w:cstheme="majorBidi"/>
          <w:bCs/>
          <w:color w:val="0D0D0D" w:themeColor="text1" w:themeTint="F2"/>
        </w:rPr>
        <w:t xml:space="preserve"> Për vitin 2022, shpenzimet për buxhetin vendor priten të realizohen në masën 57.9 miliardë lekë ose 2.8% e PBB. Krahasuar me vitin 2023, shpenzimet për buxhetin vendor rriten me 0.2 </w:t>
      </w:r>
      <w:r w:rsidR="00EE365D" w:rsidRPr="00770F9D">
        <w:rPr>
          <w:rFonts w:ascii="Garamond" w:hAnsi="Garamond" w:cstheme="majorBidi"/>
          <w:bCs/>
          <w:color w:val="0D0D0D" w:themeColor="text1" w:themeTint="F2"/>
        </w:rPr>
        <w:t>pikë përqindjeje</w:t>
      </w:r>
      <w:r w:rsidRPr="00770F9D">
        <w:rPr>
          <w:rFonts w:ascii="Garamond" w:hAnsi="Garamond" w:cstheme="majorBidi"/>
          <w:bCs/>
          <w:color w:val="0D0D0D" w:themeColor="text1" w:themeTint="F2"/>
        </w:rPr>
        <w:t xml:space="preserve"> për arsye të detyrimit ligjor të mbajtjes së transfertës së pakushtëzuar në nivelin 1% të PBB.</w:t>
      </w:r>
    </w:p>
    <w:p w14:paraId="1AA1CE14" w14:textId="2D43C1A0"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Shpenzimet e fondeve speciale që përfshin shpenzimet totale për </w:t>
      </w:r>
      <w:r w:rsidR="00B327A1" w:rsidRPr="00770F9D">
        <w:rPr>
          <w:rFonts w:ascii="Garamond" w:hAnsi="Garamond" w:cstheme="majorBidi"/>
          <w:color w:val="0D0D0D" w:themeColor="text1" w:themeTint="F2"/>
        </w:rPr>
        <w:t>fondet e sigurimeve shoqërore, shëndetësore dhe k</w:t>
      </w:r>
      <w:r w:rsidRPr="00770F9D">
        <w:rPr>
          <w:rFonts w:ascii="Garamond" w:hAnsi="Garamond" w:cstheme="majorBidi"/>
          <w:color w:val="0D0D0D" w:themeColor="text1" w:themeTint="F2"/>
        </w:rPr>
        <w:t>ompensimin në vlerë të ish-pronarëve, janë planifikuar në vlerën prej 226.35 miliardë lekë</w:t>
      </w:r>
      <w:r w:rsidR="00840BD6" w:rsidRPr="00770F9D">
        <w:rPr>
          <w:rFonts w:ascii="Garamond" w:hAnsi="Garamond" w:cstheme="majorBidi"/>
          <w:color w:val="0D0D0D" w:themeColor="text1" w:themeTint="F2"/>
        </w:rPr>
        <w:t>sh</w:t>
      </w:r>
      <w:r w:rsidRPr="00770F9D">
        <w:rPr>
          <w:rFonts w:ascii="Garamond" w:hAnsi="Garamond" w:cstheme="majorBidi"/>
          <w:color w:val="0D0D0D" w:themeColor="text1" w:themeTint="F2"/>
        </w:rPr>
        <w:t xml:space="preserve">. Niveli i shpenzimeve për </w:t>
      </w:r>
      <w:r w:rsidRPr="00770F9D">
        <w:rPr>
          <w:rFonts w:ascii="Garamond" w:hAnsi="Garamond" w:cstheme="majorBidi"/>
          <w:i/>
          <w:color w:val="0D0D0D" w:themeColor="text1" w:themeTint="F2"/>
        </w:rPr>
        <w:t xml:space="preserve">Skemën e </w:t>
      </w:r>
      <w:r w:rsidR="00840BD6" w:rsidRPr="00770F9D">
        <w:rPr>
          <w:rFonts w:ascii="Garamond" w:hAnsi="Garamond" w:cstheme="majorBidi"/>
          <w:i/>
          <w:color w:val="0D0D0D" w:themeColor="text1" w:themeTint="F2"/>
        </w:rPr>
        <w:t>Sigurimeve Shoqërore</w:t>
      </w:r>
      <w:r w:rsidR="00840BD6"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për vitin 2023, parashikohet në masën 161.6 miliardë lekë ose 7.4% e PBB.</w:t>
      </w:r>
      <w:r w:rsidR="00840BD6" w:rsidRPr="00770F9D">
        <w:rPr>
          <w:rFonts w:ascii="Garamond" w:hAnsi="Garamond" w:cstheme="majorBidi"/>
          <w:color w:val="0D0D0D" w:themeColor="text1" w:themeTint="F2"/>
        </w:rPr>
        <w:t>-së</w:t>
      </w:r>
      <w:r w:rsidRPr="00770F9D">
        <w:rPr>
          <w:rFonts w:ascii="Garamond" w:hAnsi="Garamond" w:cstheme="majorBidi"/>
          <w:color w:val="0D0D0D" w:themeColor="text1" w:themeTint="F2"/>
        </w:rPr>
        <w:t xml:space="preserve"> Nga ky fond, për indeksimin e pensioneve është parashikuar niveli prej 2.2 miliardë lekë</w:t>
      </w:r>
      <w:r w:rsidR="00E04586" w:rsidRPr="00770F9D">
        <w:rPr>
          <w:rFonts w:ascii="Garamond" w:hAnsi="Garamond" w:cstheme="majorBidi"/>
          <w:color w:val="0D0D0D" w:themeColor="text1" w:themeTint="F2"/>
        </w:rPr>
        <w:t>sh</w:t>
      </w:r>
      <w:r w:rsidRPr="00770F9D">
        <w:rPr>
          <w:rFonts w:ascii="Garamond" w:hAnsi="Garamond" w:cstheme="majorBidi"/>
          <w:color w:val="0D0D0D" w:themeColor="text1" w:themeTint="F2"/>
        </w:rPr>
        <w:t xml:space="preserve"> dhe 3.5 miliardë lekë</w:t>
      </w:r>
      <w:r w:rsidR="00F51754" w:rsidRPr="00770F9D">
        <w:rPr>
          <w:rFonts w:ascii="Garamond" w:hAnsi="Garamond" w:cstheme="majorBidi"/>
          <w:color w:val="0D0D0D" w:themeColor="text1" w:themeTint="F2"/>
        </w:rPr>
        <w:t>sh</w:t>
      </w:r>
      <w:r w:rsidRPr="00770F9D">
        <w:rPr>
          <w:rFonts w:ascii="Garamond" w:hAnsi="Garamond" w:cstheme="majorBidi"/>
          <w:color w:val="0D0D0D" w:themeColor="text1" w:themeTint="F2"/>
        </w:rPr>
        <w:t xml:space="preserve"> për bonusin e fundvitit për pensionistët. Ndërsa, shpenzimet e </w:t>
      </w:r>
      <w:r w:rsidRPr="00770F9D">
        <w:rPr>
          <w:rFonts w:ascii="Garamond" w:hAnsi="Garamond" w:cstheme="majorBidi"/>
          <w:i/>
          <w:color w:val="0D0D0D" w:themeColor="text1" w:themeTint="F2"/>
        </w:rPr>
        <w:t>Skemës së Sigurimeve të Kujdesit Shëndetësor</w:t>
      </w:r>
      <w:r w:rsidRPr="00770F9D">
        <w:rPr>
          <w:rFonts w:ascii="Garamond" w:hAnsi="Garamond" w:cstheme="majorBidi"/>
          <w:color w:val="0D0D0D" w:themeColor="text1" w:themeTint="F2"/>
        </w:rPr>
        <w:t xml:space="preserve"> për vitin 2023 janë parashikuar në masën 54.5 miliardë lekë ose 2.5% e PBB</w:t>
      </w:r>
      <w:r w:rsidR="00F51754" w:rsidRPr="00770F9D">
        <w:rPr>
          <w:rFonts w:ascii="Garamond" w:hAnsi="Garamond" w:cstheme="majorBidi"/>
          <w:color w:val="0D0D0D" w:themeColor="text1" w:themeTint="F2"/>
        </w:rPr>
        <w:t>-së</w:t>
      </w:r>
      <w:r w:rsidRPr="00770F9D">
        <w:rPr>
          <w:rFonts w:ascii="Garamond" w:hAnsi="Garamond" w:cstheme="majorBidi"/>
          <w:color w:val="0D0D0D" w:themeColor="text1" w:themeTint="F2"/>
        </w:rPr>
        <w:t>. Në vitin 2022, shpenzimet për fonde speciale priten të realizohen në masën 209.2 miliardë lekë ose 10.2% e PBB</w:t>
      </w:r>
      <w:r w:rsidR="00F51754" w:rsidRPr="00770F9D">
        <w:rPr>
          <w:rFonts w:ascii="Garamond" w:hAnsi="Garamond" w:cstheme="majorBidi"/>
          <w:color w:val="0D0D0D" w:themeColor="text1" w:themeTint="F2"/>
        </w:rPr>
        <w:t>-së</w:t>
      </w:r>
      <w:r w:rsidRPr="00770F9D">
        <w:rPr>
          <w:rFonts w:ascii="Garamond" w:hAnsi="Garamond" w:cstheme="majorBidi"/>
          <w:color w:val="0D0D0D" w:themeColor="text1" w:themeTint="F2"/>
        </w:rPr>
        <w:t xml:space="preserve">. Shpenzimet për fonde speciale për vitin 2023 krahasuar me të pritshmin e vitit 2022 rezultojnë 0.2 </w:t>
      </w:r>
      <w:r w:rsidR="00EE365D" w:rsidRPr="00770F9D">
        <w:rPr>
          <w:rFonts w:ascii="Garamond" w:hAnsi="Garamond" w:cstheme="majorBidi"/>
          <w:color w:val="0D0D0D" w:themeColor="text1" w:themeTint="F2"/>
        </w:rPr>
        <w:t>pikë përqindjeje</w:t>
      </w:r>
      <w:r w:rsidRPr="00770F9D">
        <w:rPr>
          <w:rFonts w:ascii="Garamond" w:hAnsi="Garamond" w:cstheme="majorBidi"/>
          <w:color w:val="0D0D0D" w:themeColor="text1" w:themeTint="F2"/>
        </w:rPr>
        <w:t xml:space="preserve"> më të larta, rritje që rezulton për shkak të përfshirjes dhe të bonusit të fundvitit pensionistit si politikë të miratuar që në fillim të vitit 2023.</w:t>
      </w:r>
    </w:p>
    <w:p w14:paraId="5804692E" w14:textId="6E80632F"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Së fundi, shpenzimet për </w:t>
      </w:r>
      <w:r w:rsidRPr="00770F9D">
        <w:rPr>
          <w:rFonts w:ascii="Garamond" w:hAnsi="Garamond" w:cstheme="majorBidi"/>
          <w:i/>
          <w:color w:val="0D0D0D" w:themeColor="text1" w:themeTint="F2"/>
        </w:rPr>
        <w:t>Fondin e</w:t>
      </w:r>
      <w:r w:rsidR="00F51754" w:rsidRPr="00770F9D">
        <w:rPr>
          <w:rFonts w:ascii="Garamond" w:hAnsi="Garamond" w:cstheme="majorBidi"/>
          <w:i/>
          <w:color w:val="0D0D0D" w:themeColor="text1" w:themeTint="F2"/>
        </w:rPr>
        <w:t xml:space="preserve"> </w:t>
      </w:r>
      <w:r w:rsidRPr="00770F9D">
        <w:rPr>
          <w:rFonts w:ascii="Garamond" w:hAnsi="Garamond" w:cstheme="majorBidi"/>
          <w:i/>
          <w:color w:val="0D0D0D" w:themeColor="text1" w:themeTint="F2"/>
        </w:rPr>
        <w:t xml:space="preserve">Kompensimit në </w:t>
      </w:r>
      <w:r w:rsidR="00F51754" w:rsidRPr="00770F9D">
        <w:rPr>
          <w:rFonts w:ascii="Garamond" w:hAnsi="Garamond" w:cstheme="majorBidi"/>
          <w:i/>
          <w:color w:val="0D0D0D" w:themeColor="text1" w:themeTint="F2"/>
        </w:rPr>
        <w:t xml:space="preserve">Vlerë </w:t>
      </w:r>
      <w:r w:rsidRPr="00770F9D">
        <w:rPr>
          <w:rFonts w:ascii="Garamond" w:hAnsi="Garamond" w:cstheme="majorBidi"/>
          <w:i/>
          <w:color w:val="0D0D0D" w:themeColor="text1" w:themeTint="F2"/>
        </w:rPr>
        <w:t>të Pronarëve</w:t>
      </w:r>
      <w:r w:rsidRPr="00770F9D">
        <w:rPr>
          <w:rFonts w:ascii="Garamond" w:hAnsi="Garamond" w:cstheme="majorBidi"/>
          <w:color w:val="0D0D0D" w:themeColor="text1" w:themeTint="F2"/>
        </w:rPr>
        <w:t>, parashikohen në total në masën 4.5 miliardë lekë ose 0.2% e PBB</w:t>
      </w:r>
      <w:r w:rsidR="00F51754" w:rsidRPr="00770F9D">
        <w:rPr>
          <w:rFonts w:ascii="Garamond" w:hAnsi="Garamond" w:cstheme="majorBidi"/>
          <w:color w:val="0D0D0D" w:themeColor="text1" w:themeTint="F2"/>
        </w:rPr>
        <w:t xml:space="preserve">-së </w:t>
      </w:r>
      <w:r w:rsidRPr="00770F9D">
        <w:rPr>
          <w:rFonts w:ascii="Garamond" w:hAnsi="Garamond" w:cstheme="majorBidi"/>
          <w:color w:val="0D0D0D" w:themeColor="text1" w:themeTint="F2"/>
        </w:rPr>
        <w:t xml:space="preserve">ose 2.4 miliardë lekë më shumë se i pritshmi i vitit 2022, fond që synon financimin në rritje të reformës së nisur nga qeveria për kompensimin në vlerë të pronarëve. </w:t>
      </w:r>
    </w:p>
    <w:p w14:paraId="21D667A4" w14:textId="77777777"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Shpenzime të tjera sociale, përfshin fondet për pagesën e papunësisë, aftësisë së kufizuar, ndihmës ekonomike, dëmshpërblimin e ish-të përndjekurve politikë dhe bonusin e lindjeve.</w:t>
      </w:r>
    </w:p>
    <w:p w14:paraId="3952D472" w14:textId="19BF7FBF" w:rsidR="00072546" w:rsidRPr="00770F9D" w:rsidRDefault="00072546" w:rsidP="003F46E1">
      <w:pPr>
        <w:tabs>
          <w:tab w:val="left" w:pos="360"/>
        </w:tabs>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Shpenzimet për pagesën e papunësisë parashikohen në nivelin 900 milionë lekë krahasuar me buxhetin e pritshëm për vitin 2022 prej 774 milionë lekë</w:t>
      </w:r>
      <w:r w:rsidR="00185DFC" w:rsidRPr="00770F9D">
        <w:rPr>
          <w:rFonts w:ascii="Garamond" w:hAnsi="Garamond" w:cs="Garamond"/>
          <w:color w:val="0D0D0D"/>
          <w:lang w:eastAsia="sq-AL"/>
        </w:rPr>
        <w:t>sh</w:t>
      </w:r>
      <w:r w:rsidRPr="00770F9D">
        <w:rPr>
          <w:rFonts w:ascii="Garamond" w:hAnsi="Garamond" w:cs="Garamond"/>
          <w:color w:val="0D0D0D"/>
          <w:lang w:eastAsia="sq-AL"/>
        </w:rPr>
        <w:t xml:space="preserve">. </w:t>
      </w:r>
    </w:p>
    <w:p w14:paraId="39ACF966" w14:textId="77B662D4" w:rsidR="00072546" w:rsidRPr="00770F9D" w:rsidRDefault="00072546" w:rsidP="003F46E1">
      <w:pPr>
        <w:tabs>
          <w:tab w:val="left" w:pos="360"/>
        </w:tabs>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Shpenzimet për pagesën e ndihmës ekonomike dhe aftësisë së kufizuar parashikohen në nivelin 25.95 miliardë lekë ose 1.2% e PBB</w:t>
      </w:r>
      <w:r w:rsidR="00BA1591" w:rsidRPr="00770F9D">
        <w:rPr>
          <w:rFonts w:ascii="Garamond" w:hAnsi="Garamond" w:cs="Garamond"/>
          <w:color w:val="0D0D0D"/>
          <w:lang w:eastAsia="sq-AL"/>
        </w:rPr>
        <w:t>-së</w:t>
      </w:r>
      <w:r w:rsidRPr="00770F9D">
        <w:rPr>
          <w:rFonts w:ascii="Garamond" w:hAnsi="Garamond" w:cs="Garamond"/>
          <w:color w:val="0D0D0D"/>
          <w:lang w:eastAsia="sq-AL"/>
        </w:rPr>
        <w:t xml:space="preserve"> krahasuar me buxhetin e pritshëm për vitin 2022 prej 24.9 miliardë lekë</w:t>
      </w:r>
      <w:r w:rsidR="00BA1591" w:rsidRPr="00770F9D">
        <w:rPr>
          <w:rFonts w:ascii="Garamond" w:hAnsi="Garamond" w:cs="Garamond"/>
          <w:color w:val="0D0D0D"/>
          <w:lang w:eastAsia="sq-AL"/>
        </w:rPr>
        <w:t>sh</w:t>
      </w:r>
      <w:r w:rsidRPr="00770F9D">
        <w:rPr>
          <w:rFonts w:ascii="Garamond" w:hAnsi="Garamond" w:cs="Garamond"/>
          <w:color w:val="0D0D0D"/>
          <w:lang w:eastAsia="sq-AL"/>
        </w:rPr>
        <w:t xml:space="preserve"> ose 1.2% e PBB</w:t>
      </w:r>
      <w:r w:rsidR="00BA1591" w:rsidRPr="00770F9D">
        <w:rPr>
          <w:rFonts w:ascii="Garamond" w:hAnsi="Garamond" w:cs="Garamond"/>
          <w:color w:val="0D0D0D"/>
          <w:lang w:eastAsia="sq-AL"/>
        </w:rPr>
        <w:t>-së</w:t>
      </w:r>
      <w:r w:rsidRPr="00770F9D">
        <w:rPr>
          <w:rFonts w:ascii="Garamond" w:hAnsi="Garamond" w:cs="Garamond"/>
          <w:color w:val="0D0D0D"/>
          <w:lang w:eastAsia="sq-AL"/>
        </w:rPr>
        <w:t xml:space="preserve">. </w:t>
      </w:r>
    </w:p>
    <w:p w14:paraId="3BE88BAE" w14:textId="3E413A2A" w:rsidR="00072546" w:rsidRPr="00770F9D" w:rsidRDefault="00072546" w:rsidP="003F46E1">
      <w:pPr>
        <w:tabs>
          <w:tab w:val="left" w:pos="360"/>
        </w:tabs>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Për ish-të përndjekurit është parashikuar një fond prej 1 miliard lek ose 0.05% e PBB</w:t>
      </w:r>
      <w:r w:rsidR="001B4A8B" w:rsidRPr="00770F9D">
        <w:rPr>
          <w:rFonts w:ascii="Garamond" w:hAnsi="Garamond" w:cs="Garamond"/>
          <w:color w:val="0D0D0D"/>
          <w:lang w:eastAsia="sq-AL"/>
        </w:rPr>
        <w:t>-së</w:t>
      </w:r>
      <w:r w:rsidRPr="00770F9D">
        <w:rPr>
          <w:rFonts w:ascii="Garamond" w:hAnsi="Garamond" w:cs="Garamond"/>
          <w:color w:val="0D0D0D"/>
          <w:lang w:eastAsia="sq-AL"/>
        </w:rPr>
        <w:t xml:space="preserve"> krahasuar me buxhetin e pritshëm për vitin 2022 prej 1.2 miliardë lekë</w:t>
      </w:r>
      <w:r w:rsidR="0004294D" w:rsidRPr="00770F9D">
        <w:rPr>
          <w:rFonts w:ascii="Garamond" w:hAnsi="Garamond" w:cs="Garamond"/>
          <w:color w:val="0D0D0D"/>
          <w:lang w:eastAsia="sq-AL"/>
        </w:rPr>
        <w:t>sh</w:t>
      </w:r>
      <w:r w:rsidRPr="00770F9D">
        <w:rPr>
          <w:rFonts w:ascii="Garamond" w:hAnsi="Garamond" w:cs="Garamond"/>
          <w:color w:val="0D0D0D"/>
          <w:lang w:eastAsia="sq-AL"/>
        </w:rPr>
        <w:t xml:space="preserve">. </w:t>
      </w:r>
    </w:p>
    <w:p w14:paraId="634372F1" w14:textId="231918BB" w:rsidR="00072546" w:rsidRPr="00770F9D" w:rsidRDefault="00072546" w:rsidP="003F46E1">
      <w:pPr>
        <w:tabs>
          <w:tab w:val="left" w:pos="360"/>
        </w:tabs>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Për bonusin e lindjeve është parashikuar një fond prej 2.2 miliardë lekë</w:t>
      </w:r>
      <w:r w:rsidR="0004294D" w:rsidRPr="00770F9D">
        <w:rPr>
          <w:rFonts w:ascii="Garamond" w:hAnsi="Garamond" w:cs="Garamond"/>
          <w:color w:val="0D0D0D"/>
          <w:lang w:eastAsia="sq-AL"/>
        </w:rPr>
        <w:t>sh</w:t>
      </w:r>
      <w:r w:rsidRPr="00770F9D">
        <w:rPr>
          <w:rFonts w:ascii="Garamond" w:hAnsi="Garamond" w:cs="Garamond"/>
          <w:color w:val="0D0D0D"/>
          <w:lang w:eastAsia="sq-AL"/>
        </w:rPr>
        <w:t xml:space="preserve"> ose 0.1% e PBB</w:t>
      </w:r>
      <w:r w:rsidR="001B4A8B" w:rsidRPr="00770F9D">
        <w:rPr>
          <w:rFonts w:ascii="Garamond" w:hAnsi="Garamond" w:cs="Garamond"/>
          <w:color w:val="0D0D0D"/>
          <w:lang w:eastAsia="sq-AL"/>
        </w:rPr>
        <w:t>-së</w:t>
      </w:r>
      <w:r w:rsidRPr="00770F9D">
        <w:rPr>
          <w:rFonts w:ascii="Garamond" w:hAnsi="Garamond" w:cs="Garamond"/>
          <w:color w:val="0D0D0D"/>
          <w:lang w:eastAsia="sq-AL"/>
        </w:rPr>
        <w:t xml:space="preserve"> krahasuar me buxhetin e pritshëm për vitin 2022 prej 3.2 miliardë lekë</w:t>
      </w:r>
      <w:r w:rsidR="00EE1412" w:rsidRPr="00770F9D">
        <w:rPr>
          <w:rFonts w:ascii="Garamond" w:hAnsi="Garamond" w:cs="Garamond"/>
          <w:color w:val="0D0D0D"/>
          <w:lang w:eastAsia="sq-AL"/>
        </w:rPr>
        <w:t>sh</w:t>
      </w:r>
      <w:r w:rsidRPr="00770F9D">
        <w:rPr>
          <w:rFonts w:ascii="Garamond" w:hAnsi="Garamond" w:cs="Garamond"/>
          <w:color w:val="0D0D0D"/>
          <w:lang w:eastAsia="sq-AL"/>
        </w:rPr>
        <w:t>.</w:t>
      </w:r>
    </w:p>
    <w:p w14:paraId="0B164E0F" w14:textId="14D680B3"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Shpenzimet për subvencione janë parashikuar në masën 1.6 miliardë lekë</w:t>
      </w:r>
      <w:r w:rsidR="00EE1412"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duke u rritur krahasuar me një vit më parë. Këto shpenzime shkojnë për mbështetjen e sektorit të ujësjellës-kanalizimeve bazuar në performancën e tij, si dhe për të mbuluar një pjesë të shpenzimeve të veprimtarisë hekurudhore dhe veprimtarisë së shërbimeve qeveritare. Shpenzimet e pritshme për subvencione për vitin 2022 parashikohen në nivelin 1.68 miliardë lekë.</w:t>
      </w:r>
    </w:p>
    <w:p w14:paraId="078F07A9" w14:textId="777EA6A9"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Niveli i </w:t>
      </w:r>
      <w:r w:rsidR="00EE1412" w:rsidRPr="00770F9D">
        <w:rPr>
          <w:rFonts w:ascii="Garamond" w:hAnsi="Garamond" w:cstheme="majorBidi"/>
          <w:color w:val="0D0D0D" w:themeColor="text1" w:themeTint="F2"/>
        </w:rPr>
        <w:t xml:space="preserve">fondit rezervë </w:t>
      </w:r>
      <w:r w:rsidRPr="00770F9D">
        <w:rPr>
          <w:rFonts w:ascii="Garamond" w:hAnsi="Garamond" w:cstheme="majorBidi"/>
          <w:color w:val="0D0D0D" w:themeColor="text1" w:themeTint="F2"/>
        </w:rPr>
        <w:t xml:space="preserve">për vitin 2023, planifikohet në masën 15.5 miliardë lekë, përkatësisht 1.7 miliardë lekë </w:t>
      </w:r>
      <w:r w:rsidR="00EE1412" w:rsidRPr="00770F9D">
        <w:rPr>
          <w:rFonts w:ascii="Garamond" w:hAnsi="Garamond" w:cstheme="majorBidi"/>
          <w:color w:val="0D0D0D" w:themeColor="text1" w:themeTint="F2"/>
        </w:rPr>
        <w:t xml:space="preserve">fond rezervë </w:t>
      </w:r>
      <w:r w:rsidRPr="00770F9D">
        <w:rPr>
          <w:rFonts w:ascii="Garamond" w:hAnsi="Garamond" w:cstheme="majorBidi"/>
          <w:color w:val="0D0D0D" w:themeColor="text1" w:themeTint="F2"/>
        </w:rPr>
        <w:t xml:space="preserve">i Këshillit të Ministrave, 1.8 miliardë lekë kosto e zgjedhjeve dhe 12 miliardë lekë </w:t>
      </w:r>
      <w:r w:rsidR="00EE1412" w:rsidRPr="00770F9D">
        <w:rPr>
          <w:rFonts w:ascii="Garamond" w:hAnsi="Garamond" w:cstheme="majorBidi"/>
          <w:color w:val="0D0D0D" w:themeColor="text1" w:themeTint="F2"/>
        </w:rPr>
        <w:t xml:space="preserve">kontigjencë </w:t>
      </w:r>
      <w:r w:rsidRPr="00770F9D">
        <w:rPr>
          <w:rFonts w:ascii="Garamond" w:hAnsi="Garamond" w:cstheme="majorBidi"/>
          <w:color w:val="0D0D0D" w:themeColor="text1" w:themeTint="F2"/>
        </w:rPr>
        <w:t>që do të materializohet në momentin e finalizimit të disa marrëveshjeve grantesh me BE</w:t>
      </w:r>
      <w:r w:rsidR="00EE1412" w:rsidRPr="00770F9D">
        <w:rPr>
          <w:rFonts w:ascii="Garamond" w:hAnsi="Garamond" w:cstheme="majorBidi"/>
          <w:color w:val="0D0D0D" w:themeColor="text1" w:themeTint="F2"/>
        </w:rPr>
        <w:t>-në</w:t>
      </w:r>
      <w:r w:rsidRPr="00770F9D">
        <w:rPr>
          <w:rFonts w:ascii="Garamond" w:hAnsi="Garamond" w:cstheme="majorBidi"/>
          <w:color w:val="0D0D0D" w:themeColor="text1" w:themeTint="F2"/>
        </w:rPr>
        <w:t>.</w:t>
      </w:r>
    </w:p>
    <w:p w14:paraId="5B2C42C5" w14:textId="6218869C"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bCs/>
          <w:color w:val="0D0D0D" w:themeColor="text1" w:themeTint="F2"/>
        </w:rPr>
        <w:t xml:space="preserve">Investimet </w:t>
      </w:r>
      <w:r w:rsidR="0077242C" w:rsidRPr="00770F9D">
        <w:rPr>
          <w:rFonts w:ascii="Garamond" w:hAnsi="Garamond" w:cstheme="majorBidi"/>
          <w:bCs/>
          <w:color w:val="0D0D0D" w:themeColor="text1" w:themeTint="F2"/>
        </w:rPr>
        <w:t>publike</w:t>
      </w:r>
      <w:r w:rsidR="0077242C"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për vitin 2023 janë planifikuar në masën 5.7% e PBB</w:t>
      </w:r>
      <w:r w:rsidR="0077242C" w:rsidRPr="00770F9D">
        <w:rPr>
          <w:rFonts w:ascii="Garamond" w:hAnsi="Garamond" w:cstheme="majorBidi"/>
          <w:color w:val="0D0D0D" w:themeColor="text1" w:themeTint="F2"/>
        </w:rPr>
        <w:t>-së</w:t>
      </w:r>
      <w:r w:rsidRPr="00770F9D">
        <w:rPr>
          <w:rFonts w:ascii="Garamond" w:hAnsi="Garamond" w:cstheme="majorBidi"/>
          <w:color w:val="0D0D0D" w:themeColor="text1" w:themeTint="F2"/>
        </w:rPr>
        <w:t xml:space="preserve"> ose 123.9 miliardë lekë (</w:t>
      </w:r>
      <w:r w:rsidRPr="00770F9D">
        <w:rPr>
          <w:rFonts w:ascii="Garamond" w:hAnsi="Garamond" w:cstheme="majorBidi"/>
          <w:i/>
          <w:iCs/>
          <w:color w:val="0D0D0D" w:themeColor="text1" w:themeTint="F2"/>
        </w:rPr>
        <w:t>duke përfshirë këtu dhe fondin e rindërtimit në shumën 5 miliardë lekë)</w:t>
      </w:r>
      <w:r w:rsidRPr="00770F9D">
        <w:rPr>
          <w:rFonts w:ascii="Garamond" w:hAnsi="Garamond" w:cstheme="majorBidi"/>
          <w:color w:val="0D0D0D" w:themeColor="text1" w:themeTint="F2"/>
        </w:rPr>
        <w:t>. Në planifikimin e investimeve për vitin 2023 janë mbajtur në konsideratë të gjitha detyrimet kontraktuale për projektet e investimeve me financim të huaj dhe të brendshëm. Ashtu, si edhe në vitin 2022, dhe në vitin 2023 do të ketë përparësi financimi i projekteve në vazhdim. Për planifikimin e investimeve janë ndjekur kriteret e mëposhtme:</w:t>
      </w:r>
    </w:p>
    <w:p w14:paraId="3E01D9CF" w14:textId="56D08519"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Prioritetet e </w:t>
      </w:r>
      <w:r w:rsidR="0077242C" w:rsidRPr="00770F9D">
        <w:rPr>
          <w:rFonts w:ascii="Garamond" w:hAnsi="Garamond" w:cs="Garamond"/>
          <w:color w:val="0D0D0D"/>
          <w:lang w:eastAsia="sq-AL"/>
        </w:rPr>
        <w:t xml:space="preserve">programit </w:t>
      </w:r>
      <w:r w:rsidRPr="00770F9D">
        <w:rPr>
          <w:rFonts w:ascii="Garamond" w:hAnsi="Garamond" w:cs="Garamond"/>
          <w:color w:val="0D0D0D"/>
          <w:lang w:eastAsia="sq-AL"/>
        </w:rPr>
        <w:t xml:space="preserve">të </w:t>
      </w:r>
      <w:r w:rsidR="0077242C" w:rsidRPr="00770F9D">
        <w:rPr>
          <w:rFonts w:ascii="Garamond" w:hAnsi="Garamond" w:cs="Garamond"/>
          <w:color w:val="0D0D0D"/>
          <w:lang w:eastAsia="sq-AL"/>
        </w:rPr>
        <w:t xml:space="preserve">qeverisë </w:t>
      </w:r>
      <w:r w:rsidRPr="00770F9D">
        <w:rPr>
          <w:rFonts w:ascii="Garamond" w:hAnsi="Garamond" w:cs="Garamond"/>
          <w:color w:val="0D0D0D"/>
          <w:lang w:eastAsia="sq-AL"/>
        </w:rPr>
        <w:t>për periudhën 2021–2025;</w:t>
      </w:r>
    </w:p>
    <w:p w14:paraId="680DBBE7" w14:textId="6AE864C6" w:rsidR="00072546" w:rsidRPr="00770F9D" w:rsidRDefault="00072546" w:rsidP="00EE365D">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Prioritetet e integrimit e</w:t>
      </w:r>
      <w:r w:rsidR="00EE365D" w:rsidRPr="00770F9D">
        <w:rPr>
          <w:rFonts w:ascii="Garamond" w:hAnsi="Garamond" w:cs="Garamond"/>
          <w:color w:val="0D0D0D"/>
          <w:lang w:eastAsia="sq-AL"/>
        </w:rPr>
        <w:t>v</w:t>
      </w:r>
      <w:r w:rsidRPr="00770F9D">
        <w:rPr>
          <w:rFonts w:ascii="Garamond" w:hAnsi="Garamond" w:cs="Garamond"/>
          <w:color w:val="0D0D0D"/>
          <w:lang w:eastAsia="sq-AL"/>
        </w:rPr>
        <w:t>ropian;</w:t>
      </w:r>
    </w:p>
    <w:p w14:paraId="71EE87B9" w14:textId="3D073C09"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Projektet në vazhdim</w:t>
      </w:r>
      <w:r w:rsidR="0077242C" w:rsidRPr="00770F9D">
        <w:rPr>
          <w:rFonts w:ascii="Garamond" w:hAnsi="Garamond" w:cs="Garamond"/>
          <w:color w:val="0D0D0D"/>
          <w:lang w:eastAsia="sq-AL"/>
        </w:rPr>
        <w:t>;</w:t>
      </w:r>
    </w:p>
    <w:p w14:paraId="66D9B93E" w14:textId="12A5B140"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Mbështetja me kosto lokale dhe TVSH për projektet me financim të huaj</w:t>
      </w:r>
      <w:r w:rsidR="0077242C" w:rsidRPr="00770F9D">
        <w:rPr>
          <w:rFonts w:ascii="Garamond" w:hAnsi="Garamond" w:cs="Garamond"/>
          <w:color w:val="0D0D0D"/>
          <w:lang w:eastAsia="sq-AL"/>
        </w:rPr>
        <w:t>.</w:t>
      </w:r>
    </w:p>
    <w:p w14:paraId="72A7EAB0" w14:textId="15F2E428" w:rsidR="00F468C9" w:rsidRPr="00770F9D" w:rsidRDefault="00F468C9" w:rsidP="003F46E1">
      <w:pPr>
        <w:ind w:firstLine="284"/>
        <w:jc w:val="both"/>
        <w:rPr>
          <w:rFonts w:ascii="Garamond" w:hAnsi="Garamond" w:cstheme="majorBidi"/>
          <w:b/>
          <w:color w:val="0D0D0D" w:themeColor="text1" w:themeTint="F2"/>
        </w:rPr>
      </w:pPr>
      <w:r w:rsidRPr="00770F9D">
        <w:rPr>
          <w:rFonts w:ascii="Garamond" w:hAnsi="Garamond" w:cstheme="majorBidi"/>
          <w:color w:val="0D0D0D" w:themeColor="text1" w:themeTint="F2"/>
        </w:rPr>
        <w:t>Për vitin 2022, shpenzimet kapitale priten të realizohen në masën 115.7 miliardë lekë ose 5.6% e PBB</w:t>
      </w:r>
      <w:r w:rsidR="003656D3" w:rsidRPr="00770F9D">
        <w:rPr>
          <w:rFonts w:ascii="Garamond" w:hAnsi="Garamond" w:cstheme="majorBidi"/>
          <w:color w:val="0D0D0D" w:themeColor="text1" w:themeTint="F2"/>
        </w:rPr>
        <w:t>-së</w:t>
      </w:r>
      <w:r w:rsidRPr="00770F9D">
        <w:rPr>
          <w:rFonts w:ascii="Garamond" w:hAnsi="Garamond" w:cstheme="majorBidi"/>
          <w:color w:val="0D0D0D" w:themeColor="text1" w:themeTint="F2"/>
        </w:rPr>
        <w:t xml:space="preserve">. Krahasuar me të pritshmin e vitit 2022, shpenzimet kapitale për vitin 2023 kanë pësuar një rritje normale prej vetëm 0.1 </w:t>
      </w:r>
      <w:r w:rsidR="00EE365D" w:rsidRPr="00770F9D">
        <w:rPr>
          <w:rFonts w:ascii="Garamond" w:hAnsi="Garamond" w:cstheme="majorBidi"/>
          <w:color w:val="0D0D0D" w:themeColor="text1" w:themeTint="F2"/>
        </w:rPr>
        <w:t>pikë përqindjeje</w:t>
      </w:r>
      <w:r w:rsidRPr="00770F9D">
        <w:rPr>
          <w:rFonts w:ascii="Garamond" w:hAnsi="Garamond" w:cstheme="majorBidi"/>
          <w:color w:val="0D0D0D" w:themeColor="text1" w:themeTint="F2"/>
        </w:rPr>
        <w:t>.</w:t>
      </w:r>
    </w:p>
    <w:p w14:paraId="7496F312" w14:textId="28C83233" w:rsidR="00F468C9" w:rsidRPr="00770F9D" w:rsidRDefault="00791EE4" w:rsidP="003F46E1">
      <w:pPr>
        <w:pStyle w:val="Heading2"/>
        <w:snapToGrid w:val="0"/>
        <w:ind w:left="0" w:firstLine="284"/>
        <w:jc w:val="both"/>
        <w:rPr>
          <w:rFonts w:ascii="Garamond" w:hAnsi="Garamond" w:cstheme="majorBidi"/>
          <w:b/>
          <w:color w:val="0D0D0D" w:themeColor="text1" w:themeTint="F2"/>
        </w:rPr>
      </w:pPr>
      <w:bookmarkStart w:id="30" w:name="_Toc126050948"/>
      <w:r w:rsidRPr="00770F9D">
        <w:rPr>
          <w:rFonts w:ascii="Garamond" w:hAnsi="Garamond" w:cstheme="majorBidi"/>
          <w:b/>
          <w:color w:val="0D0D0D" w:themeColor="text1" w:themeTint="F2"/>
        </w:rPr>
        <w:t>4</w:t>
      </w:r>
      <w:r w:rsidR="00072546" w:rsidRPr="00770F9D">
        <w:rPr>
          <w:rFonts w:ascii="Garamond" w:hAnsi="Garamond" w:cstheme="majorBidi"/>
          <w:b/>
          <w:color w:val="0D0D0D" w:themeColor="text1" w:themeTint="F2"/>
        </w:rPr>
        <w:t xml:space="preserve">.4 </w:t>
      </w:r>
      <w:r w:rsidR="00F468C9" w:rsidRPr="00770F9D">
        <w:rPr>
          <w:rFonts w:ascii="Garamond" w:hAnsi="Garamond" w:cstheme="majorBidi"/>
          <w:b/>
          <w:color w:val="0D0D0D" w:themeColor="text1" w:themeTint="F2"/>
        </w:rPr>
        <w:t>Perspektiva buxhetore afatmesme</w:t>
      </w:r>
      <w:bookmarkEnd w:id="30"/>
    </w:p>
    <w:p w14:paraId="5DF7F77E" w14:textId="1731AE23" w:rsidR="00F468C9" w:rsidRPr="00770F9D" w:rsidRDefault="00F468C9" w:rsidP="003F46E1">
      <w:pPr>
        <w:ind w:firstLine="284"/>
        <w:jc w:val="both"/>
        <w:rPr>
          <w:rFonts w:ascii="Garamond" w:eastAsia="Times New Roman" w:hAnsi="Garamond" w:cstheme="majorBidi"/>
          <w:color w:val="0D0D0D" w:themeColor="text1" w:themeTint="F2"/>
        </w:rPr>
      </w:pPr>
      <w:r w:rsidRPr="00770F9D">
        <w:rPr>
          <w:rFonts w:ascii="Garamond" w:eastAsia="Times New Roman" w:hAnsi="Garamond" w:cstheme="majorBidi"/>
          <w:color w:val="0D0D0D" w:themeColor="text1" w:themeTint="F2"/>
        </w:rPr>
        <w:t xml:space="preserve">Metodologjia e programimit të të ardhurave është bazuar në modelet bashkëkohore të programimit, dhe në analizën e detajuar të faktorëve që ndikojnë në secilën taksë dhe tatim. Modeli i përdorur bazohet në parashikimet makroekonomike për periudhën </w:t>
      </w:r>
      <w:r w:rsidR="003F4C96" w:rsidRPr="00770F9D">
        <w:rPr>
          <w:rFonts w:ascii="Garamond" w:eastAsia="Times New Roman" w:hAnsi="Garamond" w:cstheme="majorBidi"/>
          <w:color w:val="0D0D0D" w:themeColor="text1" w:themeTint="F2"/>
        </w:rPr>
        <w:t>2023–2025</w:t>
      </w:r>
      <w:r w:rsidRPr="00770F9D">
        <w:rPr>
          <w:rFonts w:ascii="Garamond" w:eastAsia="Times New Roman" w:hAnsi="Garamond" w:cstheme="majorBidi"/>
          <w:color w:val="0D0D0D" w:themeColor="text1" w:themeTint="F2"/>
        </w:rPr>
        <w:t xml:space="preserve"> si rritja nominale, deflatori, analiza e importeve të grup</w:t>
      </w:r>
      <w:r w:rsidR="003656D3" w:rsidRPr="00770F9D">
        <w:rPr>
          <w:rFonts w:ascii="Garamond" w:eastAsia="Times New Roman" w:hAnsi="Garamond" w:cstheme="majorBidi"/>
          <w:color w:val="0D0D0D" w:themeColor="text1" w:themeTint="F2"/>
        </w:rPr>
        <w:t>-</w:t>
      </w:r>
      <w:r w:rsidRPr="00770F9D">
        <w:rPr>
          <w:rFonts w:ascii="Garamond" w:eastAsia="Times New Roman" w:hAnsi="Garamond" w:cstheme="majorBidi"/>
          <w:color w:val="0D0D0D" w:themeColor="text1" w:themeTint="F2"/>
        </w:rPr>
        <w:t>produkteve kryesore, analiza e serive kohore</w:t>
      </w:r>
      <w:r w:rsidR="003656D3" w:rsidRPr="00770F9D">
        <w:rPr>
          <w:rFonts w:ascii="Garamond" w:eastAsia="Times New Roman" w:hAnsi="Garamond" w:cstheme="majorBidi"/>
          <w:color w:val="0D0D0D" w:themeColor="text1" w:themeTint="F2"/>
        </w:rPr>
        <w:t>,</w:t>
      </w:r>
      <w:r w:rsidRPr="00770F9D">
        <w:rPr>
          <w:rFonts w:ascii="Garamond" w:eastAsia="Times New Roman" w:hAnsi="Garamond" w:cstheme="majorBidi"/>
          <w:color w:val="0D0D0D" w:themeColor="text1" w:themeTint="F2"/>
        </w:rPr>
        <w:t xml:space="preserve"> si dhe modelet</w:t>
      </w:r>
      <w:r w:rsidR="00EE365D" w:rsidRPr="00770F9D">
        <w:rPr>
          <w:rFonts w:ascii="Garamond" w:eastAsia="Times New Roman" w:hAnsi="Garamond" w:cstheme="majorBidi"/>
          <w:color w:val="0D0D0D" w:themeColor="text1" w:themeTint="F2"/>
        </w:rPr>
        <w:t xml:space="preserve"> e bazuar në koefici</w:t>
      </w:r>
      <w:r w:rsidRPr="00770F9D">
        <w:rPr>
          <w:rFonts w:ascii="Garamond" w:eastAsia="Times New Roman" w:hAnsi="Garamond" w:cstheme="majorBidi"/>
          <w:color w:val="0D0D0D" w:themeColor="text1" w:themeTint="F2"/>
        </w:rPr>
        <w:t xml:space="preserve">entin e elasticitetit </w:t>
      </w:r>
      <w:r w:rsidRPr="00770F9D">
        <w:rPr>
          <w:rFonts w:ascii="Garamond" w:eastAsia="Times New Roman" w:hAnsi="Garamond" w:cstheme="majorBidi"/>
          <w:i/>
          <w:iCs/>
          <w:color w:val="0D0D0D" w:themeColor="text1" w:themeTint="F2"/>
        </w:rPr>
        <w:t>“Buoyancy”</w:t>
      </w:r>
      <w:r w:rsidRPr="00770F9D">
        <w:rPr>
          <w:rFonts w:ascii="Garamond" w:eastAsia="Times New Roman" w:hAnsi="Garamond" w:cstheme="majorBidi"/>
          <w:color w:val="0D0D0D" w:themeColor="text1" w:themeTint="F2"/>
        </w:rPr>
        <w:t xml:space="preserve"> dhe </w:t>
      </w:r>
      <w:r w:rsidRPr="00770F9D">
        <w:rPr>
          <w:rFonts w:ascii="Garamond" w:eastAsia="Times New Roman" w:hAnsi="Garamond" w:cstheme="majorBidi"/>
          <w:i/>
          <w:iCs/>
          <w:color w:val="0D0D0D" w:themeColor="text1" w:themeTint="F2"/>
        </w:rPr>
        <w:t>“Effective Tax Rate”</w:t>
      </w:r>
      <w:r w:rsidRPr="00770F9D">
        <w:rPr>
          <w:rFonts w:ascii="Garamond" w:eastAsia="Times New Roman" w:hAnsi="Garamond" w:cstheme="majorBidi"/>
          <w:color w:val="0D0D0D" w:themeColor="text1" w:themeTint="F2"/>
        </w:rPr>
        <w:t xml:space="preserve"> për çdo taksë. </w:t>
      </w:r>
    </w:p>
    <w:p w14:paraId="0CDE83A7" w14:textId="76235D25" w:rsidR="00F468C9" w:rsidRPr="00770F9D" w:rsidRDefault="00F468C9" w:rsidP="003F46E1">
      <w:pPr>
        <w:ind w:firstLine="284"/>
        <w:jc w:val="both"/>
        <w:rPr>
          <w:rFonts w:ascii="Garamond" w:eastAsia="Times New Roman" w:hAnsi="Garamond" w:cstheme="majorBidi"/>
          <w:color w:val="0D0D0D" w:themeColor="text1" w:themeTint="F2"/>
        </w:rPr>
      </w:pPr>
      <w:r w:rsidRPr="00770F9D">
        <w:rPr>
          <w:rFonts w:ascii="Garamond" w:eastAsia="Times New Roman" w:hAnsi="Garamond" w:cstheme="majorBidi"/>
          <w:color w:val="0D0D0D" w:themeColor="text1" w:themeTint="F2"/>
        </w:rPr>
        <w:t>Në planifikim janë harmonizuar faktorët makroekonomikë, me treguesit kryesorë që ndikojnë në taksa specifike. Në mënyrë të detajuar treguesit kryesor</w:t>
      </w:r>
      <w:r w:rsidR="00910434" w:rsidRPr="00770F9D">
        <w:rPr>
          <w:rFonts w:ascii="Garamond" w:eastAsia="Times New Roman" w:hAnsi="Garamond" w:cstheme="majorBidi"/>
          <w:color w:val="0D0D0D" w:themeColor="text1" w:themeTint="F2"/>
        </w:rPr>
        <w:t>ë</w:t>
      </w:r>
      <w:r w:rsidRPr="00770F9D">
        <w:rPr>
          <w:rFonts w:ascii="Garamond" w:eastAsia="Times New Roman" w:hAnsi="Garamond" w:cstheme="majorBidi"/>
          <w:color w:val="0D0D0D" w:themeColor="text1" w:themeTint="F2"/>
        </w:rPr>
        <w:t xml:space="preserve"> për vlerësimin e të ardhurave janë:</w:t>
      </w:r>
    </w:p>
    <w:p w14:paraId="3FE587A5" w14:textId="1B4397C0"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Kuadri makroekonomik me rritjen reale të </w:t>
      </w:r>
      <w:r w:rsidR="00910434" w:rsidRPr="00770F9D">
        <w:rPr>
          <w:rFonts w:ascii="Garamond" w:hAnsi="Garamond" w:cs="Garamond"/>
          <w:color w:val="0D0D0D"/>
          <w:lang w:eastAsia="sq-AL"/>
        </w:rPr>
        <w:t xml:space="preserve">prodhimit të brendshëm bruto, duke </w:t>
      </w:r>
      <w:r w:rsidRPr="00770F9D">
        <w:rPr>
          <w:rFonts w:ascii="Garamond" w:hAnsi="Garamond" w:cs="Garamond"/>
          <w:color w:val="0D0D0D"/>
          <w:lang w:eastAsia="sq-AL"/>
        </w:rPr>
        <w:t xml:space="preserve">analizuar këtë efekt në mënyrë të integruar me faktorë të tjerë për çdo taksë në veçanti, të ndërlidhur me të dhënat historike dhe projeksionet e çmimeve në tregjeve ndërkombëtare tek taksat </w:t>
      </w:r>
      <w:r w:rsidRPr="00770F9D">
        <w:rPr>
          <w:rFonts w:ascii="Garamond" w:hAnsi="Garamond" w:cs="Garamond"/>
          <w:i/>
          <w:iCs/>
          <w:color w:val="0D0D0D"/>
          <w:lang w:eastAsia="sq-AL"/>
        </w:rPr>
        <w:t>ad-valorem</w:t>
      </w:r>
      <w:r w:rsidRPr="00770F9D">
        <w:rPr>
          <w:rFonts w:ascii="Garamond" w:hAnsi="Garamond" w:cs="Garamond"/>
          <w:color w:val="0D0D0D"/>
          <w:lang w:eastAsia="sq-AL"/>
        </w:rPr>
        <w:t xml:space="preserve"> </w:t>
      </w:r>
      <w:r w:rsidR="00396665" w:rsidRPr="00770F9D">
        <w:rPr>
          <w:rFonts w:ascii="Garamond" w:hAnsi="Garamond" w:cs="Garamond"/>
          <w:color w:val="0D0D0D"/>
          <w:lang w:eastAsia="sq-AL"/>
        </w:rPr>
        <w:t>,</w:t>
      </w:r>
      <w:r w:rsidRPr="00770F9D">
        <w:rPr>
          <w:rFonts w:ascii="Garamond" w:hAnsi="Garamond" w:cs="Garamond"/>
          <w:color w:val="0D0D0D"/>
          <w:lang w:eastAsia="sq-AL"/>
        </w:rPr>
        <w:t xml:space="preserve">si </w:t>
      </w:r>
      <w:r w:rsidR="00396665" w:rsidRPr="00770F9D">
        <w:rPr>
          <w:rFonts w:ascii="Garamond" w:hAnsi="Garamond" w:cs="Garamond"/>
          <w:color w:val="0D0D0D"/>
          <w:lang w:eastAsia="sq-AL"/>
        </w:rPr>
        <w:t>tatimi mbi vlerën e shtuar, renta minerare dhe taksa doganore;</w:t>
      </w:r>
    </w:p>
    <w:p w14:paraId="63918F32" w14:textId="4E0EF254"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Kursi i pritshëm i këmbimit të dy monedhave kryesore: USD dhe </w:t>
      </w:r>
      <w:r w:rsidR="00396665" w:rsidRPr="00770F9D">
        <w:rPr>
          <w:rFonts w:ascii="Garamond" w:hAnsi="Garamond" w:cs="Garamond"/>
          <w:color w:val="0D0D0D"/>
          <w:lang w:eastAsia="sq-AL"/>
        </w:rPr>
        <w:t xml:space="preserve">euro </w:t>
      </w:r>
      <w:r w:rsidRPr="00770F9D">
        <w:rPr>
          <w:rFonts w:ascii="Garamond" w:hAnsi="Garamond" w:cs="Garamond"/>
          <w:color w:val="0D0D0D"/>
          <w:lang w:eastAsia="sq-AL"/>
        </w:rPr>
        <w:t xml:space="preserve">me </w:t>
      </w:r>
      <w:r w:rsidR="00396665" w:rsidRPr="00770F9D">
        <w:rPr>
          <w:rFonts w:ascii="Garamond" w:hAnsi="Garamond" w:cs="Garamond"/>
          <w:color w:val="0D0D0D"/>
          <w:lang w:eastAsia="sq-AL"/>
        </w:rPr>
        <w:t>lekun</w:t>
      </w:r>
      <w:r w:rsidRPr="00770F9D">
        <w:rPr>
          <w:rFonts w:ascii="Garamond" w:hAnsi="Garamond" w:cs="Garamond"/>
          <w:color w:val="0D0D0D"/>
          <w:lang w:eastAsia="sq-AL"/>
        </w:rPr>
        <w:t>;</w:t>
      </w:r>
    </w:p>
    <w:p w14:paraId="622F4B3A" w14:textId="1CD3AA69"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Çmimet në bursë të karburantit, energjisë, që ndikojnë në të ardhurat nga TVSH-ja dhe </w:t>
      </w:r>
      <w:r w:rsidR="00396665" w:rsidRPr="00770F9D">
        <w:rPr>
          <w:rFonts w:ascii="Garamond" w:hAnsi="Garamond" w:cs="Garamond"/>
          <w:color w:val="0D0D0D"/>
          <w:lang w:eastAsia="sq-AL"/>
        </w:rPr>
        <w:t xml:space="preserve">RENTA </w:t>
      </w:r>
      <w:r w:rsidRPr="00770F9D">
        <w:rPr>
          <w:rFonts w:ascii="Garamond" w:hAnsi="Garamond" w:cs="Garamond"/>
          <w:color w:val="0D0D0D"/>
          <w:lang w:eastAsia="sq-AL"/>
        </w:rPr>
        <w:t xml:space="preserve">minerare; </w:t>
      </w:r>
    </w:p>
    <w:p w14:paraId="4B65D6A6" w14:textId="7F3D4360"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Sasitë e pritshme të importit të mallrave.</w:t>
      </w:r>
    </w:p>
    <w:p w14:paraId="6C4EB3C8" w14:textId="77777777" w:rsidR="00396665" w:rsidRPr="00770F9D" w:rsidRDefault="00396665" w:rsidP="003F46E1">
      <w:pPr>
        <w:autoSpaceDE w:val="0"/>
        <w:autoSpaceDN w:val="0"/>
        <w:adjustRightInd w:val="0"/>
        <w:ind w:firstLine="284"/>
        <w:jc w:val="both"/>
        <w:rPr>
          <w:rFonts w:ascii="Garamond" w:hAnsi="Garamond" w:cs="Garamond"/>
          <w:color w:val="0D0D0D"/>
          <w:lang w:eastAsia="sq-AL"/>
        </w:rPr>
      </w:pPr>
    </w:p>
    <w:p w14:paraId="1197C875" w14:textId="5D2BB110" w:rsidR="00F468C9" w:rsidRPr="00770F9D" w:rsidRDefault="00F468C9" w:rsidP="00EE365D">
      <w:pPr>
        <w:shd w:val="clear" w:color="auto" w:fill="FFFFFF"/>
        <w:ind w:firstLine="284"/>
        <w:jc w:val="center"/>
        <w:rPr>
          <w:rFonts w:ascii="Garamond" w:hAnsi="Garamond" w:cstheme="majorBidi"/>
          <w:i/>
          <w:color w:val="0D0D0D" w:themeColor="text1" w:themeTint="F2"/>
          <w:sz w:val="20"/>
          <w:szCs w:val="20"/>
        </w:rPr>
      </w:pPr>
      <w:r w:rsidRPr="00770F9D">
        <w:rPr>
          <w:rFonts w:ascii="Garamond" w:hAnsi="Garamond" w:cstheme="majorBidi"/>
          <w:b/>
          <w:bCs/>
          <w:i/>
          <w:color w:val="0D0D0D" w:themeColor="text1" w:themeTint="F2"/>
          <w:sz w:val="20"/>
          <w:szCs w:val="20"/>
        </w:rPr>
        <w:t>Tabela 4.4.1:</w:t>
      </w:r>
      <w:r w:rsidRPr="00770F9D">
        <w:rPr>
          <w:rFonts w:ascii="Garamond" w:hAnsi="Garamond" w:cstheme="majorBidi"/>
          <w:i/>
          <w:color w:val="0D0D0D" w:themeColor="text1" w:themeTint="F2"/>
          <w:sz w:val="20"/>
          <w:szCs w:val="20"/>
        </w:rPr>
        <w:t xml:space="preserve"> Të ardhurat totale nga </w:t>
      </w:r>
      <w:r w:rsidR="00396665" w:rsidRPr="00770F9D">
        <w:rPr>
          <w:rFonts w:ascii="Garamond" w:hAnsi="Garamond" w:cstheme="majorBidi"/>
          <w:i/>
          <w:color w:val="0D0D0D" w:themeColor="text1" w:themeTint="F2"/>
          <w:sz w:val="20"/>
          <w:szCs w:val="20"/>
        </w:rPr>
        <w:t xml:space="preserve">administrata tatimore dhe doganore </w:t>
      </w:r>
      <w:r w:rsidRPr="00770F9D">
        <w:rPr>
          <w:rFonts w:ascii="Garamond" w:hAnsi="Garamond" w:cstheme="majorBidi"/>
          <w:i/>
          <w:color w:val="0D0D0D" w:themeColor="text1" w:themeTint="F2"/>
          <w:sz w:val="20"/>
          <w:szCs w:val="20"/>
        </w:rPr>
        <w:t>(në milion lek)</w:t>
      </w:r>
    </w:p>
    <w:tbl>
      <w:tblPr>
        <w:tblW w:w="5000" w:type="pct"/>
        <w:jc w:val="center"/>
        <w:tblLook w:val="04A0" w:firstRow="1" w:lastRow="0" w:firstColumn="1" w:lastColumn="0" w:noHBand="0" w:noVBand="1"/>
      </w:tblPr>
      <w:tblGrid>
        <w:gridCol w:w="2465"/>
        <w:gridCol w:w="737"/>
        <w:gridCol w:w="737"/>
        <w:gridCol w:w="739"/>
        <w:gridCol w:w="817"/>
        <w:gridCol w:w="1044"/>
        <w:gridCol w:w="1044"/>
        <w:gridCol w:w="853"/>
        <w:gridCol w:w="851"/>
      </w:tblGrid>
      <w:tr w:rsidR="00B3297B" w:rsidRPr="00770F9D" w14:paraId="08C36157" w14:textId="77777777" w:rsidTr="00B3297B">
        <w:trPr>
          <w:trHeight w:val="20"/>
          <w:jc w:val="center"/>
        </w:trPr>
        <w:tc>
          <w:tcPr>
            <w:tcW w:w="1327" w:type="pct"/>
            <w:vMerge w:val="restart"/>
            <w:tcBorders>
              <w:top w:val="single" w:sz="8" w:space="0" w:color="auto"/>
              <w:left w:val="single" w:sz="8" w:space="0" w:color="auto"/>
              <w:right w:val="nil"/>
            </w:tcBorders>
            <w:shd w:val="clear" w:color="auto" w:fill="auto"/>
            <w:noWrap/>
            <w:vAlign w:val="center"/>
            <w:hideMark/>
          </w:tcPr>
          <w:p w14:paraId="06F1E3E9" w14:textId="7DCC4F1A" w:rsidR="00B3297B" w:rsidRPr="00770F9D" w:rsidRDefault="00B3297B" w:rsidP="00B3297B">
            <w:pPr>
              <w:jc w:val="center"/>
              <w:rPr>
                <w:rFonts w:ascii="Garamond" w:eastAsia="Times New Roman" w:hAnsi="Garamond" w:cstheme="majorBidi"/>
                <w:b/>
                <w:bCs/>
                <w:color w:val="0D0D0D" w:themeColor="text1" w:themeTint="F2"/>
                <w:sz w:val="16"/>
                <w:szCs w:val="16"/>
              </w:rPr>
            </w:pPr>
          </w:p>
          <w:p w14:paraId="5C1E0247" w14:textId="77777777" w:rsidR="00B3297B" w:rsidRPr="00770F9D" w:rsidRDefault="00B3297B" w:rsidP="00B3297B">
            <w:pPr>
              <w:jc w:val="center"/>
              <w:rPr>
                <w:rFonts w:ascii="Garamond" w:eastAsia="Times New Roman" w:hAnsi="Garamond" w:cstheme="majorBidi"/>
                <w:b/>
                <w:bCs/>
                <w:color w:val="0D0D0D" w:themeColor="text1" w:themeTint="F2"/>
                <w:sz w:val="16"/>
                <w:szCs w:val="16"/>
              </w:rPr>
            </w:pPr>
            <w:r w:rsidRPr="00770F9D">
              <w:rPr>
                <w:rFonts w:ascii="Garamond" w:eastAsia="Times New Roman" w:hAnsi="Garamond" w:cstheme="majorBidi"/>
                <w:b/>
                <w:bCs/>
                <w:color w:val="0D0D0D" w:themeColor="text1" w:themeTint="F2"/>
                <w:sz w:val="16"/>
                <w:szCs w:val="16"/>
              </w:rPr>
              <w:t>Lloji i taksës</w:t>
            </w:r>
          </w:p>
          <w:p w14:paraId="08C105FD" w14:textId="064A4A5E" w:rsidR="00B3297B" w:rsidRPr="00770F9D" w:rsidRDefault="00B3297B" w:rsidP="00CE3FD7">
            <w:pPr>
              <w:rPr>
                <w:rFonts w:ascii="Garamond" w:eastAsia="Times New Roman" w:hAnsi="Garamond" w:cstheme="majorBidi"/>
                <w:b/>
                <w:bCs/>
                <w:color w:val="0D0D0D" w:themeColor="text1" w:themeTint="F2"/>
                <w:sz w:val="16"/>
                <w:szCs w:val="16"/>
              </w:rPr>
            </w:pPr>
            <w:r w:rsidRPr="00770F9D">
              <w:rPr>
                <w:rFonts w:ascii="Garamond" w:eastAsia="Times New Roman" w:hAnsi="Garamond" w:cstheme="majorBidi"/>
                <w:color w:val="0D0D0D" w:themeColor="text1" w:themeTint="F2"/>
                <w:sz w:val="16"/>
                <w:szCs w:val="16"/>
              </w:rPr>
              <w:t> </w:t>
            </w:r>
          </w:p>
        </w:tc>
        <w:tc>
          <w:tcPr>
            <w:tcW w:w="397" w:type="pct"/>
            <w:vMerge w:val="restart"/>
            <w:tcBorders>
              <w:top w:val="single" w:sz="8" w:space="0" w:color="auto"/>
              <w:left w:val="single" w:sz="8" w:space="0" w:color="auto"/>
              <w:right w:val="single" w:sz="8" w:space="0" w:color="auto"/>
            </w:tcBorders>
            <w:shd w:val="clear" w:color="auto" w:fill="auto"/>
            <w:noWrap/>
            <w:vAlign w:val="center"/>
            <w:hideMark/>
          </w:tcPr>
          <w:p w14:paraId="700F720E" w14:textId="3605BC7E" w:rsidR="00B3297B" w:rsidRPr="00770F9D" w:rsidRDefault="00B3297B" w:rsidP="00B3297B">
            <w:pPr>
              <w:jc w:val="center"/>
              <w:rPr>
                <w:rFonts w:ascii="Garamond" w:eastAsia="Times New Roman" w:hAnsi="Garamond" w:cstheme="majorBidi"/>
                <w:b/>
                <w:bCs/>
                <w:color w:val="0D0D0D" w:themeColor="text1" w:themeTint="F2"/>
                <w:sz w:val="16"/>
                <w:szCs w:val="16"/>
              </w:rPr>
            </w:pPr>
            <w:r w:rsidRPr="00770F9D">
              <w:rPr>
                <w:rFonts w:ascii="Garamond" w:eastAsia="Times New Roman" w:hAnsi="Garamond" w:cstheme="majorBidi"/>
                <w:b/>
                <w:bCs/>
                <w:color w:val="0D0D0D" w:themeColor="text1" w:themeTint="F2"/>
                <w:sz w:val="16"/>
                <w:szCs w:val="16"/>
              </w:rPr>
              <w:t>2020</w:t>
            </w:r>
          </w:p>
        </w:tc>
        <w:tc>
          <w:tcPr>
            <w:tcW w:w="397" w:type="pct"/>
            <w:vMerge w:val="restart"/>
            <w:tcBorders>
              <w:top w:val="single" w:sz="8" w:space="0" w:color="auto"/>
              <w:left w:val="nil"/>
              <w:right w:val="nil"/>
            </w:tcBorders>
            <w:shd w:val="clear" w:color="auto" w:fill="auto"/>
            <w:noWrap/>
            <w:vAlign w:val="center"/>
            <w:hideMark/>
          </w:tcPr>
          <w:p w14:paraId="1B97774D" w14:textId="5910FE70" w:rsidR="00B3297B" w:rsidRPr="00770F9D" w:rsidRDefault="00B3297B" w:rsidP="00B3297B">
            <w:pPr>
              <w:jc w:val="center"/>
              <w:rPr>
                <w:rFonts w:ascii="Garamond" w:eastAsia="Times New Roman" w:hAnsi="Garamond" w:cstheme="majorBidi"/>
                <w:b/>
                <w:bCs/>
                <w:color w:val="0D0D0D" w:themeColor="text1" w:themeTint="F2"/>
                <w:sz w:val="16"/>
                <w:szCs w:val="16"/>
              </w:rPr>
            </w:pPr>
            <w:r w:rsidRPr="00770F9D">
              <w:rPr>
                <w:rFonts w:ascii="Garamond" w:eastAsia="Times New Roman" w:hAnsi="Garamond" w:cstheme="majorBidi"/>
                <w:b/>
                <w:bCs/>
                <w:color w:val="0D0D0D" w:themeColor="text1" w:themeTint="F2"/>
                <w:sz w:val="16"/>
                <w:szCs w:val="16"/>
              </w:rPr>
              <w:t>2021</w:t>
            </w:r>
          </w:p>
        </w:tc>
        <w:tc>
          <w:tcPr>
            <w:tcW w:w="398" w:type="pct"/>
            <w:vMerge w:val="restart"/>
            <w:tcBorders>
              <w:top w:val="single" w:sz="8" w:space="0" w:color="auto"/>
              <w:left w:val="single" w:sz="8" w:space="0" w:color="auto"/>
              <w:right w:val="single" w:sz="8" w:space="0" w:color="auto"/>
            </w:tcBorders>
            <w:shd w:val="clear" w:color="auto" w:fill="auto"/>
            <w:vAlign w:val="center"/>
            <w:hideMark/>
          </w:tcPr>
          <w:p w14:paraId="1CC89453" w14:textId="55C8C07C" w:rsidR="00B3297B" w:rsidRPr="00770F9D" w:rsidRDefault="00B3297B" w:rsidP="00B3297B">
            <w:pPr>
              <w:jc w:val="center"/>
              <w:rPr>
                <w:rFonts w:ascii="Garamond" w:eastAsia="Times New Roman" w:hAnsi="Garamond" w:cstheme="majorBidi"/>
                <w:b/>
                <w:bCs/>
                <w:color w:val="0D0D0D" w:themeColor="text1" w:themeTint="F2"/>
                <w:sz w:val="16"/>
                <w:szCs w:val="16"/>
              </w:rPr>
            </w:pPr>
            <w:r w:rsidRPr="00770F9D">
              <w:rPr>
                <w:rFonts w:ascii="Garamond" w:eastAsia="Times New Roman" w:hAnsi="Garamond" w:cstheme="majorBidi"/>
                <w:b/>
                <w:bCs/>
                <w:color w:val="0D0D0D" w:themeColor="text1" w:themeTint="F2"/>
                <w:sz w:val="16"/>
                <w:szCs w:val="16"/>
              </w:rPr>
              <w:t>I prit-shmi</w:t>
            </w:r>
          </w:p>
          <w:p w14:paraId="55EEF557" w14:textId="77777777" w:rsidR="00B3297B" w:rsidRPr="00770F9D" w:rsidRDefault="00B3297B" w:rsidP="00B3297B">
            <w:pPr>
              <w:jc w:val="center"/>
              <w:rPr>
                <w:rFonts w:ascii="Garamond" w:eastAsia="Times New Roman" w:hAnsi="Garamond" w:cstheme="majorBidi"/>
                <w:b/>
                <w:bCs/>
                <w:color w:val="0D0D0D" w:themeColor="text1" w:themeTint="F2"/>
                <w:sz w:val="16"/>
                <w:szCs w:val="16"/>
              </w:rPr>
            </w:pPr>
            <w:r w:rsidRPr="00770F9D">
              <w:rPr>
                <w:rFonts w:ascii="Garamond" w:eastAsia="Times New Roman" w:hAnsi="Garamond" w:cstheme="majorBidi"/>
                <w:b/>
                <w:bCs/>
                <w:color w:val="0D0D0D" w:themeColor="text1" w:themeTint="F2"/>
                <w:sz w:val="16"/>
                <w:szCs w:val="16"/>
              </w:rPr>
              <w:t>2022</w:t>
            </w:r>
          </w:p>
        </w:tc>
        <w:tc>
          <w:tcPr>
            <w:tcW w:w="440" w:type="pct"/>
            <w:vMerge w:val="restart"/>
            <w:tcBorders>
              <w:top w:val="single" w:sz="8" w:space="0" w:color="auto"/>
              <w:left w:val="nil"/>
              <w:right w:val="single" w:sz="8" w:space="0" w:color="auto"/>
            </w:tcBorders>
            <w:shd w:val="clear" w:color="auto" w:fill="auto"/>
            <w:vAlign w:val="center"/>
            <w:hideMark/>
          </w:tcPr>
          <w:p w14:paraId="4B46E57E" w14:textId="7FC4DB9F" w:rsidR="00B3297B" w:rsidRPr="00770F9D" w:rsidRDefault="00B3297B" w:rsidP="00B3297B">
            <w:pPr>
              <w:jc w:val="center"/>
              <w:rPr>
                <w:rFonts w:ascii="Garamond" w:eastAsia="Times New Roman" w:hAnsi="Garamond" w:cstheme="majorBidi"/>
                <w:b/>
                <w:bCs/>
                <w:color w:val="0D0D0D" w:themeColor="text1" w:themeTint="F2"/>
                <w:sz w:val="16"/>
                <w:szCs w:val="16"/>
              </w:rPr>
            </w:pPr>
            <w:r w:rsidRPr="00770F9D">
              <w:rPr>
                <w:rFonts w:ascii="Garamond" w:eastAsia="Times New Roman" w:hAnsi="Garamond" w:cstheme="majorBidi"/>
                <w:b/>
                <w:bCs/>
                <w:color w:val="0D0D0D" w:themeColor="text1" w:themeTint="F2"/>
                <w:sz w:val="16"/>
                <w:szCs w:val="16"/>
              </w:rPr>
              <w:t>Parashi-kim</w:t>
            </w:r>
          </w:p>
          <w:p w14:paraId="79DEF946" w14:textId="77777777" w:rsidR="00B3297B" w:rsidRPr="00770F9D" w:rsidRDefault="00B3297B" w:rsidP="00B3297B">
            <w:pPr>
              <w:jc w:val="center"/>
              <w:rPr>
                <w:rFonts w:ascii="Garamond" w:eastAsia="Times New Roman" w:hAnsi="Garamond" w:cstheme="majorBidi"/>
                <w:b/>
                <w:bCs/>
                <w:color w:val="0D0D0D" w:themeColor="text1" w:themeTint="F2"/>
                <w:sz w:val="16"/>
                <w:szCs w:val="16"/>
              </w:rPr>
            </w:pPr>
            <w:r w:rsidRPr="00770F9D">
              <w:rPr>
                <w:rFonts w:ascii="Garamond" w:eastAsia="Times New Roman" w:hAnsi="Garamond" w:cstheme="majorBidi"/>
                <w:b/>
                <w:bCs/>
                <w:color w:val="0D0D0D" w:themeColor="text1" w:themeTint="F2"/>
                <w:sz w:val="16"/>
                <w:szCs w:val="16"/>
              </w:rPr>
              <w:t>2023</w:t>
            </w:r>
          </w:p>
        </w:tc>
        <w:tc>
          <w:tcPr>
            <w:tcW w:w="562" w:type="pct"/>
            <w:vMerge w:val="restart"/>
            <w:tcBorders>
              <w:top w:val="single" w:sz="8" w:space="0" w:color="auto"/>
              <w:left w:val="nil"/>
              <w:right w:val="nil"/>
            </w:tcBorders>
            <w:shd w:val="clear" w:color="auto" w:fill="auto"/>
            <w:vAlign w:val="center"/>
            <w:hideMark/>
          </w:tcPr>
          <w:p w14:paraId="7A0DDED9" w14:textId="77777777" w:rsidR="00B3297B" w:rsidRPr="00770F9D" w:rsidRDefault="00B3297B" w:rsidP="00B3297B">
            <w:pPr>
              <w:jc w:val="center"/>
              <w:rPr>
                <w:rFonts w:ascii="Garamond" w:eastAsia="Times New Roman" w:hAnsi="Garamond" w:cstheme="majorBidi"/>
                <w:b/>
                <w:bCs/>
                <w:color w:val="0D0D0D" w:themeColor="text1" w:themeTint="F2"/>
                <w:sz w:val="16"/>
                <w:szCs w:val="16"/>
              </w:rPr>
            </w:pPr>
            <w:r w:rsidRPr="00770F9D">
              <w:rPr>
                <w:rFonts w:ascii="Garamond" w:eastAsia="Times New Roman" w:hAnsi="Garamond" w:cstheme="majorBidi"/>
                <w:b/>
                <w:bCs/>
                <w:color w:val="0D0D0D" w:themeColor="text1" w:themeTint="F2"/>
                <w:sz w:val="16"/>
                <w:szCs w:val="16"/>
              </w:rPr>
              <w:t>Parashikim</w:t>
            </w:r>
          </w:p>
          <w:p w14:paraId="012B24BF" w14:textId="77777777" w:rsidR="00B3297B" w:rsidRPr="00770F9D" w:rsidRDefault="00B3297B" w:rsidP="00B3297B">
            <w:pPr>
              <w:jc w:val="center"/>
              <w:rPr>
                <w:rFonts w:ascii="Garamond" w:eastAsia="Times New Roman" w:hAnsi="Garamond" w:cstheme="majorBidi"/>
                <w:b/>
                <w:bCs/>
                <w:color w:val="0D0D0D" w:themeColor="text1" w:themeTint="F2"/>
                <w:sz w:val="16"/>
                <w:szCs w:val="16"/>
              </w:rPr>
            </w:pPr>
            <w:r w:rsidRPr="00770F9D">
              <w:rPr>
                <w:rFonts w:ascii="Garamond" w:eastAsia="Times New Roman" w:hAnsi="Garamond" w:cstheme="majorBidi"/>
                <w:b/>
                <w:bCs/>
                <w:color w:val="0D0D0D" w:themeColor="text1" w:themeTint="F2"/>
                <w:sz w:val="16"/>
                <w:szCs w:val="16"/>
              </w:rPr>
              <w:t>2024</w:t>
            </w:r>
          </w:p>
        </w:tc>
        <w:tc>
          <w:tcPr>
            <w:tcW w:w="562" w:type="pct"/>
            <w:vMerge w:val="restart"/>
            <w:tcBorders>
              <w:top w:val="single" w:sz="8" w:space="0" w:color="auto"/>
              <w:left w:val="single" w:sz="8" w:space="0" w:color="auto"/>
              <w:right w:val="single" w:sz="8" w:space="0" w:color="auto"/>
            </w:tcBorders>
            <w:shd w:val="clear" w:color="auto" w:fill="auto"/>
            <w:vAlign w:val="center"/>
            <w:hideMark/>
          </w:tcPr>
          <w:p w14:paraId="6F2D54E1" w14:textId="77777777" w:rsidR="00B3297B" w:rsidRPr="00770F9D" w:rsidRDefault="00B3297B" w:rsidP="00B3297B">
            <w:pPr>
              <w:jc w:val="center"/>
              <w:rPr>
                <w:rFonts w:ascii="Garamond" w:eastAsia="Times New Roman" w:hAnsi="Garamond" w:cstheme="majorBidi"/>
                <w:b/>
                <w:bCs/>
                <w:color w:val="0D0D0D" w:themeColor="text1" w:themeTint="F2"/>
                <w:sz w:val="16"/>
                <w:szCs w:val="16"/>
              </w:rPr>
            </w:pPr>
            <w:r w:rsidRPr="00770F9D">
              <w:rPr>
                <w:rFonts w:ascii="Garamond" w:eastAsia="Times New Roman" w:hAnsi="Garamond" w:cstheme="majorBidi"/>
                <w:b/>
                <w:bCs/>
                <w:color w:val="0D0D0D" w:themeColor="text1" w:themeTint="F2"/>
                <w:sz w:val="16"/>
                <w:szCs w:val="16"/>
              </w:rPr>
              <w:t>Parashikim</w:t>
            </w:r>
          </w:p>
          <w:p w14:paraId="391E1CFF" w14:textId="77777777" w:rsidR="00B3297B" w:rsidRPr="00770F9D" w:rsidRDefault="00B3297B" w:rsidP="00B3297B">
            <w:pPr>
              <w:jc w:val="center"/>
              <w:rPr>
                <w:rFonts w:ascii="Garamond" w:eastAsia="Times New Roman" w:hAnsi="Garamond" w:cstheme="majorBidi"/>
                <w:b/>
                <w:bCs/>
                <w:color w:val="0D0D0D" w:themeColor="text1" w:themeTint="F2"/>
                <w:sz w:val="16"/>
                <w:szCs w:val="16"/>
              </w:rPr>
            </w:pPr>
            <w:r w:rsidRPr="00770F9D">
              <w:rPr>
                <w:rFonts w:ascii="Garamond" w:eastAsia="Times New Roman" w:hAnsi="Garamond" w:cstheme="majorBidi"/>
                <w:b/>
                <w:bCs/>
                <w:color w:val="0D0D0D" w:themeColor="text1" w:themeTint="F2"/>
                <w:sz w:val="16"/>
                <w:szCs w:val="16"/>
              </w:rPr>
              <w:t>2025</w:t>
            </w:r>
          </w:p>
        </w:tc>
        <w:tc>
          <w:tcPr>
            <w:tcW w:w="917" w:type="pct"/>
            <w:gridSpan w:val="2"/>
            <w:tcBorders>
              <w:top w:val="single" w:sz="8" w:space="0" w:color="auto"/>
              <w:left w:val="nil"/>
              <w:bottom w:val="single" w:sz="8" w:space="0" w:color="auto"/>
              <w:right w:val="single" w:sz="8" w:space="0" w:color="000000"/>
            </w:tcBorders>
            <w:shd w:val="clear" w:color="auto" w:fill="auto"/>
            <w:noWrap/>
            <w:vAlign w:val="center"/>
            <w:hideMark/>
          </w:tcPr>
          <w:p w14:paraId="534B3F2C" w14:textId="72C57B66" w:rsidR="00B3297B" w:rsidRPr="00770F9D" w:rsidRDefault="00B3297B" w:rsidP="00B3297B">
            <w:pPr>
              <w:jc w:val="center"/>
              <w:rPr>
                <w:rFonts w:ascii="Garamond" w:eastAsia="Times New Roman" w:hAnsi="Garamond" w:cstheme="majorBidi"/>
                <w:b/>
                <w:bCs/>
                <w:color w:val="0D0D0D" w:themeColor="text1" w:themeTint="F2"/>
                <w:sz w:val="16"/>
                <w:szCs w:val="16"/>
              </w:rPr>
            </w:pPr>
            <w:r w:rsidRPr="00770F9D">
              <w:rPr>
                <w:rFonts w:ascii="Garamond" w:eastAsia="Times New Roman" w:hAnsi="Garamond" w:cstheme="majorBidi"/>
                <w:b/>
                <w:bCs/>
                <w:color w:val="0D0D0D" w:themeColor="text1" w:themeTint="F2"/>
                <w:sz w:val="16"/>
                <w:szCs w:val="16"/>
              </w:rPr>
              <w:t>Diferenca 2023–2022</w:t>
            </w:r>
          </w:p>
        </w:tc>
      </w:tr>
      <w:tr w:rsidR="00B3297B" w:rsidRPr="00770F9D" w14:paraId="29AD45C7" w14:textId="77777777" w:rsidTr="00B3297B">
        <w:trPr>
          <w:trHeight w:val="215"/>
          <w:jc w:val="center"/>
        </w:trPr>
        <w:tc>
          <w:tcPr>
            <w:tcW w:w="1327" w:type="pct"/>
            <w:vMerge/>
            <w:tcBorders>
              <w:left w:val="single" w:sz="8" w:space="0" w:color="auto"/>
              <w:bottom w:val="single" w:sz="8" w:space="0" w:color="auto"/>
              <w:right w:val="single" w:sz="8" w:space="0" w:color="auto"/>
            </w:tcBorders>
            <w:shd w:val="clear" w:color="auto" w:fill="auto"/>
            <w:noWrap/>
            <w:vAlign w:val="center"/>
            <w:hideMark/>
          </w:tcPr>
          <w:p w14:paraId="4A79FEBA" w14:textId="3F954251" w:rsidR="00B3297B" w:rsidRPr="00770F9D" w:rsidRDefault="00B3297B" w:rsidP="00CE3FD7">
            <w:pPr>
              <w:rPr>
                <w:rFonts w:ascii="Garamond" w:eastAsia="Times New Roman" w:hAnsi="Garamond" w:cstheme="majorBidi"/>
                <w:b/>
                <w:bCs/>
                <w:color w:val="0D0D0D" w:themeColor="text1" w:themeTint="F2"/>
                <w:sz w:val="16"/>
                <w:szCs w:val="16"/>
              </w:rPr>
            </w:pPr>
          </w:p>
        </w:tc>
        <w:tc>
          <w:tcPr>
            <w:tcW w:w="397" w:type="pct"/>
            <w:vMerge/>
            <w:tcBorders>
              <w:left w:val="single" w:sz="8" w:space="0" w:color="auto"/>
              <w:bottom w:val="single" w:sz="8" w:space="0" w:color="auto"/>
              <w:right w:val="single" w:sz="8" w:space="0" w:color="auto"/>
            </w:tcBorders>
            <w:shd w:val="clear" w:color="auto" w:fill="auto"/>
            <w:noWrap/>
            <w:vAlign w:val="center"/>
            <w:hideMark/>
          </w:tcPr>
          <w:p w14:paraId="452E0148" w14:textId="4A839C08" w:rsidR="00B3297B" w:rsidRPr="00770F9D" w:rsidRDefault="00B3297B" w:rsidP="00B3297B">
            <w:pPr>
              <w:jc w:val="center"/>
              <w:rPr>
                <w:rFonts w:ascii="Garamond" w:eastAsia="Times New Roman" w:hAnsi="Garamond" w:cstheme="majorBidi"/>
                <w:b/>
                <w:bCs/>
                <w:color w:val="0D0D0D" w:themeColor="text1" w:themeTint="F2"/>
                <w:sz w:val="16"/>
                <w:szCs w:val="16"/>
              </w:rPr>
            </w:pPr>
          </w:p>
        </w:tc>
        <w:tc>
          <w:tcPr>
            <w:tcW w:w="397" w:type="pct"/>
            <w:vMerge/>
            <w:tcBorders>
              <w:left w:val="single" w:sz="8" w:space="0" w:color="auto"/>
              <w:bottom w:val="single" w:sz="8" w:space="0" w:color="auto"/>
              <w:right w:val="single" w:sz="8" w:space="0" w:color="auto"/>
            </w:tcBorders>
            <w:shd w:val="clear" w:color="auto" w:fill="auto"/>
            <w:noWrap/>
            <w:vAlign w:val="center"/>
            <w:hideMark/>
          </w:tcPr>
          <w:p w14:paraId="10F40D96" w14:textId="2BFB0C3B" w:rsidR="00B3297B" w:rsidRPr="00770F9D" w:rsidRDefault="00B3297B" w:rsidP="00B3297B">
            <w:pPr>
              <w:jc w:val="center"/>
              <w:rPr>
                <w:rFonts w:ascii="Garamond" w:eastAsia="Times New Roman" w:hAnsi="Garamond" w:cstheme="majorBidi"/>
                <w:b/>
                <w:bCs/>
                <w:color w:val="0D0D0D" w:themeColor="text1" w:themeTint="F2"/>
                <w:sz w:val="16"/>
                <w:szCs w:val="16"/>
              </w:rPr>
            </w:pPr>
          </w:p>
        </w:tc>
        <w:tc>
          <w:tcPr>
            <w:tcW w:w="398" w:type="pct"/>
            <w:vMerge/>
            <w:tcBorders>
              <w:left w:val="single" w:sz="8" w:space="0" w:color="auto"/>
              <w:bottom w:val="single" w:sz="8" w:space="0" w:color="auto"/>
              <w:right w:val="single" w:sz="8" w:space="0" w:color="auto"/>
            </w:tcBorders>
            <w:shd w:val="clear" w:color="auto" w:fill="auto"/>
            <w:vAlign w:val="center"/>
            <w:hideMark/>
          </w:tcPr>
          <w:p w14:paraId="7DB9F294" w14:textId="77777777" w:rsidR="00B3297B" w:rsidRPr="00770F9D" w:rsidRDefault="00B3297B" w:rsidP="00B3297B">
            <w:pPr>
              <w:jc w:val="center"/>
              <w:rPr>
                <w:rFonts w:ascii="Garamond" w:eastAsia="Times New Roman" w:hAnsi="Garamond" w:cstheme="majorBidi"/>
                <w:b/>
                <w:bCs/>
                <w:color w:val="0D0D0D" w:themeColor="text1" w:themeTint="F2"/>
                <w:sz w:val="16"/>
                <w:szCs w:val="16"/>
              </w:rPr>
            </w:pPr>
          </w:p>
        </w:tc>
        <w:tc>
          <w:tcPr>
            <w:tcW w:w="440" w:type="pct"/>
            <w:vMerge/>
            <w:tcBorders>
              <w:left w:val="nil"/>
              <w:bottom w:val="single" w:sz="8" w:space="0" w:color="auto"/>
              <w:right w:val="single" w:sz="8" w:space="0" w:color="auto"/>
            </w:tcBorders>
            <w:shd w:val="clear" w:color="auto" w:fill="auto"/>
            <w:vAlign w:val="center"/>
            <w:hideMark/>
          </w:tcPr>
          <w:p w14:paraId="619C15B8" w14:textId="77777777" w:rsidR="00B3297B" w:rsidRPr="00770F9D" w:rsidRDefault="00B3297B" w:rsidP="00B3297B">
            <w:pPr>
              <w:jc w:val="center"/>
              <w:rPr>
                <w:rFonts w:ascii="Garamond" w:eastAsia="Times New Roman" w:hAnsi="Garamond" w:cstheme="majorBidi"/>
                <w:b/>
                <w:bCs/>
                <w:color w:val="0D0D0D" w:themeColor="text1" w:themeTint="F2"/>
                <w:sz w:val="16"/>
                <w:szCs w:val="16"/>
              </w:rPr>
            </w:pPr>
          </w:p>
        </w:tc>
        <w:tc>
          <w:tcPr>
            <w:tcW w:w="562" w:type="pct"/>
            <w:vMerge/>
            <w:tcBorders>
              <w:left w:val="single" w:sz="8" w:space="0" w:color="auto"/>
              <w:bottom w:val="single" w:sz="8" w:space="0" w:color="auto"/>
              <w:right w:val="single" w:sz="8" w:space="0" w:color="auto"/>
            </w:tcBorders>
            <w:shd w:val="clear" w:color="auto" w:fill="auto"/>
            <w:vAlign w:val="center"/>
            <w:hideMark/>
          </w:tcPr>
          <w:p w14:paraId="3BFA1AB9" w14:textId="77777777" w:rsidR="00B3297B" w:rsidRPr="00770F9D" w:rsidRDefault="00B3297B" w:rsidP="00B3297B">
            <w:pPr>
              <w:jc w:val="center"/>
              <w:rPr>
                <w:rFonts w:ascii="Garamond" w:eastAsia="Times New Roman" w:hAnsi="Garamond" w:cstheme="majorBidi"/>
                <w:b/>
                <w:bCs/>
                <w:color w:val="0D0D0D" w:themeColor="text1" w:themeTint="F2"/>
                <w:sz w:val="16"/>
                <w:szCs w:val="16"/>
              </w:rPr>
            </w:pPr>
          </w:p>
        </w:tc>
        <w:tc>
          <w:tcPr>
            <w:tcW w:w="562" w:type="pct"/>
            <w:vMerge/>
            <w:tcBorders>
              <w:left w:val="single" w:sz="8" w:space="0" w:color="auto"/>
              <w:bottom w:val="single" w:sz="8" w:space="0" w:color="auto"/>
              <w:right w:val="single" w:sz="8" w:space="0" w:color="auto"/>
            </w:tcBorders>
            <w:shd w:val="clear" w:color="auto" w:fill="auto"/>
            <w:vAlign w:val="center"/>
            <w:hideMark/>
          </w:tcPr>
          <w:p w14:paraId="04DFEDBF" w14:textId="77777777" w:rsidR="00B3297B" w:rsidRPr="00770F9D" w:rsidRDefault="00B3297B" w:rsidP="00B3297B">
            <w:pPr>
              <w:jc w:val="center"/>
              <w:rPr>
                <w:rFonts w:ascii="Garamond" w:eastAsia="Times New Roman" w:hAnsi="Garamond" w:cstheme="majorBidi"/>
                <w:b/>
                <w:bCs/>
                <w:color w:val="0D0D0D" w:themeColor="text1" w:themeTint="F2"/>
                <w:sz w:val="16"/>
                <w:szCs w:val="16"/>
              </w:rPr>
            </w:pPr>
          </w:p>
        </w:tc>
        <w:tc>
          <w:tcPr>
            <w:tcW w:w="459" w:type="pct"/>
            <w:tcBorders>
              <w:top w:val="nil"/>
              <w:left w:val="single" w:sz="8" w:space="0" w:color="auto"/>
              <w:bottom w:val="single" w:sz="8" w:space="0" w:color="auto"/>
              <w:right w:val="single" w:sz="8" w:space="0" w:color="auto"/>
            </w:tcBorders>
            <w:shd w:val="clear" w:color="auto" w:fill="auto"/>
            <w:noWrap/>
            <w:vAlign w:val="center"/>
            <w:hideMark/>
          </w:tcPr>
          <w:p w14:paraId="1DB07741" w14:textId="77777777" w:rsidR="00B3297B" w:rsidRPr="00770F9D" w:rsidRDefault="00B3297B" w:rsidP="00B3297B">
            <w:pPr>
              <w:jc w:val="center"/>
              <w:rPr>
                <w:rFonts w:ascii="Garamond" w:eastAsia="Times New Roman" w:hAnsi="Garamond" w:cstheme="majorBidi"/>
                <w:b/>
                <w:bCs/>
                <w:color w:val="0D0D0D" w:themeColor="text1" w:themeTint="F2"/>
                <w:sz w:val="16"/>
                <w:szCs w:val="16"/>
              </w:rPr>
            </w:pPr>
            <w:r w:rsidRPr="00770F9D">
              <w:rPr>
                <w:rFonts w:ascii="Garamond" w:eastAsia="Times New Roman" w:hAnsi="Garamond" w:cstheme="majorBidi"/>
                <w:b/>
                <w:bCs/>
                <w:color w:val="0D0D0D" w:themeColor="text1" w:themeTint="F2"/>
                <w:sz w:val="16"/>
                <w:szCs w:val="16"/>
              </w:rPr>
              <w:t>Vlera</w:t>
            </w:r>
          </w:p>
        </w:tc>
        <w:tc>
          <w:tcPr>
            <w:tcW w:w="458" w:type="pct"/>
            <w:tcBorders>
              <w:top w:val="nil"/>
              <w:left w:val="single" w:sz="8" w:space="0" w:color="auto"/>
              <w:bottom w:val="single" w:sz="8" w:space="0" w:color="auto"/>
              <w:right w:val="single" w:sz="8" w:space="0" w:color="auto"/>
            </w:tcBorders>
            <w:shd w:val="clear" w:color="auto" w:fill="auto"/>
            <w:noWrap/>
            <w:vAlign w:val="center"/>
            <w:hideMark/>
          </w:tcPr>
          <w:p w14:paraId="15DBBB4D" w14:textId="77777777" w:rsidR="00B3297B" w:rsidRPr="00770F9D" w:rsidRDefault="00B3297B" w:rsidP="00B3297B">
            <w:pPr>
              <w:jc w:val="center"/>
              <w:rPr>
                <w:rFonts w:ascii="Garamond" w:eastAsia="Times New Roman" w:hAnsi="Garamond" w:cstheme="majorBidi"/>
                <w:b/>
                <w:bCs/>
                <w:color w:val="0D0D0D" w:themeColor="text1" w:themeTint="F2"/>
                <w:sz w:val="16"/>
                <w:szCs w:val="16"/>
              </w:rPr>
            </w:pPr>
            <w:r w:rsidRPr="00770F9D">
              <w:rPr>
                <w:rFonts w:ascii="Garamond" w:eastAsia="Times New Roman" w:hAnsi="Garamond" w:cstheme="majorBidi"/>
                <w:b/>
                <w:bCs/>
                <w:color w:val="0D0D0D" w:themeColor="text1" w:themeTint="F2"/>
                <w:sz w:val="16"/>
                <w:szCs w:val="16"/>
              </w:rPr>
              <w:t>Në %</w:t>
            </w:r>
          </w:p>
        </w:tc>
      </w:tr>
      <w:tr w:rsidR="00B3297B" w:rsidRPr="00770F9D" w14:paraId="6565BEC8" w14:textId="77777777" w:rsidTr="00B3297B">
        <w:trPr>
          <w:trHeight w:val="20"/>
          <w:jc w:val="center"/>
        </w:trPr>
        <w:tc>
          <w:tcPr>
            <w:tcW w:w="1327" w:type="pct"/>
            <w:tcBorders>
              <w:top w:val="nil"/>
              <w:left w:val="single" w:sz="8" w:space="0" w:color="auto"/>
              <w:bottom w:val="nil"/>
              <w:right w:val="nil"/>
            </w:tcBorders>
            <w:shd w:val="clear" w:color="auto" w:fill="auto"/>
            <w:noWrap/>
            <w:vAlign w:val="center"/>
            <w:hideMark/>
          </w:tcPr>
          <w:p w14:paraId="58712FC9" w14:textId="77777777" w:rsidR="00F468C9" w:rsidRPr="00770F9D" w:rsidRDefault="00F468C9" w:rsidP="00CE3FD7">
            <w:pPr>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Totali i TVSH-së neto</w:t>
            </w:r>
          </w:p>
        </w:tc>
        <w:tc>
          <w:tcPr>
            <w:tcW w:w="397" w:type="pct"/>
            <w:tcBorders>
              <w:top w:val="nil"/>
              <w:left w:val="single" w:sz="8" w:space="0" w:color="auto"/>
              <w:bottom w:val="nil"/>
              <w:right w:val="single" w:sz="8" w:space="0" w:color="auto"/>
            </w:tcBorders>
            <w:shd w:val="clear" w:color="auto" w:fill="auto"/>
            <w:noWrap/>
            <w:vAlign w:val="center"/>
            <w:hideMark/>
          </w:tcPr>
          <w:p w14:paraId="0943244A"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130,354</w:t>
            </w:r>
          </w:p>
        </w:tc>
        <w:tc>
          <w:tcPr>
            <w:tcW w:w="397" w:type="pct"/>
            <w:tcBorders>
              <w:top w:val="nil"/>
              <w:left w:val="nil"/>
              <w:bottom w:val="nil"/>
              <w:right w:val="nil"/>
            </w:tcBorders>
            <w:shd w:val="clear" w:color="auto" w:fill="auto"/>
            <w:noWrap/>
            <w:vAlign w:val="center"/>
            <w:hideMark/>
          </w:tcPr>
          <w:p w14:paraId="6FD3DE6E"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161,536</w:t>
            </w:r>
          </w:p>
        </w:tc>
        <w:tc>
          <w:tcPr>
            <w:tcW w:w="398" w:type="pct"/>
            <w:tcBorders>
              <w:top w:val="nil"/>
              <w:left w:val="single" w:sz="8" w:space="0" w:color="auto"/>
              <w:bottom w:val="nil"/>
              <w:right w:val="single" w:sz="8" w:space="0" w:color="auto"/>
            </w:tcBorders>
            <w:shd w:val="clear" w:color="auto" w:fill="auto"/>
            <w:noWrap/>
            <w:vAlign w:val="center"/>
            <w:hideMark/>
          </w:tcPr>
          <w:p w14:paraId="2E0920F7"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193,000</w:t>
            </w:r>
          </w:p>
        </w:tc>
        <w:tc>
          <w:tcPr>
            <w:tcW w:w="440" w:type="pct"/>
            <w:tcBorders>
              <w:top w:val="nil"/>
              <w:left w:val="nil"/>
              <w:bottom w:val="nil"/>
              <w:right w:val="single" w:sz="8" w:space="0" w:color="auto"/>
            </w:tcBorders>
            <w:shd w:val="clear" w:color="auto" w:fill="auto"/>
            <w:noWrap/>
            <w:vAlign w:val="center"/>
            <w:hideMark/>
          </w:tcPr>
          <w:p w14:paraId="2F427913"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210,900</w:t>
            </w:r>
          </w:p>
        </w:tc>
        <w:tc>
          <w:tcPr>
            <w:tcW w:w="562" w:type="pct"/>
            <w:tcBorders>
              <w:top w:val="nil"/>
              <w:left w:val="nil"/>
              <w:bottom w:val="nil"/>
              <w:right w:val="nil"/>
            </w:tcBorders>
            <w:shd w:val="clear" w:color="auto" w:fill="auto"/>
            <w:noWrap/>
            <w:vAlign w:val="center"/>
            <w:hideMark/>
          </w:tcPr>
          <w:p w14:paraId="242BA379"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221,750</w:t>
            </w:r>
          </w:p>
        </w:tc>
        <w:tc>
          <w:tcPr>
            <w:tcW w:w="562" w:type="pct"/>
            <w:tcBorders>
              <w:top w:val="nil"/>
              <w:left w:val="single" w:sz="8" w:space="0" w:color="auto"/>
              <w:bottom w:val="nil"/>
              <w:right w:val="single" w:sz="8" w:space="0" w:color="auto"/>
            </w:tcBorders>
            <w:shd w:val="clear" w:color="auto" w:fill="auto"/>
            <w:noWrap/>
            <w:vAlign w:val="center"/>
            <w:hideMark/>
          </w:tcPr>
          <w:p w14:paraId="392B1D11"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233,538</w:t>
            </w:r>
          </w:p>
        </w:tc>
        <w:tc>
          <w:tcPr>
            <w:tcW w:w="459" w:type="pct"/>
            <w:tcBorders>
              <w:top w:val="nil"/>
              <w:left w:val="nil"/>
              <w:bottom w:val="nil"/>
              <w:right w:val="single" w:sz="8" w:space="0" w:color="auto"/>
            </w:tcBorders>
            <w:shd w:val="clear" w:color="auto" w:fill="auto"/>
            <w:noWrap/>
            <w:vAlign w:val="center"/>
            <w:hideMark/>
          </w:tcPr>
          <w:p w14:paraId="4606F349"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17,900</w:t>
            </w:r>
          </w:p>
        </w:tc>
        <w:tc>
          <w:tcPr>
            <w:tcW w:w="458" w:type="pct"/>
            <w:tcBorders>
              <w:top w:val="nil"/>
              <w:left w:val="nil"/>
              <w:bottom w:val="nil"/>
              <w:right w:val="single" w:sz="8" w:space="0" w:color="auto"/>
            </w:tcBorders>
            <w:shd w:val="clear" w:color="auto" w:fill="auto"/>
            <w:noWrap/>
            <w:vAlign w:val="center"/>
            <w:hideMark/>
          </w:tcPr>
          <w:p w14:paraId="13B016C2"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9.27%</w:t>
            </w:r>
          </w:p>
        </w:tc>
      </w:tr>
      <w:tr w:rsidR="00B3297B" w:rsidRPr="00770F9D" w14:paraId="406A487E" w14:textId="77777777" w:rsidTr="00B3297B">
        <w:trPr>
          <w:trHeight w:val="20"/>
          <w:jc w:val="center"/>
        </w:trPr>
        <w:tc>
          <w:tcPr>
            <w:tcW w:w="1327" w:type="pct"/>
            <w:tcBorders>
              <w:top w:val="nil"/>
              <w:left w:val="single" w:sz="8" w:space="0" w:color="auto"/>
              <w:bottom w:val="nil"/>
              <w:right w:val="nil"/>
            </w:tcBorders>
            <w:shd w:val="clear" w:color="auto" w:fill="auto"/>
            <w:noWrap/>
            <w:vAlign w:val="center"/>
            <w:hideMark/>
          </w:tcPr>
          <w:p w14:paraId="0B54E23D" w14:textId="77777777" w:rsidR="00F468C9" w:rsidRPr="00770F9D" w:rsidRDefault="00F468C9" w:rsidP="00CE3FD7">
            <w:pPr>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Tatimi mbi fitimin</w:t>
            </w:r>
          </w:p>
        </w:tc>
        <w:tc>
          <w:tcPr>
            <w:tcW w:w="397" w:type="pct"/>
            <w:tcBorders>
              <w:top w:val="nil"/>
              <w:left w:val="single" w:sz="8" w:space="0" w:color="auto"/>
              <w:bottom w:val="nil"/>
              <w:right w:val="single" w:sz="8" w:space="0" w:color="auto"/>
            </w:tcBorders>
            <w:shd w:val="clear" w:color="auto" w:fill="auto"/>
            <w:noWrap/>
            <w:vAlign w:val="center"/>
            <w:hideMark/>
          </w:tcPr>
          <w:p w14:paraId="527800FF"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28,381</w:t>
            </w:r>
          </w:p>
        </w:tc>
        <w:tc>
          <w:tcPr>
            <w:tcW w:w="397" w:type="pct"/>
            <w:tcBorders>
              <w:top w:val="nil"/>
              <w:left w:val="nil"/>
              <w:bottom w:val="nil"/>
              <w:right w:val="nil"/>
            </w:tcBorders>
            <w:shd w:val="clear" w:color="auto" w:fill="auto"/>
            <w:noWrap/>
            <w:vAlign w:val="center"/>
            <w:hideMark/>
          </w:tcPr>
          <w:p w14:paraId="60CB1160"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35,610</w:t>
            </w:r>
          </w:p>
        </w:tc>
        <w:tc>
          <w:tcPr>
            <w:tcW w:w="398" w:type="pct"/>
            <w:tcBorders>
              <w:top w:val="nil"/>
              <w:left w:val="single" w:sz="8" w:space="0" w:color="auto"/>
              <w:bottom w:val="nil"/>
              <w:right w:val="single" w:sz="8" w:space="0" w:color="auto"/>
            </w:tcBorders>
            <w:shd w:val="clear" w:color="auto" w:fill="auto"/>
            <w:noWrap/>
            <w:vAlign w:val="center"/>
            <w:hideMark/>
          </w:tcPr>
          <w:p w14:paraId="69666870"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46,000</w:t>
            </w:r>
          </w:p>
        </w:tc>
        <w:tc>
          <w:tcPr>
            <w:tcW w:w="440" w:type="pct"/>
            <w:tcBorders>
              <w:top w:val="nil"/>
              <w:left w:val="nil"/>
              <w:bottom w:val="nil"/>
              <w:right w:val="single" w:sz="8" w:space="0" w:color="auto"/>
            </w:tcBorders>
            <w:shd w:val="clear" w:color="auto" w:fill="auto"/>
            <w:noWrap/>
            <w:vAlign w:val="center"/>
            <w:hideMark/>
          </w:tcPr>
          <w:p w14:paraId="18C1855B"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49,500</w:t>
            </w:r>
          </w:p>
        </w:tc>
        <w:tc>
          <w:tcPr>
            <w:tcW w:w="562" w:type="pct"/>
            <w:tcBorders>
              <w:top w:val="nil"/>
              <w:left w:val="nil"/>
              <w:bottom w:val="nil"/>
              <w:right w:val="nil"/>
            </w:tcBorders>
            <w:shd w:val="clear" w:color="auto" w:fill="auto"/>
            <w:noWrap/>
            <w:vAlign w:val="center"/>
            <w:hideMark/>
          </w:tcPr>
          <w:p w14:paraId="5325A06A"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52,047</w:t>
            </w:r>
          </w:p>
        </w:tc>
        <w:tc>
          <w:tcPr>
            <w:tcW w:w="562" w:type="pct"/>
            <w:tcBorders>
              <w:top w:val="nil"/>
              <w:left w:val="single" w:sz="8" w:space="0" w:color="auto"/>
              <w:bottom w:val="nil"/>
              <w:right w:val="single" w:sz="8" w:space="0" w:color="auto"/>
            </w:tcBorders>
            <w:shd w:val="clear" w:color="auto" w:fill="auto"/>
            <w:noWrap/>
            <w:vAlign w:val="center"/>
            <w:hideMark/>
          </w:tcPr>
          <w:p w14:paraId="6587F0BA"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54,791</w:t>
            </w:r>
          </w:p>
        </w:tc>
        <w:tc>
          <w:tcPr>
            <w:tcW w:w="459" w:type="pct"/>
            <w:tcBorders>
              <w:top w:val="nil"/>
              <w:left w:val="nil"/>
              <w:bottom w:val="nil"/>
              <w:right w:val="single" w:sz="8" w:space="0" w:color="auto"/>
            </w:tcBorders>
            <w:shd w:val="clear" w:color="auto" w:fill="auto"/>
            <w:noWrap/>
            <w:vAlign w:val="center"/>
            <w:hideMark/>
          </w:tcPr>
          <w:p w14:paraId="2B2AF0D4"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3,500</w:t>
            </w:r>
          </w:p>
        </w:tc>
        <w:tc>
          <w:tcPr>
            <w:tcW w:w="458" w:type="pct"/>
            <w:tcBorders>
              <w:top w:val="nil"/>
              <w:left w:val="nil"/>
              <w:bottom w:val="nil"/>
              <w:right w:val="single" w:sz="8" w:space="0" w:color="auto"/>
            </w:tcBorders>
            <w:shd w:val="clear" w:color="auto" w:fill="auto"/>
            <w:noWrap/>
            <w:vAlign w:val="center"/>
            <w:hideMark/>
          </w:tcPr>
          <w:p w14:paraId="2965C604"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7.61%</w:t>
            </w:r>
          </w:p>
        </w:tc>
      </w:tr>
      <w:tr w:rsidR="00B3297B" w:rsidRPr="00770F9D" w14:paraId="4C64E280" w14:textId="77777777" w:rsidTr="00B3297B">
        <w:trPr>
          <w:trHeight w:val="20"/>
          <w:jc w:val="center"/>
        </w:trPr>
        <w:tc>
          <w:tcPr>
            <w:tcW w:w="1327" w:type="pct"/>
            <w:tcBorders>
              <w:top w:val="nil"/>
              <w:left w:val="single" w:sz="8" w:space="0" w:color="auto"/>
              <w:bottom w:val="nil"/>
              <w:right w:val="nil"/>
            </w:tcBorders>
            <w:shd w:val="clear" w:color="auto" w:fill="auto"/>
            <w:noWrap/>
            <w:vAlign w:val="center"/>
            <w:hideMark/>
          </w:tcPr>
          <w:p w14:paraId="486BD6B9" w14:textId="77777777" w:rsidR="00F468C9" w:rsidRPr="00770F9D" w:rsidRDefault="00F468C9" w:rsidP="00CE3FD7">
            <w:pPr>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Akciza</w:t>
            </w:r>
          </w:p>
        </w:tc>
        <w:tc>
          <w:tcPr>
            <w:tcW w:w="397" w:type="pct"/>
            <w:tcBorders>
              <w:top w:val="nil"/>
              <w:left w:val="single" w:sz="8" w:space="0" w:color="auto"/>
              <w:bottom w:val="nil"/>
              <w:right w:val="single" w:sz="8" w:space="0" w:color="auto"/>
            </w:tcBorders>
            <w:shd w:val="clear" w:color="auto" w:fill="auto"/>
            <w:noWrap/>
            <w:vAlign w:val="center"/>
            <w:hideMark/>
          </w:tcPr>
          <w:p w14:paraId="6C1965F3"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44,521</w:t>
            </w:r>
          </w:p>
        </w:tc>
        <w:tc>
          <w:tcPr>
            <w:tcW w:w="397" w:type="pct"/>
            <w:tcBorders>
              <w:top w:val="nil"/>
              <w:left w:val="nil"/>
              <w:bottom w:val="nil"/>
              <w:right w:val="nil"/>
            </w:tcBorders>
            <w:shd w:val="clear" w:color="auto" w:fill="auto"/>
            <w:noWrap/>
            <w:vAlign w:val="center"/>
            <w:hideMark/>
          </w:tcPr>
          <w:p w14:paraId="256906F4"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51,637</w:t>
            </w:r>
          </w:p>
        </w:tc>
        <w:tc>
          <w:tcPr>
            <w:tcW w:w="398" w:type="pct"/>
            <w:tcBorders>
              <w:top w:val="nil"/>
              <w:left w:val="single" w:sz="8" w:space="0" w:color="auto"/>
              <w:bottom w:val="nil"/>
              <w:right w:val="single" w:sz="8" w:space="0" w:color="auto"/>
            </w:tcBorders>
            <w:shd w:val="clear" w:color="auto" w:fill="auto"/>
            <w:noWrap/>
            <w:vAlign w:val="center"/>
            <w:hideMark/>
          </w:tcPr>
          <w:p w14:paraId="493C72DE"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55,000</w:t>
            </w:r>
          </w:p>
        </w:tc>
        <w:tc>
          <w:tcPr>
            <w:tcW w:w="440" w:type="pct"/>
            <w:tcBorders>
              <w:top w:val="nil"/>
              <w:left w:val="nil"/>
              <w:bottom w:val="nil"/>
              <w:right w:val="single" w:sz="8" w:space="0" w:color="auto"/>
            </w:tcBorders>
            <w:shd w:val="clear" w:color="auto" w:fill="auto"/>
            <w:noWrap/>
            <w:vAlign w:val="center"/>
            <w:hideMark/>
          </w:tcPr>
          <w:p w14:paraId="2F0F7947"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59,000</w:t>
            </w:r>
          </w:p>
        </w:tc>
        <w:tc>
          <w:tcPr>
            <w:tcW w:w="562" w:type="pct"/>
            <w:tcBorders>
              <w:top w:val="nil"/>
              <w:left w:val="nil"/>
              <w:bottom w:val="nil"/>
              <w:right w:val="nil"/>
            </w:tcBorders>
            <w:shd w:val="clear" w:color="auto" w:fill="auto"/>
            <w:noWrap/>
            <w:vAlign w:val="center"/>
            <w:hideMark/>
          </w:tcPr>
          <w:p w14:paraId="7FAC6F55"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62,035</w:t>
            </w:r>
          </w:p>
        </w:tc>
        <w:tc>
          <w:tcPr>
            <w:tcW w:w="562" w:type="pct"/>
            <w:tcBorders>
              <w:top w:val="nil"/>
              <w:left w:val="single" w:sz="8" w:space="0" w:color="auto"/>
              <w:bottom w:val="nil"/>
              <w:right w:val="single" w:sz="8" w:space="0" w:color="auto"/>
            </w:tcBorders>
            <w:shd w:val="clear" w:color="auto" w:fill="auto"/>
            <w:noWrap/>
            <w:vAlign w:val="center"/>
            <w:hideMark/>
          </w:tcPr>
          <w:p w14:paraId="15380837"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65,307</w:t>
            </w:r>
          </w:p>
        </w:tc>
        <w:tc>
          <w:tcPr>
            <w:tcW w:w="459" w:type="pct"/>
            <w:tcBorders>
              <w:top w:val="nil"/>
              <w:left w:val="nil"/>
              <w:bottom w:val="nil"/>
              <w:right w:val="single" w:sz="8" w:space="0" w:color="auto"/>
            </w:tcBorders>
            <w:shd w:val="clear" w:color="auto" w:fill="auto"/>
            <w:noWrap/>
            <w:vAlign w:val="center"/>
            <w:hideMark/>
          </w:tcPr>
          <w:p w14:paraId="219FF508"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4,000</w:t>
            </w:r>
          </w:p>
        </w:tc>
        <w:tc>
          <w:tcPr>
            <w:tcW w:w="458" w:type="pct"/>
            <w:tcBorders>
              <w:top w:val="nil"/>
              <w:left w:val="nil"/>
              <w:bottom w:val="nil"/>
              <w:right w:val="single" w:sz="8" w:space="0" w:color="auto"/>
            </w:tcBorders>
            <w:shd w:val="clear" w:color="auto" w:fill="auto"/>
            <w:noWrap/>
            <w:vAlign w:val="center"/>
            <w:hideMark/>
          </w:tcPr>
          <w:p w14:paraId="1087FF96"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7.27%</w:t>
            </w:r>
          </w:p>
        </w:tc>
      </w:tr>
      <w:tr w:rsidR="00B3297B" w:rsidRPr="00770F9D" w14:paraId="6391BE36" w14:textId="77777777" w:rsidTr="00B3297B">
        <w:trPr>
          <w:trHeight w:val="20"/>
          <w:jc w:val="center"/>
        </w:trPr>
        <w:tc>
          <w:tcPr>
            <w:tcW w:w="1327" w:type="pct"/>
            <w:tcBorders>
              <w:top w:val="nil"/>
              <w:left w:val="single" w:sz="8" w:space="0" w:color="auto"/>
              <w:bottom w:val="nil"/>
              <w:right w:val="nil"/>
            </w:tcBorders>
            <w:shd w:val="clear" w:color="auto" w:fill="auto"/>
            <w:noWrap/>
            <w:vAlign w:val="center"/>
            <w:hideMark/>
          </w:tcPr>
          <w:p w14:paraId="55522D81" w14:textId="77777777" w:rsidR="00F468C9" w:rsidRPr="00770F9D" w:rsidRDefault="00F468C9" w:rsidP="00CE3FD7">
            <w:pPr>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Tatimi mbi të ardhurat personale</w:t>
            </w:r>
          </w:p>
        </w:tc>
        <w:tc>
          <w:tcPr>
            <w:tcW w:w="397" w:type="pct"/>
            <w:tcBorders>
              <w:top w:val="nil"/>
              <w:left w:val="single" w:sz="8" w:space="0" w:color="auto"/>
              <w:bottom w:val="nil"/>
              <w:right w:val="single" w:sz="8" w:space="0" w:color="auto"/>
            </w:tcBorders>
            <w:shd w:val="clear" w:color="auto" w:fill="auto"/>
            <w:noWrap/>
            <w:vAlign w:val="center"/>
            <w:hideMark/>
          </w:tcPr>
          <w:p w14:paraId="4CA88202"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33,658</w:t>
            </w:r>
          </w:p>
        </w:tc>
        <w:tc>
          <w:tcPr>
            <w:tcW w:w="397" w:type="pct"/>
            <w:tcBorders>
              <w:top w:val="nil"/>
              <w:left w:val="nil"/>
              <w:bottom w:val="nil"/>
              <w:right w:val="nil"/>
            </w:tcBorders>
            <w:shd w:val="clear" w:color="auto" w:fill="auto"/>
            <w:noWrap/>
            <w:vAlign w:val="center"/>
            <w:hideMark/>
          </w:tcPr>
          <w:p w14:paraId="77905FE3"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39,312</w:t>
            </w:r>
          </w:p>
        </w:tc>
        <w:tc>
          <w:tcPr>
            <w:tcW w:w="398" w:type="pct"/>
            <w:tcBorders>
              <w:top w:val="nil"/>
              <w:left w:val="single" w:sz="8" w:space="0" w:color="auto"/>
              <w:bottom w:val="nil"/>
              <w:right w:val="single" w:sz="8" w:space="0" w:color="auto"/>
            </w:tcBorders>
            <w:shd w:val="clear" w:color="auto" w:fill="auto"/>
            <w:noWrap/>
            <w:vAlign w:val="center"/>
            <w:hideMark/>
          </w:tcPr>
          <w:p w14:paraId="78BB8D82"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47,000</w:t>
            </w:r>
          </w:p>
        </w:tc>
        <w:tc>
          <w:tcPr>
            <w:tcW w:w="440" w:type="pct"/>
            <w:tcBorders>
              <w:top w:val="nil"/>
              <w:left w:val="nil"/>
              <w:bottom w:val="nil"/>
              <w:right w:val="single" w:sz="8" w:space="0" w:color="auto"/>
            </w:tcBorders>
            <w:shd w:val="clear" w:color="auto" w:fill="auto"/>
            <w:noWrap/>
            <w:vAlign w:val="center"/>
            <w:hideMark/>
          </w:tcPr>
          <w:p w14:paraId="4E30B2C8"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49,000</w:t>
            </w:r>
          </w:p>
        </w:tc>
        <w:tc>
          <w:tcPr>
            <w:tcW w:w="562" w:type="pct"/>
            <w:tcBorders>
              <w:top w:val="nil"/>
              <w:left w:val="nil"/>
              <w:bottom w:val="nil"/>
              <w:right w:val="nil"/>
            </w:tcBorders>
            <w:shd w:val="clear" w:color="auto" w:fill="auto"/>
            <w:noWrap/>
            <w:vAlign w:val="center"/>
            <w:hideMark/>
          </w:tcPr>
          <w:p w14:paraId="3D47748E"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51,515</w:t>
            </w:r>
          </w:p>
        </w:tc>
        <w:tc>
          <w:tcPr>
            <w:tcW w:w="562" w:type="pct"/>
            <w:tcBorders>
              <w:top w:val="nil"/>
              <w:left w:val="single" w:sz="8" w:space="0" w:color="auto"/>
              <w:bottom w:val="nil"/>
              <w:right w:val="single" w:sz="8" w:space="0" w:color="auto"/>
            </w:tcBorders>
            <w:shd w:val="clear" w:color="auto" w:fill="auto"/>
            <w:noWrap/>
            <w:vAlign w:val="center"/>
            <w:hideMark/>
          </w:tcPr>
          <w:p w14:paraId="794F3384"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54,180</w:t>
            </w:r>
          </w:p>
        </w:tc>
        <w:tc>
          <w:tcPr>
            <w:tcW w:w="459" w:type="pct"/>
            <w:tcBorders>
              <w:top w:val="nil"/>
              <w:left w:val="nil"/>
              <w:bottom w:val="nil"/>
              <w:right w:val="single" w:sz="8" w:space="0" w:color="auto"/>
            </w:tcBorders>
            <w:shd w:val="clear" w:color="auto" w:fill="auto"/>
            <w:noWrap/>
            <w:vAlign w:val="center"/>
            <w:hideMark/>
          </w:tcPr>
          <w:p w14:paraId="6E78372D"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2,000</w:t>
            </w:r>
          </w:p>
        </w:tc>
        <w:tc>
          <w:tcPr>
            <w:tcW w:w="458" w:type="pct"/>
            <w:tcBorders>
              <w:top w:val="nil"/>
              <w:left w:val="nil"/>
              <w:bottom w:val="nil"/>
              <w:right w:val="single" w:sz="8" w:space="0" w:color="auto"/>
            </w:tcBorders>
            <w:shd w:val="clear" w:color="auto" w:fill="auto"/>
            <w:noWrap/>
            <w:vAlign w:val="center"/>
            <w:hideMark/>
          </w:tcPr>
          <w:p w14:paraId="14E9ACAA"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4.26%</w:t>
            </w:r>
          </w:p>
        </w:tc>
      </w:tr>
      <w:tr w:rsidR="00B3297B" w:rsidRPr="00770F9D" w14:paraId="05CDE57B" w14:textId="77777777" w:rsidTr="00B3297B">
        <w:trPr>
          <w:trHeight w:val="20"/>
          <w:jc w:val="center"/>
        </w:trPr>
        <w:tc>
          <w:tcPr>
            <w:tcW w:w="1327" w:type="pct"/>
            <w:tcBorders>
              <w:top w:val="nil"/>
              <w:left w:val="single" w:sz="8" w:space="0" w:color="auto"/>
              <w:bottom w:val="nil"/>
              <w:right w:val="nil"/>
            </w:tcBorders>
            <w:shd w:val="clear" w:color="auto" w:fill="auto"/>
            <w:noWrap/>
            <w:vAlign w:val="center"/>
            <w:hideMark/>
          </w:tcPr>
          <w:p w14:paraId="693B1041" w14:textId="452F0E5A" w:rsidR="00F468C9" w:rsidRPr="00770F9D" w:rsidRDefault="00F468C9" w:rsidP="00EE365D">
            <w:pPr>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 xml:space="preserve">Totali i </w:t>
            </w:r>
            <w:r w:rsidR="00B3297B" w:rsidRPr="00770F9D">
              <w:rPr>
                <w:rFonts w:ascii="Garamond" w:eastAsia="Times New Roman" w:hAnsi="Garamond" w:cstheme="majorBidi"/>
                <w:color w:val="0D0D0D" w:themeColor="text1" w:themeTint="F2"/>
                <w:sz w:val="16"/>
                <w:szCs w:val="16"/>
              </w:rPr>
              <w:t>taksave kombëtare</w:t>
            </w:r>
          </w:p>
        </w:tc>
        <w:tc>
          <w:tcPr>
            <w:tcW w:w="397" w:type="pct"/>
            <w:tcBorders>
              <w:top w:val="nil"/>
              <w:left w:val="single" w:sz="8" w:space="0" w:color="auto"/>
              <w:bottom w:val="nil"/>
              <w:right w:val="single" w:sz="8" w:space="0" w:color="auto"/>
            </w:tcBorders>
            <w:shd w:val="clear" w:color="auto" w:fill="auto"/>
            <w:noWrap/>
            <w:vAlign w:val="center"/>
            <w:hideMark/>
          </w:tcPr>
          <w:p w14:paraId="19EB8A5F"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35,829</w:t>
            </w:r>
          </w:p>
        </w:tc>
        <w:tc>
          <w:tcPr>
            <w:tcW w:w="397" w:type="pct"/>
            <w:tcBorders>
              <w:top w:val="nil"/>
              <w:left w:val="nil"/>
              <w:bottom w:val="nil"/>
              <w:right w:val="nil"/>
            </w:tcBorders>
            <w:shd w:val="clear" w:color="auto" w:fill="auto"/>
            <w:noWrap/>
            <w:vAlign w:val="center"/>
            <w:hideMark/>
          </w:tcPr>
          <w:p w14:paraId="7C28228B"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42,521</w:t>
            </w:r>
          </w:p>
        </w:tc>
        <w:tc>
          <w:tcPr>
            <w:tcW w:w="398" w:type="pct"/>
            <w:tcBorders>
              <w:top w:val="nil"/>
              <w:left w:val="single" w:sz="8" w:space="0" w:color="auto"/>
              <w:bottom w:val="nil"/>
              <w:right w:val="single" w:sz="8" w:space="0" w:color="auto"/>
            </w:tcBorders>
            <w:shd w:val="clear" w:color="auto" w:fill="auto"/>
            <w:noWrap/>
            <w:vAlign w:val="center"/>
            <w:hideMark/>
          </w:tcPr>
          <w:p w14:paraId="2AC22C01"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48,500</w:t>
            </w:r>
          </w:p>
        </w:tc>
        <w:tc>
          <w:tcPr>
            <w:tcW w:w="440" w:type="pct"/>
            <w:tcBorders>
              <w:top w:val="nil"/>
              <w:left w:val="nil"/>
              <w:bottom w:val="nil"/>
              <w:right w:val="single" w:sz="8" w:space="0" w:color="auto"/>
            </w:tcBorders>
            <w:shd w:val="clear" w:color="auto" w:fill="auto"/>
            <w:noWrap/>
            <w:vAlign w:val="center"/>
            <w:hideMark/>
          </w:tcPr>
          <w:p w14:paraId="761EDF6D"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54,300</w:t>
            </w:r>
          </w:p>
        </w:tc>
        <w:tc>
          <w:tcPr>
            <w:tcW w:w="562" w:type="pct"/>
            <w:tcBorders>
              <w:top w:val="nil"/>
              <w:left w:val="nil"/>
              <w:bottom w:val="nil"/>
              <w:right w:val="nil"/>
            </w:tcBorders>
            <w:shd w:val="clear" w:color="auto" w:fill="auto"/>
            <w:noWrap/>
            <w:vAlign w:val="center"/>
            <w:hideMark/>
          </w:tcPr>
          <w:p w14:paraId="196E5A3A"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48,053</w:t>
            </w:r>
          </w:p>
        </w:tc>
        <w:tc>
          <w:tcPr>
            <w:tcW w:w="562" w:type="pct"/>
            <w:tcBorders>
              <w:top w:val="nil"/>
              <w:left w:val="single" w:sz="8" w:space="0" w:color="auto"/>
              <w:bottom w:val="nil"/>
              <w:right w:val="single" w:sz="8" w:space="0" w:color="auto"/>
            </w:tcBorders>
            <w:shd w:val="clear" w:color="auto" w:fill="auto"/>
            <w:noWrap/>
            <w:vAlign w:val="center"/>
            <w:hideMark/>
          </w:tcPr>
          <w:p w14:paraId="39881FD6"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50,491</w:t>
            </w:r>
          </w:p>
        </w:tc>
        <w:tc>
          <w:tcPr>
            <w:tcW w:w="459" w:type="pct"/>
            <w:tcBorders>
              <w:top w:val="nil"/>
              <w:left w:val="nil"/>
              <w:bottom w:val="nil"/>
              <w:right w:val="single" w:sz="8" w:space="0" w:color="auto"/>
            </w:tcBorders>
            <w:shd w:val="clear" w:color="auto" w:fill="auto"/>
            <w:noWrap/>
            <w:vAlign w:val="center"/>
            <w:hideMark/>
          </w:tcPr>
          <w:p w14:paraId="363A3A7F"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5,800</w:t>
            </w:r>
          </w:p>
        </w:tc>
        <w:tc>
          <w:tcPr>
            <w:tcW w:w="458" w:type="pct"/>
            <w:tcBorders>
              <w:top w:val="nil"/>
              <w:left w:val="nil"/>
              <w:bottom w:val="nil"/>
              <w:right w:val="single" w:sz="8" w:space="0" w:color="auto"/>
            </w:tcBorders>
            <w:shd w:val="clear" w:color="auto" w:fill="auto"/>
            <w:noWrap/>
            <w:vAlign w:val="center"/>
            <w:hideMark/>
          </w:tcPr>
          <w:p w14:paraId="72E2E73C"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11.96%</w:t>
            </w:r>
          </w:p>
        </w:tc>
      </w:tr>
      <w:tr w:rsidR="00B3297B" w:rsidRPr="00770F9D" w14:paraId="1F1E4847" w14:textId="77777777" w:rsidTr="00B3297B">
        <w:trPr>
          <w:trHeight w:val="20"/>
          <w:jc w:val="center"/>
        </w:trPr>
        <w:tc>
          <w:tcPr>
            <w:tcW w:w="1327" w:type="pct"/>
            <w:tcBorders>
              <w:top w:val="nil"/>
              <w:left w:val="single" w:sz="8" w:space="0" w:color="auto"/>
              <w:bottom w:val="nil"/>
              <w:right w:val="nil"/>
            </w:tcBorders>
            <w:shd w:val="clear" w:color="auto" w:fill="auto"/>
            <w:noWrap/>
            <w:vAlign w:val="center"/>
            <w:hideMark/>
          </w:tcPr>
          <w:p w14:paraId="46E95CC0" w14:textId="154C3FCE" w:rsidR="00F468C9" w:rsidRPr="00770F9D" w:rsidRDefault="00F468C9" w:rsidP="00CE3FD7">
            <w:pPr>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 xml:space="preserve">Taksa </w:t>
            </w:r>
            <w:r w:rsidR="00B3297B" w:rsidRPr="00770F9D">
              <w:rPr>
                <w:rFonts w:ascii="Garamond" w:eastAsia="Times New Roman" w:hAnsi="Garamond" w:cstheme="majorBidi"/>
                <w:color w:val="0D0D0D" w:themeColor="text1" w:themeTint="F2"/>
                <w:sz w:val="16"/>
                <w:szCs w:val="16"/>
              </w:rPr>
              <w:t>doganore</w:t>
            </w:r>
          </w:p>
        </w:tc>
        <w:tc>
          <w:tcPr>
            <w:tcW w:w="397" w:type="pct"/>
            <w:tcBorders>
              <w:top w:val="nil"/>
              <w:left w:val="single" w:sz="8" w:space="0" w:color="auto"/>
              <w:bottom w:val="nil"/>
              <w:right w:val="single" w:sz="8" w:space="0" w:color="auto"/>
            </w:tcBorders>
            <w:shd w:val="clear" w:color="auto" w:fill="auto"/>
            <w:noWrap/>
            <w:vAlign w:val="center"/>
            <w:hideMark/>
          </w:tcPr>
          <w:p w14:paraId="01980D04"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6,241</w:t>
            </w:r>
          </w:p>
        </w:tc>
        <w:tc>
          <w:tcPr>
            <w:tcW w:w="397" w:type="pct"/>
            <w:tcBorders>
              <w:top w:val="nil"/>
              <w:left w:val="nil"/>
              <w:bottom w:val="nil"/>
              <w:right w:val="nil"/>
            </w:tcBorders>
            <w:shd w:val="clear" w:color="auto" w:fill="auto"/>
            <w:noWrap/>
            <w:vAlign w:val="center"/>
            <w:hideMark/>
          </w:tcPr>
          <w:p w14:paraId="41380F12"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7,457</w:t>
            </w:r>
          </w:p>
        </w:tc>
        <w:tc>
          <w:tcPr>
            <w:tcW w:w="398" w:type="pct"/>
            <w:tcBorders>
              <w:top w:val="nil"/>
              <w:left w:val="single" w:sz="8" w:space="0" w:color="auto"/>
              <w:bottom w:val="nil"/>
              <w:right w:val="single" w:sz="8" w:space="0" w:color="auto"/>
            </w:tcBorders>
            <w:shd w:val="clear" w:color="auto" w:fill="auto"/>
            <w:noWrap/>
            <w:vAlign w:val="center"/>
            <w:hideMark/>
          </w:tcPr>
          <w:p w14:paraId="1EA6FD5C"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8,500</w:t>
            </w:r>
          </w:p>
        </w:tc>
        <w:tc>
          <w:tcPr>
            <w:tcW w:w="440" w:type="pct"/>
            <w:tcBorders>
              <w:top w:val="nil"/>
              <w:left w:val="nil"/>
              <w:bottom w:val="nil"/>
              <w:right w:val="single" w:sz="8" w:space="0" w:color="auto"/>
            </w:tcBorders>
            <w:shd w:val="clear" w:color="auto" w:fill="auto"/>
            <w:noWrap/>
            <w:vAlign w:val="center"/>
            <w:hideMark/>
          </w:tcPr>
          <w:p w14:paraId="07526CDF"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8,500</w:t>
            </w:r>
          </w:p>
        </w:tc>
        <w:tc>
          <w:tcPr>
            <w:tcW w:w="562" w:type="pct"/>
            <w:tcBorders>
              <w:top w:val="nil"/>
              <w:left w:val="nil"/>
              <w:bottom w:val="nil"/>
              <w:right w:val="nil"/>
            </w:tcBorders>
            <w:shd w:val="clear" w:color="auto" w:fill="auto"/>
            <w:noWrap/>
            <w:vAlign w:val="center"/>
            <w:hideMark/>
          </w:tcPr>
          <w:p w14:paraId="00274E34"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8,929</w:t>
            </w:r>
          </w:p>
        </w:tc>
        <w:tc>
          <w:tcPr>
            <w:tcW w:w="562" w:type="pct"/>
            <w:tcBorders>
              <w:top w:val="nil"/>
              <w:left w:val="single" w:sz="8" w:space="0" w:color="auto"/>
              <w:bottom w:val="nil"/>
              <w:right w:val="single" w:sz="8" w:space="0" w:color="auto"/>
            </w:tcBorders>
            <w:shd w:val="clear" w:color="auto" w:fill="auto"/>
            <w:noWrap/>
            <w:vAlign w:val="center"/>
            <w:hideMark/>
          </w:tcPr>
          <w:p w14:paraId="7EEFD44A"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9,382</w:t>
            </w:r>
          </w:p>
        </w:tc>
        <w:tc>
          <w:tcPr>
            <w:tcW w:w="459" w:type="pct"/>
            <w:tcBorders>
              <w:top w:val="nil"/>
              <w:left w:val="nil"/>
              <w:bottom w:val="nil"/>
              <w:right w:val="single" w:sz="8" w:space="0" w:color="auto"/>
            </w:tcBorders>
            <w:shd w:val="clear" w:color="auto" w:fill="auto"/>
            <w:noWrap/>
            <w:vAlign w:val="center"/>
            <w:hideMark/>
          </w:tcPr>
          <w:p w14:paraId="51B00BF3"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w:t>
            </w:r>
          </w:p>
        </w:tc>
        <w:tc>
          <w:tcPr>
            <w:tcW w:w="458" w:type="pct"/>
            <w:tcBorders>
              <w:top w:val="nil"/>
              <w:left w:val="nil"/>
              <w:bottom w:val="nil"/>
              <w:right w:val="single" w:sz="8" w:space="0" w:color="auto"/>
            </w:tcBorders>
            <w:shd w:val="clear" w:color="auto" w:fill="auto"/>
            <w:noWrap/>
            <w:vAlign w:val="center"/>
            <w:hideMark/>
          </w:tcPr>
          <w:p w14:paraId="69C7553F"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0%</w:t>
            </w:r>
          </w:p>
        </w:tc>
      </w:tr>
      <w:tr w:rsidR="00B3297B" w:rsidRPr="00770F9D" w14:paraId="0274FFA0" w14:textId="77777777" w:rsidTr="00B3297B">
        <w:trPr>
          <w:trHeight w:val="20"/>
          <w:jc w:val="center"/>
        </w:trPr>
        <w:tc>
          <w:tcPr>
            <w:tcW w:w="1327" w:type="pct"/>
            <w:tcBorders>
              <w:top w:val="single" w:sz="8" w:space="0" w:color="auto"/>
              <w:left w:val="single" w:sz="8" w:space="0" w:color="auto"/>
              <w:bottom w:val="single" w:sz="8" w:space="0" w:color="auto"/>
              <w:right w:val="nil"/>
            </w:tcBorders>
            <w:shd w:val="clear" w:color="auto" w:fill="auto"/>
            <w:noWrap/>
            <w:vAlign w:val="center"/>
            <w:hideMark/>
          </w:tcPr>
          <w:p w14:paraId="67C77EF8" w14:textId="77777777" w:rsidR="00F468C9" w:rsidRPr="00770F9D" w:rsidRDefault="00F468C9" w:rsidP="00CE3FD7">
            <w:pPr>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Totali DPD+DPT</w:t>
            </w:r>
          </w:p>
        </w:tc>
        <w:tc>
          <w:tcPr>
            <w:tcW w:w="397"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B5ECC41"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278,984</w:t>
            </w:r>
          </w:p>
        </w:tc>
        <w:tc>
          <w:tcPr>
            <w:tcW w:w="397" w:type="pct"/>
            <w:tcBorders>
              <w:top w:val="single" w:sz="8" w:space="0" w:color="auto"/>
              <w:left w:val="nil"/>
              <w:bottom w:val="single" w:sz="8" w:space="0" w:color="auto"/>
              <w:right w:val="single" w:sz="8" w:space="0" w:color="auto"/>
            </w:tcBorders>
            <w:shd w:val="clear" w:color="auto" w:fill="auto"/>
            <w:noWrap/>
            <w:vAlign w:val="center"/>
            <w:hideMark/>
          </w:tcPr>
          <w:p w14:paraId="2ECEC37D"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338,074</w:t>
            </w:r>
          </w:p>
        </w:tc>
        <w:tc>
          <w:tcPr>
            <w:tcW w:w="398" w:type="pct"/>
            <w:tcBorders>
              <w:top w:val="single" w:sz="8" w:space="0" w:color="auto"/>
              <w:left w:val="nil"/>
              <w:bottom w:val="single" w:sz="8" w:space="0" w:color="auto"/>
              <w:right w:val="single" w:sz="8" w:space="0" w:color="auto"/>
            </w:tcBorders>
            <w:shd w:val="clear" w:color="auto" w:fill="auto"/>
            <w:noWrap/>
            <w:vAlign w:val="center"/>
            <w:hideMark/>
          </w:tcPr>
          <w:p w14:paraId="4D2E5F36"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398,000</w:t>
            </w:r>
          </w:p>
        </w:tc>
        <w:tc>
          <w:tcPr>
            <w:tcW w:w="440" w:type="pct"/>
            <w:tcBorders>
              <w:top w:val="single" w:sz="8" w:space="0" w:color="auto"/>
              <w:left w:val="nil"/>
              <w:bottom w:val="single" w:sz="8" w:space="0" w:color="auto"/>
              <w:right w:val="single" w:sz="8" w:space="0" w:color="auto"/>
            </w:tcBorders>
            <w:shd w:val="clear" w:color="auto" w:fill="auto"/>
            <w:noWrap/>
            <w:vAlign w:val="center"/>
            <w:hideMark/>
          </w:tcPr>
          <w:p w14:paraId="07077B6E"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431,200</w:t>
            </w:r>
          </w:p>
        </w:tc>
        <w:tc>
          <w:tcPr>
            <w:tcW w:w="562" w:type="pct"/>
            <w:tcBorders>
              <w:top w:val="single" w:sz="8" w:space="0" w:color="auto"/>
              <w:left w:val="nil"/>
              <w:bottom w:val="single" w:sz="8" w:space="0" w:color="auto"/>
              <w:right w:val="single" w:sz="8" w:space="0" w:color="auto"/>
            </w:tcBorders>
            <w:shd w:val="clear" w:color="auto" w:fill="auto"/>
            <w:noWrap/>
            <w:vAlign w:val="center"/>
            <w:hideMark/>
          </w:tcPr>
          <w:p w14:paraId="4516D226"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444,329</w:t>
            </w:r>
          </w:p>
        </w:tc>
        <w:tc>
          <w:tcPr>
            <w:tcW w:w="562" w:type="pct"/>
            <w:tcBorders>
              <w:top w:val="single" w:sz="8" w:space="0" w:color="auto"/>
              <w:left w:val="nil"/>
              <w:bottom w:val="single" w:sz="8" w:space="0" w:color="auto"/>
              <w:right w:val="single" w:sz="8" w:space="0" w:color="auto"/>
            </w:tcBorders>
            <w:shd w:val="clear" w:color="auto" w:fill="auto"/>
            <w:noWrap/>
            <w:vAlign w:val="center"/>
            <w:hideMark/>
          </w:tcPr>
          <w:p w14:paraId="1788D592"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467,689</w:t>
            </w:r>
          </w:p>
        </w:tc>
        <w:tc>
          <w:tcPr>
            <w:tcW w:w="459" w:type="pct"/>
            <w:tcBorders>
              <w:top w:val="single" w:sz="8" w:space="0" w:color="auto"/>
              <w:left w:val="nil"/>
              <w:bottom w:val="single" w:sz="8" w:space="0" w:color="auto"/>
              <w:right w:val="single" w:sz="8" w:space="0" w:color="auto"/>
            </w:tcBorders>
            <w:shd w:val="clear" w:color="auto" w:fill="auto"/>
            <w:noWrap/>
            <w:vAlign w:val="center"/>
            <w:hideMark/>
          </w:tcPr>
          <w:p w14:paraId="77760CBD"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33,200</w:t>
            </w:r>
          </w:p>
        </w:tc>
        <w:tc>
          <w:tcPr>
            <w:tcW w:w="458" w:type="pct"/>
            <w:tcBorders>
              <w:top w:val="single" w:sz="8" w:space="0" w:color="auto"/>
              <w:left w:val="nil"/>
              <w:bottom w:val="single" w:sz="8" w:space="0" w:color="auto"/>
              <w:right w:val="single" w:sz="8" w:space="0" w:color="auto"/>
            </w:tcBorders>
            <w:shd w:val="clear" w:color="auto" w:fill="auto"/>
            <w:noWrap/>
            <w:vAlign w:val="center"/>
            <w:hideMark/>
          </w:tcPr>
          <w:p w14:paraId="06D3B28A"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8.34%</w:t>
            </w:r>
          </w:p>
        </w:tc>
      </w:tr>
      <w:tr w:rsidR="00B3297B" w:rsidRPr="00770F9D" w14:paraId="6D556620" w14:textId="77777777" w:rsidTr="00B3297B">
        <w:trPr>
          <w:trHeight w:val="20"/>
          <w:jc w:val="center"/>
        </w:trPr>
        <w:tc>
          <w:tcPr>
            <w:tcW w:w="1327" w:type="pct"/>
            <w:tcBorders>
              <w:top w:val="nil"/>
              <w:left w:val="single" w:sz="8" w:space="0" w:color="auto"/>
              <w:bottom w:val="nil"/>
              <w:right w:val="nil"/>
            </w:tcBorders>
            <w:shd w:val="clear" w:color="auto" w:fill="auto"/>
            <w:noWrap/>
            <w:vAlign w:val="center"/>
            <w:hideMark/>
          </w:tcPr>
          <w:p w14:paraId="5D7F4609" w14:textId="77777777" w:rsidR="00F468C9" w:rsidRPr="00770F9D" w:rsidRDefault="00F468C9" w:rsidP="00CE3FD7">
            <w:pPr>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 xml:space="preserve">Kontributet e mbledhura </w:t>
            </w:r>
          </w:p>
        </w:tc>
        <w:tc>
          <w:tcPr>
            <w:tcW w:w="397" w:type="pct"/>
            <w:tcBorders>
              <w:top w:val="nil"/>
              <w:left w:val="single" w:sz="8" w:space="0" w:color="auto"/>
              <w:bottom w:val="nil"/>
              <w:right w:val="single" w:sz="8" w:space="0" w:color="auto"/>
            </w:tcBorders>
            <w:shd w:val="clear" w:color="auto" w:fill="auto"/>
            <w:noWrap/>
            <w:vAlign w:val="center"/>
            <w:hideMark/>
          </w:tcPr>
          <w:p w14:paraId="76AEA7DA"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96,538</w:t>
            </w:r>
          </w:p>
        </w:tc>
        <w:tc>
          <w:tcPr>
            <w:tcW w:w="397" w:type="pct"/>
            <w:tcBorders>
              <w:top w:val="nil"/>
              <w:left w:val="nil"/>
              <w:bottom w:val="nil"/>
              <w:right w:val="nil"/>
            </w:tcBorders>
            <w:shd w:val="clear" w:color="auto" w:fill="auto"/>
            <w:noWrap/>
            <w:vAlign w:val="center"/>
            <w:hideMark/>
          </w:tcPr>
          <w:p w14:paraId="256A4C36"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109,441</w:t>
            </w:r>
          </w:p>
        </w:tc>
        <w:tc>
          <w:tcPr>
            <w:tcW w:w="398" w:type="pct"/>
            <w:tcBorders>
              <w:top w:val="nil"/>
              <w:left w:val="single" w:sz="8" w:space="0" w:color="auto"/>
              <w:bottom w:val="nil"/>
              <w:right w:val="single" w:sz="8" w:space="0" w:color="auto"/>
            </w:tcBorders>
            <w:shd w:val="clear" w:color="auto" w:fill="auto"/>
            <w:noWrap/>
            <w:vAlign w:val="center"/>
            <w:hideMark/>
          </w:tcPr>
          <w:p w14:paraId="79FA6A63"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118,555</w:t>
            </w:r>
          </w:p>
        </w:tc>
        <w:tc>
          <w:tcPr>
            <w:tcW w:w="440" w:type="pct"/>
            <w:tcBorders>
              <w:top w:val="nil"/>
              <w:left w:val="nil"/>
              <w:bottom w:val="nil"/>
              <w:right w:val="single" w:sz="8" w:space="0" w:color="auto"/>
            </w:tcBorders>
            <w:shd w:val="clear" w:color="auto" w:fill="auto"/>
            <w:noWrap/>
            <w:vAlign w:val="center"/>
            <w:hideMark/>
          </w:tcPr>
          <w:p w14:paraId="16D04FB4"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127,100</w:t>
            </w:r>
          </w:p>
        </w:tc>
        <w:tc>
          <w:tcPr>
            <w:tcW w:w="562" w:type="pct"/>
            <w:tcBorders>
              <w:top w:val="nil"/>
              <w:left w:val="nil"/>
              <w:bottom w:val="nil"/>
              <w:right w:val="nil"/>
            </w:tcBorders>
            <w:shd w:val="clear" w:color="auto" w:fill="auto"/>
            <w:noWrap/>
            <w:vAlign w:val="center"/>
            <w:hideMark/>
          </w:tcPr>
          <w:p w14:paraId="508E6A0E"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134,225</w:t>
            </w:r>
          </w:p>
        </w:tc>
        <w:tc>
          <w:tcPr>
            <w:tcW w:w="562" w:type="pct"/>
            <w:tcBorders>
              <w:top w:val="nil"/>
              <w:left w:val="single" w:sz="8" w:space="0" w:color="auto"/>
              <w:bottom w:val="nil"/>
              <w:right w:val="single" w:sz="8" w:space="0" w:color="auto"/>
            </w:tcBorders>
            <w:shd w:val="clear" w:color="auto" w:fill="auto"/>
            <w:noWrap/>
            <w:vAlign w:val="center"/>
            <w:hideMark/>
          </w:tcPr>
          <w:p w14:paraId="028787BC"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141,168</w:t>
            </w:r>
          </w:p>
        </w:tc>
        <w:tc>
          <w:tcPr>
            <w:tcW w:w="459" w:type="pct"/>
            <w:tcBorders>
              <w:top w:val="nil"/>
              <w:left w:val="nil"/>
              <w:bottom w:val="nil"/>
              <w:right w:val="single" w:sz="8" w:space="0" w:color="auto"/>
            </w:tcBorders>
            <w:shd w:val="clear" w:color="auto" w:fill="auto"/>
            <w:noWrap/>
            <w:vAlign w:val="center"/>
            <w:hideMark/>
          </w:tcPr>
          <w:p w14:paraId="246EF950"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8,545</w:t>
            </w:r>
          </w:p>
        </w:tc>
        <w:tc>
          <w:tcPr>
            <w:tcW w:w="458" w:type="pct"/>
            <w:tcBorders>
              <w:top w:val="nil"/>
              <w:left w:val="nil"/>
              <w:bottom w:val="nil"/>
              <w:right w:val="single" w:sz="8" w:space="0" w:color="auto"/>
            </w:tcBorders>
            <w:shd w:val="clear" w:color="auto" w:fill="auto"/>
            <w:noWrap/>
            <w:vAlign w:val="center"/>
            <w:hideMark/>
          </w:tcPr>
          <w:p w14:paraId="505F2684"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7.21%</w:t>
            </w:r>
          </w:p>
        </w:tc>
      </w:tr>
      <w:tr w:rsidR="00B3297B" w:rsidRPr="00770F9D" w14:paraId="25B56BEA" w14:textId="77777777" w:rsidTr="00B3297B">
        <w:trPr>
          <w:trHeight w:val="20"/>
          <w:jc w:val="center"/>
        </w:trPr>
        <w:tc>
          <w:tcPr>
            <w:tcW w:w="1327" w:type="pct"/>
            <w:tcBorders>
              <w:top w:val="single" w:sz="8" w:space="0" w:color="auto"/>
              <w:left w:val="single" w:sz="8" w:space="0" w:color="auto"/>
              <w:bottom w:val="single" w:sz="8" w:space="0" w:color="auto"/>
              <w:right w:val="nil"/>
            </w:tcBorders>
            <w:shd w:val="clear" w:color="auto" w:fill="auto"/>
            <w:noWrap/>
            <w:vAlign w:val="center"/>
            <w:hideMark/>
          </w:tcPr>
          <w:p w14:paraId="003BC11B" w14:textId="0A5F7AF6" w:rsidR="00F468C9" w:rsidRPr="00770F9D" w:rsidRDefault="00F468C9" w:rsidP="00CE3FD7">
            <w:pPr>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Totali i DPD+DPT (</w:t>
            </w:r>
            <w:r w:rsidR="00B3297B" w:rsidRPr="00770F9D">
              <w:rPr>
                <w:rFonts w:ascii="Garamond" w:eastAsia="Times New Roman" w:hAnsi="Garamond" w:cstheme="majorBidi"/>
                <w:color w:val="0D0D0D" w:themeColor="text1" w:themeTint="F2"/>
                <w:sz w:val="16"/>
                <w:szCs w:val="16"/>
              </w:rPr>
              <w:t>kontributet</w:t>
            </w:r>
            <w:r w:rsidRPr="00770F9D">
              <w:rPr>
                <w:rFonts w:ascii="Garamond" w:eastAsia="Times New Roman" w:hAnsi="Garamond" w:cstheme="majorBidi"/>
                <w:color w:val="0D0D0D" w:themeColor="text1" w:themeTint="F2"/>
                <w:sz w:val="16"/>
                <w:szCs w:val="16"/>
              </w:rPr>
              <w:t>)</w:t>
            </w:r>
          </w:p>
        </w:tc>
        <w:tc>
          <w:tcPr>
            <w:tcW w:w="397"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F6BD671"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375,522</w:t>
            </w:r>
          </w:p>
        </w:tc>
        <w:tc>
          <w:tcPr>
            <w:tcW w:w="397" w:type="pct"/>
            <w:tcBorders>
              <w:top w:val="single" w:sz="8" w:space="0" w:color="auto"/>
              <w:left w:val="nil"/>
              <w:bottom w:val="single" w:sz="8" w:space="0" w:color="auto"/>
              <w:right w:val="single" w:sz="8" w:space="0" w:color="auto"/>
            </w:tcBorders>
            <w:shd w:val="clear" w:color="auto" w:fill="auto"/>
            <w:noWrap/>
            <w:vAlign w:val="center"/>
            <w:hideMark/>
          </w:tcPr>
          <w:p w14:paraId="370E7848"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447,515</w:t>
            </w:r>
          </w:p>
        </w:tc>
        <w:tc>
          <w:tcPr>
            <w:tcW w:w="398" w:type="pct"/>
            <w:tcBorders>
              <w:top w:val="single" w:sz="8" w:space="0" w:color="auto"/>
              <w:left w:val="nil"/>
              <w:bottom w:val="single" w:sz="8" w:space="0" w:color="auto"/>
              <w:right w:val="single" w:sz="8" w:space="0" w:color="auto"/>
            </w:tcBorders>
            <w:shd w:val="clear" w:color="auto" w:fill="auto"/>
            <w:noWrap/>
            <w:vAlign w:val="center"/>
            <w:hideMark/>
          </w:tcPr>
          <w:p w14:paraId="41293216"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516,555</w:t>
            </w:r>
          </w:p>
        </w:tc>
        <w:tc>
          <w:tcPr>
            <w:tcW w:w="440" w:type="pct"/>
            <w:tcBorders>
              <w:top w:val="single" w:sz="8" w:space="0" w:color="auto"/>
              <w:left w:val="nil"/>
              <w:bottom w:val="single" w:sz="8" w:space="0" w:color="auto"/>
              <w:right w:val="single" w:sz="8" w:space="0" w:color="auto"/>
            </w:tcBorders>
            <w:shd w:val="clear" w:color="auto" w:fill="auto"/>
            <w:noWrap/>
            <w:vAlign w:val="center"/>
            <w:hideMark/>
          </w:tcPr>
          <w:p w14:paraId="6473506E"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558,300</w:t>
            </w:r>
          </w:p>
        </w:tc>
        <w:tc>
          <w:tcPr>
            <w:tcW w:w="562" w:type="pct"/>
            <w:tcBorders>
              <w:top w:val="single" w:sz="8" w:space="0" w:color="auto"/>
              <w:left w:val="nil"/>
              <w:bottom w:val="single" w:sz="8" w:space="0" w:color="auto"/>
              <w:right w:val="single" w:sz="8" w:space="0" w:color="auto"/>
            </w:tcBorders>
            <w:shd w:val="clear" w:color="auto" w:fill="auto"/>
            <w:noWrap/>
            <w:vAlign w:val="center"/>
            <w:hideMark/>
          </w:tcPr>
          <w:p w14:paraId="36E16F04"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578,554</w:t>
            </w:r>
          </w:p>
        </w:tc>
        <w:tc>
          <w:tcPr>
            <w:tcW w:w="562" w:type="pct"/>
            <w:tcBorders>
              <w:top w:val="single" w:sz="8" w:space="0" w:color="auto"/>
              <w:left w:val="nil"/>
              <w:bottom w:val="single" w:sz="8" w:space="0" w:color="auto"/>
              <w:right w:val="single" w:sz="8" w:space="0" w:color="auto"/>
            </w:tcBorders>
            <w:shd w:val="clear" w:color="auto" w:fill="auto"/>
            <w:noWrap/>
            <w:vAlign w:val="center"/>
            <w:hideMark/>
          </w:tcPr>
          <w:p w14:paraId="016CCB3E"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608,857</w:t>
            </w:r>
          </w:p>
        </w:tc>
        <w:tc>
          <w:tcPr>
            <w:tcW w:w="459" w:type="pct"/>
            <w:tcBorders>
              <w:top w:val="single" w:sz="8" w:space="0" w:color="auto"/>
              <w:left w:val="nil"/>
              <w:bottom w:val="single" w:sz="8" w:space="0" w:color="auto"/>
              <w:right w:val="single" w:sz="8" w:space="0" w:color="auto"/>
            </w:tcBorders>
            <w:shd w:val="clear" w:color="auto" w:fill="auto"/>
            <w:noWrap/>
            <w:vAlign w:val="center"/>
            <w:hideMark/>
          </w:tcPr>
          <w:p w14:paraId="45BDB462"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41,745</w:t>
            </w:r>
          </w:p>
        </w:tc>
        <w:tc>
          <w:tcPr>
            <w:tcW w:w="458" w:type="pct"/>
            <w:tcBorders>
              <w:top w:val="single" w:sz="8" w:space="0" w:color="auto"/>
              <w:left w:val="nil"/>
              <w:bottom w:val="single" w:sz="8" w:space="0" w:color="auto"/>
              <w:right w:val="single" w:sz="8" w:space="0" w:color="auto"/>
            </w:tcBorders>
            <w:shd w:val="clear" w:color="auto" w:fill="auto"/>
            <w:noWrap/>
            <w:vAlign w:val="center"/>
            <w:hideMark/>
          </w:tcPr>
          <w:p w14:paraId="19BDE98C" w14:textId="77777777" w:rsidR="00F468C9" w:rsidRPr="00770F9D" w:rsidRDefault="00F468C9" w:rsidP="00B3297B">
            <w:pPr>
              <w:jc w:val="right"/>
              <w:rPr>
                <w:rFonts w:ascii="Garamond" w:eastAsia="Times New Roman" w:hAnsi="Garamond" w:cstheme="majorBidi"/>
                <w:color w:val="0D0D0D" w:themeColor="text1" w:themeTint="F2"/>
                <w:sz w:val="16"/>
                <w:szCs w:val="16"/>
              </w:rPr>
            </w:pPr>
            <w:r w:rsidRPr="00770F9D">
              <w:rPr>
                <w:rFonts w:ascii="Garamond" w:eastAsia="Times New Roman" w:hAnsi="Garamond" w:cstheme="majorBidi"/>
                <w:color w:val="0D0D0D" w:themeColor="text1" w:themeTint="F2"/>
                <w:sz w:val="16"/>
                <w:szCs w:val="16"/>
              </w:rPr>
              <w:t>8.08%</w:t>
            </w:r>
          </w:p>
        </w:tc>
      </w:tr>
    </w:tbl>
    <w:p w14:paraId="3BF9B17F" w14:textId="36DD5F50" w:rsidR="00F468C9" w:rsidRPr="00770F9D" w:rsidRDefault="00F468C9" w:rsidP="00B3297B">
      <w:pPr>
        <w:shd w:val="clear" w:color="auto" w:fill="FFFFFF"/>
        <w:jc w:val="center"/>
        <w:rPr>
          <w:rFonts w:ascii="Garamond" w:eastAsia="Times New Roman" w:hAnsi="Garamond" w:cstheme="majorBidi"/>
          <w:i/>
          <w:color w:val="0D0D0D" w:themeColor="text1" w:themeTint="F2"/>
          <w:sz w:val="20"/>
          <w:szCs w:val="20"/>
        </w:rPr>
      </w:pPr>
      <w:r w:rsidRPr="00770F9D">
        <w:rPr>
          <w:rFonts w:ascii="Garamond" w:eastAsia="Times New Roman" w:hAnsi="Garamond" w:cstheme="majorBidi"/>
          <w:i/>
          <w:color w:val="0D0D0D" w:themeColor="text1" w:themeTint="F2"/>
          <w:sz w:val="20"/>
          <w:szCs w:val="20"/>
        </w:rPr>
        <w:t xml:space="preserve">Burimi: Ministria e Financave dhe </w:t>
      </w:r>
      <w:r w:rsidR="00B3297B" w:rsidRPr="00770F9D">
        <w:rPr>
          <w:rFonts w:ascii="Garamond" w:eastAsia="Times New Roman" w:hAnsi="Garamond" w:cstheme="majorBidi"/>
          <w:i/>
          <w:color w:val="0D0D0D" w:themeColor="text1" w:themeTint="F2"/>
          <w:sz w:val="20"/>
          <w:szCs w:val="20"/>
        </w:rPr>
        <w:t>Ekonomisë</w:t>
      </w:r>
      <w:r w:rsidRPr="00770F9D">
        <w:rPr>
          <w:rFonts w:ascii="Garamond" w:eastAsia="Times New Roman" w:hAnsi="Garamond" w:cstheme="majorBidi"/>
          <w:i/>
          <w:color w:val="0D0D0D" w:themeColor="text1" w:themeTint="F2"/>
          <w:sz w:val="20"/>
          <w:szCs w:val="20"/>
        </w:rPr>
        <w:t xml:space="preserve"> 2022</w:t>
      </w:r>
    </w:p>
    <w:p w14:paraId="659E449F" w14:textId="77777777" w:rsidR="00B3297B" w:rsidRPr="00770F9D" w:rsidRDefault="00B3297B" w:rsidP="00B3297B">
      <w:pPr>
        <w:shd w:val="clear" w:color="auto" w:fill="FFFFFF"/>
        <w:jc w:val="center"/>
        <w:rPr>
          <w:rFonts w:ascii="Garamond" w:eastAsia="Times New Roman" w:hAnsi="Garamond" w:cstheme="majorBidi"/>
          <w:i/>
          <w:color w:val="0D0D0D" w:themeColor="text1" w:themeTint="F2"/>
          <w:sz w:val="20"/>
          <w:szCs w:val="20"/>
        </w:rPr>
      </w:pPr>
    </w:p>
    <w:p w14:paraId="34823E4F" w14:textId="24E3ECAD"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Për vitet 2024</w:t>
      </w:r>
      <w:r w:rsidR="00B3297B"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2025, shpenzimet e përgjithshme buxhetore rezultojnë në rënie në </w:t>
      </w:r>
      <w:r w:rsidR="007A2FF2" w:rsidRPr="00770F9D">
        <w:rPr>
          <w:rFonts w:ascii="Garamond" w:hAnsi="Garamond" w:cstheme="majorBidi"/>
          <w:color w:val="0D0D0D" w:themeColor="text1" w:themeTint="F2"/>
        </w:rPr>
        <w:t xml:space="preserve">përqindje </w:t>
      </w:r>
      <w:r w:rsidRPr="00770F9D">
        <w:rPr>
          <w:rFonts w:ascii="Garamond" w:hAnsi="Garamond" w:cstheme="majorBidi"/>
          <w:color w:val="0D0D0D" w:themeColor="text1" w:themeTint="F2"/>
        </w:rPr>
        <w:t>ndaj PBB, reduktim i cili reflektohet në zërat kryesorë të shpenzimeve buxhetore. Ky reduktim mbështet objektivin madhor të konsolidimit fiskal në drejtim të uljes së borxhit publik dhe ruajtje së parametrave të tjerë makroekonomikë në nivele të qëndrueshme. Në këtë kuadër, për vitet 2024</w:t>
      </w:r>
      <w:r w:rsidR="00977763" w:rsidRPr="00770F9D">
        <w:rPr>
          <w:rFonts w:ascii="Garamond" w:hAnsi="Garamond" w:cstheme="majorBidi"/>
          <w:color w:val="0D0D0D" w:themeColor="text1" w:themeTint="F2"/>
        </w:rPr>
        <w:t>–</w:t>
      </w:r>
      <w:r w:rsidRPr="00770F9D">
        <w:rPr>
          <w:rFonts w:ascii="Garamond" w:hAnsi="Garamond" w:cstheme="majorBidi"/>
          <w:color w:val="0D0D0D" w:themeColor="text1" w:themeTint="F2"/>
        </w:rPr>
        <w:t>2025 nuk kemi politika të reja të parashikuara për t’u financuar të cilat tejkalojnë 0.1% të PBB</w:t>
      </w:r>
      <w:r w:rsidR="00977763" w:rsidRPr="00770F9D">
        <w:rPr>
          <w:rFonts w:ascii="Garamond" w:hAnsi="Garamond" w:cstheme="majorBidi"/>
          <w:color w:val="0D0D0D" w:themeColor="text1" w:themeTint="F2"/>
        </w:rPr>
        <w:t>-së</w:t>
      </w:r>
      <w:r w:rsidRPr="00770F9D">
        <w:rPr>
          <w:rFonts w:ascii="Garamond" w:hAnsi="Garamond" w:cstheme="majorBidi"/>
          <w:color w:val="0D0D0D" w:themeColor="text1" w:themeTint="F2"/>
        </w:rPr>
        <w:t>, por do të vijojmë me akomodimin e efekteve të politikave ekzistuese të ndërmarra deri tani.</w:t>
      </w:r>
    </w:p>
    <w:p w14:paraId="40C3A37F" w14:textId="77777777" w:rsidR="00F468C9" w:rsidRPr="00770F9D" w:rsidRDefault="00F468C9" w:rsidP="003F46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eastAsia="Times New Roman" w:hAnsi="Garamond" w:cstheme="majorBidi"/>
          <w:i/>
          <w:color w:val="0D0D0D" w:themeColor="text1" w:themeTint="F2"/>
          <w:lang w:eastAsia="en-GB"/>
        </w:rPr>
      </w:pPr>
      <w:r w:rsidRPr="00770F9D">
        <w:rPr>
          <w:rFonts w:ascii="Garamond" w:eastAsia="Times New Roman" w:hAnsi="Garamond" w:cstheme="majorBidi"/>
          <w:i/>
          <w:color w:val="0D0D0D" w:themeColor="text1" w:themeTint="F2"/>
          <w:lang w:eastAsia="en-GB"/>
        </w:rPr>
        <w:t>Nevojat afatmesme për financim të qeverisë qendrore</w:t>
      </w:r>
    </w:p>
    <w:p w14:paraId="2C640E0A" w14:textId="75FB4206" w:rsidR="00F468C9" w:rsidRPr="00770F9D" w:rsidRDefault="00F468C9" w:rsidP="003F46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eastAsia="Times New Roman" w:hAnsi="Garamond" w:cstheme="majorBidi"/>
          <w:color w:val="0D0D0D" w:themeColor="text1" w:themeTint="F2"/>
          <w:lang w:eastAsia="en-GB"/>
        </w:rPr>
      </w:pPr>
      <w:r w:rsidRPr="00770F9D">
        <w:rPr>
          <w:rFonts w:ascii="Garamond" w:eastAsia="Times New Roman" w:hAnsi="Garamond" w:cstheme="majorBidi"/>
          <w:color w:val="0D0D0D" w:themeColor="text1" w:themeTint="F2"/>
          <w:lang w:eastAsia="en-GB"/>
        </w:rPr>
        <w:t>Në periudhën afatmesme, nevojat për financim të qeverisë qendrore do të realizohen duke përdorur si huamarrjen e brendshme ashtu edhe atë të jashtme. Burimet e brendshme të huamarrjes do të vazhdojnë të jenë kontribuesi kryesor për të mbajtur nën kontroll riskun e kursit të këmbimit (duke ulur në afat të mesëm raportin e borxhit në valutë/total dhe duke ruajtur këtë tregues nën kufirin prej 50%). Pavarësisht pritshmërive pozitive në aktivitetin e institucioneve jofinanciare dhe të sektorit të shitjes me pakicë, huamarrja e brendshme do të vazhdojë të mbështetet më së shumti në sektorin bankar. Instrumentet afatshkurtra do të synojnë kryesisht rifinancimin e titujve ekzistues</w:t>
      </w:r>
      <w:r w:rsidR="00977763" w:rsidRPr="00770F9D">
        <w:rPr>
          <w:rFonts w:ascii="Garamond" w:eastAsia="Times New Roman" w:hAnsi="Garamond" w:cstheme="majorBidi"/>
          <w:color w:val="0D0D0D" w:themeColor="text1" w:themeTint="F2"/>
          <w:lang w:eastAsia="en-GB"/>
        </w:rPr>
        <w:t>,</w:t>
      </w:r>
      <w:r w:rsidRPr="00770F9D">
        <w:rPr>
          <w:rFonts w:ascii="Garamond" w:eastAsia="Times New Roman" w:hAnsi="Garamond" w:cstheme="majorBidi"/>
          <w:color w:val="0D0D0D" w:themeColor="text1" w:themeTint="F2"/>
          <w:lang w:eastAsia="en-GB"/>
        </w:rPr>
        <w:t xml:space="preserve"> si edhe për qëllime të sigurimit të likuiditetit, ndërkohë që instrumentet afatgjata do të përdoren për sigurimin e financimit të ri. Në çdo rast plani i huamarrjes do të drejtohet edhe nga interesi i investitorëve drejt llojit të instrumenteve. Struktura e huamarrjes së brendshme do të mbetet deri diku fleksibël</w:t>
      </w:r>
      <w:r w:rsidR="009822F6" w:rsidRPr="00770F9D">
        <w:rPr>
          <w:rFonts w:ascii="Garamond" w:eastAsia="Times New Roman" w:hAnsi="Garamond" w:cstheme="majorBidi"/>
          <w:color w:val="0D0D0D" w:themeColor="text1" w:themeTint="F2"/>
          <w:lang w:eastAsia="en-GB"/>
        </w:rPr>
        <w:t>,</w:t>
      </w:r>
      <w:r w:rsidRPr="00770F9D">
        <w:rPr>
          <w:rFonts w:ascii="Garamond" w:eastAsia="Times New Roman" w:hAnsi="Garamond" w:cstheme="majorBidi"/>
          <w:color w:val="0D0D0D" w:themeColor="text1" w:themeTint="F2"/>
          <w:lang w:eastAsia="en-GB"/>
        </w:rPr>
        <w:t xml:space="preserve"> për sa i përket përzgjedhjes së instrumenteve, në varësi të kushteve të tregut (niveli i kërkesës, normat e interesit</w:t>
      </w:r>
      <w:r w:rsidR="003469F3" w:rsidRPr="00770F9D">
        <w:rPr>
          <w:rFonts w:ascii="Garamond" w:eastAsia="Times New Roman" w:hAnsi="Garamond" w:cstheme="majorBidi"/>
          <w:color w:val="0D0D0D" w:themeColor="text1" w:themeTint="F2"/>
          <w:lang w:eastAsia="en-GB"/>
        </w:rPr>
        <w:t xml:space="preserve"> etj</w:t>
      </w:r>
      <w:r w:rsidRPr="00770F9D">
        <w:rPr>
          <w:rFonts w:ascii="Garamond" w:eastAsia="Times New Roman" w:hAnsi="Garamond" w:cstheme="majorBidi"/>
          <w:color w:val="0D0D0D" w:themeColor="text1" w:themeTint="F2"/>
          <w:lang w:eastAsia="en-GB"/>
        </w:rPr>
        <w:t>.), në mënyrë që të sigurohet një shkëmbim optimal midis kostos dhe risqeve.</w:t>
      </w:r>
    </w:p>
    <w:p w14:paraId="373A5720" w14:textId="77777777" w:rsidR="00F468C9" w:rsidRPr="00770F9D" w:rsidRDefault="00F468C9" w:rsidP="003F46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eastAsia="Times New Roman" w:hAnsi="Garamond" w:cstheme="majorBidi"/>
          <w:color w:val="0D0D0D" w:themeColor="text1" w:themeTint="F2"/>
          <w:lang w:eastAsia="en-GB"/>
        </w:rPr>
      </w:pPr>
      <w:r w:rsidRPr="00770F9D">
        <w:rPr>
          <w:rFonts w:ascii="Garamond" w:eastAsia="Times New Roman" w:hAnsi="Garamond" w:cstheme="majorBidi"/>
          <w:color w:val="0D0D0D" w:themeColor="text1" w:themeTint="F2"/>
          <w:lang w:eastAsia="en-GB"/>
        </w:rPr>
        <w:t xml:space="preserve">Në periudhën afatmesme, burimet e jashtme të huamarrjes do të kontribuojnë në optimizimin e kostos së portofolit të borxhit, pasi një pjesë e konsiderueshme e kësaj huamarrjeje pritet të realizohet nëpërmjet kredive që do të merren nga kreditorët shumëpalësh dhe dypalësh, gjë që i ofron qeverisë kushte më të favorshme financiare sesa tregu. Huamarrja e jashtme nga burime dypalëshe dhe shumëpalëshe do të përdoret më së shumti për financimin e projekteve strategjike të qeverisë dhe reformave të ndërmarra nga qeveria. Gjithashtu, do të synohen burimet private të financimit nga tregjet ndërkombëtare të kapitalit, më së shumti për të menaxhuar risqet e rifinancimit në vitet e pikut nga ana e shlyerjes, për të menaxhuar detyrimet e borxhit në valutë dhe për të mbajtur huamarrjen e brendshme brenda niveleve të pranueshme për të shmangur e efektin </w:t>
      </w:r>
      <w:r w:rsidRPr="00770F9D">
        <w:rPr>
          <w:rFonts w:ascii="Garamond" w:eastAsia="Times New Roman" w:hAnsi="Garamond" w:cstheme="majorBidi"/>
          <w:i/>
          <w:color w:val="0D0D0D" w:themeColor="text1" w:themeTint="F2"/>
          <w:lang w:eastAsia="en-GB"/>
        </w:rPr>
        <w:t>Crowding Out</w:t>
      </w:r>
      <w:r w:rsidRPr="00770F9D">
        <w:rPr>
          <w:rFonts w:ascii="Garamond" w:eastAsia="Times New Roman" w:hAnsi="Garamond" w:cstheme="majorBidi"/>
          <w:color w:val="0D0D0D" w:themeColor="text1" w:themeTint="F2"/>
          <w:lang w:eastAsia="en-GB"/>
        </w:rPr>
        <w:t>, si dhe shmangia e presionit në normat e interesit që do të ishin të pranishme në rastet e financimit të zgjeruar, përtej kapaciteteve normale, të tregut të brendshëm.</w:t>
      </w:r>
    </w:p>
    <w:p w14:paraId="21F8841D" w14:textId="41F39352" w:rsidR="00F468C9" w:rsidRPr="00770F9D" w:rsidRDefault="00CE3FD7" w:rsidP="003F46E1">
      <w:pPr>
        <w:pStyle w:val="Heading2"/>
        <w:snapToGrid w:val="0"/>
        <w:ind w:left="0" w:firstLine="284"/>
        <w:jc w:val="both"/>
        <w:rPr>
          <w:rFonts w:ascii="Garamond" w:hAnsi="Garamond" w:cstheme="majorBidi"/>
          <w:b/>
          <w:color w:val="0D0D0D" w:themeColor="text1" w:themeTint="F2"/>
        </w:rPr>
      </w:pPr>
      <w:bookmarkStart w:id="31" w:name="_Toc30661220"/>
      <w:bookmarkStart w:id="32" w:name="_Toc30416396"/>
      <w:bookmarkStart w:id="33" w:name="_Toc126050949"/>
      <w:r w:rsidRPr="00770F9D">
        <w:rPr>
          <w:rFonts w:ascii="Garamond" w:hAnsi="Garamond" w:cstheme="majorBidi"/>
          <w:b/>
          <w:color w:val="0D0D0D" w:themeColor="text1" w:themeTint="F2"/>
        </w:rPr>
        <w:t>4</w:t>
      </w:r>
      <w:r w:rsidR="00072546" w:rsidRPr="00770F9D">
        <w:rPr>
          <w:rFonts w:ascii="Garamond" w:hAnsi="Garamond" w:cstheme="majorBidi"/>
          <w:b/>
          <w:color w:val="0D0D0D" w:themeColor="text1" w:themeTint="F2"/>
        </w:rPr>
        <w:t xml:space="preserve">.5 </w:t>
      </w:r>
      <w:r w:rsidR="00F468C9" w:rsidRPr="00770F9D">
        <w:rPr>
          <w:rFonts w:ascii="Garamond" w:hAnsi="Garamond" w:cstheme="majorBidi"/>
          <w:b/>
          <w:color w:val="0D0D0D" w:themeColor="text1" w:themeTint="F2"/>
        </w:rPr>
        <w:t>Bilanca strukturor</w:t>
      </w:r>
      <w:bookmarkEnd w:id="29"/>
      <w:bookmarkEnd w:id="31"/>
      <w:bookmarkEnd w:id="32"/>
      <w:r w:rsidR="00F468C9" w:rsidRPr="00770F9D">
        <w:rPr>
          <w:rFonts w:ascii="Garamond" w:hAnsi="Garamond" w:cstheme="majorBidi"/>
          <w:b/>
          <w:color w:val="0D0D0D" w:themeColor="text1" w:themeTint="F2"/>
        </w:rPr>
        <w:t>e</w:t>
      </w:r>
      <w:bookmarkEnd w:id="33"/>
    </w:p>
    <w:p w14:paraId="55F1021C" w14:textId="77777777" w:rsidR="00F468C9" w:rsidRPr="00770F9D" w:rsidRDefault="00F468C9" w:rsidP="003F46E1">
      <w:pPr>
        <w:ind w:firstLine="284"/>
        <w:jc w:val="both"/>
        <w:rPr>
          <w:rFonts w:ascii="Garamond" w:hAnsi="Garamond" w:cstheme="majorBidi"/>
          <w:b/>
          <w:color w:val="0D0D0D" w:themeColor="text1" w:themeTint="F2"/>
        </w:rPr>
      </w:pPr>
      <w:r w:rsidRPr="00770F9D">
        <w:rPr>
          <w:rFonts w:ascii="Garamond" w:hAnsi="Garamond" w:cstheme="majorBidi"/>
          <w:color w:val="0D0D0D" w:themeColor="text1" w:themeTint="F2"/>
        </w:rPr>
        <w:t>Përbërësi ciklik i deficitit, masat e njëhershme dhe të përkohshme, pozicioni fiskal</w:t>
      </w:r>
    </w:p>
    <w:p w14:paraId="19EAC125" w14:textId="77777777" w:rsidR="00F468C9" w:rsidRPr="00770F9D" w:rsidRDefault="00F468C9" w:rsidP="003F46E1">
      <w:pPr>
        <w:pStyle w:val="AAAAAAATEXXXX"/>
        <w:rPr>
          <w:rFonts w:cstheme="majorBidi"/>
          <w:i/>
          <w:color w:val="0D0D0D" w:themeColor="text1" w:themeTint="F2"/>
          <w:lang w:val="sq-AL"/>
        </w:rPr>
      </w:pPr>
      <w:r w:rsidRPr="00770F9D">
        <w:rPr>
          <w:rFonts w:cstheme="majorBidi"/>
          <w:i/>
          <w:color w:val="0D0D0D" w:themeColor="text1" w:themeTint="F2"/>
          <w:lang w:val="sq-AL"/>
        </w:rPr>
        <w:t>Vlerësimi i PBB-së potenciale dhe hendekut të prodhimit</w:t>
      </w:r>
    </w:p>
    <w:p w14:paraId="5E005B2B" w14:textId="77777777" w:rsidR="00F468C9" w:rsidRPr="00770F9D" w:rsidRDefault="00F468C9" w:rsidP="003F46E1">
      <w:pPr>
        <w:tabs>
          <w:tab w:val="left" w:pos="3111"/>
        </w:tabs>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Teknika e filtrimit HP u përdor për të vlerësuar një seri kohore të PBB-së potenciale. Filtrimi HP është aplikuar në rritjen ekonomike aktuale vjetore me çmime konstante, duke marrë parasysh vlerat më të përshtatshme të parametrit lambda në rastin e të dhënave vjetore, përkatësisht: </w:t>
      </w:r>
      <m:oMath>
        <m:r>
          <w:rPr>
            <w:rFonts w:ascii="Cambria Math" w:hAnsi="Cambria Math" w:cstheme="majorBidi"/>
            <w:color w:val="0D0D0D" w:themeColor="text1" w:themeTint="F2"/>
          </w:rPr>
          <m:t>λ=100; λ=30; λ=6.5</m:t>
        </m:r>
      </m:oMath>
      <w:r w:rsidRPr="00770F9D">
        <w:rPr>
          <w:rFonts w:ascii="Garamond" w:hAnsi="Garamond" w:cstheme="majorBidi"/>
          <w:color w:val="0D0D0D" w:themeColor="text1" w:themeTint="F2"/>
        </w:rPr>
        <w:t xml:space="preserve">. Rritja e PBB-së potenciale u nxor më pas si një mesatare e serive të filtrimit HP bazuar në këta tre parametra të ndryshëm të lambdas. Bazuar në rritjen potenciale të përfituar, u nxor më pas niveli i PBB-së potenciale dhe në përputhje me të u llogarit dhe niveli i </w:t>
      </w:r>
      <w:r w:rsidRPr="00770F9D">
        <w:rPr>
          <w:rFonts w:ascii="Garamond" w:hAnsi="Garamond" w:cstheme="majorBidi"/>
          <w:i/>
          <w:color w:val="0D0D0D" w:themeColor="text1" w:themeTint="F2"/>
        </w:rPr>
        <w:t>output</w:t>
      </w:r>
      <w:r w:rsidRPr="00770F9D">
        <w:rPr>
          <w:rFonts w:ascii="Garamond" w:hAnsi="Garamond" w:cstheme="majorBidi"/>
          <w:color w:val="0D0D0D" w:themeColor="text1" w:themeTint="F2"/>
        </w:rPr>
        <w:t>-it. Parashikimet më të fundit të MFE-së deri në vitin 2031 janë përdorur për t’u marrë me problemin e të dhënës së fundit që shfaq teknika e filtrimit HP.</w:t>
      </w:r>
    </w:p>
    <w:p w14:paraId="4EB65956" w14:textId="3D00134E" w:rsidR="00F468C9" w:rsidRPr="00770F9D" w:rsidRDefault="00F468C9" w:rsidP="003F46E1">
      <w:pPr>
        <w:pStyle w:val="AAAAAAATEXXXX"/>
        <w:rPr>
          <w:rFonts w:cstheme="majorBidi"/>
          <w:color w:val="0D0D0D" w:themeColor="text1" w:themeTint="F2"/>
          <w:lang w:val="sq-AL"/>
        </w:rPr>
      </w:pPr>
      <w:r w:rsidRPr="00770F9D">
        <w:rPr>
          <w:rFonts w:cstheme="majorBidi"/>
          <w:color w:val="0D0D0D" w:themeColor="text1" w:themeTint="F2"/>
          <w:lang w:val="sq-AL"/>
        </w:rPr>
        <w:t xml:space="preserve">Hendeku i prodhimit, e përcaktuar zyrtarisht si </w:t>
      </w:r>
      <m:oMath>
        <m:sSub>
          <m:sSubPr>
            <m:ctrlPr>
              <w:rPr>
                <w:rFonts w:ascii="Cambria Math" w:hAnsi="Cambria Math" w:cstheme="majorBidi"/>
                <w:i/>
                <w:color w:val="0D0D0D" w:themeColor="text1" w:themeTint="F2"/>
                <w:lang w:val="sq-AL"/>
              </w:rPr>
            </m:ctrlPr>
          </m:sSubPr>
          <m:e>
            <m:r>
              <w:rPr>
                <w:rFonts w:ascii="Cambria Math" w:hAnsi="Cambria Math" w:cstheme="majorBidi"/>
                <w:color w:val="0D0D0D" w:themeColor="text1" w:themeTint="F2"/>
                <w:lang w:val="sq-AL"/>
              </w:rPr>
              <m:t>G</m:t>
            </m:r>
          </m:e>
          <m:sub>
            <m:r>
              <w:rPr>
                <w:rFonts w:ascii="Cambria Math" w:hAnsi="Cambria Math" w:cstheme="majorBidi"/>
                <w:color w:val="0D0D0D" w:themeColor="text1" w:themeTint="F2"/>
                <w:lang w:val="sq-AL"/>
              </w:rPr>
              <m:t>t</m:t>
            </m:r>
          </m:sub>
        </m:sSub>
        <m:r>
          <w:rPr>
            <w:rFonts w:ascii="Cambria Math" w:hAnsi="Cambria Math" w:cstheme="majorBidi"/>
            <w:color w:val="0D0D0D" w:themeColor="text1" w:themeTint="F2"/>
            <w:lang w:val="sq-AL"/>
          </w:rPr>
          <m:t>=</m:t>
        </m:r>
        <m:f>
          <m:fPr>
            <m:ctrlPr>
              <w:rPr>
                <w:rFonts w:ascii="Cambria Math" w:hAnsi="Cambria Math" w:cstheme="majorBidi"/>
                <w:i/>
                <w:color w:val="0D0D0D" w:themeColor="text1" w:themeTint="F2"/>
                <w:lang w:val="sq-AL"/>
              </w:rPr>
            </m:ctrlPr>
          </m:fPr>
          <m:num>
            <m:sSub>
              <m:sSubPr>
                <m:ctrlPr>
                  <w:rPr>
                    <w:rFonts w:ascii="Cambria Math" w:hAnsi="Cambria Math" w:cstheme="majorBidi"/>
                    <w:i/>
                    <w:color w:val="0D0D0D" w:themeColor="text1" w:themeTint="F2"/>
                    <w:lang w:val="sq-AL"/>
                  </w:rPr>
                </m:ctrlPr>
              </m:sSubPr>
              <m:e>
                <m:r>
                  <w:rPr>
                    <w:rFonts w:ascii="Cambria Math" w:hAnsi="Cambria Math" w:cstheme="majorBidi"/>
                    <w:color w:val="0D0D0D" w:themeColor="text1" w:themeTint="F2"/>
                    <w:lang w:val="sq-AL"/>
                  </w:rPr>
                  <m:t>G</m:t>
                </m:r>
                <m:r>
                  <w:rPr>
                    <w:rFonts w:ascii="Cambria Math" w:hAnsi="Cambria Math" w:cstheme="majorBidi"/>
                    <w:color w:val="0D0D0D" w:themeColor="text1" w:themeTint="F2"/>
                    <w:lang w:val="sq-AL"/>
                  </w:rPr>
                  <m:t>DP</m:t>
                </m:r>
              </m:e>
              <m:sub>
                <m:r>
                  <w:rPr>
                    <w:rFonts w:ascii="Cambria Math" w:hAnsi="Cambria Math" w:cstheme="majorBidi"/>
                    <w:color w:val="0D0D0D" w:themeColor="text1" w:themeTint="F2"/>
                    <w:lang w:val="sq-AL"/>
                  </w:rPr>
                  <m:t>t, aktual</m:t>
                </m:r>
              </m:sub>
            </m:sSub>
            <m:r>
              <w:rPr>
                <w:rFonts w:ascii="Cambria Math" w:hAnsi="Cambria Math" w:cstheme="majorBidi"/>
                <w:color w:val="0D0D0D" w:themeColor="text1" w:themeTint="F2"/>
                <w:lang w:val="sq-AL"/>
              </w:rPr>
              <m:t>-</m:t>
            </m:r>
            <m:sSub>
              <m:sSubPr>
                <m:ctrlPr>
                  <w:rPr>
                    <w:rFonts w:ascii="Cambria Math" w:hAnsi="Cambria Math" w:cstheme="majorBidi"/>
                    <w:i/>
                    <w:color w:val="0D0D0D" w:themeColor="text1" w:themeTint="F2"/>
                    <w:lang w:val="sq-AL"/>
                  </w:rPr>
                </m:ctrlPr>
              </m:sSubPr>
              <m:e>
                <m:r>
                  <w:rPr>
                    <w:rFonts w:ascii="Cambria Math" w:hAnsi="Cambria Math" w:cstheme="majorBidi"/>
                    <w:color w:val="0D0D0D" w:themeColor="text1" w:themeTint="F2"/>
                    <w:lang w:val="sq-AL"/>
                  </w:rPr>
                  <m:t>GDP</m:t>
                </m:r>
              </m:e>
              <m:sub>
                <m:r>
                  <w:rPr>
                    <w:rFonts w:ascii="Cambria Math" w:hAnsi="Cambria Math" w:cstheme="majorBidi"/>
                    <w:color w:val="0D0D0D" w:themeColor="text1" w:themeTint="F2"/>
                    <w:lang w:val="sq-AL"/>
                  </w:rPr>
                  <m:t>t,potencial</m:t>
                </m:r>
              </m:sub>
            </m:sSub>
          </m:num>
          <m:den>
            <m:sSub>
              <m:sSubPr>
                <m:ctrlPr>
                  <w:rPr>
                    <w:rFonts w:ascii="Cambria Math" w:hAnsi="Cambria Math" w:cstheme="majorBidi"/>
                    <w:i/>
                    <w:color w:val="0D0D0D" w:themeColor="text1" w:themeTint="F2"/>
                    <w:lang w:val="sq-AL"/>
                  </w:rPr>
                </m:ctrlPr>
              </m:sSubPr>
              <m:e>
                <m:r>
                  <w:rPr>
                    <w:rFonts w:ascii="Cambria Math" w:hAnsi="Cambria Math" w:cstheme="majorBidi"/>
                    <w:color w:val="0D0D0D" w:themeColor="text1" w:themeTint="F2"/>
                    <w:lang w:val="sq-AL"/>
                  </w:rPr>
                  <m:t>GDP</m:t>
                </m:r>
              </m:e>
              <m:sub>
                <m:r>
                  <w:rPr>
                    <w:rFonts w:ascii="Cambria Math" w:hAnsi="Cambria Math" w:cstheme="majorBidi"/>
                    <w:color w:val="0D0D0D" w:themeColor="text1" w:themeTint="F2"/>
                    <w:lang w:val="sq-AL"/>
                  </w:rPr>
                  <m:t>t,potencial</m:t>
                </m:r>
              </m:sub>
            </m:sSub>
          </m:den>
        </m:f>
      </m:oMath>
      <w:r w:rsidRPr="00770F9D">
        <w:rPr>
          <w:rFonts w:cstheme="majorBidi"/>
          <w:color w:val="0D0D0D" w:themeColor="text1" w:themeTint="F2"/>
          <w:lang w:val="sq-AL"/>
        </w:rPr>
        <w:t xml:space="preserve"> është paraqitur në anën e majtë të figurës së mëposhtme. Ndërsa rritja potenciale përkatëse kundrejt asaj aktuale paraqitet në anën e djathtë.</w:t>
      </w:r>
    </w:p>
    <w:p w14:paraId="19B47D2A" w14:textId="7DFCCF89" w:rsidR="00F468C9" w:rsidRPr="00770F9D" w:rsidRDefault="009822F6" w:rsidP="009822F6">
      <w:pPr>
        <w:pStyle w:val="AAAAAAATEXXXX"/>
        <w:ind w:firstLine="0"/>
        <w:jc w:val="center"/>
        <w:rPr>
          <w:rFonts w:cstheme="majorBidi"/>
          <w:i/>
          <w:color w:val="0D0D0D" w:themeColor="text1" w:themeTint="F2"/>
          <w:sz w:val="20"/>
          <w:szCs w:val="20"/>
          <w:lang w:val="sq-AL"/>
        </w:rPr>
      </w:pPr>
      <w:r w:rsidRPr="00770F9D">
        <w:rPr>
          <w:rFonts w:cstheme="majorBidi"/>
          <w:b/>
          <w:bCs/>
          <w:i/>
          <w:noProof/>
          <w:color w:val="0D0D0D" w:themeColor="text1" w:themeTint="F2"/>
          <w:sz w:val="20"/>
          <w:szCs w:val="20"/>
          <w:lang w:val="sq-AL" w:eastAsia="sq-AL"/>
        </w:rPr>
        <w:drawing>
          <wp:anchor distT="0" distB="0" distL="114300" distR="114300" simplePos="0" relativeHeight="251658256" behindDoc="0" locked="0" layoutInCell="1" allowOverlap="1" wp14:anchorId="1AD94ECB" wp14:editId="46E4027F">
            <wp:simplePos x="0" y="0"/>
            <wp:positionH relativeFrom="column">
              <wp:posOffset>-163830</wp:posOffset>
            </wp:positionH>
            <wp:positionV relativeFrom="paragraph">
              <wp:posOffset>218440</wp:posOffset>
            </wp:positionV>
            <wp:extent cx="6115050" cy="1871345"/>
            <wp:effectExtent l="0" t="0" r="0" b="0"/>
            <wp:wrapTopAndBottom/>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15050" cy="1871345"/>
                    </a:xfrm>
                    <a:prstGeom prst="rect">
                      <a:avLst/>
                    </a:prstGeom>
                    <a:noFill/>
                    <a:ln>
                      <a:noFill/>
                    </a:ln>
                  </pic:spPr>
                </pic:pic>
              </a:graphicData>
            </a:graphic>
            <wp14:sizeRelH relativeFrom="page">
              <wp14:pctWidth>0</wp14:pctWidth>
            </wp14:sizeRelH>
            <wp14:sizeRelV relativeFrom="page">
              <wp14:pctHeight>0</wp14:pctHeight>
            </wp14:sizeRelV>
          </wp:anchor>
        </w:drawing>
      </w:r>
      <w:r w:rsidR="00F468C9" w:rsidRPr="00770F9D">
        <w:rPr>
          <w:rFonts w:cstheme="majorBidi"/>
          <w:b/>
          <w:bCs/>
          <w:i/>
          <w:color w:val="0D0D0D" w:themeColor="text1" w:themeTint="F2"/>
          <w:sz w:val="20"/>
          <w:szCs w:val="20"/>
          <w:lang w:val="sq-AL"/>
        </w:rPr>
        <w:t>Grafik 4.5.1</w:t>
      </w:r>
      <w:r w:rsidRPr="00770F9D">
        <w:rPr>
          <w:rFonts w:cstheme="majorBidi"/>
          <w:i/>
          <w:color w:val="0D0D0D" w:themeColor="text1" w:themeTint="F2"/>
          <w:sz w:val="20"/>
          <w:szCs w:val="20"/>
          <w:lang w:val="sq-AL"/>
        </w:rPr>
        <w:t>:</w:t>
      </w:r>
      <w:r w:rsidR="00F468C9" w:rsidRPr="00770F9D">
        <w:rPr>
          <w:rFonts w:cstheme="majorBidi"/>
          <w:i/>
          <w:color w:val="0D0D0D" w:themeColor="text1" w:themeTint="F2"/>
          <w:sz w:val="20"/>
          <w:szCs w:val="20"/>
          <w:lang w:val="sq-AL"/>
        </w:rPr>
        <w:t xml:space="preserve"> Hendeku i prodhimit (majtas) dhe rritja aktuale dhe potenciale (djathtas)</w:t>
      </w:r>
    </w:p>
    <w:p w14:paraId="77ED047F" w14:textId="77777777" w:rsidR="00F468C9" w:rsidRPr="00770F9D" w:rsidRDefault="00F468C9" w:rsidP="009822F6">
      <w:pPr>
        <w:ind w:firstLine="284"/>
        <w:jc w:val="center"/>
        <w:rPr>
          <w:rFonts w:ascii="Garamond" w:eastAsia="Times New Roman" w:hAnsi="Garamond" w:cstheme="majorBidi"/>
          <w:iCs/>
          <w:color w:val="0D0D0D" w:themeColor="text1" w:themeTint="F2"/>
          <w:sz w:val="20"/>
          <w:szCs w:val="20"/>
        </w:rPr>
      </w:pPr>
      <w:r w:rsidRPr="00770F9D">
        <w:rPr>
          <w:rFonts w:ascii="Garamond" w:eastAsia="Times New Roman" w:hAnsi="Garamond" w:cstheme="majorBidi"/>
          <w:iCs/>
          <w:color w:val="0D0D0D" w:themeColor="text1" w:themeTint="F2"/>
          <w:sz w:val="20"/>
          <w:szCs w:val="20"/>
        </w:rPr>
        <w:t>Burimi: Ministria e Financave dhe Ekonomis</w:t>
      </w:r>
      <w:r w:rsidRPr="00770F9D">
        <w:rPr>
          <w:rFonts w:ascii="Garamond" w:hAnsi="Garamond" w:cstheme="majorBidi"/>
          <w:color w:val="0D0D0D" w:themeColor="text1" w:themeTint="F2"/>
          <w:sz w:val="20"/>
          <w:szCs w:val="20"/>
        </w:rPr>
        <w:t>ë</w:t>
      </w:r>
    </w:p>
    <w:p w14:paraId="5AD270A6" w14:textId="77777777" w:rsidR="00F468C9" w:rsidRPr="00770F9D" w:rsidRDefault="00F468C9" w:rsidP="005674F2">
      <w:pPr>
        <w:widowControl w:val="0"/>
        <w:tabs>
          <w:tab w:val="right" w:leader="dot" w:pos="9020"/>
        </w:tabs>
        <w:ind w:firstLine="284"/>
        <w:jc w:val="both"/>
        <w:rPr>
          <w:rFonts w:ascii="Garamond" w:hAnsi="Garamond" w:cstheme="majorBidi"/>
          <w:color w:val="0D0D0D" w:themeColor="text1" w:themeTint="F2"/>
        </w:rPr>
      </w:pPr>
    </w:p>
    <w:p w14:paraId="56387B87" w14:textId="3347E988" w:rsidR="00F468C9" w:rsidRPr="00770F9D" w:rsidRDefault="00F468C9" w:rsidP="005674F2">
      <w:pPr>
        <w:widowControl w:val="0"/>
        <w:tabs>
          <w:tab w:val="right" w:leader="dot" w:pos="9020"/>
        </w:tabs>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Rezultatet tregojnë se prodhimi aktual ka qenë nën potencialin për periudhën 2003–2006, gati duke u mbyllur në vitin 2007 dhe më pas duke kaluar në një hendek pozitiv relativisht të madh në vitin 2008. Ndryshimi i fundit pozitiv në hendekun e prodhimit vazhdoi disi edhe gjatë periudhës 2009–2012</w:t>
      </w:r>
      <w:r w:rsidR="00E5130B"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duke u tkurrur gradualisht në reflektim të një rritje aktuale më të ulët krahasuar me atë potenciale, për shkak të efekteve negative të krizës financiare globale.</w:t>
      </w:r>
    </w:p>
    <w:p w14:paraId="4FE7C11C" w14:textId="77777777" w:rsidR="00F468C9" w:rsidRPr="00770F9D" w:rsidRDefault="00F468C9" w:rsidP="005674F2">
      <w:pPr>
        <w:widowControl w:val="0"/>
        <w:tabs>
          <w:tab w:val="right" w:leader="dot" w:pos="9020"/>
        </w:tabs>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Pavarësisht se Shqipëria arriti të absorbojë shumë më lehtë goditjen e parë nga kriza globale në vitin 2009, duke shmangur një recesion të rëndë që ndodhi në shumicën e vendeve të tjera, prapë rritja aktuale u dobësua ndjeshëm krahasuar me nivelet e para krizës, por, gjithashtu, edhe në krahasim me potencialin e saj. </w:t>
      </w:r>
    </w:p>
    <w:p w14:paraId="08E82B90" w14:textId="77777777" w:rsidR="00F468C9" w:rsidRPr="00770F9D" w:rsidRDefault="00F468C9" w:rsidP="005674F2">
      <w:pPr>
        <w:widowControl w:val="0"/>
        <w:tabs>
          <w:tab w:val="right" w:leader="dot" w:pos="9020"/>
        </w:tabs>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Në vitin 2013 u regjistrua rritja më e ulët dhe në të njëjtën kohë hendeku i prodhimit u zhvendos në territorin negativ dhe qëndroi negativ deri në vitin 2016, me nivelin më të ulët të arritur në vitin 2015. Hendeku i prodhimit u zhvendos pak në territorin pozitiv deri në vitin 2017, u intensifikua në vitin 2018 dhe, gjithashtu, vazhdoi e fortë edhe në vitin 2019, me gjithë rritjen aktuale më të ulët në këtë vit, veçanërisht rritjen e tremujorit të fundit kur vendi u godit nga tërmeti i nëntorit. </w:t>
      </w:r>
    </w:p>
    <w:p w14:paraId="07FB0784" w14:textId="77777777" w:rsidR="00F468C9" w:rsidRPr="00770F9D" w:rsidRDefault="00F468C9" w:rsidP="005674F2">
      <w:pPr>
        <w:widowControl w:val="0"/>
        <w:tabs>
          <w:tab w:val="right" w:leader="dot" w:pos="9020"/>
        </w:tabs>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Në vitin 2020, më e rëndësishmja për shkak të goditjes pandemike COVID-19, e cila e detyroi ekonominë në një recesion të fortë në rreth -3.5 për qind, por, gjithashtu, duke reflektuar në një farë mase ngadalësimin e ndjeshëm të rritjes aktuale që kishte ndodhur tashmë në vitin 2019, hendeku i prodhimit arriti pikën më negative në dekada me rreth -5 për qind të PBB-së potenciale. </w:t>
      </w:r>
    </w:p>
    <w:p w14:paraId="199A99B2" w14:textId="6AA040BF" w:rsidR="00F468C9" w:rsidRPr="00770F9D" w:rsidRDefault="00F468C9" w:rsidP="005674F2">
      <w:pPr>
        <w:widowControl w:val="0"/>
        <w:tabs>
          <w:tab w:val="right" w:leader="dot" w:pos="9020"/>
        </w:tabs>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Duke pasur parasysh rimëkëmbjen e fortë në vitin 2021, ku rritja aktuale ishte dukshëm mbi atë potenciale (dhe</w:t>
      </w:r>
      <w:r w:rsidR="00FB0728"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gjithashtu</w:t>
      </w:r>
      <w:r w:rsidR="00FB0728"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tkurrje më e butë në vitin 2020 se</w:t>
      </w:r>
      <w:r w:rsidR="00FB0728"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sa pritej fillimisht), hendeku i prodhimit u mbyll plotësisht në vitin 2021 dhe vlerësohet të ketë qenë paksa pozitive në vitin 2022.</w:t>
      </w:r>
    </w:p>
    <w:p w14:paraId="5B07039A" w14:textId="2DE2D4A6" w:rsidR="00F468C9" w:rsidRPr="00770F9D" w:rsidRDefault="00F468C9" w:rsidP="005674F2">
      <w:pPr>
        <w:widowControl w:val="0"/>
        <w:tabs>
          <w:tab w:val="right" w:leader="dot" w:pos="9020"/>
        </w:tabs>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Rritja aktuale në vitin 2022 e parashikuar në 3.7 </w:t>
      </w:r>
      <w:r w:rsidR="00623F19" w:rsidRPr="00770F9D">
        <w:rPr>
          <w:rFonts w:ascii="Garamond" w:hAnsi="Garamond" w:cstheme="majorBidi"/>
          <w:color w:val="0D0D0D" w:themeColor="text1" w:themeTint="F2"/>
        </w:rPr>
        <w:t>për qind</w:t>
      </w:r>
      <w:r w:rsidRPr="00770F9D">
        <w:rPr>
          <w:rFonts w:ascii="Garamond" w:hAnsi="Garamond" w:cstheme="majorBidi"/>
          <w:color w:val="0D0D0D" w:themeColor="text1" w:themeTint="F2"/>
        </w:rPr>
        <w:t xml:space="preserve"> është pak mbi potencialin përkatës të vlerësuar prej 3.4 </w:t>
      </w:r>
      <w:r w:rsidR="00623F19" w:rsidRPr="00770F9D">
        <w:rPr>
          <w:rFonts w:ascii="Garamond" w:hAnsi="Garamond" w:cstheme="majorBidi"/>
          <w:color w:val="0D0D0D" w:themeColor="text1" w:themeTint="F2"/>
        </w:rPr>
        <w:t>për qind</w:t>
      </w:r>
      <w:r w:rsidRPr="00770F9D">
        <w:rPr>
          <w:rFonts w:ascii="Garamond" w:hAnsi="Garamond" w:cstheme="majorBidi"/>
          <w:color w:val="0D0D0D" w:themeColor="text1" w:themeTint="F2"/>
        </w:rPr>
        <w:t>. Në vitin 2023, duke qenë se efektet e plota të goditjes së ofertës globale dhe inflacionit të lartë për shkak të luftës në Ukrainë, si dhe kushteve financiare dukshëm më të shtrënguara, do të reflektohen më fuqishëm në rënien e të ardhurave reale, rritja për vitin 2023 parashikohet të jetë dukshëm më i ulët se niveli i tij potencial (përkatësisht 2.6 dhe 3.5 për qind).</w:t>
      </w:r>
    </w:p>
    <w:p w14:paraId="3721FECA" w14:textId="77777777" w:rsidR="00F468C9" w:rsidRPr="00770F9D" w:rsidRDefault="00F468C9" w:rsidP="005674F2">
      <w:pPr>
        <w:widowControl w:val="0"/>
        <w:tabs>
          <w:tab w:val="right" w:leader="dot" w:pos="9020"/>
        </w:tabs>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Në këtë skenar bazë, hendeku i prodhimit për vitin 2023 pritet të zhvendoset sërish në negativ me rreth gjysmë për qind dhe të mbetet paksa në territor negativ gjatë periudhës afatmesme deri në vitin 2025. Hendeku negativ i prodhimit pritet të mbyllet gradualisht tërësisht deri në vitin 2026 dhe të mbetet rreth nivelit të tij potencial për vitet e ardhshme.</w:t>
      </w:r>
    </w:p>
    <w:p w14:paraId="46089C70" w14:textId="77777777" w:rsidR="00F468C9" w:rsidRPr="00770F9D" w:rsidRDefault="00F468C9" w:rsidP="005674F2">
      <w:pPr>
        <w:pStyle w:val="AAAAAAATEXXXX"/>
        <w:rPr>
          <w:rFonts w:cstheme="majorBidi"/>
          <w:i/>
          <w:color w:val="0D0D0D" w:themeColor="text1" w:themeTint="F2"/>
          <w:lang w:val="sq-AL"/>
        </w:rPr>
      </w:pPr>
      <w:r w:rsidRPr="00770F9D">
        <w:rPr>
          <w:rFonts w:cstheme="majorBidi"/>
          <w:i/>
          <w:color w:val="0D0D0D" w:themeColor="text1" w:themeTint="F2"/>
          <w:lang w:val="sq-AL"/>
        </w:rPr>
        <w:t>Vlerësimi i elasticitetit dhe ndjeshmërisë së buxhetit ndaj hendekut të prodhimit</w:t>
      </w:r>
    </w:p>
    <w:p w14:paraId="53664B4E" w14:textId="77777777" w:rsidR="00F468C9" w:rsidRPr="00770F9D" w:rsidRDefault="00F468C9" w:rsidP="005674F2">
      <w:pPr>
        <w:pStyle w:val="AAAAAAATEXXXX"/>
        <w:rPr>
          <w:rFonts w:cstheme="majorBidi"/>
          <w:color w:val="0D0D0D" w:themeColor="text1" w:themeTint="F2"/>
          <w:lang w:val="sq-AL"/>
        </w:rPr>
      </w:pPr>
      <w:r w:rsidRPr="00770F9D">
        <w:rPr>
          <w:rFonts w:cstheme="majorBidi"/>
          <w:color w:val="0D0D0D" w:themeColor="text1" w:themeTint="F2"/>
          <w:lang w:val="sq-AL"/>
        </w:rPr>
        <w:t>Pasi u hoqën faktorët që kanë pasur ndikime vetëm në një periudhë të caktuar, u vlerësuan elasticitetet e të ardhurave dhe të shpenzimeve edhe me metodën e disagregimit (sipas qasjes së OECD-së 2005) dhe me metodën agregate (sipas qasjes së FMN-së 2010). Gjithsesi, elasticitetet finale totale të marra nga secila metodë ishin pothuajse të ngjashme.</w:t>
      </w:r>
    </w:p>
    <w:p w14:paraId="1663C847" w14:textId="77777777" w:rsidR="00F468C9" w:rsidRPr="00770F9D" w:rsidRDefault="00F468C9" w:rsidP="005674F2">
      <w:pPr>
        <w:pStyle w:val="AAAAAAATEXXXX"/>
        <w:rPr>
          <w:rFonts w:cstheme="majorBidi"/>
          <w:color w:val="0D0D0D" w:themeColor="text1" w:themeTint="F2"/>
          <w:lang w:val="sq-AL"/>
        </w:rPr>
      </w:pPr>
      <w:r w:rsidRPr="00770F9D">
        <w:rPr>
          <w:rFonts w:cstheme="majorBidi"/>
          <w:color w:val="0D0D0D" w:themeColor="text1" w:themeTint="F2"/>
          <w:lang w:val="sq-AL"/>
        </w:rPr>
        <w:t>Për të qenë më konkretë, elasticiteti i përgjithshëm i të ardhurave, i nxjerrë nga elasticitetet specifike të zërave kryesorë të të ardhurave me metodën e disagregimit ishte 1.028, ndërsa elasticiteti i vlerësuar nga metoda agregate ishte 1.442.</w:t>
      </w:r>
      <w:r w:rsidRPr="00770F9D">
        <w:rPr>
          <w:rFonts w:cstheme="majorBidi"/>
          <w:color w:val="0D0D0D" w:themeColor="text1" w:themeTint="F2"/>
          <w:vertAlign w:val="superscript"/>
          <w:lang w:val="sq-AL"/>
        </w:rPr>
        <w:footnoteReference w:id="12"/>
      </w:r>
      <w:r w:rsidRPr="00770F9D">
        <w:rPr>
          <w:rFonts w:cstheme="majorBidi"/>
          <w:color w:val="0D0D0D" w:themeColor="text1" w:themeTint="F2"/>
          <w:lang w:val="sq-AL"/>
        </w:rPr>
        <w:t xml:space="preserve"> Të ardhurat totale u rregulluan për efektet e ciklit, duke aplikuar mbi to elasticitetin mesatar të përfituar nga të dyja qasjet, i cili është:</w:t>
      </w:r>
    </w:p>
    <w:p w14:paraId="63F9C384" w14:textId="77777777" w:rsidR="00F468C9" w:rsidRPr="00770F9D" w:rsidRDefault="00056076" w:rsidP="005674F2">
      <w:pPr>
        <w:tabs>
          <w:tab w:val="left" w:pos="3111"/>
        </w:tabs>
        <w:ind w:firstLine="284"/>
        <w:jc w:val="both"/>
        <w:rPr>
          <w:rFonts w:ascii="Garamond" w:hAnsi="Garamond" w:cstheme="majorBidi"/>
          <w:color w:val="0D0D0D" w:themeColor="text1" w:themeTint="F2"/>
        </w:rPr>
      </w:pPr>
      <m:oMathPara>
        <m:oMath>
          <m:sSub>
            <m:sSubPr>
              <m:ctrlPr>
                <w:rPr>
                  <w:rFonts w:ascii="Cambria Math" w:hAnsi="Cambria Math" w:cstheme="majorBidi"/>
                  <w:color w:val="0D0D0D" w:themeColor="text1" w:themeTint="F2"/>
                </w:rPr>
              </m:ctrlPr>
            </m:sSubPr>
            <m:e>
              <m:r>
                <m:rPr>
                  <m:sty m:val="p"/>
                </m:rPr>
                <w:rPr>
                  <w:rFonts w:ascii="Cambria Math" w:hAnsi="Cambria Math" w:cstheme="majorBidi"/>
                  <w:color w:val="0D0D0D" w:themeColor="text1" w:themeTint="F2"/>
                </w:rPr>
                <m:t>ε</m:t>
              </m:r>
            </m:e>
            <m:sub>
              <m:r>
                <m:rPr>
                  <m:sty m:val="p"/>
                </m:rPr>
                <w:rPr>
                  <w:rFonts w:ascii="Cambria Math" w:hAnsi="Cambria Math" w:cstheme="majorBidi"/>
                  <w:color w:val="0D0D0D" w:themeColor="text1" w:themeTint="F2"/>
                </w:rPr>
                <m:t>R,Y</m:t>
              </m:r>
            </m:sub>
          </m:sSub>
          <m:r>
            <m:rPr>
              <m:sty m:val="p"/>
            </m:rPr>
            <w:rPr>
              <w:rFonts w:ascii="Cambria Math" w:hAnsi="Cambria Math" w:cstheme="majorBidi"/>
              <w:color w:val="0D0D0D" w:themeColor="text1" w:themeTint="F2"/>
            </w:rPr>
            <m:t xml:space="preserve">=mesatare </m:t>
          </m:r>
          <m:d>
            <m:dPr>
              <m:ctrlPr>
                <w:rPr>
                  <w:rFonts w:ascii="Cambria Math" w:hAnsi="Cambria Math" w:cstheme="majorBidi"/>
                  <w:color w:val="0D0D0D" w:themeColor="text1" w:themeTint="F2"/>
                </w:rPr>
              </m:ctrlPr>
            </m:dPr>
            <m:e>
              <m:r>
                <m:rPr>
                  <m:sty m:val="p"/>
                </m:rPr>
                <w:rPr>
                  <w:rFonts w:ascii="Cambria Math" w:hAnsi="Cambria Math" w:cstheme="majorBidi"/>
                  <w:color w:val="0D0D0D" w:themeColor="text1" w:themeTint="F2"/>
                </w:rPr>
                <m:t>1.028, 1.442</m:t>
              </m:r>
            </m:e>
          </m:d>
          <m:r>
            <m:rPr>
              <m:sty m:val="p"/>
            </m:rPr>
            <w:rPr>
              <w:rFonts w:ascii="Cambria Math" w:hAnsi="Cambria Math" w:cstheme="majorBidi"/>
              <w:color w:val="0D0D0D" w:themeColor="text1" w:themeTint="F2"/>
            </w:rPr>
            <m:t>=1.235</m:t>
          </m:r>
        </m:oMath>
      </m:oMathPara>
    </w:p>
    <w:p w14:paraId="7FCE8F0B" w14:textId="77777777" w:rsidR="00F468C9" w:rsidRPr="00770F9D" w:rsidRDefault="00F468C9" w:rsidP="005674F2">
      <w:pPr>
        <w:pStyle w:val="AAAAAAATEXXXX"/>
        <w:rPr>
          <w:rFonts w:cstheme="majorBidi"/>
          <w:color w:val="0D0D0D" w:themeColor="text1" w:themeTint="F2"/>
          <w:lang w:val="sq-AL"/>
        </w:rPr>
      </w:pPr>
      <w:r w:rsidRPr="00770F9D">
        <w:rPr>
          <w:rFonts w:cstheme="majorBidi"/>
          <w:color w:val="0D0D0D" w:themeColor="text1" w:themeTint="F2"/>
          <w:lang w:val="sq-AL"/>
        </w:rPr>
        <w:t>Për sa u përket elasticiteteve të shpenzimeve, ato nuk ishin të ndryshme nga niveli zero. Analiza e regresionit na prodhoi elasticitete të shpenzimeve me shenjë negative, sipas të dyja metodave, por asnjëra prej tyre nuk ishte statistikisht e rëndësishme, duke na treguar se koeficienti i elasticitetit është i barabartë me zero:</w:t>
      </w:r>
    </w:p>
    <w:p w14:paraId="32528F02" w14:textId="77777777" w:rsidR="00F468C9" w:rsidRPr="00770F9D" w:rsidRDefault="00056076" w:rsidP="005674F2">
      <w:pPr>
        <w:tabs>
          <w:tab w:val="left" w:pos="3111"/>
        </w:tabs>
        <w:ind w:firstLine="284"/>
        <w:jc w:val="both"/>
        <w:rPr>
          <w:rFonts w:ascii="Garamond" w:hAnsi="Garamond" w:cstheme="majorBidi"/>
          <w:color w:val="0D0D0D" w:themeColor="text1" w:themeTint="F2"/>
        </w:rPr>
      </w:pPr>
      <m:oMathPara>
        <m:oMath>
          <m:sSub>
            <m:sSubPr>
              <m:ctrlPr>
                <w:rPr>
                  <w:rFonts w:ascii="Cambria Math" w:hAnsi="Cambria Math" w:cstheme="majorBidi"/>
                  <w:color w:val="0D0D0D" w:themeColor="text1" w:themeTint="F2"/>
                </w:rPr>
              </m:ctrlPr>
            </m:sSubPr>
            <m:e>
              <m:r>
                <m:rPr>
                  <m:sty m:val="p"/>
                </m:rPr>
                <w:rPr>
                  <w:rFonts w:ascii="Cambria Math" w:hAnsi="Cambria Math" w:cstheme="majorBidi"/>
                  <w:color w:val="0D0D0D" w:themeColor="text1" w:themeTint="F2"/>
                </w:rPr>
                <m:t>ε</m:t>
              </m:r>
            </m:e>
            <m:sub>
              <m:r>
                <m:rPr>
                  <m:sty m:val="p"/>
                </m:rPr>
                <w:rPr>
                  <w:rFonts w:ascii="Cambria Math" w:hAnsi="Cambria Math" w:cstheme="majorBidi"/>
                  <w:color w:val="0D0D0D" w:themeColor="text1" w:themeTint="F2"/>
                </w:rPr>
                <m:t>G,Y</m:t>
              </m:r>
            </m:sub>
          </m:sSub>
          <m:r>
            <m:rPr>
              <m:sty m:val="p"/>
            </m:rPr>
            <w:rPr>
              <w:rFonts w:ascii="Cambria Math" w:hAnsi="Cambria Math" w:cstheme="majorBidi"/>
              <w:color w:val="0D0D0D" w:themeColor="text1" w:themeTint="F2"/>
            </w:rPr>
            <m:t>=0</m:t>
          </m:r>
        </m:oMath>
      </m:oMathPara>
    </w:p>
    <w:p w14:paraId="24451CDD" w14:textId="77777777" w:rsidR="00F468C9" w:rsidRPr="00770F9D" w:rsidRDefault="00F468C9" w:rsidP="005674F2">
      <w:pPr>
        <w:pStyle w:val="AAAAAAATEXXXX"/>
        <w:rPr>
          <w:rFonts w:cstheme="majorBidi"/>
          <w:color w:val="0D0D0D" w:themeColor="text1" w:themeTint="F2"/>
          <w:lang w:val="sq-AL"/>
        </w:rPr>
      </w:pPr>
      <w:r w:rsidRPr="00770F9D">
        <w:rPr>
          <w:rFonts w:cstheme="majorBidi"/>
          <w:color w:val="0D0D0D" w:themeColor="text1" w:themeTint="F2"/>
          <w:lang w:val="sq-AL"/>
        </w:rPr>
        <w:t>Si rezultat, shpenzimet totale nuk u rregulluan për efekte ciklike. Aplikimi direkt i formulës së ndjeshmërisë për bilancin e buxhetit ndaj hendekut të prodhimit (ose i ashtuquajtur elasticitet i pjesshëm) na dha vlerën e mëposhtme:</w:t>
      </w:r>
    </w:p>
    <w:p w14:paraId="303EDFE9" w14:textId="77777777" w:rsidR="00F468C9" w:rsidRPr="00770F9D" w:rsidRDefault="00056076" w:rsidP="005674F2">
      <w:pPr>
        <w:tabs>
          <w:tab w:val="left" w:pos="3111"/>
        </w:tabs>
        <w:ind w:firstLine="284"/>
        <w:jc w:val="both"/>
        <w:rPr>
          <w:rFonts w:ascii="Garamond" w:hAnsi="Garamond" w:cstheme="majorBidi"/>
          <w:color w:val="0D0D0D" w:themeColor="text1" w:themeTint="F2"/>
        </w:rPr>
      </w:pPr>
      <m:oMathPara>
        <m:oMath>
          <m:sSub>
            <m:sSubPr>
              <m:ctrlPr>
                <w:rPr>
                  <w:rFonts w:ascii="Cambria Math" w:hAnsi="Cambria Math" w:cstheme="majorBidi"/>
                  <w:color w:val="0D0D0D" w:themeColor="text1" w:themeTint="F2"/>
                </w:rPr>
              </m:ctrlPr>
            </m:sSubPr>
            <m:e>
              <m:r>
                <m:rPr>
                  <m:sty m:val="p"/>
                </m:rPr>
                <w:rPr>
                  <w:rFonts w:ascii="Cambria Math" w:hAnsi="Cambria Math" w:cstheme="majorBidi"/>
                  <w:color w:val="0D0D0D" w:themeColor="text1" w:themeTint="F2"/>
                </w:rPr>
                <m:t>σ</m:t>
              </m:r>
            </m:e>
            <m:sub>
              <m:r>
                <m:rPr>
                  <m:sty m:val="p"/>
                </m:rPr>
                <w:rPr>
                  <w:rFonts w:ascii="Cambria Math" w:hAnsi="Cambria Math" w:cstheme="majorBidi"/>
                  <w:color w:val="0D0D0D" w:themeColor="text1" w:themeTint="F2"/>
                </w:rPr>
                <m:t>B</m:t>
              </m:r>
            </m:sub>
          </m:sSub>
          <m:r>
            <m:rPr>
              <m:sty m:val="p"/>
            </m:rPr>
            <w:rPr>
              <w:rFonts w:ascii="Cambria Math" w:hAnsi="Cambria Math" w:cstheme="majorBidi"/>
              <w:color w:val="0D0D0D" w:themeColor="text1" w:themeTint="F2"/>
            </w:rPr>
            <m:t>=r</m:t>
          </m:r>
          <m:d>
            <m:dPr>
              <m:ctrlPr>
                <w:rPr>
                  <w:rFonts w:ascii="Cambria Math" w:hAnsi="Cambria Math" w:cstheme="majorBidi"/>
                  <w:color w:val="0D0D0D" w:themeColor="text1" w:themeTint="F2"/>
                </w:rPr>
              </m:ctrlPr>
            </m:dPr>
            <m:e>
              <m:sSub>
                <m:sSubPr>
                  <m:ctrlPr>
                    <w:rPr>
                      <w:rFonts w:ascii="Cambria Math" w:hAnsi="Cambria Math" w:cstheme="majorBidi"/>
                      <w:color w:val="0D0D0D" w:themeColor="text1" w:themeTint="F2"/>
                    </w:rPr>
                  </m:ctrlPr>
                </m:sSubPr>
                <m:e>
                  <m:r>
                    <m:rPr>
                      <m:sty m:val="p"/>
                    </m:rPr>
                    <w:rPr>
                      <w:rFonts w:ascii="Cambria Math" w:hAnsi="Cambria Math" w:cstheme="majorBidi"/>
                      <w:color w:val="0D0D0D" w:themeColor="text1" w:themeTint="F2"/>
                    </w:rPr>
                    <m:t>ε</m:t>
                  </m:r>
                </m:e>
                <m:sub>
                  <m:r>
                    <m:rPr>
                      <m:sty m:val="p"/>
                    </m:rPr>
                    <w:rPr>
                      <w:rFonts w:ascii="Cambria Math" w:hAnsi="Cambria Math" w:cstheme="majorBidi"/>
                      <w:color w:val="0D0D0D" w:themeColor="text1" w:themeTint="F2"/>
                    </w:rPr>
                    <m:t>R,Y</m:t>
                  </m:r>
                </m:sub>
              </m:sSub>
              <m:r>
                <m:rPr>
                  <m:sty m:val="p"/>
                </m:rPr>
                <w:rPr>
                  <w:rFonts w:ascii="Cambria Math" w:hAnsi="Cambria Math" w:cstheme="majorBidi"/>
                  <w:color w:val="0D0D0D" w:themeColor="text1" w:themeTint="F2"/>
                </w:rPr>
                <m:t>-1</m:t>
              </m:r>
            </m:e>
          </m:d>
          <m:r>
            <m:rPr>
              <m:sty m:val="p"/>
            </m:rPr>
            <w:rPr>
              <w:rFonts w:ascii="Cambria Math" w:hAnsi="Cambria Math" w:cstheme="majorBidi"/>
              <w:color w:val="0D0D0D" w:themeColor="text1" w:themeTint="F2"/>
            </w:rPr>
            <m:t>-g</m:t>
          </m:r>
          <m:d>
            <m:dPr>
              <m:ctrlPr>
                <w:rPr>
                  <w:rFonts w:ascii="Cambria Math" w:hAnsi="Cambria Math" w:cstheme="majorBidi"/>
                  <w:color w:val="0D0D0D" w:themeColor="text1" w:themeTint="F2"/>
                </w:rPr>
              </m:ctrlPr>
            </m:dPr>
            <m:e>
              <m:sSub>
                <m:sSubPr>
                  <m:ctrlPr>
                    <w:rPr>
                      <w:rFonts w:ascii="Cambria Math" w:hAnsi="Cambria Math" w:cstheme="majorBidi"/>
                      <w:color w:val="0D0D0D" w:themeColor="text1" w:themeTint="F2"/>
                    </w:rPr>
                  </m:ctrlPr>
                </m:sSubPr>
                <m:e>
                  <m:r>
                    <m:rPr>
                      <m:sty m:val="p"/>
                    </m:rPr>
                    <w:rPr>
                      <w:rFonts w:ascii="Cambria Math" w:hAnsi="Cambria Math" w:cstheme="majorBidi"/>
                      <w:color w:val="0D0D0D" w:themeColor="text1" w:themeTint="F2"/>
                    </w:rPr>
                    <m:t>ε</m:t>
                  </m:r>
                </m:e>
                <m:sub>
                  <m:r>
                    <m:rPr>
                      <m:sty m:val="p"/>
                    </m:rPr>
                    <w:rPr>
                      <w:rFonts w:ascii="Cambria Math" w:hAnsi="Cambria Math" w:cstheme="majorBidi"/>
                      <w:color w:val="0D0D0D" w:themeColor="text1" w:themeTint="F2"/>
                    </w:rPr>
                    <m:t>G,Y</m:t>
                  </m:r>
                </m:sub>
              </m:sSub>
              <m:r>
                <m:rPr>
                  <m:sty m:val="p"/>
                </m:rPr>
                <w:rPr>
                  <w:rFonts w:ascii="Cambria Math" w:hAnsi="Cambria Math" w:cstheme="majorBidi"/>
                  <w:color w:val="0D0D0D" w:themeColor="text1" w:themeTint="F2"/>
                </w:rPr>
                <m:t>-1</m:t>
              </m:r>
            </m:e>
          </m:d>
          <m:r>
            <m:rPr>
              <m:sty m:val="p"/>
            </m:rPr>
            <w:rPr>
              <w:rFonts w:ascii="Cambria Math" w:hAnsi="Cambria Math" w:cstheme="majorBidi"/>
              <w:color w:val="0D0D0D" w:themeColor="text1" w:themeTint="F2"/>
            </w:rPr>
            <m:t>=0.251</m:t>
          </m:r>
          <m:d>
            <m:dPr>
              <m:ctrlPr>
                <w:rPr>
                  <w:rFonts w:ascii="Cambria Math" w:hAnsi="Cambria Math" w:cstheme="majorBidi"/>
                  <w:color w:val="0D0D0D" w:themeColor="text1" w:themeTint="F2"/>
                </w:rPr>
              </m:ctrlPr>
            </m:dPr>
            <m:e>
              <m:r>
                <m:rPr>
                  <m:sty m:val="p"/>
                </m:rPr>
                <w:rPr>
                  <w:rFonts w:ascii="Cambria Math" w:hAnsi="Cambria Math" w:cstheme="majorBidi"/>
                  <w:color w:val="0D0D0D" w:themeColor="text1" w:themeTint="F2"/>
                </w:rPr>
                <m:t>1.235-1</m:t>
              </m:r>
            </m:e>
          </m:d>
          <m:r>
            <m:rPr>
              <m:sty m:val="p"/>
            </m:rPr>
            <w:rPr>
              <w:rFonts w:ascii="Cambria Math" w:hAnsi="Cambria Math" w:cstheme="majorBidi"/>
              <w:color w:val="0D0D0D" w:themeColor="text1" w:themeTint="F2"/>
            </w:rPr>
            <m:t>-0.267</m:t>
          </m:r>
          <m:d>
            <m:dPr>
              <m:ctrlPr>
                <w:rPr>
                  <w:rFonts w:ascii="Cambria Math" w:hAnsi="Cambria Math" w:cstheme="majorBidi"/>
                  <w:color w:val="0D0D0D" w:themeColor="text1" w:themeTint="F2"/>
                </w:rPr>
              </m:ctrlPr>
            </m:dPr>
            <m:e>
              <m:r>
                <m:rPr>
                  <m:sty m:val="p"/>
                </m:rPr>
                <w:rPr>
                  <w:rFonts w:ascii="Cambria Math" w:hAnsi="Cambria Math" w:cstheme="majorBidi"/>
                  <w:color w:val="0D0D0D" w:themeColor="text1" w:themeTint="F2"/>
                </w:rPr>
                <m:t>0-1</m:t>
              </m:r>
            </m:e>
          </m:d>
          <m:r>
            <m:rPr>
              <m:sty m:val="p"/>
            </m:rPr>
            <w:rPr>
              <w:rFonts w:ascii="Cambria Math" w:hAnsi="Cambria Math" w:cstheme="majorBidi"/>
              <w:color w:val="0D0D0D" w:themeColor="text1" w:themeTint="F2"/>
            </w:rPr>
            <m:t>=0.326</m:t>
          </m:r>
        </m:oMath>
      </m:oMathPara>
    </w:p>
    <w:p w14:paraId="7720CC5A" w14:textId="2C8BA74A" w:rsidR="00F468C9" w:rsidRPr="00770F9D" w:rsidRDefault="00F468C9" w:rsidP="005674F2">
      <w:pPr>
        <w:pStyle w:val="AAAAAAATEXXXX"/>
        <w:rPr>
          <w:rFonts w:cstheme="majorBidi"/>
          <w:color w:val="0D0D0D" w:themeColor="text1" w:themeTint="F2"/>
          <w:lang w:val="sq-AL"/>
        </w:rPr>
      </w:pPr>
      <w:r w:rsidRPr="00770F9D">
        <w:rPr>
          <w:rFonts w:cstheme="majorBidi"/>
          <w:color w:val="0D0D0D" w:themeColor="text1" w:themeTint="F2"/>
          <w:lang w:val="sq-AL"/>
        </w:rPr>
        <w:t>Ku</w:t>
      </w:r>
      <m:oMath>
        <m:r>
          <m:rPr>
            <m:sty m:val="p"/>
          </m:rPr>
          <w:rPr>
            <w:rFonts w:ascii="Cambria Math" w:hAnsi="Cambria Math" w:cstheme="majorBidi"/>
            <w:color w:val="0D0D0D" w:themeColor="text1" w:themeTint="F2"/>
            <w:lang w:val="sq-AL"/>
          </w:rPr>
          <m:t xml:space="preserve"> r=0.251</m:t>
        </m:r>
      </m:oMath>
      <w:r w:rsidRPr="00770F9D">
        <w:rPr>
          <w:rFonts w:cstheme="majorBidi"/>
          <w:color w:val="0D0D0D" w:themeColor="text1" w:themeTint="F2"/>
          <w:lang w:val="sq-AL"/>
        </w:rPr>
        <w:t xml:space="preserve"> është norma mesatare e të ardhurave totale ndaj PBB-së (duke përjashtuar faktorët njëndikimësh) për 5 v</w:t>
      </w:r>
      <w:r w:rsidR="00FB0728" w:rsidRPr="00770F9D">
        <w:rPr>
          <w:rFonts w:cstheme="majorBidi"/>
          <w:color w:val="0D0D0D" w:themeColor="text1" w:themeTint="F2"/>
          <w:lang w:val="sq-AL"/>
        </w:rPr>
        <w:t>jetët</w:t>
      </w:r>
      <w:r w:rsidRPr="00770F9D">
        <w:rPr>
          <w:rFonts w:cstheme="majorBidi"/>
          <w:color w:val="0D0D0D" w:themeColor="text1" w:themeTint="F2"/>
          <w:lang w:val="sq-AL"/>
        </w:rPr>
        <w:t xml:space="preserve"> e fundit (2017</w:t>
      </w:r>
      <w:r w:rsidR="00A112C5" w:rsidRPr="00770F9D">
        <w:rPr>
          <w:rFonts w:cstheme="majorBidi"/>
          <w:color w:val="0D0D0D" w:themeColor="text1" w:themeTint="F2"/>
          <w:lang w:val="sq-AL"/>
        </w:rPr>
        <w:t>–</w:t>
      </w:r>
      <w:r w:rsidRPr="00770F9D">
        <w:rPr>
          <w:rFonts w:cstheme="majorBidi"/>
          <w:color w:val="0D0D0D" w:themeColor="text1" w:themeTint="F2"/>
          <w:lang w:val="sq-AL"/>
        </w:rPr>
        <w:t xml:space="preserve">2021); </w:t>
      </w:r>
      <m:oMath>
        <m:r>
          <m:rPr>
            <m:sty m:val="p"/>
          </m:rPr>
          <w:rPr>
            <w:rFonts w:ascii="Cambria Math" w:hAnsi="Cambria Math" w:cstheme="majorBidi"/>
            <w:color w:val="0D0D0D" w:themeColor="text1" w:themeTint="F2"/>
            <w:lang w:val="sq-AL"/>
          </w:rPr>
          <m:t>g=0.267</m:t>
        </m:r>
      </m:oMath>
      <w:r w:rsidRPr="00770F9D">
        <w:rPr>
          <w:rFonts w:cstheme="majorBidi"/>
          <w:color w:val="0D0D0D" w:themeColor="text1" w:themeTint="F2"/>
          <w:lang w:val="sq-AL"/>
        </w:rPr>
        <w:t xml:space="preserve"> është norma mesatare e shpenzimeve primare ndaj PBB-së (duke përjashtuar faktorët njëndikimësh) për 5 v</w:t>
      </w:r>
      <w:r w:rsidR="00A112C5" w:rsidRPr="00770F9D">
        <w:rPr>
          <w:rFonts w:cstheme="majorBidi"/>
          <w:color w:val="0D0D0D" w:themeColor="text1" w:themeTint="F2"/>
          <w:lang w:val="sq-AL"/>
        </w:rPr>
        <w:t>jetët</w:t>
      </w:r>
      <w:r w:rsidRPr="00770F9D">
        <w:rPr>
          <w:rFonts w:cstheme="majorBidi"/>
          <w:color w:val="0D0D0D" w:themeColor="text1" w:themeTint="F2"/>
          <w:lang w:val="sq-AL"/>
        </w:rPr>
        <w:t xml:space="preserve"> e fundit (2017–2021). Parametri i vlerësuar i ndjeshmërisë së buxhetit </w:t>
      </w:r>
      <m:oMath>
        <m:d>
          <m:dPr>
            <m:ctrlPr>
              <w:rPr>
                <w:rFonts w:ascii="Cambria Math" w:hAnsi="Cambria Math" w:cstheme="majorBidi"/>
                <w:color w:val="0D0D0D" w:themeColor="text1" w:themeTint="F2"/>
                <w:lang w:val="sq-AL"/>
              </w:rPr>
            </m:ctrlPr>
          </m:dPr>
          <m:e>
            <m:sSub>
              <m:sSubPr>
                <m:ctrlPr>
                  <w:rPr>
                    <w:rFonts w:ascii="Cambria Math" w:hAnsi="Cambria Math" w:cstheme="majorBidi"/>
                    <w:color w:val="0D0D0D" w:themeColor="text1" w:themeTint="F2"/>
                    <w:lang w:val="sq-AL"/>
                  </w:rPr>
                </m:ctrlPr>
              </m:sSubPr>
              <m:e>
                <m:r>
                  <m:rPr>
                    <m:sty m:val="p"/>
                  </m:rPr>
                  <w:rPr>
                    <w:rFonts w:ascii="Cambria Math" w:hAnsi="Cambria Math" w:cstheme="majorBidi"/>
                    <w:color w:val="0D0D0D" w:themeColor="text1" w:themeTint="F2"/>
                    <w:lang w:val="sq-AL"/>
                  </w:rPr>
                  <m:t>σ</m:t>
                </m:r>
              </m:e>
              <m:sub>
                <m:r>
                  <m:rPr>
                    <m:sty m:val="p"/>
                  </m:rPr>
                  <w:rPr>
                    <w:rFonts w:ascii="Cambria Math" w:hAnsi="Cambria Math" w:cstheme="majorBidi"/>
                    <w:color w:val="0D0D0D" w:themeColor="text1" w:themeTint="F2"/>
                    <w:lang w:val="sq-AL"/>
                  </w:rPr>
                  <m:t>B</m:t>
                </m:r>
              </m:sub>
            </m:sSub>
          </m:e>
        </m:d>
      </m:oMath>
      <w:r w:rsidRPr="00770F9D">
        <w:rPr>
          <w:rFonts w:cstheme="majorBidi"/>
          <w:color w:val="0D0D0D" w:themeColor="text1" w:themeTint="F2"/>
          <w:lang w:val="sq-AL"/>
        </w:rPr>
        <w:t xml:space="preserve"> na thotë se për çdo </w:t>
      </w:r>
      <w:r w:rsidR="00EE365D" w:rsidRPr="00770F9D">
        <w:rPr>
          <w:rFonts w:cstheme="majorBidi"/>
          <w:color w:val="0D0D0D" w:themeColor="text1" w:themeTint="F2"/>
          <w:lang w:val="sq-AL"/>
        </w:rPr>
        <w:t>pikë përqindjeje</w:t>
      </w:r>
      <w:r w:rsidRPr="00770F9D">
        <w:rPr>
          <w:rFonts w:cstheme="majorBidi"/>
          <w:color w:val="0D0D0D" w:themeColor="text1" w:themeTint="F2"/>
          <w:lang w:val="sq-AL"/>
        </w:rPr>
        <w:t xml:space="preserve"> negative (pozitive) të hendekut të prodhimit, bilanci i përgjithshëm fiskal primar do të përkeqësohet (përmirësohet) me 0.326 </w:t>
      </w:r>
      <w:r w:rsidR="00EE365D" w:rsidRPr="00770F9D">
        <w:rPr>
          <w:rFonts w:cstheme="majorBidi"/>
          <w:color w:val="0D0D0D" w:themeColor="text1" w:themeTint="F2"/>
          <w:lang w:val="sq-AL"/>
        </w:rPr>
        <w:t>pikë përqindjeje</w:t>
      </w:r>
      <w:r w:rsidR="00715000" w:rsidRPr="00770F9D">
        <w:rPr>
          <w:rFonts w:cstheme="majorBidi"/>
          <w:color w:val="0D0D0D" w:themeColor="text1" w:themeTint="F2"/>
          <w:lang w:val="sq-AL"/>
        </w:rPr>
        <w:t xml:space="preserve"> </w:t>
      </w:r>
      <w:r w:rsidRPr="00770F9D">
        <w:rPr>
          <w:rFonts w:cstheme="majorBidi"/>
          <w:color w:val="0D0D0D" w:themeColor="text1" w:themeTint="F2"/>
          <w:lang w:val="sq-AL"/>
        </w:rPr>
        <w:t>të PBB-së potenciale.</w:t>
      </w:r>
    </w:p>
    <w:p w14:paraId="7CF727CE" w14:textId="77777777" w:rsidR="00F468C9" w:rsidRPr="00770F9D" w:rsidRDefault="00F468C9" w:rsidP="005674F2">
      <w:pPr>
        <w:pStyle w:val="AAAAAAATEXXXX"/>
        <w:rPr>
          <w:rFonts w:cstheme="majorBidi"/>
          <w:color w:val="0D0D0D" w:themeColor="text1" w:themeTint="F2"/>
          <w:lang w:val="sq-AL"/>
        </w:rPr>
      </w:pPr>
      <w:r w:rsidRPr="00F52E05">
        <w:rPr>
          <w:rFonts w:cstheme="majorBidi"/>
          <w:color w:val="0D0D0D" w:themeColor="text1" w:themeTint="F2"/>
          <w:lang w:val="sq-AL"/>
        </w:rPr>
        <w:t>Llogaritja e bilancit</w:t>
      </w:r>
      <w:r w:rsidRPr="00770F9D">
        <w:rPr>
          <w:rFonts w:cstheme="majorBidi"/>
          <w:color w:val="0D0D0D" w:themeColor="text1" w:themeTint="F2"/>
          <w:lang w:val="sq-AL"/>
        </w:rPr>
        <w:t xml:space="preserve"> fiskal të rregulluar ciklikisht dhe vlerësimi i politikës fiskale në ekonomi.</w:t>
      </w:r>
    </w:p>
    <w:p w14:paraId="30BEFFED" w14:textId="77777777" w:rsidR="00F468C9" w:rsidRPr="00770F9D" w:rsidRDefault="00F468C9" w:rsidP="005674F2">
      <w:pPr>
        <w:pStyle w:val="AAAAAAATEXXXX"/>
        <w:rPr>
          <w:rFonts w:cstheme="majorBidi"/>
          <w:color w:val="0D0D0D" w:themeColor="text1" w:themeTint="F2"/>
          <w:lang w:val="sq-AL"/>
        </w:rPr>
      </w:pPr>
      <w:r w:rsidRPr="00770F9D">
        <w:rPr>
          <w:rFonts w:cstheme="majorBidi"/>
          <w:color w:val="0D0D0D" w:themeColor="text1" w:themeTint="F2"/>
          <w:lang w:val="sq-AL"/>
        </w:rPr>
        <w:t xml:space="preserve">Bazuar te hendeku i vlerësuar i prodhimit (OG) dhe parametri i ndjeshmërisë së buxhetit </w:t>
      </w:r>
      <m:oMath>
        <m:d>
          <m:dPr>
            <m:ctrlPr>
              <w:rPr>
                <w:rFonts w:ascii="Cambria Math" w:hAnsi="Cambria Math" w:cstheme="majorBidi"/>
                <w:color w:val="0D0D0D" w:themeColor="text1" w:themeTint="F2"/>
                <w:lang w:val="sq-AL"/>
              </w:rPr>
            </m:ctrlPr>
          </m:dPr>
          <m:e>
            <m:sSub>
              <m:sSubPr>
                <m:ctrlPr>
                  <w:rPr>
                    <w:rFonts w:ascii="Cambria Math" w:hAnsi="Cambria Math" w:cstheme="majorBidi"/>
                    <w:color w:val="0D0D0D" w:themeColor="text1" w:themeTint="F2"/>
                    <w:lang w:val="sq-AL"/>
                  </w:rPr>
                </m:ctrlPr>
              </m:sSubPr>
              <m:e>
                <m:r>
                  <m:rPr>
                    <m:sty m:val="p"/>
                  </m:rPr>
                  <w:rPr>
                    <w:rFonts w:ascii="Cambria Math" w:hAnsi="Cambria Math" w:cstheme="majorBidi"/>
                    <w:color w:val="0D0D0D" w:themeColor="text1" w:themeTint="F2"/>
                    <w:lang w:val="sq-AL"/>
                  </w:rPr>
                  <m:t>σ</m:t>
                </m:r>
              </m:e>
              <m:sub>
                <m:r>
                  <m:rPr>
                    <m:sty m:val="p"/>
                  </m:rPr>
                  <w:rPr>
                    <w:rFonts w:ascii="Cambria Math" w:hAnsi="Cambria Math" w:cstheme="majorBidi"/>
                    <w:color w:val="0D0D0D" w:themeColor="text1" w:themeTint="F2"/>
                    <w:lang w:val="sq-AL"/>
                  </w:rPr>
                  <m:t>B</m:t>
                </m:r>
              </m:sub>
            </m:sSub>
          </m:e>
        </m:d>
      </m:oMath>
      <w:r w:rsidRPr="00770F9D">
        <w:rPr>
          <w:rFonts w:cstheme="majorBidi"/>
          <w:color w:val="0D0D0D" w:themeColor="text1" w:themeTint="F2"/>
          <w:lang w:val="sq-AL"/>
        </w:rPr>
        <w:t xml:space="preserve"> komponenti ciklik i bilancit fiskal primar (CPB) në terma të PBB-së potenciale është llogaritur, si:</w:t>
      </w:r>
    </w:p>
    <w:p w14:paraId="2E90F97D" w14:textId="77777777" w:rsidR="00F468C9" w:rsidRPr="00770F9D" w:rsidRDefault="00056076" w:rsidP="005674F2">
      <w:pPr>
        <w:tabs>
          <w:tab w:val="left" w:pos="3111"/>
        </w:tabs>
        <w:ind w:firstLine="284"/>
        <w:jc w:val="both"/>
        <w:rPr>
          <w:rFonts w:ascii="Garamond" w:hAnsi="Garamond" w:cstheme="majorBidi"/>
          <w:color w:val="0D0D0D" w:themeColor="text1" w:themeTint="F2"/>
        </w:rPr>
      </w:pPr>
      <m:oMathPara>
        <m:oMath>
          <m:sSub>
            <m:sSubPr>
              <m:ctrlPr>
                <w:rPr>
                  <w:rFonts w:ascii="Cambria Math" w:hAnsi="Cambria Math" w:cstheme="majorBidi"/>
                  <w:color w:val="0D0D0D" w:themeColor="text1" w:themeTint="F2"/>
                </w:rPr>
              </m:ctrlPr>
            </m:sSubPr>
            <m:e>
              <m:r>
                <m:rPr>
                  <m:sty m:val="p"/>
                </m:rPr>
                <w:rPr>
                  <w:rFonts w:ascii="Cambria Math" w:hAnsi="Cambria Math" w:cstheme="majorBidi"/>
                  <w:color w:val="0D0D0D" w:themeColor="text1" w:themeTint="F2"/>
                </w:rPr>
                <m:t>CPB</m:t>
              </m:r>
            </m:e>
            <m:sub>
              <m:r>
                <m:rPr>
                  <m:sty m:val="p"/>
                </m:rPr>
                <w:rPr>
                  <w:rFonts w:ascii="Cambria Math" w:hAnsi="Cambria Math" w:cstheme="majorBidi"/>
                  <w:color w:val="0D0D0D" w:themeColor="text1" w:themeTint="F2"/>
                </w:rPr>
                <m:t>t</m:t>
              </m:r>
            </m:sub>
          </m:sSub>
          <m:r>
            <m:rPr>
              <m:sty m:val="p"/>
            </m:rPr>
            <w:rPr>
              <w:rFonts w:ascii="Cambria Math" w:hAnsi="Cambria Math" w:cstheme="majorBidi"/>
              <w:color w:val="0D0D0D" w:themeColor="text1" w:themeTint="F2"/>
            </w:rPr>
            <m:t>=</m:t>
          </m:r>
          <m:sSub>
            <m:sSubPr>
              <m:ctrlPr>
                <w:rPr>
                  <w:rFonts w:ascii="Cambria Math" w:hAnsi="Cambria Math" w:cstheme="majorBidi"/>
                  <w:color w:val="0D0D0D" w:themeColor="text1" w:themeTint="F2"/>
                </w:rPr>
              </m:ctrlPr>
            </m:sSubPr>
            <m:e>
              <m:r>
                <m:rPr>
                  <m:sty m:val="p"/>
                </m:rPr>
                <w:rPr>
                  <w:rFonts w:ascii="Cambria Math" w:hAnsi="Cambria Math" w:cstheme="majorBidi"/>
                  <w:color w:val="0D0D0D" w:themeColor="text1" w:themeTint="F2"/>
                </w:rPr>
                <m:t>σ</m:t>
              </m:r>
            </m:e>
            <m:sub>
              <m:r>
                <m:rPr>
                  <m:sty m:val="p"/>
                </m:rPr>
                <w:rPr>
                  <w:rFonts w:ascii="Cambria Math" w:hAnsi="Cambria Math" w:cstheme="majorBidi"/>
                  <w:color w:val="0D0D0D" w:themeColor="text1" w:themeTint="F2"/>
                </w:rPr>
                <m:t>B</m:t>
              </m:r>
            </m:sub>
          </m:sSub>
          <m:r>
            <m:rPr>
              <m:sty m:val="p"/>
            </m:rPr>
            <w:rPr>
              <w:rFonts w:ascii="Cambria Math" w:hAnsi="Cambria Math" w:cstheme="majorBidi"/>
              <w:color w:val="0D0D0D" w:themeColor="text1" w:themeTint="F2"/>
            </w:rPr>
            <m:t>*</m:t>
          </m:r>
          <m:sSub>
            <m:sSubPr>
              <m:ctrlPr>
                <w:rPr>
                  <w:rFonts w:ascii="Cambria Math" w:hAnsi="Cambria Math" w:cstheme="majorBidi"/>
                  <w:color w:val="0D0D0D" w:themeColor="text1" w:themeTint="F2"/>
                </w:rPr>
              </m:ctrlPr>
            </m:sSubPr>
            <m:e>
              <m:r>
                <m:rPr>
                  <m:sty m:val="p"/>
                </m:rPr>
                <w:rPr>
                  <w:rFonts w:ascii="Cambria Math" w:hAnsi="Cambria Math" w:cstheme="majorBidi"/>
                  <w:color w:val="0D0D0D" w:themeColor="text1" w:themeTint="F2"/>
                </w:rPr>
                <m:t>OG</m:t>
              </m:r>
            </m:e>
            <m:sub>
              <m:r>
                <m:rPr>
                  <m:sty m:val="p"/>
                </m:rPr>
                <w:rPr>
                  <w:rFonts w:ascii="Cambria Math" w:hAnsi="Cambria Math" w:cstheme="majorBidi"/>
                  <w:color w:val="0D0D0D" w:themeColor="text1" w:themeTint="F2"/>
                </w:rPr>
                <m:t>t</m:t>
              </m:r>
            </m:sub>
          </m:sSub>
        </m:oMath>
      </m:oMathPara>
    </w:p>
    <w:p w14:paraId="0ABFF26D" w14:textId="77777777" w:rsidR="00F468C9" w:rsidRPr="00770F9D" w:rsidRDefault="00F468C9" w:rsidP="005674F2">
      <w:pPr>
        <w:pStyle w:val="AAAAAAATEXXXX"/>
        <w:rPr>
          <w:rFonts w:cstheme="majorBidi"/>
          <w:color w:val="0D0D0D" w:themeColor="text1" w:themeTint="F2"/>
          <w:lang w:val="sq-AL"/>
        </w:rPr>
      </w:pPr>
      <w:r w:rsidRPr="00770F9D">
        <w:rPr>
          <w:rFonts w:cstheme="majorBidi"/>
          <w:color w:val="0D0D0D" w:themeColor="text1" w:themeTint="F2"/>
          <w:lang w:val="sq-AL"/>
        </w:rPr>
        <w:t>Ku stabilizatorët automatikë (AS) janë përkufizuar si ndryshimi i CPB-së të dyja viteve rresht, pra:</w:t>
      </w:r>
    </w:p>
    <w:p w14:paraId="78764FE4" w14:textId="77777777" w:rsidR="00F468C9" w:rsidRPr="00770F9D" w:rsidRDefault="00056076" w:rsidP="005674F2">
      <w:pPr>
        <w:tabs>
          <w:tab w:val="left" w:pos="3111"/>
        </w:tabs>
        <w:ind w:firstLine="284"/>
        <w:jc w:val="center"/>
        <w:rPr>
          <w:rFonts w:ascii="Garamond" w:hAnsi="Garamond" w:cstheme="majorBidi"/>
          <w:color w:val="0D0D0D" w:themeColor="text1" w:themeTint="F2"/>
        </w:rPr>
      </w:pPr>
      <m:oMathPara>
        <m:oMath>
          <m:sSub>
            <m:sSubPr>
              <m:ctrlPr>
                <w:rPr>
                  <w:rFonts w:ascii="Cambria Math" w:hAnsi="Cambria Math" w:cstheme="majorBidi"/>
                  <w:color w:val="0D0D0D" w:themeColor="text1" w:themeTint="F2"/>
                </w:rPr>
              </m:ctrlPr>
            </m:sSubPr>
            <m:e>
              <m:r>
                <m:rPr>
                  <m:sty m:val="p"/>
                </m:rPr>
                <w:rPr>
                  <w:rFonts w:ascii="Cambria Math" w:hAnsi="Cambria Math" w:cstheme="majorBidi"/>
                  <w:color w:val="0D0D0D" w:themeColor="text1" w:themeTint="F2"/>
                </w:rPr>
                <m:t>AS</m:t>
              </m:r>
            </m:e>
            <m:sub>
              <m:r>
                <m:rPr>
                  <m:sty m:val="p"/>
                </m:rPr>
                <w:rPr>
                  <w:rFonts w:ascii="Cambria Math" w:hAnsi="Cambria Math" w:cstheme="majorBidi"/>
                  <w:color w:val="0D0D0D" w:themeColor="text1" w:themeTint="F2"/>
                </w:rPr>
                <m:t>t</m:t>
              </m:r>
            </m:sub>
          </m:sSub>
          <m:r>
            <m:rPr>
              <m:sty m:val="p"/>
            </m:rPr>
            <w:rPr>
              <w:rFonts w:ascii="Cambria Math" w:hAnsi="Cambria Math" w:cstheme="majorBidi"/>
              <w:color w:val="0D0D0D" w:themeColor="text1" w:themeTint="F2"/>
            </w:rPr>
            <m:t>=</m:t>
          </m:r>
          <m:sSub>
            <m:sSubPr>
              <m:ctrlPr>
                <w:rPr>
                  <w:rFonts w:ascii="Cambria Math" w:hAnsi="Cambria Math" w:cstheme="majorBidi"/>
                  <w:color w:val="0D0D0D" w:themeColor="text1" w:themeTint="F2"/>
                </w:rPr>
              </m:ctrlPr>
            </m:sSubPr>
            <m:e>
              <m:r>
                <m:rPr>
                  <m:sty m:val="p"/>
                </m:rPr>
                <w:rPr>
                  <w:rFonts w:ascii="Cambria Math" w:hAnsi="Cambria Math" w:cstheme="majorBidi"/>
                  <w:color w:val="0D0D0D" w:themeColor="text1" w:themeTint="F2"/>
                </w:rPr>
                <m:t>CPB</m:t>
              </m:r>
            </m:e>
            <m:sub>
              <m:r>
                <m:rPr>
                  <m:sty m:val="p"/>
                </m:rPr>
                <w:rPr>
                  <w:rFonts w:ascii="Cambria Math" w:hAnsi="Cambria Math" w:cstheme="majorBidi"/>
                  <w:color w:val="0D0D0D" w:themeColor="text1" w:themeTint="F2"/>
                </w:rPr>
                <m:t>t</m:t>
              </m:r>
            </m:sub>
          </m:sSub>
          <m:r>
            <m:rPr>
              <m:sty m:val="p"/>
            </m:rPr>
            <w:rPr>
              <w:rFonts w:ascii="Cambria Math" w:hAnsi="Cambria Math" w:cstheme="majorBidi"/>
              <w:color w:val="0D0D0D" w:themeColor="text1" w:themeTint="F2"/>
            </w:rPr>
            <m:t>-</m:t>
          </m:r>
          <m:sSub>
            <m:sSubPr>
              <m:ctrlPr>
                <w:rPr>
                  <w:rFonts w:ascii="Cambria Math" w:hAnsi="Cambria Math" w:cstheme="majorBidi"/>
                  <w:color w:val="0D0D0D" w:themeColor="text1" w:themeTint="F2"/>
                </w:rPr>
              </m:ctrlPr>
            </m:sSubPr>
            <m:e>
              <m:r>
                <m:rPr>
                  <m:sty m:val="p"/>
                </m:rPr>
                <w:rPr>
                  <w:rFonts w:ascii="Cambria Math" w:hAnsi="Cambria Math" w:cstheme="majorBidi"/>
                  <w:color w:val="0D0D0D" w:themeColor="text1" w:themeTint="F2"/>
                </w:rPr>
                <m:t>CPB</m:t>
              </m:r>
            </m:e>
            <m:sub>
              <m:r>
                <m:rPr>
                  <m:sty m:val="p"/>
                </m:rPr>
                <w:rPr>
                  <w:rFonts w:ascii="Cambria Math" w:hAnsi="Cambria Math" w:cstheme="majorBidi"/>
                  <w:color w:val="0D0D0D" w:themeColor="text1" w:themeTint="F2"/>
                </w:rPr>
                <m:t>t-1</m:t>
              </m:r>
            </m:sub>
          </m:sSub>
        </m:oMath>
      </m:oMathPara>
    </w:p>
    <w:p w14:paraId="6DE3CE5E" w14:textId="77777777" w:rsidR="00F468C9" w:rsidRPr="00770F9D" w:rsidRDefault="00F468C9" w:rsidP="005674F2">
      <w:pPr>
        <w:pStyle w:val="AAAAAAATEXXXX"/>
        <w:rPr>
          <w:rFonts w:cstheme="majorBidi"/>
          <w:color w:val="0D0D0D" w:themeColor="text1" w:themeTint="F2"/>
          <w:lang w:val="sq-AL"/>
        </w:rPr>
      </w:pPr>
      <w:r w:rsidRPr="00770F9D">
        <w:rPr>
          <w:rFonts w:cstheme="majorBidi"/>
          <w:color w:val="0D0D0D" w:themeColor="text1" w:themeTint="F2"/>
          <w:lang w:val="sq-AL"/>
        </w:rPr>
        <w:t>Bilanci primar i rregulluar ciklikisht (CAPB) llogaritet si diferencë mes bilancit primar fiskal aktual (PB) dhe komponentit të tij ciklik (CPB):</w:t>
      </w:r>
    </w:p>
    <w:p w14:paraId="22E0022B" w14:textId="77777777" w:rsidR="00F468C9" w:rsidRPr="00770F9D" w:rsidRDefault="00056076" w:rsidP="005674F2">
      <w:pPr>
        <w:tabs>
          <w:tab w:val="left" w:pos="3111"/>
        </w:tabs>
        <w:ind w:firstLine="284"/>
        <w:jc w:val="both"/>
        <w:rPr>
          <w:rFonts w:ascii="Garamond" w:hAnsi="Garamond" w:cstheme="majorBidi"/>
          <w:color w:val="0D0D0D" w:themeColor="text1" w:themeTint="F2"/>
        </w:rPr>
      </w:pPr>
      <m:oMathPara>
        <m:oMath>
          <m:sSub>
            <m:sSubPr>
              <m:ctrlPr>
                <w:rPr>
                  <w:rFonts w:ascii="Cambria Math" w:hAnsi="Cambria Math" w:cstheme="majorBidi"/>
                  <w:color w:val="0D0D0D" w:themeColor="text1" w:themeTint="F2"/>
                </w:rPr>
              </m:ctrlPr>
            </m:sSubPr>
            <m:e>
              <m:r>
                <m:rPr>
                  <m:sty m:val="p"/>
                </m:rPr>
                <w:rPr>
                  <w:rFonts w:ascii="Cambria Math" w:hAnsi="Cambria Math" w:cstheme="majorBidi"/>
                  <w:color w:val="0D0D0D" w:themeColor="text1" w:themeTint="F2"/>
                </w:rPr>
                <m:t>CAPB</m:t>
              </m:r>
            </m:e>
            <m:sub>
              <m:r>
                <m:rPr>
                  <m:sty m:val="p"/>
                </m:rPr>
                <w:rPr>
                  <w:rFonts w:ascii="Cambria Math" w:hAnsi="Cambria Math" w:cstheme="majorBidi"/>
                  <w:color w:val="0D0D0D" w:themeColor="text1" w:themeTint="F2"/>
                </w:rPr>
                <m:t>t</m:t>
              </m:r>
            </m:sub>
          </m:sSub>
          <m:r>
            <m:rPr>
              <m:sty m:val="p"/>
            </m:rPr>
            <w:rPr>
              <w:rFonts w:ascii="Cambria Math" w:hAnsi="Cambria Math" w:cstheme="majorBidi"/>
              <w:color w:val="0D0D0D" w:themeColor="text1" w:themeTint="F2"/>
            </w:rPr>
            <m:t>=</m:t>
          </m:r>
          <m:sSub>
            <m:sSubPr>
              <m:ctrlPr>
                <w:rPr>
                  <w:rFonts w:ascii="Cambria Math" w:hAnsi="Cambria Math" w:cstheme="majorBidi"/>
                  <w:color w:val="0D0D0D" w:themeColor="text1" w:themeTint="F2"/>
                </w:rPr>
              </m:ctrlPr>
            </m:sSubPr>
            <m:e>
              <m:r>
                <m:rPr>
                  <m:sty m:val="p"/>
                </m:rPr>
                <w:rPr>
                  <w:rFonts w:ascii="Cambria Math" w:hAnsi="Cambria Math" w:cstheme="majorBidi"/>
                  <w:color w:val="0D0D0D" w:themeColor="text1" w:themeTint="F2"/>
                </w:rPr>
                <m:t>PB</m:t>
              </m:r>
            </m:e>
            <m:sub>
              <m:r>
                <m:rPr>
                  <m:sty m:val="p"/>
                </m:rPr>
                <w:rPr>
                  <w:rFonts w:ascii="Cambria Math" w:hAnsi="Cambria Math" w:cstheme="majorBidi"/>
                  <w:color w:val="0D0D0D" w:themeColor="text1" w:themeTint="F2"/>
                </w:rPr>
                <m:t>t</m:t>
              </m:r>
            </m:sub>
          </m:sSub>
          <m:r>
            <m:rPr>
              <m:sty m:val="p"/>
            </m:rPr>
            <w:rPr>
              <w:rFonts w:ascii="Cambria Math" w:hAnsi="Cambria Math" w:cstheme="majorBidi"/>
              <w:color w:val="0D0D0D" w:themeColor="text1" w:themeTint="F2"/>
            </w:rPr>
            <m:t>-</m:t>
          </m:r>
          <m:sSub>
            <m:sSubPr>
              <m:ctrlPr>
                <w:rPr>
                  <w:rFonts w:ascii="Cambria Math" w:hAnsi="Cambria Math" w:cstheme="majorBidi"/>
                  <w:color w:val="0D0D0D" w:themeColor="text1" w:themeTint="F2"/>
                </w:rPr>
              </m:ctrlPr>
            </m:sSubPr>
            <m:e>
              <m:r>
                <m:rPr>
                  <m:sty m:val="p"/>
                </m:rPr>
                <w:rPr>
                  <w:rFonts w:ascii="Cambria Math" w:hAnsi="Cambria Math" w:cstheme="majorBidi"/>
                  <w:color w:val="0D0D0D" w:themeColor="text1" w:themeTint="F2"/>
                </w:rPr>
                <m:t>CPB</m:t>
              </m:r>
            </m:e>
            <m:sub>
              <m:r>
                <m:rPr>
                  <m:sty m:val="p"/>
                </m:rPr>
                <w:rPr>
                  <w:rFonts w:ascii="Cambria Math" w:hAnsi="Cambria Math" w:cstheme="majorBidi"/>
                  <w:color w:val="0D0D0D" w:themeColor="text1" w:themeTint="F2"/>
                </w:rPr>
                <m:t>t</m:t>
              </m:r>
            </m:sub>
          </m:sSub>
        </m:oMath>
      </m:oMathPara>
    </w:p>
    <w:p w14:paraId="06BFEA6A" w14:textId="77777777" w:rsidR="00F468C9" w:rsidRPr="00770F9D" w:rsidRDefault="00F468C9" w:rsidP="005674F2">
      <w:pPr>
        <w:pStyle w:val="AAAAAAATEXXXX"/>
        <w:rPr>
          <w:rFonts w:cstheme="majorBidi"/>
          <w:color w:val="0D0D0D" w:themeColor="text1" w:themeTint="F2"/>
          <w:lang w:val="sq-AL"/>
        </w:rPr>
      </w:pPr>
      <w:r w:rsidRPr="00770F9D">
        <w:rPr>
          <w:rFonts w:cstheme="majorBidi"/>
          <w:color w:val="0D0D0D" w:themeColor="text1" w:themeTint="F2"/>
          <w:lang w:val="sq-AL"/>
        </w:rPr>
        <w:t>Bilanci i përgjithshëm i rregulluar ciklikisht (CAB) del pasi bilancit primar të rregulluar ciklikisht i hiqen shpenzimet për interesat (INT) te bilanci primar i rregulluar ciklikisht:</w:t>
      </w:r>
    </w:p>
    <w:p w14:paraId="465FA1FE" w14:textId="77777777" w:rsidR="00F468C9" w:rsidRPr="00770F9D" w:rsidRDefault="00056076" w:rsidP="005674F2">
      <w:pPr>
        <w:tabs>
          <w:tab w:val="left" w:pos="3111"/>
        </w:tabs>
        <w:ind w:firstLine="284"/>
        <w:jc w:val="both"/>
        <w:rPr>
          <w:rFonts w:ascii="Garamond" w:hAnsi="Garamond" w:cstheme="majorBidi"/>
          <w:color w:val="0D0D0D" w:themeColor="text1" w:themeTint="F2"/>
        </w:rPr>
      </w:pPr>
      <m:oMathPara>
        <m:oMath>
          <m:sSub>
            <m:sSubPr>
              <m:ctrlPr>
                <w:rPr>
                  <w:rFonts w:ascii="Cambria Math" w:hAnsi="Cambria Math" w:cstheme="majorBidi"/>
                  <w:color w:val="0D0D0D" w:themeColor="text1" w:themeTint="F2"/>
                </w:rPr>
              </m:ctrlPr>
            </m:sSubPr>
            <m:e>
              <m:r>
                <m:rPr>
                  <m:sty m:val="p"/>
                </m:rPr>
                <w:rPr>
                  <w:rFonts w:ascii="Cambria Math" w:hAnsi="Cambria Math" w:cstheme="majorBidi"/>
                  <w:color w:val="0D0D0D" w:themeColor="text1" w:themeTint="F2"/>
                </w:rPr>
                <m:t>CAB</m:t>
              </m:r>
            </m:e>
            <m:sub>
              <m:r>
                <m:rPr>
                  <m:sty m:val="p"/>
                </m:rPr>
                <w:rPr>
                  <w:rFonts w:ascii="Cambria Math" w:hAnsi="Cambria Math" w:cstheme="majorBidi"/>
                  <w:color w:val="0D0D0D" w:themeColor="text1" w:themeTint="F2"/>
                </w:rPr>
                <m:t>t</m:t>
              </m:r>
            </m:sub>
          </m:sSub>
          <m:r>
            <m:rPr>
              <m:sty m:val="p"/>
            </m:rPr>
            <w:rPr>
              <w:rFonts w:ascii="Cambria Math" w:hAnsi="Cambria Math" w:cstheme="majorBidi"/>
              <w:color w:val="0D0D0D" w:themeColor="text1" w:themeTint="F2"/>
            </w:rPr>
            <m:t>=</m:t>
          </m:r>
          <m:sSub>
            <m:sSubPr>
              <m:ctrlPr>
                <w:rPr>
                  <w:rFonts w:ascii="Cambria Math" w:hAnsi="Cambria Math" w:cstheme="majorBidi"/>
                  <w:color w:val="0D0D0D" w:themeColor="text1" w:themeTint="F2"/>
                </w:rPr>
              </m:ctrlPr>
            </m:sSubPr>
            <m:e>
              <m:r>
                <m:rPr>
                  <m:sty m:val="p"/>
                </m:rPr>
                <w:rPr>
                  <w:rFonts w:ascii="Cambria Math" w:hAnsi="Cambria Math" w:cstheme="majorBidi"/>
                  <w:color w:val="0D0D0D" w:themeColor="text1" w:themeTint="F2"/>
                </w:rPr>
                <m:t>CAPB</m:t>
              </m:r>
            </m:e>
            <m:sub>
              <m:r>
                <m:rPr>
                  <m:sty m:val="p"/>
                </m:rPr>
                <w:rPr>
                  <w:rFonts w:ascii="Cambria Math" w:hAnsi="Cambria Math" w:cstheme="majorBidi"/>
                  <w:color w:val="0D0D0D" w:themeColor="text1" w:themeTint="F2"/>
                </w:rPr>
                <m:t>t</m:t>
              </m:r>
            </m:sub>
          </m:sSub>
          <m:r>
            <m:rPr>
              <m:sty m:val="p"/>
            </m:rPr>
            <w:rPr>
              <w:rFonts w:ascii="Cambria Math" w:hAnsi="Cambria Math" w:cstheme="majorBidi"/>
              <w:color w:val="0D0D0D" w:themeColor="text1" w:themeTint="F2"/>
            </w:rPr>
            <m:t>-</m:t>
          </m:r>
          <m:sSub>
            <m:sSubPr>
              <m:ctrlPr>
                <w:rPr>
                  <w:rFonts w:ascii="Cambria Math" w:hAnsi="Cambria Math" w:cstheme="majorBidi"/>
                  <w:color w:val="0D0D0D" w:themeColor="text1" w:themeTint="F2"/>
                </w:rPr>
              </m:ctrlPr>
            </m:sSubPr>
            <m:e>
              <m:r>
                <m:rPr>
                  <m:sty m:val="p"/>
                </m:rPr>
                <w:rPr>
                  <w:rFonts w:ascii="Cambria Math" w:hAnsi="Cambria Math" w:cstheme="majorBidi"/>
                  <w:color w:val="0D0D0D" w:themeColor="text1" w:themeTint="F2"/>
                </w:rPr>
                <m:t>INT</m:t>
              </m:r>
            </m:e>
            <m:sub>
              <m:r>
                <m:rPr>
                  <m:sty m:val="p"/>
                </m:rPr>
                <w:rPr>
                  <w:rFonts w:ascii="Cambria Math" w:hAnsi="Cambria Math" w:cstheme="majorBidi"/>
                  <w:color w:val="0D0D0D" w:themeColor="text1" w:themeTint="F2"/>
                </w:rPr>
                <m:t>t</m:t>
              </m:r>
            </m:sub>
          </m:sSub>
        </m:oMath>
      </m:oMathPara>
    </w:p>
    <w:p w14:paraId="5DD66DB4" w14:textId="77777777" w:rsidR="00F468C9" w:rsidRPr="00770F9D" w:rsidRDefault="00F468C9" w:rsidP="005674F2">
      <w:pPr>
        <w:pStyle w:val="AAAAAAATEXXXX"/>
        <w:rPr>
          <w:rFonts w:cstheme="majorBidi"/>
          <w:color w:val="0D0D0D" w:themeColor="text1" w:themeTint="F2"/>
          <w:lang w:val="sq-AL"/>
        </w:rPr>
      </w:pPr>
      <w:r w:rsidRPr="00770F9D">
        <w:rPr>
          <w:rFonts w:cstheme="majorBidi"/>
          <w:color w:val="0D0D0D" w:themeColor="text1" w:themeTint="F2"/>
          <w:lang w:val="sq-AL"/>
        </w:rPr>
        <w:t xml:space="preserve">Impulsi fiskal (FI) në terma të PBB-së potenciale është ndryshimi i bilancit primar të rregulluar ciklikisht çdo vit, relativisht me vitin e kaluar: </w:t>
      </w:r>
    </w:p>
    <w:p w14:paraId="35235206" w14:textId="77777777" w:rsidR="00F468C9" w:rsidRPr="00770F9D" w:rsidRDefault="00056076" w:rsidP="005674F2">
      <w:pPr>
        <w:tabs>
          <w:tab w:val="left" w:pos="3111"/>
        </w:tabs>
        <w:ind w:firstLine="284"/>
        <w:jc w:val="both"/>
        <w:rPr>
          <w:rFonts w:ascii="Garamond" w:hAnsi="Garamond" w:cstheme="majorBidi"/>
          <w:color w:val="0D0D0D" w:themeColor="text1" w:themeTint="F2"/>
        </w:rPr>
      </w:pPr>
      <m:oMathPara>
        <m:oMath>
          <m:sSub>
            <m:sSubPr>
              <m:ctrlPr>
                <w:rPr>
                  <w:rFonts w:ascii="Cambria Math" w:hAnsi="Cambria Math" w:cstheme="majorBidi"/>
                  <w:color w:val="0D0D0D" w:themeColor="text1" w:themeTint="F2"/>
                </w:rPr>
              </m:ctrlPr>
            </m:sSubPr>
            <m:e>
              <m:r>
                <m:rPr>
                  <m:sty m:val="p"/>
                </m:rPr>
                <w:rPr>
                  <w:rFonts w:ascii="Cambria Math" w:hAnsi="Cambria Math" w:cstheme="majorBidi"/>
                  <w:color w:val="0D0D0D" w:themeColor="text1" w:themeTint="F2"/>
                </w:rPr>
                <m:t>FI</m:t>
              </m:r>
            </m:e>
            <m:sub>
              <m:r>
                <m:rPr>
                  <m:sty m:val="p"/>
                </m:rPr>
                <w:rPr>
                  <w:rFonts w:ascii="Cambria Math" w:hAnsi="Cambria Math" w:cstheme="majorBidi"/>
                  <w:color w:val="0D0D0D" w:themeColor="text1" w:themeTint="F2"/>
                </w:rPr>
                <m:t>t</m:t>
              </m:r>
            </m:sub>
          </m:sSub>
          <m:r>
            <m:rPr>
              <m:sty m:val="p"/>
            </m:rPr>
            <w:rPr>
              <w:rFonts w:ascii="Cambria Math" w:hAnsi="Cambria Math" w:cstheme="majorBidi"/>
              <w:color w:val="0D0D0D" w:themeColor="text1" w:themeTint="F2"/>
            </w:rPr>
            <m:t>=</m:t>
          </m:r>
          <m:sSub>
            <m:sSubPr>
              <m:ctrlPr>
                <w:rPr>
                  <w:rFonts w:ascii="Cambria Math" w:hAnsi="Cambria Math" w:cstheme="majorBidi"/>
                  <w:color w:val="0D0D0D" w:themeColor="text1" w:themeTint="F2"/>
                </w:rPr>
              </m:ctrlPr>
            </m:sSubPr>
            <m:e>
              <m:r>
                <m:rPr>
                  <m:sty m:val="p"/>
                </m:rPr>
                <w:rPr>
                  <w:rFonts w:ascii="Cambria Math" w:hAnsi="Cambria Math" w:cstheme="majorBidi"/>
                  <w:color w:val="0D0D0D" w:themeColor="text1" w:themeTint="F2"/>
                </w:rPr>
                <m:t>CAPB</m:t>
              </m:r>
            </m:e>
            <m:sub>
              <m:r>
                <m:rPr>
                  <m:sty m:val="p"/>
                </m:rPr>
                <w:rPr>
                  <w:rFonts w:ascii="Cambria Math" w:hAnsi="Cambria Math" w:cstheme="majorBidi"/>
                  <w:color w:val="0D0D0D" w:themeColor="text1" w:themeTint="F2"/>
                </w:rPr>
                <m:t>t-1</m:t>
              </m:r>
            </m:sub>
          </m:sSub>
          <m:r>
            <m:rPr>
              <m:sty m:val="p"/>
            </m:rPr>
            <w:rPr>
              <w:rFonts w:ascii="Cambria Math" w:hAnsi="Cambria Math" w:cstheme="majorBidi"/>
              <w:color w:val="0D0D0D" w:themeColor="text1" w:themeTint="F2"/>
            </w:rPr>
            <m:t>-</m:t>
          </m:r>
          <m:sSub>
            <m:sSubPr>
              <m:ctrlPr>
                <w:rPr>
                  <w:rFonts w:ascii="Cambria Math" w:hAnsi="Cambria Math" w:cstheme="majorBidi"/>
                  <w:color w:val="0D0D0D" w:themeColor="text1" w:themeTint="F2"/>
                </w:rPr>
              </m:ctrlPr>
            </m:sSubPr>
            <m:e>
              <m:r>
                <m:rPr>
                  <m:sty m:val="p"/>
                </m:rPr>
                <w:rPr>
                  <w:rFonts w:ascii="Cambria Math" w:hAnsi="Cambria Math" w:cstheme="majorBidi"/>
                  <w:color w:val="0D0D0D" w:themeColor="text1" w:themeTint="F2"/>
                </w:rPr>
                <m:t>CAPB</m:t>
              </m:r>
            </m:e>
            <m:sub>
              <m:r>
                <m:rPr>
                  <m:sty m:val="p"/>
                </m:rPr>
                <w:rPr>
                  <w:rFonts w:ascii="Cambria Math" w:hAnsi="Cambria Math" w:cstheme="majorBidi"/>
                  <w:color w:val="0D0D0D" w:themeColor="text1" w:themeTint="F2"/>
                </w:rPr>
                <m:t>t</m:t>
              </m:r>
            </m:sub>
          </m:sSub>
        </m:oMath>
      </m:oMathPara>
    </w:p>
    <w:p w14:paraId="270E7903" w14:textId="77777777" w:rsidR="00F468C9" w:rsidRPr="00770F9D" w:rsidRDefault="00F468C9" w:rsidP="005674F2">
      <w:pPr>
        <w:pStyle w:val="AAAAAAATEXXXX"/>
        <w:rPr>
          <w:rFonts w:cstheme="majorBidi"/>
          <w:color w:val="0D0D0D" w:themeColor="text1" w:themeTint="F2"/>
          <w:lang w:val="sq-AL"/>
        </w:rPr>
      </w:pPr>
      <w:r w:rsidRPr="00770F9D">
        <w:rPr>
          <w:rFonts w:cstheme="majorBidi"/>
          <w:color w:val="0D0D0D" w:themeColor="text1" w:themeTint="F2"/>
          <w:lang w:val="sq-AL"/>
        </w:rPr>
        <w:t>Bazuar në drejtimin e impulsit fiskal (ngushtues apo zgjerues) dhe hendekut të prodhimit (negative ose pozitive), ne po japim një paraqitje të thjeshtë për sa i përket natyrës së politikës fiskale, n.q.s. ajo ka qenë prociklike, kundërciklike apo neutrale. Rezultatet e marra janë paraqitur në tabelën dhe grafikun më poshtë.</w:t>
      </w:r>
    </w:p>
    <w:p w14:paraId="714530D8" w14:textId="77777777" w:rsidR="00F468C9" w:rsidRPr="00770F9D" w:rsidRDefault="00F468C9" w:rsidP="005674F2">
      <w:pPr>
        <w:tabs>
          <w:tab w:val="left" w:pos="3111"/>
        </w:tabs>
        <w:ind w:firstLine="284"/>
        <w:jc w:val="both"/>
        <w:rPr>
          <w:rFonts w:ascii="Garamond" w:hAnsi="Garamond" w:cstheme="majorBidi"/>
          <w:color w:val="0D0D0D" w:themeColor="text1" w:themeTint="F2"/>
          <w:bdr w:val="none" w:sz="0" w:space="0" w:color="auto" w:frame="1"/>
        </w:rPr>
      </w:pPr>
    </w:p>
    <w:p w14:paraId="72A6BB20" w14:textId="77777777" w:rsidR="00C472DC" w:rsidRPr="00770F9D" w:rsidRDefault="00C472DC" w:rsidP="00715000">
      <w:pPr>
        <w:tabs>
          <w:tab w:val="left" w:pos="3111"/>
        </w:tabs>
        <w:jc w:val="center"/>
        <w:rPr>
          <w:rFonts w:ascii="Garamond" w:hAnsi="Garamond" w:cstheme="majorBidi"/>
          <w:b/>
          <w:bCs/>
          <w:i/>
          <w:iCs/>
          <w:color w:val="0D0D0D" w:themeColor="text1" w:themeTint="F2"/>
          <w:sz w:val="20"/>
          <w:szCs w:val="20"/>
          <w:bdr w:val="none" w:sz="0" w:space="0" w:color="auto" w:frame="1"/>
        </w:rPr>
      </w:pPr>
    </w:p>
    <w:p w14:paraId="35C313F1" w14:textId="77777777" w:rsidR="00C472DC" w:rsidRPr="00770F9D" w:rsidRDefault="00C472DC" w:rsidP="00715000">
      <w:pPr>
        <w:tabs>
          <w:tab w:val="left" w:pos="3111"/>
        </w:tabs>
        <w:jc w:val="center"/>
        <w:rPr>
          <w:rFonts w:ascii="Garamond" w:hAnsi="Garamond" w:cstheme="majorBidi"/>
          <w:b/>
          <w:bCs/>
          <w:i/>
          <w:iCs/>
          <w:color w:val="0D0D0D" w:themeColor="text1" w:themeTint="F2"/>
          <w:sz w:val="20"/>
          <w:szCs w:val="20"/>
          <w:bdr w:val="none" w:sz="0" w:space="0" w:color="auto" w:frame="1"/>
        </w:rPr>
      </w:pPr>
    </w:p>
    <w:p w14:paraId="24EC4B91" w14:textId="77777777" w:rsidR="00C472DC" w:rsidRPr="00770F9D" w:rsidRDefault="00C472DC" w:rsidP="00715000">
      <w:pPr>
        <w:tabs>
          <w:tab w:val="left" w:pos="3111"/>
        </w:tabs>
        <w:jc w:val="center"/>
        <w:rPr>
          <w:rFonts w:ascii="Garamond" w:hAnsi="Garamond" w:cstheme="majorBidi"/>
          <w:b/>
          <w:bCs/>
          <w:i/>
          <w:iCs/>
          <w:color w:val="0D0D0D" w:themeColor="text1" w:themeTint="F2"/>
          <w:sz w:val="20"/>
          <w:szCs w:val="20"/>
          <w:bdr w:val="none" w:sz="0" w:space="0" w:color="auto" w:frame="1"/>
        </w:rPr>
      </w:pPr>
    </w:p>
    <w:p w14:paraId="7B2A27AE" w14:textId="77777777" w:rsidR="00C472DC" w:rsidRPr="00770F9D" w:rsidRDefault="00C472DC" w:rsidP="00715000">
      <w:pPr>
        <w:tabs>
          <w:tab w:val="left" w:pos="3111"/>
        </w:tabs>
        <w:jc w:val="center"/>
        <w:rPr>
          <w:rFonts w:ascii="Garamond" w:hAnsi="Garamond" w:cstheme="majorBidi"/>
          <w:b/>
          <w:bCs/>
          <w:i/>
          <w:iCs/>
          <w:color w:val="0D0D0D" w:themeColor="text1" w:themeTint="F2"/>
          <w:sz w:val="20"/>
          <w:szCs w:val="20"/>
          <w:bdr w:val="none" w:sz="0" w:space="0" w:color="auto" w:frame="1"/>
        </w:rPr>
      </w:pPr>
    </w:p>
    <w:p w14:paraId="2DBCE005" w14:textId="77777777" w:rsidR="00C472DC" w:rsidRPr="00770F9D" w:rsidRDefault="00C472DC" w:rsidP="00715000">
      <w:pPr>
        <w:tabs>
          <w:tab w:val="left" w:pos="3111"/>
        </w:tabs>
        <w:jc w:val="center"/>
        <w:rPr>
          <w:rFonts w:ascii="Garamond" w:hAnsi="Garamond" w:cstheme="majorBidi"/>
          <w:b/>
          <w:bCs/>
          <w:i/>
          <w:iCs/>
          <w:color w:val="0D0D0D" w:themeColor="text1" w:themeTint="F2"/>
          <w:sz w:val="20"/>
          <w:szCs w:val="20"/>
          <w:bdr w:val="none" w:sz="0" w:space="0" w:color="auto" w:frame="1"/>
        </w:rPr>
      </w:pPr>
    </w:p>
    <w:p w14:paraId="6BCF325A" w14:textId="77777777" w:rsidR="00C472DC" w:rsidRPr="00770F9D" w:rsidRDefault="00C472DC" w:rsidP="00715000">
      <w:pPr>
        <w:tabs>
          <w:tab w:val="left" w:pos="3111"/>
        </w:tabs>
        <w:jc w:val="center"/>
        <w:rPr>
          <w:rFonts w:ascii="Garamond" w:hAnsi="Garamond" w:cstheme="majorBidi"/>
          <w:b/>
          <w:bCs/>
          <w:i/>
          <w:iCs/>
          <w:color w:val="0D0D0D" w:themeColor="text1" w:themeTint="F2"/>
          <w:sz w:val="20"/>
          <w:szCs w:val="20"/>
          <w:bdr w:val="none" w:sz="0" w:space="0" w:color="auto" w:frame="1"/>
        </w:rPr>
      </w:pPr>
    </w:p>
    <w:p w14:paraId="4AA11BD3" w14:textId="77777777" w:rsidR="00C472DC" w:rsidRPr="00770F9D" w:rsidRDefault="00C472DC" w:rsidP="00715000">
      <w:pPr>
        <w:tabs>
          <w:tab w:val="left" w:pos="3111"/>
        </w:tabs>
        <w:jc w:val="center"/>
        <w:rPr>
          <w:rFonts w:ascii="Garamond" w:hAnsi="Garamond" w:cstheme="majorBidi"/>
          <w:b/>
          <w:bCs/>
          <w:i/>
          <w:iCs/>
          <w:color w:val="0D0D0D" w:themeColor="text1" w:themeTint="F2"/>
          <w:sz w:val="20"/>
          <w:szCs w:val="20"/>
          <w:bdr w:val="none" w:sz="0" w:space="0" w:color="auto" w:frame="1"/>
        </w:rPr>
      </w:pPr>
    </w:p>
    <w:p w14:paraId="066FB69F" w14:textId="16FFF6D9" w:rsidR="00F468C9" w:rsidRPr="00770F9D" w:rsidRDefault="00C472DC" w:rsidP="00715000">
      <w:pPr>
        <w:tabs>
          <w:tab w:val="left" w:pos="3111"/>
        </w:tabs>
        <w:jc w:val="center"/>
        <w:rPr>
          <w:rFonts w:ascii="Garamond" w:hAnsi="Garamond" w:cstheme="majorBidi"/>
          <w:i/>
          <w:iCs/>
          <w:color w:val="0D0D0D" w:themeColor="text1" w:themeTint="F2"/>
          <w:sz w:val="20"/>
          <w:szCs w:val="20"/>
          <w:bdr w:val="none" w:sz="0" w:space="0" w:color="auto" w:frame="1"/>
        </w:rPr>
      </w:pPr>
      <w:r w:rsidRPr="00770F9D">
        <w:rPr>
          <w:rFonts w:ascii="Garamond" w:hAnsi="Garamond" w:cstheme="majorBidi"/>
          <w:noProof/>
          <w:color w:val="0D0D0D" w:themeColor="text1" w:themeTint="F2"/>
          <w:lang w:eastAsia="sq-AL"/>
        </w:rPr>
        <w:drawing>
          <wp:anchor distT="0" distB="0" distL="114300" distR="114300" simplePos="0" relativeHeight="251658266" behindDoc="0" locked="0" layoutInCell="1" allowOverlap="1" wp14:anchorId="6C18C8F6" wp14:editId="61BBB33D">
            <wp:simplePos x="0" y="0"/>
            <wp:positionH relativeFrom="column">
              <wp:posOffset>-100330</wp:posOffset>
            </wp:positionH>
            <wp:positionV relativeFrom="paragraph">
              <wp:posOffset>242570</wp:posOffset>
            </wp:positionV>
            <wp:extent cx="6153150" cy="4812665"/>
            <wp:effectExtent l="0" t="0" r="0" b="6985"/>
            <wp:wrapTopAndBottom/>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53150" cy="4812665"/>
                    </a:xfrm>
                    <a:prstGeom prst="rect">
                      <a:avLst/>
                    </a:prstGeom>
                    <a:noFill/>
                    <a:ln>
                      <a:noFill/>
                    </a:ln>
                  </pic:spPr>
                </pic:pic>
              </a:graphicData>
            </a:graphic>
          </wp:anchor>
        </w:drawing>
      </w:r>
      <w:r w:rsidR="00F468C9" w:rsidRPr="00770F9D">
        <w:rPr>
          <w:rFonts w:ascii="Garamond" w:hAnsi="Garamond" w:cstheme="majorBidi"/>
          <w:b/>
          <w:bCs/>
          <w:i/>
          <w:iCs/>
          <w:color w:val="0D0D0D" w:themeColor="text1" w:themeTint="F2"/>
          <w:sz w:val="20"/>
          <w:szCs w:val="20"/>
          <w:bdr w:val="none" w:sz="0" w:space="0" w:color="auto" w:frame="1"/>
        </w:rPr>
        <w:t>Tabelë 4.5.1:</w:t>
      </w:r>
      <w:r w:rsidR="00F468C9" w:rsidRPr="00770F9D">
        <w:rPr>
          <w:rFonts w:ascii="Garamond" w:hAnsi="Garamond" w:cstheme="majorBidi"/>
          <w:i/>
          <w:iCs/>
          <w:color w:val="0D0D0D" w:themeColor="text1" w:themeTint="F2"/>
          <w:sz w:val="20"/>
          <w:szCs w:val="20"/>
          <w:bdr w:val="none" w:sz="0" w:space="0" w:color="auto" w:frame="1"/>
        </w:rPr>
        <w:t xml:space="preserve"> Qëndrimi i politikës fiskale</w:t>
      </w:r>
    </w:p>
    <w:p w14:paraId="3741C6C3" w14:textId="77777777" w:rsidR="00F468C9" w:rsidRPr="00770F9D" w:rsidRDefault="00F468C9" w:rsidP="00C472DC">
      <w:pPr>
        <w:pBdr>
          <w:top w:val="nil"/>
          <w:left w:val="nil"/>
          <w:bottom w:val="nil"/>
          <w:right w:val="nil"/>
          <w:between w:val="nil"/>
          <w:bar w:val="nil"/>
        </w:pBdr>
        <w:ind w:firstLine="284"/>
        <w:jc w:val="center"/>
        <w:rPr>
          <w:rFonts w:ascii="Garamond" w:eastAsia="Arial Unicode MS" w:hAnsi="Garamond" w:cstheme="majorBidi"/>
          <w:color w:val="0D0D0D" w:themeColor="text1" w:themeTint="F2"/>
          <w:sz w:val="20"/>
          <w:szCs w:val="20"/>
          <w:bdr w:val="nil"/>
        </w:rPr>
      </w:pPr>
      <w:r w:rsidRPr="00770F9D">
        <w:rPr>
          <w:rFonts w:ascii="Garamond" w:eastAsia="Times New Roman" w:hAnsi="Garamond" w:cstheme="majorBidi"/>
          <w:iCs/>
          <w:color w:val="0D0D0D" w:themeColor="text1" w:themeTint="F2"/>
          <w:sz w:val="20"/>
          <w:szCs w:val="20"/>
        </w:rPr>
        <w:t>Burimi: Ministria e Financave dhe Ekonomisë</w:t>
      </w:r>
    </w:p>
    <w:p w14:paraId="7172E7A6" w14:textId="77777777" w:rsidR="00F468C9" w:rsidRPr="00770F9D" w:rsidRDefault="00F468C9" w:rsidP="005674F2">
      <w:pPr>
        <w:pBdr>
          <w:top w:val="nil"/>
          <w:left w:val="nil"/>
          <w:bottom w:val="nil"/>
          <w:right w:val="nil"/>
          <w:between w:val="nil"/>
          <w:bar w:val="nil"/>
        </w:pBdr>
        <w:ind w:firstLine="284"/>
        <w:jc w:val="both"/>
        <w:rPr>
          <w:rFonts w:ascii="Garamond" w:eastAsia="Arial Unicode MS" w:hAnsi="Garamond" w:cstheme="majorBidi"/>
          <w:color w:val="0D0D0D" w:themeColor="text1" w:themeTint="F2"/>
          <w:sz w:val="20"/>
          <w:szCs w:val="20"/>
          <w:bdr w:val="nil"/>
        </w:rPr>
      </w:pPr>
    </w:p>
    <w:p w14:paraId="602DD013" w14:textId="5636E5EB" w:rsidR="00F468C9" w:rsidRPr="00770F9D" w:rsidRDefault="00C472DC" w:rsidP="00C472DC">
      <w:pPr>
        <w:pBdr>
          <w:top w:val="nil"/>
          <w:left w:val="nil"/>
          <w:bottom w:val="nil"/>
          <w:right w:val="nil"/>
          <w:between w:val="nil"/>
          <w:bar w:val="nil"/>
        </w:pBdr>
        <w:jc w:val="center"/>
        <w:rPr>
          <w:rFonts w:ascii="Garamond" w:eastAsia="Arial Unicode MS" w:hAnsi="Garamond" w:cstheme="majorBidi"/>
          <w:i/>
          <w:color w:val="0D0D0D" w:themeColor="text1" w:themeTint="F2"/>
          <w:sz w:val="20"/>
          <w:szCs w:val="20"/>
          <w:bdr w:val="nil"/>
        </w:rPr>
      </w:pPr>
      <w:r w:rsidRPr="00770F9D">
        <w:rPr>
          <w:rFonts w:ascii="Garamond" w:hAnsi="Garamond" w:cstheme="majorBidi"/>
          <w:noProof/>
          <w:color w:val="0D0D0D" w:themeColor="text1" w:themeTint="F2"/>
          <w:lang w:eastAsia="sq-AL"/>
        </w:rPr>
        <w:drawing>
          <wp:anchor distT="0" distB="0" distL="114300" distR="114300" simplePos="0" relativeHeight="251658267" behindDoc="0" locked="0" layoutInCell="1" allowOverlap="1" wp14:anchorId="434E04B0" wp14:editId="78D814BB">
            <wp:simplePos x="0" y="0"/>
            <wp:positionH relativeFrom="column">
              <wp:posOffset>-76085</wp:posOffset>
            </wp:positionH>
            <wp:positionV relativeFrom="paragraph">
              <wp:posOffset>146050</wp:posOffset>
            </wp:positionV>
            <wp:extent cx="6130455" cy="2099841"/>
            <wp:effectExtent l="0" t="0" r="3810" b="0"/>
            <wp:wrapTopAndBottom/>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30455" cy="2099841"/>
                    </a:xfrm>
                    <a:prstGeom prst="rect">
                      <a:avLst/>
                    </a:prstGeom>
                    <a:noFill/>
                    <a:ln>
                      <a:noFill/>
                    </a:ln>
                  </pic:spPr>
                </pic:pic>
              </a:graphicData>
            </a:graphic>
            <wp14:sizeRelH relativeFrom="page">
              <wp14:pctWidth>0</wp14:pctWidth>
            </wp14:sizeRelH>
            <wp14:sizeRelV relativeFrom="page">
              <wp14:pctHeight>0</wp14:pctHeight>
            </wp14:sizeRelV>
          </wp:anchor>
        </w:drawing>
      </w:r>
      <w:r w:rsidR="00F468C9" w:rsidRPr="00770F9D">
        <w:rPr>
          <w:rFonts w:ascii="Garamond" w:eastAsia="Arial Unicode MS" w:hAnsi="Garamond" w:cstheme="majorBidi"/>
          <w:b/>
          <w:bCs/>
          <w:i/>
          <w:color w:val="0D0D0D" w:themeColor="text1" w:themeTint="F2"/>
          <w:sz w:val="20"/>
          <w:szCs w:val="20"/>
          <w:bdr w:val="nil"/>
        </w:rPr>
        <w:t>Grafik 4.5.2:</w:t>
      </w:r>
      <w:r w:rsidR="00F468C9" w:rsidRPr="00770F9D">
        <w:rPr>
          <w:rFonts w:ascii="Garamond" w:eastAsia="Arial Unicode MS" w:hAnsi="Garamond" w:cstheme="majorBidi"/>
          <w:i/>
          <w:color w:val="0D0D0D" w:themeColor="text1" w:themeTint="F2"/>
          <w:sz w:val="20"/>
          <w:szCs w:val="20"/>
          <w:bdr w:val="nil"/>
        </w:rPr>
        <w:t xml:space="preserve"> Qëndrimi i politikës fiskale</w:t>
      </w:r>
    </w:p>
    <w:p w14:paraId="4FCD8B46" w14:textId="77777777" w:rsidR="00F468C9" w:rsidRPr="00770F9D" w:rsidRDefault="00F468C9" w:rsidP="00C472DC">
      <w:pPr>
        <w:pBdr>
          <w:top w:val="nil"/>
          <w:left w:val="nil"/>
          <w:bottom w:val="nil"/>
          <w:right w:val="nil"/>
          <w:between w:val="nil"/>
          <w:bar w:val="nil"/>
        </w:pBdr>
        <w:ind w:firstLine="284"/>
        <w:jc w:val="center"/>
        <w:rPr>
          <w:rFonts w:ascii="Garamond" w:eastAsia="Arial Unicode MS" w:hAnsi="Garamond" w:cstheme="majorBidi"/>
          <w:color w:val="0D0D0D" w:themeColor="text1" w:themeTint="F2"/>
          <w:sz w:val="20"/>
          <w:szCs w:val="20"/>
          <w:bdr w:val="nil"/>
        </w:rPr>
      </w:pPr>
      <w:r w:rsidRPr="00770F9D">
        <w:rPr>
          <w:rFonts w:ascii="Garamond" w:eastAsia="Times New Roman" w:hAnsi="Garamond" w:cstheme="majorBidi"/>
          <w:iCs/>
          <w:color w:val="0D0D0D" w:themeColor="text1" w:themeTint="F2"/>
          <w:sz w:val="20"/>
          <w:szCs w:val="20"/>
        </w:rPr>
        <w:t>Burimi: Ministria e Financave dhe Ekonomisë</w:t>
      </w:r>
    </w:p>
    <w:p w14:paraId="1B64E183" w14:textId="77777777" w:rsidR="00F468C9" w:rsidRPr="00770F9D" w:rsidRDefault="00F468C9" w:rsidP="005674F2">
      <w:pPr>
        <w:ind w:firstLine="284"/>
        <w:jc w:val="both"/>
        <w:rPr>
          <w:rFonts w:ascii="Garamond" w:hAnsi="Garamond" w:cstheme="majorBidi"/>
          <w:color w:val="0D0D0D" w:themeColor="text1" w:themeTint="F2"/>
        </w:rPr>
      </w:pPr>
    </w:p>
    <w:p w14:paraId="46F1DF2F" w14:textId="77777777" w:rsidR="00C472DC" w:rsidRPr="00770F9D" w:rsidRDefault="00C472DC" w:rsidP="00C472DC">
      <w:pPr>
        <w:jc w:val="center"/>
        <w:rPr>
          <w:rFonts w:ascii="Garamond" w:hAnsi="Garamond" w:cstheme="majorBidi"/>
          <w:b/>
          <w:bCs/>
          <w:i/>
          <w:iCs/>
          <w:color w:val="0D0D0D" w:themeColor="text1" w:themeTint="F2"/>
          <w:sz w:val="20"/>
          <w:szCs w:val="20"/>
        </w:rPr>
      </w:pPr>
    </w:p>
    <w:p w14:paraId="0B655257" w14:textId="77777777" w:rsidR="00C472DC" w:rsidRPr="00770F9D" w:rsidRDefault="00C472DC" w:rsidP="00C472DC">
      <w:pPr>
        <w:jc w:val="center"/>
        <w:rPr>
          <w:rFonts w:ascii="Garamond" w:hAnsi="Garamond" w:cstheme="majorBidi"/>
          <w:b/>
          <w:bCs/>
          <w:i/>
          <w:iCs/>
          <w:color w:val="0D0D0D" w:themeColor="text1" w:themeTint="F2"/>
          <w:sz w:val="20"/>
          <w:szCs w:val="20"/>
        </w:rPr>
      </w:pPr>
    </w:p>
    <w:p w14:paraId="32BA4BDF" w14:textId="77777777" w:rsidR="00C472DC" w:rsidRPr="00770F9D" w:rsidRDefault="00C472DC" w:rsidP="00C472DC">
      <w:pPr>
        <w:jc w:val="center"/>
        <w:rPr>
          <w:rFonts w:ascii="Garamond" w:hAnsi="Garamond" w:cstheme="majorBidi"/>
          <w:b/>
          <w:bCs/>
          <w:i/>
          <w:iCs/>
          <w:color w:val="0D0D0D" w:themeColor="text1" w:themeTint="F2"/>
          <w:sz w:val="20"/>
          <w:szCs w:val="20"/>
        </w:rPr>
      </w:pPr>
    </w:p>
    <w:p w14:paraId="2B5C1802" w14:textId="77777777" w:rsidR="00C472DC" w:rsidRPr="00770F9D" w:rsidRDefault="00C472DC" w:rsidP="00C472DC">
      <w:pPr>
        <w:jc w:val="center"/>
        <w:rPr>
          <w:rFonts w:ascii="Garamond" w:hAnsi="Garamond" w:cstheme="majorBidi"/>
          <w:b/>
          <w:bCs/>
          <w:i/>
          <w:iCs/>
          <w:color w:val="0D0D0D" w:themeColor="text1" w:themeTint="F2"/>
          <w:sz w:val="20"/>
          <w:szCs w:val="20"/>
        </w:rPr>
      </w:pPr>
    </w:p>
    <w:p w14:paraId="5047185E" w14:textId="77777777" w:rsidR="00C472DC" w:rsidRPr="00770F9D" w:rsidRDefault="00C472DC" w:rsidP="00C472DC">
      <w:pPr>
        <w:jc w:val="center"/>
        <w:rPr>
          <w:rFonts w:ascii="Garamond" w:hAnsi="Garamond" w:cstheme="majorBidi"/>
          <w:b/>
          <w:bCs/>
          <w:i/>
          <w:iCs/>
          <w:color w:val="0D0D0D" w:themeColor="text1" w:themeTint="F2"/>
          <w:sz w:val="20"/>
          <w:szCs w:val="20"/>
        </w:rPr>
      </w:pPr>
    </w:p>
    <w:p w14:paraId="082C1358" w14:textId="0711C88A" w:rsidR="00F468C9" w:rsidRPr="00770F9D" w:rsidRDefault="00F468C9" w:rsidP="00C472DC">
      <w:pPr>
        <w:jc w:val="center"/>
        <w:rPr>
          <w:rFonts w:ascii="Garamond" w:hAnsi="Garamond" w:cstheme="majorBidi"/>
          <w:i/>
          <w:iCs/>
          <w:color w:val="0D0D0D" w:themeColor="text1" w:themeTint="F2"/>
          <w:sz w:val="20"/>
          <w:szCs w:val="20"/>
        </w:rPr>
      </w:pPr>
      <w:r w:rsidRPr="00770F9D">
        <w:rPr>
          <w:rFonts w:ascii="Garamond" w:hAnsi="Garamond" w:cstheme="majorBidi"/>
          <w:b/>
          <w:bCs/>
          <w:i/>
          <w:iCs/>
          <w:color w:val="0D0D0D" w:themeColor="text1" w:themeTint="F2"/>
          <w:sz w:val="20"/>
          <w:szCs w:val="20"/>
        </w:rPr>
        <w:t>Tabelë 4.5.2:</w:t>
      </w:r>
      <w:r w:rsidRPr="00770F9D">
        <w:rPr>
          <w:rFonts w:ascii="Garamond" w:hAnsi="Garamond" w:cstheme="majorBidi"/>
          <w:i/>
          <w:iCs/>
          <w:color w:val="0D0D0D" w:themeColor="text1" w:themeTint="F2"/>
          <w:sz w:val="20"/>
          <w:szCs w:val="20"/>
        </w:rPr>
        <w:t xml:space="preserve"> Politika fiskale në raport me ciklet ekonomike</w:t>
      </w:r>
    </w:p>
    <w:p w14:paraId="1DEEC5A7" w14:textId="77777777" w:rsidR="00F468C9" w:rsidRPr="00770F9D" w:rsidRDefault="00F468C9" w:rsidP="00CE3FD7">
      <w:pPr>
        <w:ind w:firstLine="284"/>
        <w:jc w:val="center"/>
        <w:rPr>
          <w:rFonts w:ascii="Garamond" w:hAnsi="Garamond" w:cstheme="majorBidi"/>
          <w:b/>
          <w:color w:val="0D0D0D" w:themeColor="text1" w:themeTint="F2"/>
          <w:sz w:val="20"/>
          <w:szCs w:val="20"/>
        </w:rPr>
      </w:pPr>
      <w:r w:rsidRPr="00770F9D">
        <w:rPr>
          <w:rFonts w:ascii="Garamond" w:hAnsi="Garamond" w:cstheme="majorBidi"/>
          <w:noProof/>
          <w:color w:val="0D0D0D" w:themeColor="text1" w:themeTint="F2"/>
          <w:sz w:val="20"/>
          <w:szCs w:val="20"/>
          <w:lang w:eastAsia="sq-AL"/>
        </w:rPr>
        <w:drawing>
          <wp:inline distT="0" distB="0" distL="0" distR="0" wp14:anchorId="3A4603BF" wp14:editId="2B0A91CD">
            <wp:extent cx="5133975" cy="172402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133975" cy="1724025"/>
                    </a:xfrm>
                    <a:prstGeom prst="rect">
                      <a:avLst/>
                    </a:prstGeom>
                    <a:noFill/>
                    <a:ln>
                      <a:noFill/>
                    </a:ln>
                  </pic:spPr>
                </pic:pic>
              </a:graphicData>
            </a:graphic>
          </wp:inline>
        </w:drawing>
      </w:r>
    </w:p>
    <w:p w14:paraId="6C21515C" w14:textId="77777777" w:rsidR="00F468C9" w:rsidRPr="00770F9D" w:rsidRDefault="00F468C9" w:rsidP="00C472DC">
      <w:pPr>
        <w:pBdr>
          <w:top w:val="nil"/>
          <w:left w:val="nil"/>
          <w:bottom w:val="nil"/>
          <w:right w:val="nil"/>
          <w:between w:val="nil"/>
          <w:bar w:val="nil"/>
        </w:pBdr>
        <w:ind w:firstLine="284"/>
        <w:jc w:val="center"/>
        <w:rPr>
          <w:rFonts w:ascii="Garamond" w:eastAsia="Arial Unicode MS" w:hAnsi="Garamond" w:cstheme="majorBidi"/>
          <w:color w:val="0D0D0D" w:themeColor="text1" w:themeTint="F2"/>
          <w:sz w:val="20"/>
          <w:szCs w:val="20"/>
          <w:bdr w:val="nil"/>
        </w:rPr>
      </w:pPr>
      <w:r w:rsidRPr="00770F9D">
        <w:rPr>
          <w:rFonts w:ascii="Garamond" w:eastAsia="Times New Roman" w:hAnsi="Garamond" w:cstheme="majorBidi"/>
          <w:iCs/>
          <w:color w:val="0D0D0D" w:themeColor="text1" w:themeTint="F2"/>
          <w:sz w:val="20"/>
          <w:szCs w:val="20"/>
        </w:rPr>
        <w:t>Burimi: Ministria e Financave dhe Ekonomisë</w:t>
      </w:r>
    </w:p>
    <w:p w14:paraId="21A9A567" w14:textId="77777777" w:rsidR="00C472DC" w:rsidRPr="00770F9D" w:rsidRDefault="00C472DC" w:rsidP="003F46E1">
      <w:pPr>
        <w:ind w:firstLine="284"/>
        <w:jc w:val="both"/>
        <w:rPr>
          <w:rFonts w:ascii="Garamond" w:hAnsi="Garamond" w:cstheme="majorBidi"/>
          <w:color w:val="0D0D0D" w:themeColor="text1" w:themeTint="F2"/>
        </w:rPr>
      </w:pPr>
    </w:p>
    <w:p w14:paraId="5AE232EC" w14:textId="51F50BEE"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Kjo analizë e thjeshtë përshkruese tregon se gjatë viteve 2000–2022 qëndrimi i politikës fiskale ka qenë prociklik në 10 vjet, kundërciklik përsëri në dhjetë vjet, dhe neutral në tre prej tyre. Kur matet si një shumë kumulative e impulseve fiskale gjatë të gjitha viteve (2000</w:t>
      </w:r>
      <w:r w:rsidR="00330758" w:rsidRPr="00770F9D">
        <w:rPr>
          <w:rFonts w:ascii="Garamond" w:hAnsi="Garamond" w:cstheme="majorBidi"/>
          <w:color w:val="0D0D0D" w:themeColor="text1" w:themeTint="F2"/>
        </w:rPr>
        <w:t>–</w:t>
      </w:r>
      <w:r w:rsidRPr="00770F9D">
        <w:rPr>
          <w:rFonts w:ascii="Garamond" w:hAnsi="Garamond" w:cstheme="majorBidi"/>
          <w:color w:val="0D0D0D" w:themeColor="text1" w:themeTint="F2"/>
        </w:rPr>
        <w:t>2022) në raport me hendekun kumulativ të prodhimit për ato vite përkatëse, qëndrimi fiskal rezulton gjerësisht kundërciklik. Më konkretisht, hendeku kumulativ i prodhimit për periudhën 2000</w:t>
      </w:r>
      <w:r w:rsidR="00330758"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2022 rezulton negativ në –0.8 </w:t>
      </w:r>
      <w:r w:rsidR="00EE365D" w:rsidRPr="00770F9D">
        <w:rPr>
          <w:rFonts w:ascii="Garamond" w:hAnsi="Garamond" w:cstheme="majorBidi"/>
          <w:color w:val="0D0D0D" w:themeColor="text1" w:themeTint="F2"/>
        </w:rPr>
        <w:t>pikë përqindjeje</w:t>
      </w:r>
      <w:r w:rsidRPr="00770F9D">
        <w:rPr>
          <w:rFonts w:ascii="Garamond" w:hAnsi="Garamond" w:cstheme="majorBidi"/>
          <w:color w:val="0D0D0D" w:themeColor="text1" w:themeTint="F2"/>
        </w:rPr>
        <w:t xml:space="preserve"> të PBB-së potenciale, ndërsa impulset fiskale kumulative për periudhën përkatëse rezultojnë pozitive prej 0.5 </w:t>
      </w:r>
      <w:r w:rsidR="00EE365D" w:rsidRPr="00770F9D">
        <w:rPr>
          <w:rFonts w:ascii="Garamond" w:hAnsi="Garamond" w:cstheme="majorBidi"/>
          <w:color w:val="0D0D0D" w:themeColor="text1" w:themeTint="F2"/>
        </w:rPr>
        <w:t>pikë përqindjeje</w:t>
      </w:r>
      <w:r w:rsidRPr="00770F9D">
        <w:rPr>
          <w:rFonts w:ascii="Garamond" w:hAnsi="Garamond" w:cstheme="majorBidi"/>
          <w:color w:val="0D0D0D" w:themeColor="text1" w:themeTint="F2"/>
        </w:rPr>
        <w:t xml:space="preserve"> të PBB-së.</w:t>
      </w:r>
    </w:p>
    <w:p w14:paraId="5FF7B3B2" w14:textId="0C4EB060"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Ndërsa për horizontin trevjeçar në vijim (</w:t>
      </w:r>
      <w:r w:rsidR="003F4C96" w:rsidRPr="00770F9D">
        <w:rPr>
          <w:rFonts w:ascii="Garamond" w:hAnsi="Garamond" w:cstheme="majorBidi"/>
          <w:color w:val="0D0D0D" w:themeColor="text1" w:themeTint="F2"/>
        </w:rPr>
        <w:t>2023–2025</w:t>
      </w:r>
      <w:r w:rsidRPr="00770F9D">
        <w:rPr>
          <w:rFonts w:ascii="Garamond" w:hAnsi="Garamond" w:cstheme="majorBidi"/>
          <w:color w:val="0D0D0D" w:themeColor="text1" w:themeTint="F2"/>
        </w:rPr>
        <w:t>), ndërkohë që hendeku kumulativ i prodhimit parashikohet negativ në rreth -1.3 për qind të PBB-së potenciale, edhe qëndrimi fiskal kumulativ synohet të jetë</w:t>
      </w:r>
      <w:r w:rsidR="00330758"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gjithashtu</w:t>
      </w:r>
      <w:r w:rsidR="00330758"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negativ në rreth -2.6 për qind. Kjo tregon një politikë fiskale mjaft prociklike, duke reflektuar borxhin publik në nivel relativisht të lartë dhe</w:t>
      </w:r>
      <w:r w:rsidR="00330758"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 rrjedhojë</w:t>
      </w:r>
      <w:r w:rsidR="00330758"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rëndësinë më të madhe që i jepet objektivit të garantimit të qëndrueshmërisë afatgjatë të financave publike</w:t>
      </w:r>
      <w:r w:rsidR="00330758"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duke vazhduar konsolidimin fiskal, një objektiv i drejtuar</w:t>
      </w:r>
      <w:r w:rsidR="00330758"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gjithashtu</w:t>
      </w:r>
      <w:r w:rsidR="00330758"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qartë nga rregullat fiskale, të parashikuara në ligjin organik të buxhetit kundrejt objektivit të stabilizimit afatshkurtër të cikleve ekonomike. Drejtimi i qartë drejt një rruge më të fortë konsoliduese merr edhe më shumë rëndësi nga nevoja për të përmirësuar më shpejt parametrat kryesorë të financave publike pas përkeqësimit të ndjeshëm në vitin 2020. Prandaj, në programin aktual trevjeçar</w:t>
      </w:r>
      <w:r w:rsidR="00330758"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politika fiskale gjatë viteve </w:t>
      </w:r>
      <w:r w:rsidR="003F4C96" w:rsidRPr="00770F9D">
        <w:rPr>
          <w:rFonts w:ascii="Garamond" w:hAnsi="Garamond" w:cstheme="majorBidi"/>
          <w:color w:val="0D0D0D" w:themeColor="text1" w:themeTint="F2"/>
        </w:rPr>
        <w:t>2023–2025</w:t>
      </w:r>
      <w:r w:rsidRPr="00770F9D">
        <w:rPr>
          <w:rFonts w:ascii="Garamond" w:hAnsi="Garamond" w:cstheme="majorBidi"/>
          <w:color w:val="0D0D0D" w:themeColor="text1" w:themeTint="F2"/>
        </w:rPr>
        <w:t xml:space="preserve"> synohet të jetë prociklik</w:t>
      </w:r>
      <w:r w:rsidR="00330758" w:rsidRPr="00770F9D">
        <w:rPr>
          <w:rFonts w:ascii="Garamond" w:hAnsi="Garamond" w:cstheme="majorBidi"/>
          <w:color w:val="0D0D0D" w:themeColor="text1" w:themeTint="F2"/>
        </w:rPr>
        <w:t>e</w:t>
      </w:r>
      <w:r w:rsidRPr="00770F9D">
        <w:rPr>
          <w:rFonts w:ascii="Garamond" w:hAnsi="Garamond" w:cstheme="majorBidi"/>
          <w:color w:val="0D0D0D" w:themeColor="text1" w:themeTint="F2"/>
        </w:rPr>
        <w:t xml:space="preserve"> në terma kumulativë për të gjithë horizontin kohor.</w:t>
      </w:r>
    </w:p>
    <w:p w14:paraId="02728012" w14:textId="5E4ADADE" w:rsidR="00F468C9" w:rsidRPr="00770F9D" w:rsidRDefault="00CE3FD7" w:rsidP="003F46E1">
      <w:pPr>
        <w:pStyle w:val="Heading2"/>
        <w:snapToGrid w:val="0"/>
        <w:ind w:left="0" w:firstLine="284"/>
        <w:jc w:val="both"/>
        <w:rPr>
          <w:rFonts w:ascii="Garamond" w:hAnsi="Garamond" w:cstheme="majorBidi"/>
          <w:b/>
          <w:color w:val="0D0D0D" w:themeColor="text1" w:themeTint="F2"/>
        </w:rPr>
      </w:pPr>
      <w:bookmarkStart w:id="34" w:name="_Toc30416397"/>
      <w:bookmarkStart w:id="35" w:name="_Toc30661221"/>
      <w:bookmarkStart w:id="36" w:name="_Toc126050950"/>
      <w:bookmarkStart w:id="37" w:name="_Toc484076176"/>
      <w:r w:rsidRPr="00770F9D">
        <w:rPr>
          <w:rFonts w:ascii="Garamond" w:hAnsi="Garamond" w:cstheme="majorBidi"/>
          <w:b/>
          <w:color w:val="0D0D0D" w:themeColor="text1" w:themeTint="F2"/>
        </w:rPr>
        <w:t>4</w:t>
      </w:r>
      <w:r w:rsidR="00072546" w:rsidRPr="00770F9D">
        <w:rPr>
          <w:rFonts w:ascii="Garamond" w:hAnsi="Garamond" w:cstheme="majorBidi"/>
          <w:b/>
          <w:color w:val="0D0D0D" w:themeColor="text1" w:themeTint="F2"/>
        </w:rPr>
        <w:t xml:space="preserve">.6 </w:t>
      </w:r>
      <w:r w:rsidR="00F468C9" w:rsidRPr="00770F9D">
        <w:rPr>
          <w:rFonts w:ascii="Garamond" w:hAnsi="Garamond" w:cstheme="majorBidi"/>
          <w:b/>
          <w:color w:val="0D0D0D" w:themeColor="text1" w:themeTint="F2"/>
        </w:rPr>
        <w:t>Ecuria e Borxhit të Qeverisjes Qendror</w:t>
      </w:r>
      <w:bookmarkEnd w:id="34"/>
      <w:r w:rsidR="00F468C9" w:rsidRPr="00770F9D">
        <w:rPr>
          <w:rFonts w:ascii="Garamond" w:hAnsi="Garamond" w:cstheme="majorBidi"/>
          <w:b/>
          <w:color w:val="0D0D0D" w:themeColor="text1" w:themeTint="F2"/>
        </w:rPr>
        <w:t>e</w:t>
      </w:r>
      <w:bookmarkEnd w:id="35"/>
      <w:bookmarkEnd w:id="36"/>
    </w:p>
    <w:p w14:paraId="7DA7F61F" w14:textId="77777777" w:rsidR="00F468C9" w:rsidRPr="00770F9D" w:rsidRDefault="00F468C9" w:rsidP="003F46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eastAsia="Times New Roman" w:hAnsi="Garamond" w:cstheme="majorBidi"/>
          <w:i/>
          <w:color w:val="0D0D0D" w:themeColor="text1" w:themeTint="F2"/>
          <w:lang w:eastAsia="en-GB"/>
        </w:rPr>
      </w:pPr>
      <w:r w:rsidRPr="00770F9D">
        <w:rPr>
          <w:rFonts w:ascii="Garamond" w:eastAsia="Times New Roman" w:hAnsi="Garamond" w:cstheme="majorBidi"/>
          <w:i/>
          <w:color w:val="0D0D0D" w:themeColor="text1" w:themeTint="F2"/>
          <w:lang w:eastAsia="en-GB"/>
        </w:rPr>
        <w:t xml:space="preserve">Menaxhimi i Borxhit të Qeverisjes Qendrore </w:t>
      </w:r>
    </w:p>
    <w:p w14:paraId="2F99FD53" w14:textId="7D52B99C" w:rsidR="00F468C9" w:rsidRPr="00770F9D" w:rsidRDefault="00F468C9" w:rsidP="003F46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eastAsia="Times New Roman" w:hAnsi="Garamond" w:cstheme="majorBidi"/>
          <w:color w:val="0D0D0D" w:themeColor="text1" w:themeTint="F2"/>
          <w:lang w:eastAsia="en-GB"/>
        </w:rPr>
      </w:pPr>
      <w:r w:rsidRPr="00770F9D">
        <w:rPr>
          <w:rFonts w:ascii="Garamond" w:eastAsia="Times New Roman" w:hAnsi="Garamond" w:cstheme="majorBidi"/>
          <w:color w:val="0D0D0D" w:themeColor="text1" w:themeTint="F2"/>
          <w:lang w:eastAsia="en-GB"/>
        </w:rPr>
        <w:t>Menaxhimi i borxhit të qeverisjes qendrore është përballur me sfida të rëndësishme gjatë tre v</w:t>
      </w:r>
      <w:r w:rsidR="00330758" w:rsidRPr="00770F9D">
        <w:rPr>
          <w:rFonts w:ascii="Garamond" w:eastAsia="Times New Roman" w:hAnsi="Garamond" w:cstheme="majorBidi"/>
          <w:color w:val="0D0D0D" w:themeColor="text1" w:themeTint="F2"/>
          <w:lang w:eastAsia="en-GB"/>
        </w:rPr>
        <w:t>jetëve</w:t>
      </w:r>
      <w:r w:rsidRPr="00770F9D">
        <w:rPr>
          <w:rFonts w:ascii="Garamond" w:eastAsia="Times New Roman" w:hAnsi="Garamond" w:cstheme="majorBidi"/>
          <w:color w:val="0D0D0D" w:themeColor="text1" w:themeTint="F2"/>
          <w:lang w:eastAsia="en-GB"/>
        </w:rPr>
        <w:t xml:space="preserve"> të fundit</w:t>
      </w:r>
      <w:r w:rsidR="003A50C3" w:rsidRPr="00770F9D">
        <w:rPr>
          <w:rFonts w:ascii="Garamond" w:eastAsia="Times New Roman" w:hAnsi="Garamond" w:cstheme="majorBidi"/>
          <w:color w:val="0D0D0D" w:themeColor="text1" w:themeTint="F2"/>
          <w:lang w:eastAsia="en-GB"/>
        </w:rPr>
        <w:t>,</w:t>
      </w:r>
      <w:r w:rsidRPr="00770F9D">
        <w:rPr>
          <w:rFonts w:ascii="Garamond" w:eastAsia="Times New Roman" w:hAnsi="Garamond" w:cstheme="majorBidi"/>
          <w:color w:val="0D0D0D" w:themeColor="text1" w:themeTint="F2"/>
          <w:lang w:eastAsia="en-GB"/>
        </w:rPr>
        <w:t xml:space="preserve"> për shkak të situatës së krijuar nga tërmeti i vitit 2019, përhapja e pandemisë </w:t>
      </w:r>
      <w:r w:rsidR="003A50C3" w:rsidRPr="00770F9D">
        <w:rPr>
          <w:rFonts w:ascii="Garamond" w:eastAsia="Times New Roman" w:hAnsi="Garamond" w:cstheme="majorBidi"/>
          <w:color w:val="0D0D0D" w:themeColor="text1" w:themeTint="F2"/>
          <w:lang w:eastAsia="en-GB"/>
        </w:rPr>
        <w:t>COVID</w:t>
      </w:r>
      <w:r w:rsidRPr="00770F9D">
        <w:rPr>
          <w:rFonts w:ascii="Garamond" w:eastAsia="Times New Roman" w:hAnsi="Garamond" w:cstheme="majorBidi"/>
          <w:color w:val="0D0D0D" w:themeColor="text1" w:themeTint="F2"/>
          <w:lang w:eastAsia="en-GB"/>
        </w:rPr>
        <w:t>-19 dhe tani kriza e fundit e shkaktuar nga konflikti Rusi</w:t>
      </w:r>
      <w:r w:rsidR="003A50C3" w:rsidRPr="00770F9D">
        <w:rPr>
          <w:rFonts w:ascii="Garamond" w:eastAsia="Times New Roman" w:hAnsi="Garamond" w:cstheme="majorBidi"/>
          <w:color w:val="0D0D0D" w:themeColor="text1" w:themeTint="F2"/>
          <w:lang w:eastAsia="en-GB"/>
        </w:rPr>
        <w:t>–</w:t>
      </w:r>
      <w:r w:rsidRPr="00770F9D">
        <w:rPr>
          <w:rFonts w:ascii="Garamond" w:eastAsia="Times New Roman" w:hAnsi="Garamond" w:cstheme="majorBidi"/>
          <w:color w:val="0D0D0D" w:themeColor="text1" w:themeTint="F2"/>
          <w:lang w:eastAsia="en-GB"/>
        </w:rPr>
        <w:t>Ukrainë. Megjithatë, portofoli i borxhit është mundësuar të menaxhohet me sukses gjatë kësaj periudhe në përputhje me objektivat makrofiskalë, nevojat për financim të qeverisë dhe objektivat strategjikë afatmesëm të menaxhimit të borxhit.</w:t>
      </w:r>
    </w:p>
    <w:p w14:paraId="03FDAD93" w14:textId="77777777" w:rsidR="00F468C9" w:rsidRPr="00770F9D" w:rsidRDefault="00F468C9" w:rsidP="003F46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eastAsia="Times New Roman" w:hAnsi="Garamond" w:cstheme="majorBidi"/>
          <w:i/>
          <w:color w:val="0D0D0D" w:themeColor="text1" w:themeTint="F2"/>
          <w:lang w:eastAsia="en-GB"/>
        </w:rPr>
      </w:pPr>
      <w:r w:rsidRPr="00770F9D">
        <w:rPr>
          <w:rFonts w:ascii="Garamond" w:eastAsia="Times New Roman" w:hAnsi="Garamond" w:cstheme="majorBidi"/>
          <w:i/>
          <w:color w:val="0D0D0D" w:themeColor="text1" w:themeTint="F2"/>
          <w:lang w:eastAsia="en-GB"/>
        </w:rPr>
        <w:t>Borxhit i Qeverisjes Qendrore</w:t>
      </w:r>
    </w:p>
    <w:p w14:paraId="1BD535D8" w14:textId="3C0922CA" w:rsidR="00F468C9" w:rsidRPr="00770F9D" w:rsidRDefault="00F468C9" w:rsidP="003F46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eastAsia="Times New Roman" w:hAnsi="Garamond" w:cstheme="majorBidi"/>
          <w:color w:val="0D0D0D" w:themeColor="text1" w:themeTint="F2"/>
          <w:lang w:eastAsia="en-GB"/>
        </w:rPr>
      </w:pPr>
      <w:r w:rsidRPr="00770F9D">
        <w:rPr>
          <w:rFonts w:ascii="Garamond" w:eastAsia="Times New Roman" w:hAnsi="Garamond" w:cstheme="majorBidi"/>
          <w:color w:val="0D0D0D" w:themeColor="text1" w:themeTint="F2"/>
          <w:lang w:eastAsia="en-GB"/>
        </w:rPr>
        <w:t xml:space="preserve">Në fund të shtatorit 2022, borxhi i qeverisë qendrore u vlerësua në nivelin 1,386.1 miliardë lekë ose 67.35% të PBB-së, duke u ulur me 5.8 </w:t>
      </w:r>
      <w:r w:rsidR="00EE365D" w:rsidRPr="00770F9D">
        <w:rPr>
          <w:rFonts w:ascii="Garamond" w:eastAsia="Times New Roman" w:hAnsi="Garamond" w:cstheme="majorBidi"/>
          <w:color w:val="0D0D0D" w:themeColor="text1" w:themeTint="F2"/>
          <w:lang w:eastAsia="en-GB"/>
        </w:rPr>
        <w:t>pikë përqindjeje</w:t>
      </w:r>
      <w:r w:rsidRPr="00770F9D">
        <w:rPr>
          <w:rFonts w:ascii="Garamond" w:eastAsia="Times New Roman" w:hAnsi="Garamond" w:cstheme="majorBidi"/>
          <w:color w:val="0D0D0D" w:themeColor="text1" w:themeTint="F2"/>
          <w:lang w:eastAsia="en-GB"/>
        </w:rPr>
        <w:t xml:space="preserve"> krahasuar me fundin e vitit 2021. Në terma nominalë, niveli i borxhit i shprehur në monedhën </w:t>
      </w:r>
      <w:r w:rsidR="002A4878" w:rsidRPr="00770F9D">
        <w:rPr>
          <w:rFonts w:ascii="Garamond" w:eastAsia="Times New Roman" w:hAnsi="Garamond" w:cstheme="majorBidi"/>
          <w:color w:val="0D0D0D" w:themeColor="text1" w:themeTint="F2"/>
          <w:lang w:eastAsia="en-GB"/>
        </w:rPr>
        <w:t>vendës</w:t>
      </w:r>
      <w:r w:rsidRPr="00770F9D">
        <w:rPr>
          <w:rFonts w:ascii="Garamond" w:eastAsia="Times New Roman" w:hAnsi="Garamond" w:cstheme="majorBidi"/>
          <w:color w:val="0D0D0D" w:themeColor="text1" w:themeTint="F2"/>
          <w:lang w:eastAsia="en-GB"/>
        </w:rPr>
        <w:t>e është rritur me</w:t>
      </w:r>
      <w:r w:rsidR="003A50C3" w:rsidRPr="00770F9D">
        <w:rPr>
          <w:rFonts w:ascii="Garamond" w:eastAsia="Times New Roman" w:hAnsi="Garamond" w:cstheme="majorBidi"/>
          <w:color w:val="0D0D0D" w:themeColor="text1" w:themeTint="F2"/>
          <w:lang w:eastAsia="en-GB"/>
        </w:rPr>
        <w:t xml:space="preserve"> </w:t>
      </w:r>
      <w:r w:rsidRPr="00770F9D">
        <w:rPr>
          <w:rFonts w:ascii="Garamond" w:eastAsia="Times New Roman" w:hAnsi="Garamond" w:cstheme="majorBidi"/>
          <w:color w:val="0D0D0D" w:themeColor="text1" w:themeTint="F2"/>
          <w:lang w:eastAsia="en-GB"/>
        </w:rPr>
        <w:t>3.4 miliardë lekë krahasuar me fundin e vitit 2021, nga 8.1 miliardë lekë i përkasin borxhit të brendshëm dhe - 4.7 miliardë lekë borxhit të jashtëm. Në vitet në vijim, raporti i borxhit ndaj PBB-së do të planifikohet më i ulët se niveli i parashikuar për vitin paraardhës, derisa niveli i borxhit të arrijë dhe të qëndrojë nën 45% të PBB-së, duke qenë në përputhje me rregullin përkatës fiskal për nivelin e borxhit të përcaktuar në ligjin Organik të Buxhetit.</w:t>
      </w:r>
    </w:p>
    <w:p w14:paraId="1F0F97D9" w14:textId="77777777" w:rsidR="003A50C3" w:rsidRPr="00770F9D" w:rsidRDefault="003A50C3" w:rsidP="003A5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center"/>
        <w:rPr>
          <w:rFonts w:ascii="Garamond" w:eastAsia="Times New Roman" w:hAnsi="Garamond" w:cstheme="majorBidi"/>
          <w:b/>
          <w:bCs/>
          <w:color w:val="0D0D0D" w:themeColor="text1" w:themeTint="F2"/>
          <w:sz w:val="20"/>
          <w:szCs w:val="20"/>
          <w:lang w:eastAsia="en-GB"/>
        </w:rPr>
      </w:pPr>
    </w:p>
    <w:p w14:paraId="419F7793" w14:textId="77777777" w:rsidR="003A50C3" w:rsidRPr="00770F9D" w:rsidRDefault="003A50C3" w:rsidP="003A5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center"/>
        <w:rPr>
          <w:rFonts w:ascii="Garamond" w:eastAsia="Times New Roman" w:hAnsi="Garamond" w:cstheme="majorBidi"/>
          <w:b/>
          <w:bCs/>
          <w:color w:val="0D0D0D" w:themeColor="text1" w:themeTint="F2"/>
          <w:sz w:val="20"/>
          <w:szCs w:val="20"/>
          <w:lang w:eastAsia="en-GB"/>
        </w:rPr>
      </w:pPr>
    </w:p>
    <w:p w14:paraId="2F7EF974" w14:textId="77777777" w:rsidR="003A50C3" w:rsidRPr="00770F9D" w:rsidRDefault="003A50C3" w:rsidP="003A5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center"/>
        <w:rPr>
          <w:rFonts w:ascii="Garamond" w:eastAsia="Times New Roman" w:hAnsi="Garamond" w:cstheme="majorBidi"/>
          <w:b/>
          <w:bCs/>
          <w:color w:val="0D0D0D" w:themeColor="text1" w:themeTint="F2"/>
          <w:sz w:val="20"/>
          <w:szCs w:val="20"/>
          <w:lang w:eastAsia="en-GB"/>
        </w:rPr>
      </w:pPr>
    </w:p>
    <w:p w14:paraId="7B7DBE7A" w14:textId="59FE085A" w:rsidR="00F468C9" w:rsidRPr="00770F9D" w:rsidRDefault="003A50C3" w:rsidP="003A5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center"/>
        <w:rPr>
          <w:rFonts w:ascii="Garamond" w:eastAsia="Times New Roman" w:hAnsi="Garamond" w:cstheme="majorBidi"/>
          <w:color w:val="0D0D0D" w:themeColor="text1" w:themeTint="F2"/>
          <w:sz w:val="20"/>
          <w:szCs w:val="20"/>
          <w:lang w:eastAsia="en-GB"/>
        </w:rPr>
      </w:pPr>
      <w:r w:rsidRPr="00770F9D">
        <w:rPr>
          <w:rFonts w:ascii="Garamond" w:hAnsi="Garamond" w:cstheme="majorBidi"/>
          <w:noProof/>
          <w:color w:val="0D0D0D" w:themeColor="text1" w:themeTint="F2"/>
          <w:lang w:eastAsia="sq-AL"/>
        </w:rPr>
        <w:drawing>
          <wp:anchor distT="0" distB="0" distL="114300" distR="114300" simplePos="0" relativeHeight="251658268" behindDoc="0" locked="0" layoutInCell="1" allowOverlap="1" wp14:anchorId="4F883007" wp14:editId="14A04784">
            <wp:simplePos x="0" y="0"/>
            <wp:positionH relativeFrom="column">
              <wp:posOffset>-100330</wp:posOffset>
            </wp:positionH>
            <wp:positionV relativeFrom="paragraph">
              <wp:posOffset>198120</wp:posOffset>
            </wp:positionV>
            <wp:extent cx="6076950" cy="2155595"/>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076950" cy="2155595"/>
                    </a:xfrm>
                    <a:prstGeom prst="rect">
                      <a:avLst/>
                    </a:prstGeom>
                    <a:noFill/>
                    <a:ln>
                      <a:noFill/>
                    </a:ln>
                  </pic:spPr>
                </pic:pic>
              </a:graphicData>
            </a:graphic>
            <wp14:sizeRelH relativeFrom="page">
              <wp14:pctWidth>0</wp14:pctWidth>
            </wp14:sizeRelH>
            <wp14:sizeRelV relativeFrom="page">
              <wp14:pctHeight>0</wp14:pctHeight>
            </wp14:sizeRelV>
          </wp:anchor>
        </w:drawing>
      </w:r>
      <w:r w:rsidR="00F468C9" w:rsidRPr="00770F9D">
        <w:rPr>
          <w:rFonts w:ascii="Garamond" w:eastAsia="Times New Roman" w:hAnsi="Garamond" w:cstheme="majorBidi"/>
          <w:b/>
          <w:bCs/>
          <w:color w:val="0D0D0D" w:themeColor="text1" w:themeTint="F2"/>
          <w:sz w:val="20"/>
          <w:szCs w:val="20"/>
          <w:lang w:eastAsia="en-GB"/>
        </w:rPr>
        <w:t>Tabela 4.6.1:</w:t>
      </w:r>
      <w:r w:rsidR="00F468C9" w:rsidRPr="00770F9D">
        <w:rPr>
          <w:rFonts w:ascii="Garamond" w:eastAsia="Times New Roman" w:hAnsi="Garamond" w:cstheme="majorBidi"/>
          <w:color w:val="0D0D0D" w:themeColor="text1" w:themeTint="F2"/>
          <w:sz w:val="20"/>
          <w:szCs w:val="20"/>
          <w:lang w:eastAsia="en-GB"/>
        </w:rPr>
        <w:t xml:space="preserve"> Stoku total i borxhit të qeverisë qendrore</w:t>
      </w:r>
    </w:p>
    <w:p w14:paraId="243D1E50" w14:textId="019348F4" w:rsidR="00F468C9" w:rsidRPr="00770F9D" w:rsidRDefault="00F468C9" w:rsidP="003A50C3">
      <w:pPr>
        <w:ind w:firstLine="284"/>
        <w:jc w:val="cente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Burimi: Ministria e Financave dhe Ekonomisë, 2022</w:t>
      </w:r>
    </w:p>
    <w:p w14:paraId="0A626D78" w14:textId="77777777" w:rsidR="003A50C3" w:rsidRPr="00770F9D" w:rsidRDefault="003A50C3" w:rsidP="003A50C3">
      <w:pPr>
        <w:ind w:firstLine="284"/>
        <w:jc w:val="center"/>
        <w:rPr>
          <w:rFonts w:ascii="Garamond" w:hAnsi="Garamond" w:cstheme="majorBidi"/>
          <w:color w:val="0D0D0D" w:themeColor="text1" w:themeTint="F2"/>
        </w:rPr>
      </w:pPr>
    </w:p>
    <w:p w14:paraId="142AC8FC" w14:textId="7D0E4A3D"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Për sa i përket përbërjes së portofolit të borxhit të qeverisë qendrore sipas instrumenteve, më shumë se 60% e peshës vazhdon të mbahet nga instrumentet e tregtueshëm (bono thesari, obligacione dhe eurobond). Pesha e instrumenteve të tregtueshme vlerësohet të jetë në rritje nga viti në vit kryesisht për shkak të emetimeve më të shpeshta në tregjet ndërkombëtare, por edhe për shkak të rritjes së huamarrjes në tregun e brendshëm për arsye të nevojave të larta për financim gjatë viteve të fundit duke filluar nga viti 2020.</w:t>
      </w:r>
    </w:p>
    <w:p w14:paraId="284313F7" w14:textId="46412FBE" w:rsidR="003A50C3" w:rsidRPr="00770F9D" w:rsidRDefault="003A50C3" w:rsidP="003F46E1">
      <w:pPr>
        <w:ind w:firstLine="284"/>
        <w:jc w:val="both"/>
        <w:rPr>
          <w:rFonts w:ascii="Garamond" w:hAnsi="Garamond" w:cstheme="majorBidi"/>
          <w:color w:val="0D0D0D" w:themeColor="text1" w:themeTint="F2"/>
        </w:rPr>
      </w:pPr>
    </w:p>
    <w:p w14:paraId="21486CF1" w14:textId="3D244B3A" w:rsidR="00F468C9" w:rsidRPr="00770F9D" w:rsidRDefault="003A50C3" w:rsidP="003A50C3">
      <w:pPr>
        <w:ind w:firstLine="284"/>
        <w:jc w:val="center"/>
        <w:rPr>
          <w:rFonts w:ascii="Garamond" w:hAnsi="Garamond" w:cstheme="majorBidi"/>
          <w:color w:val="0D0D0D" w:themeColor="text1" w:themeTint="F2"/>
          <w:sz w:val="20"/>
          <w:szCs w:val="20"/>
        </w:rPr>
      </w:pPr>
      <w:r w:rsidRPr="00770F9D">
        <w:rPr>
          <w:rFonts w:ascii="Garamond" w:hAnsi="Garamond" w:cstheme="majorBidi"/>
          <w:noProof/>
          <w:color w:val="0D0D0D" w:themeColor="text1" w:themeTint="F2"/>
          <w:lang w:eastAsia="sq-AL"/>
        </w:rPr>
        <w:drawing>
          <wp:anchor distT="0" distB="0" distL="114300" distR="114300" simplePos="0" relativeHeight="251658269" behindDoc="0" locked="0" layoutInCell="1" allowOverlap="1" wp14:anchorId="4B1FF0FE" wp14:editId="63E456E9">
            <wp:simplePos x="0" y="0"/>
            <wp:positionH relativeFrom="column">
              <wp:posOffset>-163830</wp:posOffset>
            </wp:positionH>
            <wp:positionV relativeFrom="paragraph">
              <wp:posOffset>216535</wp:posOffset>
            </wp:positionV>
            <wp:extent cx="5924550" cy="1901825"/>
            <wp:effectExtent l="0" t="0" r="0" b="3175"/>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24550" cy="1901825"/>
                    </a:xfrm>
                    <a:prstGeom prst="rect">
                      <a:avLst/>
                    </a:prstGeom>
                    <a:noFill/>
                  </pic:spPr>
                </pic:pic>
              </a:graphicData>
            </a:graphic>
            <wp14:sizeRelH relativeFrom="page">
              <wp14:pctWidth>0</wp14:pctWidth>
            </wp14:sizeRelH>
            <wp14:sizeRelV relativeFrom="page">
              <wp14:pctHeight>0</wp14:pctHeight>
            </wp14:sizeRelV>
          </wp:anchor>
        </w:drawing>
      </w:r>
      <w:r w:rsidR="00F468C9" w:rsidRPr="00770F9D">
        <w:rPr>
          <w:rFonts w:ascii="Garamond" w:hAnsi="Garamond" w:cstheme="majorBidi"/>
          <w:b/>
          <w:bCs/>
          <w:color w:val="0D0D0D" w:themeColor="text1" w:themeTint="F2"/>
          <w:sz w:val="20"/>
          <w:szCs w:val="20"/>
        </w:rPr>
        <w:t>Grafiku 4.6.1:</w:t>
      </w:r>
      <w:r w:rsidR="00F468C9" w:rsidRPr="00770F9D">
        <w:rPr>
          <w:rFonts w:ascii="Garamond" w:hAnsi="Garamond" w:cstheme="majorBidi"/>
          <w:color w:val="0D0D0D" w:themeColor="text1" w:themeTint="F2"/>
          <w:sz w:val="20"/>
          <w:szCs w:val="20"/>
        </w:rPr>
        <w:t xml:space="preserve"> Përbërja e borxhit të qeverisë qendrore (2017</w:t>
      </w:r>
      <w:r w:rsidRPr="00770F9D">
        <w:rPr>
          <w:rFonts w:ascii="Garamond" w:hAnsi="Garamond" w:cstheme="majorBidi"/>
          <w:color w:val="0D0D0D" w:themeColor="text1" w:themeTint="F2"/>
          <w:sz w:val="20"/>
          <w:szCs w:val="20"/>
        </w:rPr>
        <w:t xml:space="preserve"> – shtator </w:t>
      </w:r>
      <w:r w:rsidR="00F468C9" w:rsidRPr="00770F9D">
        <w:rPr>
          <w:rFonts w:ascii="Garamond" w:hAnsi="Garamond" w:cstheme="majorBidi"/>
          <w:color w:val="0D0D0D" w:themeColor="text1" w:themeTint="F2"/>
          <w:sz w:val="20"/>
          <w:szCs w:val="20"/>
        </w:rPr>
        <w:t>2022)</w:t>
      </w:r>
    </w:p>
    <w:p w14:paraId="6D50BEB2" w14:textId="77777777" w:rsidR="00F468C9" w:rsidRPr="00770F9D" w:rsidRDefault="00F468C9" w:rsidP="003A50C3">
      <w:pPr>
        <w:ind w:firstLine="284"/>
        <w:jc w:val="center"/>
        <w:rPr>
          <w:rFonts w:ascii="Garamond" w:hAnsi="Garamond" w:cstheme="majorBidi"/>
          <w:iCs/>
          <w:color w:val="0D0D0D" w:themeColor="text1" w:themeTint="F2"/>
        </w:rPr>
      </w:pPr>
      <w:r w:rsidRPr="000375E8">
        <w:rPr>
          <w:rFonts w:ascii="Garamond" w:hAnsi="Garamond" w:cstheme="majorBidi"/>
          <w:iCs/>
          <w:color w:val="0D0D0D" w:themeColor="text1" w:themeTint="F2"/>
          <w:sz w:val="20"/>
          <w:szCs w:val="20"/>
        </w:rPr>
        <w:t>Burimi: Ministria e Financave dhe Ekonomisë, 2022</w:t>
      </w:r>
    </w:p>
    <w:p w14:paraId="4DB0B4AA" w14:textId="77777777" w:rsidR="00A84445" w:rsidRPr="00770F9D" w:rsidRDefault="00A84445" w:rsidP="005674F2">
      <w:pPr>
        <w:ind w:firstLine="284"/>
        <w:jc w:val="both"/>
        <w:rPr>
          <w:rFonts w:ascii="Garamond" w:hAnsi="Garamond" w:cstheme="majorBidi"/>
          <w:color w:val="0D0D0D" w:themeColor="text1" w:themeTint="F2"/>
        </w:rPr>
      </w:pPr>
    </w:p>
    <w:p w14:paraId="0F0FBD4B" w14:textId="54EBDC07"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Për sa i përket strukturës së maturimit, borxhi i brendshëm u karakterizua nga një rritje e peshës së </w:t>
      </w:r>
      <w:r w:rsidR="001D288F" w:rsidRPr="00770F9D">
        <w:rPr>
          <w:rFonts w:ascii="Garamond" w:hAnsi="Garamond" w:cstheme="majorBidi"/>
          <w:color w:val="0D0D0D" w:themeColor="text1" w:themeTint="F2"/>
        </w:rPr>
        <w:t>instrumenteve</w:t>
      </w:r>
      <w:r w:rsidRPr="00770F9D">
        <w:rPr>
          <w:rFonts w:ascii="Garamond" w:hAnsi="Garamond" w:cstheme="majorBidi"/>
          <w:color w:val="0D0D0D" w:themeColor="text1" w:themeTint="F2"/>
        </w:rPr>
        <w:t xml:space="preserve"> afatgjata (mbi 5 vjet, në përputhje me objektivat strategjikë për zbutjen e risqeve), ndërsa borxhi i jashtëm përbëhet kryesisht nga kredi afatgjata, si dhe instrumente afatgjata (eurobond 7 dhe 10-vjeçare të emetuara në tregjet ndërkombëtare).</w:t>
      </w:r>
    </w:p>
    <w:p w14:paraId="7224288E" w14:textId="77777777" w:rsidR="001D288F" w:rsidRPr="00770F9D" w:rsidRDefault="001D288F" w:rsidP="003F46E1">
      <w:pPr>
        <w:ind w:firstLine="284"/>
        <w:jc w:val="both"/>
        <w:rPr>
          <w:rFonts w:ascii="Garamond" w:hAnsi="Garamond" w:cstheme="majorBidi"/>
          <w:color w:val="0D0D0D" w:themeColor="text1" w:themeTint="F2"/>
        </w:rPr>
      </w:pPr>
    </w:p>
    <w:p w14:paraId="3115240F" w14:textId="77777777" w:rsidR="001D288F" w:rsidRPr="00770F9D" w:rsidRDefault="001D288F" w:rsidP="001D288F">
      <w:pPr>
        <w:ind w:firstLine="284"/>
        <w:jc w:val="center"/>
        <w:rPr>
          <w:rFonts w:ascii="Garamond" w:hAnsi="Garamond" w:cstheme="majorBidi"/>
          <w:b/>
          <w:bCs/>
          <w:i/>
          <w:iCs/>
          <w:color w:val="0D0D0D" w:themeColor="text1" w:themeTint="F2"/>
          <w:sz w:val="20"/>
          <w:szCs w:val="20"/>
        </w:rPr>
      </w:pPr>
    </w:p>
    <w:p w14:paraId="2C12FD1A" w14:textId="77777777" w:rsidR="001D288F" w:rsidRPr="00770F9D" w:rsidRDefault="001D288F" w:rsidP="001D288F">
      <w:pPr>
        <w:ind w:firstLine="284"/>
        <w:jc w:val="center"/>
        <w:rPr>
          <w:rFonts w:ascii="Garamond" w:hAnsi="Garamond" w:cstheme="majorBidi"/>
          <w:b/>
          <w:bCs/>
          <w:i/>
          <w:iCs/>
          <w:color w:val="0D0D0D" w:themeColor="text1" w:themeTint="F2"/>
          <w:sz w:val="20"/>
          <w:szCs w:val="20"/>
        </w:rPr>
      </w:pPr>
    </w:p>
    <w:p w14:paraId="4E7832DB" w14:textId="77777777" w:rsidR="001D288F" w:rsidRPr="00770F9D" w:rsidRDefault="001D288F" w:rsidP="001D288F">
      <w:pPr>
        <w:ind w:firstLine="284"/>
        <w:jc w:val="center"/>
        <w:rPr>
          <w:rFonts w:ascii="Garamond" w:hAnsi="Garamond" w:cstheme="majorBidi"/>
          <w:b/>
          <w:bCs/>
          <w:i/>
          <w:iCs/>
          <w:color w:val="0D0D0D" w:themeColor="text1" w:themeTint="F2"/>
          <w:sz w:val="20"/>
          <w:szCs w:val="20"/>
        </w:rPr>
      </w:pPr>
    </w:p>
    <w:p w14:paraId="6A726F4F" w14:textId="77777777" w:rsidR="001D288F" w:rsidRPr="00770F9D" w:rsidRDefault="001D288F" w:rsidP="001D288F">
      <w:pPr>
        <w:ind w:firstLine="284"/>
        <w:jc w:val="center"/>
        <w:rPr>
          <w:rFonts w:ascii="Garamond" w:hAnsi="Garamond" w:cstheme="majorBidi"/>
          <w:b/>
          <w:bCs/>
          <w:i/>
          <w:iCs/>
          <w:color w:val="0D0D0D" w:themeColor="text1" w:themeTint="F2"/>
          <w:sz w:val="20"/>
          <w:szCs w:val="20"/>
        </w:rPr>
      </w:pPr>
    </w:p>
    <w:p w14:paraId="01EDE9CE" w14:textId="77777777" w:rsidR="001D288F" w:rsidRPr="00770F9D" w:rsidRDefault="001D288F" w:rsidP="001D288F">
      <w:pPr>
        <w:ind w:firstLine="284"/>
        <w:jc w:val="center"/>
        <w:rPr>
          <w:rFonts w:ascii="Garamond" w:hAnsi="Garamond" w:cstheme="majorBidi"/>
          <w:b/>
          <w:bCs/>
          <w:i/>
          <w:iCs/>
          <w:color w:val="0D0D0D" w:themeColor="text1" w:themeTint="F2"/>
          <w:sz w:val="20"/>
          <w:szCs w:val="20"/>
        </w:rPr>
      </w:pPr>
    </w:p>
    <w:p w14:paraId="6F2523DC" w14:textId="77777777" w:rsidR="001D288F" w:rsidRPr="00770F9D" w:rsidRDefault="001D288F" w:rsidP="001D288F">
      <w:pPr>
        <w:ind w:firstLine="284"/>
        <w:jc w:val="center"/>
        <w:rPr>
          <w:rFonts w:ascii="Garamond" w:hAnsi="Garamond" w:cstheme="majorBidi"/>
          <w:b/>
          <w:bCs/>
          <w:i/>
          <w:iCs/>
          <w:color w:val="0D0D0D" w:themeColor="text1" w:themeTint="F2"/>
          <w:sz w:val="20"/>
          <w:szCs w:val="20"/>
        </w:rPr>
      </w:pPr>
    </w:p>
    <w:p w14:paraId="157AFFA7" w14:textId="77777777" w:rsidR="001D288F" w:rsidRPr="00770F9D" w:rsidRDefault="001D288F" w:rsidP="001D288F">
      <w:pPr>
        <w:ind w:firstLine="284"/>
        <w:jc w:val="center"/>
        <w:rPr>
          <w:rFonts w:ascii="Garamond" w:hAnsi="Garamond" w:cstheme="majorBidi"/>
          <w:b/>
          <w:bCs/>
          <w:i/>
          <w:iCs/>
          <w:color w:val="0D0D0D" w:themeColor="text1" w:themeTint="F2"/>
          <w:sz w:val="20"/>
          <w:szCs w:val="20"/>
        </w:rPr>
      </w:pPr>
    </w:p>
    <w:p w14:paraId="017400DF" w14:textId="77777777" w:rsidR="001D288F" w:rsidRPr="00770F9D" w:rsidRDefault="001D288F" w:rsidP="001D288F">
      <w:pPr>
        <w:ind w:firstLine="284"/>
        <w:jc w:val="center"/>
        <w:rPr>
          <w:rFonts w:ascii="Garamond" w:hAnsi="Garamond" w:cstheme="majorBidi"/>
          <w:b/>
          <w:bCs/>
          <w:i/>
          <w:iCs/>
          <w:color w:val="0D0D0D" w:themeColor="text1" w:themeTint="F2"/>
          <w:sz w:val="20"/>
          <w:szCs w:val="20"/>
        </w:rPr>
      </w:pPr>
    </w:p>
    <w:p w14:paraId="1BB32FB9" w14:textId="77777777" w:rsidR="001D288F" w:rsidRPr="00770F9D" w:rsidRDefault="001D288F" w:rsidP="001D288F">
      <w:pPr>
        <w:ind w:firstLine="284"/>
        <w:jc w:val="center"/>
        <w:rPr>
          <w:rFonts w:ascii="Garamond" w:hAnsi="Garamond" w:cstheme="majorBidi"/>
          <w:b/>
          <w:bCs/>
          <w:i/>
          <w:iCs/>
          <w:color w:val="0D0D0D" w:themeColor="text1" w:themeTint="F2"/>
          <w:sz w:val="20"/>
          <w:szCs w:val="20"/>
        </w:rPr>
      </w:pPr>
    </w:p>
    <w:p w14:paraId="16186D88" w14:textId="77777777" w:rsidR="001D288F" w:rsidRPr="00770F9D" w:rsidRDefault="001D288F" w:rsidP="001D288F">
      <w:pPr>
        <w:ind w:firstLine="284"/>
        <w:jc w:val="center"/>
        <w:rPr>
          <w:rFonts w:ascii="Garamond" w:hAnsi="Garamond" w:cstheme="majorBidi"/>
          <w:b/>
          <w:bCs/>
          <w:i/>
          <w:iCs/>
          <w:color w:val="0D0D0D" w:themeColor="text1" w:themeTint="F2"/>
          <w:sz w:val="20"/>
          <w:szCs w:val="20"/>
        </w:rPr>
      </w:pPr>
    </w:p>
    <w:p w14:paraId="0609CA31" w14:textId="13326988" w:rsidR="00F468C9" w:rsidRPr="00770F9D" w:rsidRDefault="001D288F" w:rsidP="001D288F">
      <w:pPr>
        <w:ind w:firstLine="284"/>
        <w:jc w:val="center"/>
        <w:rPr>
          <w:rFonts w:ascii="Garamond" w:hAnsi="Garamond" w:cstheme="majorBidi"/>
          <w:i/>
          <w:iCs/>
          <w:color w:val="0D0D0D" w:themeColor="text1" w:themeTint="F2"/>
          <w:sz w:val="20"/>
          <w:szCs w:val="20"/>
        </w:rPr>
      </w:pPr>
      <w:r w:rsidRPr="00770F9D">
        <w:rPr>
          <w:rFonts w:ascii="Garamond" w:hAnsi="Garamond" w:cstheme="majorBidi"/>
          <w:i/>
          <w:noProof/>
          <w:color w:val="0D0D0D" w:themeColor="text1" w:themeTint="F2"/>
          <w:lang w:eastAsia="sq-AL"/>
        </w:rPr>
        <mc:AlternateContent>
          <mc:Choice Requires="wpg">
            <w:drawing>
              <wp:anchor distT="0" distB="0" distL="114300" distR="114300" simplePos="0" relativeHeight="251658270" behindDoc="0" locked="0" layoutInCell="1" allowOverlap="1" wp14:anchorId="617CA967" wp14:editId="55351782">
                <wp:simplePos x="0" y="0"/>
                <wp:positionH relativeFrom="column">
                  <wp:posOffset>-100330</wp:posOffset>
                </wp:positionH>
                <wp:positionV relativeFrom="paragraph">
                  <wp:posOffset>255270</wp:posOffset>
                </wp:positionV>
                <wp:extent cx="5847715" cy="1957705"/>
                <wp:effectExtent l="0" t="0" r="635" b="4445"/>
                <wp:wrapTopAndBottom/>
                <wp:docPr id="64" name="Group 64"/>
                <wp:cNvGraphicFramePr/>
                <a:graphic xmlns:a="http://schemas.openxmlformats.org/drawingml/2006/main">
                  <a:graphicData uri="http://schemas.microsoft.com/office/word/2010/wordprocessingGroup">
                    <wpg:wgp>
                      <wpg:cNvGrpSpPr/>
                      <wpg:grpSpPr>
                        <a:xfrm>
                          <a:off x="0" y="0"/>
                          <a:ext cx="5847715" cy="1957705"/>
                          <a:chOff x="0" y="0"/>
                          <a:chExt cx="5847715" cy="1957705"/>
                        </a:xfrm>
                      </wpg:grpSpPr>
                      <pic:pic xmlns:pic="http://schemas.openxmlformats.org/drawingml/2006/picture">
                        <pic:nvPicPr>
                          <pic:cNvPr id="9" name="Picture 9"/>
                          <pic:cNvPicPr>
                            <a:picLocks noChangeAspect="1"/>
                          </pic:cNvPicPr>
                        </pic:nvPicPr>
                        <pic:blipFill>
                          <a:blip r:embed="rId56">
                            <a:extLst>
                              <a:ext uri="{28A0092B-C50C-407E-A947-70E740481C1C}">
                                <a14:useLocalDpi xmlns:a14="http://schemas.microsoft.com/office/drawing/2010/main" val="0"/>
                              </a:ext>
                            </a:extLst>
                          </a:blip>
                          <a:srcRect/>
                          <a:stretch>
                            <a:fillRect/>
                          </a:stretch>
                        </pic:blipFill>
                        <pic:spPr bwMode="auto">
                          <a:xfrm>
                            <a:off x="0" y="6350"/>
                            <a:ext cx="2824480" cy="1946910"/>
                          </a:xfrm>
                          <a:prstGeom prst="rect">
                            <a:avLst/>
                          </a:prstGeom>
                          <a:noFill/>
                        </pic:spPr>
                      </pic:pic>
                      <pic:pic xmlns:pic="http://schemas.openxmlformats.org/drawingml/2006/picture">
                        <pic:nvPicPr>
                          <pic:cNvPr id="10" name="Picture 10"/>
                          <pic:cNvPicPr>
                            <a:picLocks noChangeAspect="1"/>
                          </pic:cNvPicPr>
                        </pic:nvPicPr>
                        <pic:blipFill>
                          <a:blip r:embed="rId57">
                            <a:extLst>
                              <a:ext uri="{28A0092B-C50C-407E-A947-70E740481C1C}">
                                <a14:useLocalDpi xmlns:a14="http://schemas.microsoft.com/office/drawing/2010/main" val="0"/>
                              </a:ext>
                            </a:extLst>
                          </a:blip>
                          <a:srcRect/>
                          <a:stretch>
                            <a:fillRect/>
                          </a:stretch>
                        </pic:blipFill>
                        <pic:spPr bwMode="auto">
                          <a:xfrm>
                            <a:off x="2895600" y="0"/>
                            <a:ext cx="2952115" cy="1957705"/>
                          </a:xfrm>
                          <a:prstGeom prst="rect">
                            <a:avLst/>
                          </a:prstGeom>
                          <a:noFill/>
                        </pic:spPr>
                      </pic:pic>
                    </wpg:wgp>
                  </a:graphicData>
                </a:graphic>
              </wp:anchor>
            </w:drawing>
          </mc:Choice>
          <mc:Fallback>
            <w:pict>
              <v:group id="Group 64" o:spid="_x0000_s1026" style="position:absolute;margin-left:-7.9pt;margin-top:20.1pt;width:460.45pt;height:154.15pt;z-index:251658270" coordsize="58477,195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">
                <v:shape id="Picture 9" o:spid="_x0000_s1027" type="#_x0000_t75" style="position:absolute;top:63;width:28244;height:194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lf9/HDAAAA2gAAAA8AAABkcnMvZG93bnJldi54bWxEj0GLwjAUhO+C/yE8YS+ypi4iu12jiCjo&#10;QVBXD94ezdu22ryUJq313xtB8DjMzDfMZNaaQjRUudyyguEgAkGcWJ1zquD4t/r8BuE8ssbCMim4&#10;k4PZtNuZYKztjffUHHwqAoRdjAoy78tYSpdkZNANbEkcvH9bGfRBVqnUFd4C3BTyK4rG0mDOYSHD&#10;khYZJddDbRTU58QtN6Nd7jUV/VOzve7ry1Gpj147/wXhqfXv8Ku91gp+4Hkl3AA5f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V/38cMAAADaAAAADwAAAAAAAAAAAAAAAACf&#10;AgAAZHJzL2Rvd25yZXYueG1sUEsFBgAAAAAEAAQA9wAAAI8DAAAAAA==&#10;">
                  <v:imagedata r:id="rId58" o:title=""/>
                  <v:path arrowok="t"/>
                </v:shape>
                <v:shape id="Picture 10" o:spid="_x0000_s1028" type="#_x0000_t75" style="position:absolute;left:28956;width:29521;height:195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T7/RbGAAAA2wAAAA8AAABkcnMvZG93bnJldi54bWxEj09rwkAQxe9Cv8MyQi+im1YQia5iC0LB&#10;k38o9DZmxySanU13tzH99p1DwdsM7817v1mue9eojkKsPRt4mWSgiAtvay4NnI7b8RxUTMgWG89k&#10;4JcirFdPgyXm1t95T90hlUpCOOZooEqpzbWORUUO48S3xKJdfHCYZA2ltgHvEu4a/ZplM+2wZmmo&#10;sKX3iorb4ccZOG93n7YMs6/b6LqbNtP5/vvSvRnzPOw3C1CJ+vQw/19/WMEXevlFBtCr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Pv9FsYAAADbAAAADwAAAAAAAAAAAAAA&#10;AACfAgAAZHJzL2Rvd25yZXYueG1sUEsFBgAAAAAEAAQA9wAAAJIDAAAAAA==&#10;">
                  <v:imagedata r:id="rId59" o:title=""/>
                  <v:path arrowok="t"/>
                </v:shape>
                <w10:wrap type="topAndBottom"/>
              </v:group>
            </w:pict>
          </mc:Fallback>
        </mc:AlternateContent>
      </w:r>
      <w:r w:rsidR="00F468C9" w:rsidRPr="00770F9D">
        <w:rPr>
          <w:rFonts w:ascii="Garamond" w:hAnsi="Garamond" w:cstheme="majorBidi"/>
          <w:b/>
          <w:bCs/>
          <w:i/>
          <w:iCs/>
          <w:color w:val="0D0D0D" w:themeColor="text1" w:themeTint="F2"/>
          <w:sz w:val="20"/>
          <w:szCs w:val="20"/>
        </w:rPr>
        <w:t>Grafiku 4.6.2:</w:t>
      </w:r>
      <w:r w:rsidR="00F468C9" w:rsidRPr="00770F9D">
        <w:rPr>
          <w:rFonts w:ascii="Garamond" w:hAnsi="Garamond" w:cstheme="majorBidi"/>
          <w:i/>
          <w:iCs/>
          <w:color w:val="0D0D0D" w:themeColor="text1" w:themeTint="F2"/>
          <w:sz w:val="20"/>
          <w:szCs w:val="20"/>
        </w:rPr>
        <w:t xml:space="preserve"> Përbërja e borxhit të qeverisë (2017 – </w:t>
      </w:r>
      <w:r w:rsidRPr="00770F9D">
        <w:rPr>
          <w:rFonts w:ascii="Garamond" w:hAnsi="Garamond" w:cstheme="majorBidi"/>
          <w:i/>
          <w:iCs/>
          <w:color w:val="0D0D0D" w:themeColor="text1" w:themeTint="F2"/>
          <w:sz w:val="20"/>
          <w:szCs w:val="20"/>
        </w:rPr>
        <w:t xml:space="preserve">shtator </w:t>
      </w:r>
      <w:r w:rsidR="00F468C9" w:rsidRPr="00770F9D">
        <w:rPr>
          <w:rFonts w:ascii="Garamond" w:hAnsi="Garamond" w:cstheme="majorBidi"/>
          <w:i/>
          <w:iCs/>
          <w:color w:val="0D0D0D" w:themeColor="text1" w:themeTint="F2"/>
          <w:sz w:val="20"/>
          <w:szCs w:val="20"/>
        </w:rPr>
        <w:t>2022)</w:t>
      </w:r>
    </w:p>
    <w:p w14:paraId="18A7F068" w14:textId="77777777" w:rsidR="00F468C9" w:rsidRPr="000375E8" w:rsidRDefault="00F468C9" w:rsidP="001D288F">
      <w:pPr>
        <w:ind w:firstLine="284"/>
        <w:jc w:val="center"/>
        <w:rPr>
          <w:rFonts w:ascii="Garamond" w:hAnsi="Garamond" w:cstheme="majorBidi"/>
          <w:iCs/>
          <w:color w:val="0D0D0D" w:themeColor="text1" w:themeTint="F2"/>
          <w:sz w:val="20"/>
          <w:szCs w:val="20"/>
        </w:rPr>
      </w:pPr>
      <w:r w:rsidRPr="000375E8">
        <w:rPr>
          <w:rFonts w:ascii="Garamond" w:hAnsi="Garamond" w:cstheme="majorBidi"/>
          <w:iCs/>
          <w:color w:val="0D0D0D" w:themeColor="text1" w:themeTint="F2"/>
          <w:sz w:val="20"/>
          <w:szCs w:val="20"/>
        </w:rPr>
        <w:t>Burimi: Ministria e Financave dhe Ekonomisë, 2022</w:t>
      </w:r>
    </w:p>
    <w:p w14:paraId="02246F2E" w14:textId="77777777" w:rsidR="001D288F" w:rsidRPr="00770F9D" w:rsidRDefault="001D288F" w:rsidP="00567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eastAsia="Times New Roman" w:hAnsi="Garamond" w:cstheme="majorBidi"/>
          <w:i/>
          <w:color w:val="0D0D0D" w:themeColor="text1" w:themeTint="F2"/>
          <w:lang w:eastAsia="en-GB"/>
        </w:rPr>
      </w:pPr>
    </w:p>
    <w:p w14:paraId="12B122F3" w14:textId="10074666" w:rsidR="00F468C9" w:rsidRPr="00770F9D" w:rsidRDefault="00F468C9" w:rsidP="00567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eastAsia="Times New Roman" w:hAnsi="Garamond" w:cstheme="majorBidi"/>
          <w:i/>
          <w:color w:val="0D0D0D" w:themeColor="text1" w:themeTint="F2"/>
          <w:lang w:eastAsia="en-GB"/>
        </w:rPr>
      </w:pPr>
      <w:r w:rsidRPr="00770F9D">
        <w:rPr>
          <w:rFonts w:ascii="Garamond" w:eastAsia="Times New Roman" w:hAnsi="Garamond" w:cstheme="majorBidi"/>
          <w:i/>
          <w:color w:val="0D0D0D" w:themeColor="text1" w:themeTint="F2"/>
          <w:lang w:eastAsia="en-GB"/>
        </w:rPr>
        <w:t>Nevojat për financim</w:t>
      </w:r>
    </w:p>
    <w:p w14:paraId="30967834" w14:textId="5099045E" w:rsidR="00F468C9" w:rsidRPr="00770F9D" w:rsidRDefault="00F468C9" w:rsidP="00567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eastAsia="Times New Roman" w:hAnsi="Garamond" w:cstheme="majorBidi"/>
          <w:color w:val="0D0D0D" w:themeColor="text1" w:themeTint="F2"/>
          <w:lang w:eastAsia="en-GB"/>
        </w:rPr>
      </w:pPr>
      <w:r w:rsidRPr="00770F9D">
        <w:rPr>
          <w:rFonts w:ascii="Garamond" w:eastAsia="Times New Roman" w:hAnsi="Garamond" w:cstheme="majorBidi"/>
          <w:color w:val="0D0D0D" w:themeColor="text1" w:themeTint="F2"/>
          <w:lang w:eastAsia="en-GB"/>
        </w:rPr>
        <w:t xml:space="preserve">Gjatë viteve 2020 dhe 2021, nevojat për huamarrje u rritën ndjeshëm, krahasuar me vitet e mëparshme, për shkak të tërmetit të vitit 2019, pandemisë </w:t>
      </w:r>
      <w:r w:rsidR="001D288F" w:rsidRPr="00770F9D">
        <w:rPr>
          <w:rFonts w:ascii="Garamond" w:eastAsia="Times New Roman" w:hAnsi="Garamond" w:cstheme="majorBidi"/>
          <w:color w:val="0D0D0D" w:themeColor="text1" w:themeTint="F2"/>
          <w:lang w:eastAsia="en-GB"/>
        </w:rPr>
        <w:t>COVID</w:t>
      </w:r>
      <w:r w:rsidRPr="00770F9D">
        <w:rPr>
          <w:rFonts w:ascii="Garamond" w:eastAsia="Times New Roman" w:hAnsi="Garamond" w:cstheme="majorBidi"/>
          <w:color w:val="0D0D0D" w:themeColor="text1" w:themeTint="F2"/>
          <w:lang w:eastAsia="en-GB"/>
        </w:rPr>
        <w:t xml:space="preserve">-19 dhe nevojës për të stimuluar rimëkëmbjen ekonomike pas recesionit në vitin 2020. Pavarësisht nevojave në rritje për financim, huamarrja ka përmbushur plotësisht nevojat buxhetore, dhe detyrimet ekzistuese të borxhit në kohë duke ruajtur nivele të pranueshme të kostos dhe ekspozimit ndaj risqeve. Duke filluar nga viti 2022, menaxhimi i borxhit po përballet me sfidën e përkeqësimit të kushteve të tregjeve financiare me rritje të normave të interesit në tregjet ndërkombëtare dhe në tregun e brendshëm, si pasojë e krizës së shkaktuar nga konflikti </w:t>
      </w:r>
      <w:r w:rsidR="001D288F" w:rsidRPr="00770F9D">
        <w:rPr>
          <w:rFonts w:ascii="Garamond" w:eastAsia="Times New Roman" w:hAnsi="Garamond" w:cstheme="majorBidi"/>
          <w:color w:val="0D0D0D" w:themeColor="text1" w:themeTint="F2"/>
          <w:lang w:eastAsia="en-GB"/>
        </w:rPr>
        <w:t>ruso-ukrainas</w:t>
      </w:r>
      <w:r w:rsidRPr="00770F9D">
        <w:rPr>
          <w:rFonts w:ascii="Garamond" w:eastAsia="Times New Roman" w:hAnsi="Garamond" w:cstheme="majorBidi"/>
          <w:color w:val="0D0D0D" w:themeColor="text1" w:themeTint="F2"/>
          <w:lang w:eastAsia="en-GB"/>
        </w:rPr>
        <w:t xml:space="preserve">, e shoqëruar edhe me hezitimin e investitorëve për të investuar në letrat me vlerë të qeverisë, e </w:t>
      </w:r>
      <w:r w:rsidR="001D288F" w:rsidRPr="00770F9D">
        <w:rPr>
          <w:rFonts w:ascii="Garamond" w:eastAsia="Times New Roman" w:hAnsi="Garamond" w:cstheme="majorBidi"/>
          <w:color w:val="0D0D0D" w:themeColor="text1" w:themeTint="F2"/>
          <w:lang w:eastAsia="en-GB"/>
        </w:rPr>
        <w:t>demonstruar</w:t>
      </w:r>
      <w:r w:rsidRPr="00770F9D">
        <w:rPr>
          <w:rFonts w:ascii="Garamond" w:eastAsia="Times New Roman" w:hAnsi="Garamond" w:cstheme="majorBidi"/>
          <w:color w:val="0D0D0D" w:themeColor="text1" w:themeTint="F2"/>
          <w:lang w:eastAsia="en-GB"/>
        </w:rPr>
        <w:t xml:space="preserve"> kjo nga raportet e ulëta të mbulimit të ankandeve duke filluar nga </w:t>
      </w:r>
      <w:r w:rsidR="001D288F" w:rsidRPr="00770F9D">
        <w:rPr>
          <w:rFonts w:ascii="Garamond" w:eastAsia="Times New Roman" w:hAnsi="Garamond" w:cstheme="majorBidi"/>
          <w:color w:val="0D0D0D" w:themeColor="text1" w:themeTint="F2"/>
          <w:lang w:eastAsia="en-GB"/>
        </w:rPr>
        <w:t xml:space="preserve">marsi </w:t>
      </w:r>
      <w:r w:rsidRPr="00770F9D">
        <w:rPr>
          <w:rFonts w:ascii="Garamond" w:eastAsia="Times New Roman" w:hAnsi="Garamond" w:cstheme="majorBidi"/>
          <w:color w:val="0D0D0D" w:themeColor="text1" w:themeTint="F2"/>
          <w:lang w:eastAsia="en-GB"/>
        </w:rPr>
        <w:t>2022.</w:t>
      </w:r>
    </w:p>
    <w:p w14:paraId="46078BC1" w14:textId="01D2DA51" w:rsidR="00F468C9" w:rsidRPr="00770F9D" w:rsidRDefault="00F468C9" w:rsidP="00567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eastAsia="Times New Roman" w:hAnsi="Garamond" w:cstheme="majorBidi"/>
          <w:color w:val="0D0D0D" w:themeColor="text1" w:themeTint="F2"/>
          <w:lang w:eastAsia="en-GB"/>
        </w:rPr>
      </w:pPr>
      <w:r w:rsidRPr="00770F9D">
        <w:rPr>
          <w:rFonts w:ascii="Garamond" w:eastAsia="Times New Roman" w:hAnsi="Garamond" w:cstheme="majorBidi"/>
          <w:color w:val="0D0D0D" w:themeColor="text1" w:themeTint="F2"/>
          <w:lang w:eastAsia="en-GB"/>
        </w:rPr>
        <w:t>Gjatë periudhës janar</w:t>
      </w:r>
      <w:r w:rsidR="001D288F" w:rsidRPr="00770F9D">
        <w:rPr>
          <w:rFonts w:ascii="Garamond" w:eastAsia="Times New Roman" w:hAnsi="Garamond" w:cstheme="majorBidi"/>
          <w:color w:val="0D0D0D" w:themeColor="text1" w:themeTint="F2"/>
          <w:lang w:eastAsia="en-GB"/>
        </w:rPr>
        <w:t>–</w:t>
      </w:r>
      <w:r w:rsidRPr="00770F9D">
        <w:rPr>
          <w:rFonts w:ascii="Garamond" w:eastAsia="Times New Roman" w:hAnsi="Garamond" w:cstheme="majorBidi"/>
          <w:color w:val="0D0D0D" w:themeColor="text1" w:themeTint="F2"/>
          <w:lang w:eastAsia="en-GB"/>
        </w:rPr>
        <w:t>shtator 2022, huamarrja është realizuar në nivelin 302.0 miliardë lekë. Në tregun e brendshëm, qeveria emetoi letra me vlerë në vlerën 277.9 miliardë lekë, nga të cilat 273.7 miliardë lekë u përdorën për rifinancimin e borxhit ekzistues dhe totali i financimit neto rezultoi në vlerën 4.2 miliardë lekë. Financimi neto ka shënuar rënie krahasuar me të njëjtën periudhë të vitit të kaluar, duke reflektuar hezitimin e investitorëve për të investuar në letrat me vlerë të qeverisë si edhe duke reflektuar edhe pritjet për rritje të normave të interesit.</w:t>
      </w:r>
    </w:p>
    <w:p w14:paraId="66E08A95" w14:textId="77777777" w:rsidR="001D288F" w:rsidRPr="00770F9D" w:rsidRDefault="001D288F" w:rsidP="001D28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center"/>
        <w:rPr>
          <w:rFonts w:ascii="Garamond" w:eastAsia="Times New Roman" w:hAnsi="Garamond" w:cstheme="majorBidi"/>
          <w:b/>
          <w:bCs/>
          <w:color w:val="0D0D0D" w:themeColor="text1" w:themeTint="F2"/>
          <w:sz w:val="20"/>
          <w:szCs w:val="20"/>
          <w:lang w:eastAsia="en-GB"/>
        </w:rPr>
      </w:pPr>
    </w:p>
    <w:p w14:paraId="6DBFC67A" w14:textId="0CBD78E3" w:rsidR="00F468C9" w:rsidRPr="00770F9D" w:rsidRDefault="001D288F" w:rsidP="001D28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center"/>
        <w:rPr>
          <w:rFonts w:ascii="Garamond" w:eastAsia="Times New Roman" w:hAnsi="Garamond" w:cstheme="majorBidi"/>
          <w:color w:val="0D0D0D" w:themeColor="text1" w:themeTint="F2"/>
          <w:sz w:val="20"/>
          <w:szCs w:val="20"/>
          <w:lang w:eastAsia="en-GB"/>
        </w:rPr>
      </w:pPr>
      <w:r w:rsidRPr="00770F9D">
        <w:rPr>
          <w:rFonts w:ascii="Garamond" w:hAnsi="Garamond" w:cstheme="majorBidi"/>
          <w:b/>
          <w:noProof/>
          <w:color w:val="0D0D0D" w:themeColor="text1" w:themeTint="F2"/>
          <w:lang w:eastAsia="sq-AL"/>
        </w:rPr>
        <w:drawing>
          <wp:anchor distT="0" distB="0" distL="114300" distR="114300" simplePos="0" relativeHeight="251658271" behindDoc="0" locked="0" layoutInCell="1" allowOverlap="1" wp14:anchorId="30EEF6FB" wp14:editId="2D64388A">
            <wp:simplePos x="0" y="0"/>
            <wp:positionH relativeFrom="column">
              <wp:posOffset>-100330</wp:posOffset>
            </wp:positionH>
            <wp:positionV relativeFrom="paragraph">
              <wp:posOffset>146050</wp:posOffset>
            </wp:positionV>
            <wp:extent cx="6027088" cy="1904041"/>
            <wp:effectExtent l="0" t="0" r="0" b="127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27088" cy="1904041"/>
                    </a:xfrm>
                    <a:prstGeom prst="rect">
                      <a:avLst/>
                    </a:prstGeom>
                    <a:noFill/>
                  </pic:spPr>
                </pic:pic>
              </a:graphicData>
            </a:graphic>
            <wp14:sizeRelH relativeFrom="page">
              <wp14:pctWidth>0</wp14:pctWidth>
            </wp14:sizeRelH>
            <wp14:sizeRelV relativeFrom="page">
              <wp14:pctHeight>0</wp14:pctHeight>
            </wp14:sizeRelV>
          </wp:anchor>
        </w:drawing>
      </w:r>
      <w:r w:rsidR="00F468C9" w:rsidRPr="00770F9D">
        <w:rPr>
          <w:rFonts w:ascii="Garamond" w:eastAsia="Times New Roman" w:hAnsi="Garamond" w:cstheme="majorBidi"/>
          <w:b/>
          <w:bCs/>
          <w:color w:val="0D0D0D" w:themeColor="text1" w:themeTint="F2"/>
          <w:sz w:val="20"/>
          <w:szCs w:val="20"/>
          <w:lang w:eastAsia="en-GB"/>
        </w:rPr>
        <w:t>Grafiku 4.6.3:</w:t>
      </w:r>
      <w:r w:rsidR="00F468C9" w:rsidRPr="00770F9D">
        <w:rPr>
          <w:rFonts w:ascii="Garamond" w:eastAsia="Times New Roman" w:hAnsi="Garamond" w:cstheme="majorBidi"/>
          <w:color w:val="0D0D0D" w:themeColor="text1" w:themeTint="F2"/>
          <w:sz w:val="20"/>
          <w:szCs w:val="20"/>
          <w:lang w:eastAsia="en-GB"/>
        </w:rPr>
        <w:t xml:space="preserve"> Financimi total 2017</w:t>
      </w:r>
      <w:r w:rsidRPr="00770F9D">
        <w:rPr>
          <w:rFonts w:ascii="Garamond" w:hAnsi="Garamond" w:cstheme="majorBidi"/>
          <w:color w:val="0D0D0D" w:themeColor="text1" w:themeTint="F2"/>
          <w:sz w:val="20"/>
          <w:szCs w:val="20"/>
        </w:rPr>
        <w:t>–</w:t>
      </w:r>
      <w:r w:rsidR="00F468C9" w:rsidRPr="00770F9D">
        <w:rPr>
          <w:rFonts w:ascii="Garamond" w:eastAsia="Times New Roman" w:hAnsi="Garamond" w:cstheme="majorBidi"/>
          <w:color w:val="0D0D0D" w:themeColor="text1" w:themeTint="F2"/>
          <w:sz w:val="20"/>
          <w:szCs w:val="20"/>
          <w:lang w:eastAsia="en-GB"/>
        </w:rPr>
        <w:t>2022</w:t>
      </w:r>
    </w:p>
    <w:p w14:paraId="11930B06" w14:textId="77777777" w:rsidR="00F468C9" w:rsidRPr="00770F9D" w:rsidRDefault="00F468C9" w:rsidP="001D288F">
      <w:pPr>
        <w:ind w:firstLine="284"/>
        <w:jc w:val="center"/>
        <w:rPr>
          <w:rFonts w:ascii="Garamond" w:hAnsi="Garamond" w:cstheme="majorBidi"/>
          <w:b/>
          <w:iCs/>
          <w:color w:val="0D0D0D" w:themeColor="text1" w:themeTint="F2"/>
          <w:sz w:val="20"/>
          <w:szCs w:val="20"/>
        </w:rPr>
      </w:pPr>
      <w:r w:rsidRPr="00770F9D">
        <w:rPr>
          <w:rFonts w:ascii="Garamond" w:hAnsi="Garamond" w:cstheme="majorBidi"/>
          <w:iCs/>
          <w:color w:val="0D0D0D" w:themeColor="text1" w:themeTint="F2"/>
          <w:sz w:val="20"/>
          <w:szCs w:val="20"/>
        </w:rPr>
        <w:t>Burimi: Ministria e Financave dhe Ekonomisë, 2022</w:t>
      </w:r>
    </w:p>
    <w:p w14:paraId="56EA2903" w14:textId="77777777" w:rsidR="000A4635" w:rsidRPr="00770F9D" w:rsidRDefault="000A4635" w:rsidP="005674F2">
      <w:pPr>
        <w:ind w:firstLine="284"/>
        <w:jc w:val="both"/>
        <w:rPr>
          <w:rFonts w:ascii="Garamond" w:eastAsia="Times New Roman" w:hAnsi="Garamond" w:cstheme="majorBidi"/>
          <w:color w:val="0D0D0D" w:themeColor="text1" w:themeTint="F2"/>
          <w:lang w:eastAsia="en-GB"/>
        </w:rPr>
      </w:pPr>
    </w:p>
    <w:p w14:paraId="424D57F5" w14:textId="77777777" w:rsidR="001D288F" w:rsidRPr="00770F9D" w:rsidRDefault="001D288F" w:rsidP="001D288F">
      <w:pPr>
        <w:ind w:firstLine="284"/>
        <w:jc w:val="center"/>
        <w:rPr>
          <w:rFonts w:ascii="Garamond" w:eastAsia="Times New Roman" w:hAnsi="Garamond" w:cstheme="majorBidi"/>
          <w:b/>
          <w:bCs/>
          <w:color w:val="0D0D0D" w:themeColor="text1" w:themeTint="F2"/>
          <w:sz w:val="20"/>
          <w:szCs w:val="20"/>
          <w:lang w:eastAsia="en-GB"/>
        </w:rPr>
      </w:pPr>
    </w:p>
    <w:p w14:paraId="665AE7F8" w14:textId="77777777" w:rsidR="001D288F" w:rsidRPr="00770F9D" w:rsidRDefault="001D288F" w:rsidP="001D288F">
      <w:pPr>
        <w:ind w:firstLine="284"/>
        <w:jc w:val="center"/>
        <w:rPr>
          <w:rFonts w:ascii="Garamond" w:eastAsia="Times New Roman" w:hAnsi="Garamond" w:cstheme="majorBidi"/>
          <w:b/>
          <w:bCs/>
          <w:color w:val="0D0D0D" w:themeColor="text1" w:themeTint="F2"/>
          <w:sz w:val="20"/>
          <w:szCs w:val="20"/>
          <w:lang w:eastAsia="en-GB"/>
        </w:rPr>
      </w:pPr>
    </w:p>
    <w:p w14:paraId="3F3EAFE3" w14:textId="77777777" w:rsidR="001D288F" w:rsidRPr="00770F9D" w:rsidRDefault="001D288F" w:rsidP="001D288F">
      <w:pPr>
        <w:ind w:firstLine="284"/>
        <w:jc w:val="center"/>
        <w:rPr>
          <w:rFonts w:ascii="Garamond" w:eastAsia="Times New Roman" w:hAnsi="Garamond" w:cstheme="majorBidi"/>
          <w:b/>
          <w:bCs/>
          <w:color w:val="0D0D0D" w:themeColor="text1" w:themeTint="F2"/>
          <w:sz w:val="20"/>
          <w:szCs w:val="20"/>
          <w:lang w:eastAsia="en-GB"/>
        </w:rPr>
      </w:pPr>
    </w:p>
    <w:p w14:paraId="71F8FDEF" w14:textId="77777777" w:rsidR="001D288F" w:rsidRPr="00770F9D" w:rsidRDefault="001D288F" w:rsidP="001D288F">
      <w:pPr>
        <w:ind w:firstLine="284"/>
        <w:jc w:val="center"/>
        <w:rPr>
          <w:rFonts w:ascii="Garamond" w:eastAsia="Times New Roman" w:hAnsi="Garamond" w:cstheme="majorBidi"/>
          <w:b/>
          <w:bCs/>
          <w:color w:val="0D0D0D" w:themeColor="text1" w:themeTint="F2"/>
          <w:sz w:val="20"/>
          <w:szCs w:val="20"/>
          <w:lang w:eastAsia="en-GB"/>
        </w:rPr>
      </w:pPr>
    </w:p>
    <w:p w14:paraId="1F4CCAC3" w14:textId="1D87CDBF" w:rsidR="00F468C9" w:rsidRPr="00770F9D" w:rsidRDefault="001D288F" w:rsidP="001D288F">
      <w:pPr>
        <w:ind w:firstLine="284"/>
        <w:jc w:val="center"/>
        <w:rPr>
          <w:rFonts w:ascii="Garamond" w:eastAsia="Times New Roman" w:hAnsi="Garamond" w:cstheme="majorBidi"/>
          <w:color w:val="0D0D0D" w:themeColor="text1" w:themeTint="F2"/>
          <w:sz w:val="20"/>
          <w:szCs w:val="20"/>
          <w:lang w:eastAsia="en-GB"/>
        </w:rPr>
      </w:pPr>
      <w:r w:rsidRPr="00770F9D">
        <w:rPr>
          <w:rFonts w:ascii="Garamond" w:hAnsi="Garamond" w:cstheme="majorBidi"/>
          <w:noProof/>
          <w:color w:val="0D0D0D" w:themeColor="text1" w:themeTint="F2"/>
          <w:lang w:eastAsia="sq-AL"/>
        </w:rPr>
        <w:drawing>
          <wp:anchor distT="0" distB="0" distL="114300" distR="114300" simplePos="0" relativeHeight="251658272" behindDoc="0" locked="0" layoutInCell="1" allowOverlap="1" wp14:anchorId="5A334565" wp14:editId="6E8524B6">
            <wp:simplePos x="0" y="0"/>
            <wp:positionH relativeFrom="column">
              <wp:posOffset>-125730</wp:posOffset>
            </wp:positionH>
            <wp:positionV relativeFrom="paragraph">
              <wp:posOffset>204470</wp:posOffset>
            </wp:positionV>
            <wp:extent cx="5943600" cy="2485823"/>
            <wp:effectExtent l="0" t="0" r="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43600" cy="2485823"/>
                    </a:xfrm>
                    <a:prstGeom prst="rect">
                      <a:avLst/>
                    </a:prstGeom>
                    <a:noFill/>
                    <a:ln>
                      <a:noFill/>
                    </a:ln>
                  </pic:spPr>
                </pic:pic>
              </a:graphicData>
            </a:graphic>
            <wp14:sizeRelH relativeFrom="page">
              <wp14:pctWidth>0</wp14:pctWidth>
            </wp14:sizeRelH>
            <wp14:sizeRelV relativeFrom="page">
              <wp14:pctHeight>0</wp14:pctHeight>
            </wp14:sizeRelV>
          </wp:anchor>
        </w:drawing>
      </w:r>
      <w:r w:rsidR="00F468C9" w:rsidRPr="00770F9D">
        <w:rPr>
          <w:rFonts w:ascii="Garamond" w:eastAsia="Times New Roman" w:hAnsi="Garamond" w:cstheme="majorBidi"/>
          <w:b/>
          <w:bCs/>
          <w:color w:val="0D0D0D" w:themeColor="text1" w:themeTint="F2"/>
          <w:sz w:val="20"/>
          <w:szCs w:val="20"/>
          <w:lang w:eastAsia="en-GB"/>
        </w:rPr>
        <w:t>Tabela 4.6.2:</w:t>
      </w:r>
      <w:r w:rsidR="00F468C9" w:rsidRPr="00770F9D">
        <w:rPr>
          <w:rFonts w:ascii="Garamond" w:eastAsia="Times New Roman" w:hAnsi="Garamond" w:cstheme="majorBidi"/>
          <w:color w:val="0D0D0D" w:themeColor="text1" w:themeTint="F2"/>
          <w:sz w:val="20"/>
          <w:szCs w:val="20"/>
          <w:lang w:eastAsia="en-GB"/>
        </w:rPr>
        <w:t xml:space="preserve"> Huamarrja e brendshme (</w:t>
      </w:r>
      <w:r w:rsidRPr="00770F9D">
        <w:rPr>
          <w:rFonts w:ascii="Garamond" w:eastAsia="Times New Roman" w:hAnsi="Garamond" w:cstheme="majorBidi"/>
          <w:color w:val="0D0D0D" w:themeColor="text1" w:themeTint="F2"/>
          <w:sz w:val="20"/>
          <w:szCs w:val="20"/>
          <w:lang w:eastAsia="en-GB"/>
        </w:rPr>
        <w:t>janar</w:t>
      </w:r>
      <w:r w:rsidRPr="00770F9D">
        <w:rPr>
          <w:rFonts w:ascii="Garamond" w:hAnsi="Garamond" w:cstheme="majorBidi"/>
          <w:color w:val="0D0D0D" w:themeColor="text1" w:themeTint="F2"/>
          <w:sz w:val="20"/>
          <w:szCs w:val="20"/>
        </w:rPr>
        <w:t>–</w:t>
      </w:r>
      <w:r w:rsidRPr="00770F9D">
        <w:rPr>
          <w:rFonts w:ascii="Garamond" w:eastAsia="Times New Roman" w:hAnsi="Garamond" w:cstheme="majorBidi"/>
          <w:color w:val="0D0D0D" w:themeColor="text1" w:themeTint="F2"/>
          <w:sz w:val="20"/>
          <w:szCs w:val="20"/>
          <w:lang w:eastAsia="en-GB"/>
        </w:rPr>
        <w:t xml:space="preserve">shtator </w:t>
      </w:r>
      <w:r w:rsidR="00F468C9" w:rsidRPr="00770F9D">
        <w:rPr>
          <w:rFonts w:ascii="Garamond" w:eastAsia="Times New Roman" w:hAnsi="Garamond" w:cstheme="majorBidi"/>
          <w:color w:val="0D0D0D" w:themeColor="text1" w:themeTint="F2"/>
          <w:sz w:val="20"/>
          <w:szCs w:val="20"/>
          <w:lang w:eastAsia="en-GB"/>
        </w:rPr>
        <w:t>2022)</w:t>
      </w:r>
    </w:p>
    <w:p w14:paraId="2E6ED817" w14:textId="77777777" w:rsidR="00F468C9" w:rsidRPr="00770F9D" w:rsidRDefault="00F468C9" w:rsidP="001D288F">
      <w:pPr>
        <w:ind w:firstLine="284"/>
        <w:jc w:val="center"/>
        <w:rPr>
          <w:rFonts w:ascii="Garamond" w:hAnsi="Garamond" w:cstheme="majorBidi"/>
          <w:iCs/>
          <w:color w:val="0D0D0D" w:themeColor="text1" w:themeTint="F2"/>
          <w:sz w:val="20"/>
          <w:szCs w:val="20"/>
        </w:rPr>
      </w:pPr>
      <w:r w:rsidRPr="00770F9D">
        <w:rPr>
          <w:rFonts w:ascii="Garamond" w:hAnsi="Garamond" w:cstheme="majorBidi"/>
          <w:iCs/>
          <w:color w:val="0D0D0D" w:themeColor="text1" w:themeTint="F2"/>
          <w:sz w:val="20"/>
          <w:szCs w:val="20"/>
        </w:rPr>
        <w:t>Burimi: Ministria e Financave dhe Ekonomisë, 2022</w:t>
      </w:r>
    </w:p>
    <w:p w14:paraId="6D64A566" w14:textId="77777777" w:rsidR="00A84445" w:rsidRPr="00770F9D" w:rsidRDefault="00A84445" w:rsidP="005674F2">
      <w:pPr>
        <w:ind w:firstLine="284"/>
        <w:jc w:val="both"/>
        <w:rPr>
          <w:rFonts w:ascii="Garamond" w:hAnsi="Garamond" w:cstheme="majorBidi"/>
          <w:color w:val="0D0D0D" w:themeColor="text1" w:themeTint="F2"/>
        </w:rPr>
      </w:pPr>
    </w:p>
    <w:p w14:paraId="492A18FD" w14:textId="05B800E6" w:rsidR="00F468C9" w:rsidRPr="00770F9D" w:rsidRDefault="00F468C9"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Për sa i përket huamarrjes së huaj, gjatë këtij nëntëmujori, huamarrja e huaj bruto shënoi vlerën 24.1 miliardë lekë, nga të cilat 7.3 miliardë lekë i korrespondojnë financimit të projekteve dhe 16.8 miliardë lekë i korrespondojnë kredive për mbështetje buxhetore. Këtë vit niveli i mbështetjes buxhetore është planifikuar të jetë më i ulët se viti i kaluar dhe gjithashtu vlera e kredive të l</w:t>
      </w:r>
      <w:r w:rsidR="006073C1" w:rsidRPr="00770F9D">
        <w:rPr>
          <w:rFonts w:ascii="Garamond" w:hAnsi="Garamond" w:cstheme="majorBidi"/>
          <w:color w:val="0D0D0D" w:themeColor="text1" w:themeTint="F2"/>
        </w:rPr>
        <w:t>i</w:t>
      </w:r>
      <w:r w:rsidRPr="00770F9D">
        <w:rPr>
          <w:rFonts w:ascii="Garamond" w:hAnsi="Garamond" w:cstheme="majorBidi"/>
          <w:color w:val="0D0D0D" w:themeColor="text1" w:themeTint="F2"/>
        </w:rPr>
        <w:t>vruara për financimin e projekteve është më e ulët se në të njëjtën periudhë të vitit 2021. Mbi 60% e financimit të huaj bruto vjen nga huat në formën e mbështetjes buxhetore dhe pjesa tjetër për projekte, kryesisht për projekte të transportit, duke vijuar me sektori i shërbimeve shëndetësore dhe i furnizimit me ujë.</w:t>
      </w:r>
    </w:p>
    <w:p w14:paraId="6F0D8124" w14:textId="5D9EFF12" w:rsidR="00F468C9" w:rsidRPr="00770F9D" w:rsidRDefault="00F468C9" w:rsidP="005674F2">
      <w:pPr>
        <w:ind w:firstLine="284"/>
        <w:jc w:val="both"/>
        <w:rPr>
          <w:rFonts w:ascii="Garamond" w:hAnsi="Garamond" w:cstheme="majorBidi"/>
          <w:color w:val="0D0D0D" w:themeColor="text1" w:themeTint="F2"/>
        </w:rPr>
      </w:pPr>
    </w:p>
    <w:p w14:paraId="74203D1C" w14:textId="13D855C8" w:rsidR="00F468C9" w:rsidRPr="00770F9D" w:rsidRDefault="006073C1" w:rsidP="006073C1">
      <w:pPr>
        <w:ind w:firstLine="284"/>
        <w:jc w:val="center"/>
        <w:rPr>
          <w:rFonts w:ascii="Garamond" w:eastAsia="Times New Roman" w:hAnsi="Garamond" w:cstheme="majorBidi"/>
          <w:color w:val="0D0D0D" w:themeColor="text1" w:themeTint="F2"/>
          <w:sz w:val="20"/>
          <w:szCs w:val="20"/>
          <w:lang w:eastAsia="en-GB"/>
        </w:rPr>
      </w:pPr>
      <w:r w:rsidRPr="00770F9D">
        <w:rPr>
          <w:rFonts w:ascii="Garamond" w:hAnsi="Garamond" w:cstheme="majorBidi"/>
          <w:noProof/>
          <w:color w:val="0D0D0D" w:themeColor="text1" w:themeTint="F2"/>
          <w:lang w:eastAsia="sq-AL"/>
        </w:rPr>
        <w:drawing>
          <wp:anchor distT="0" distB="0" distL="114300" distR="114300" simplePos="0" relativeHeight="251658273" behindDoc="0" locked="0" layoutInCell="1" allowOverlap="1" wp14:anchorId="453EB10D" wp14:editId="30843E9A">
            <wp:simplePos x="0" y="0"/>
            <wp:positionH relativeFrom="column">
              <wp:posOffset>-125730</wp:posOffset>
            </wp:positionH>
            <wp:positionV relativeFrom="paragraph">
              <wp:posOffset>203835</wp:posOffset>
            </wp:positionV>
            <wp:extent cx="6056783" cy="1377950"/>
            <wp:effectExtent l="0" t="0" r="127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056783" cy="1377950"/>
                    </a:xfrm>
                    <a:prstGeom prst="rect">
                      <a:avLst/>
                    </a:prstGeom>
                    <a:noFill/>
                    <a:ln>
                      <a:noFill/>
                    </a:ln>
                  </pic:spPr>
                </pic:pic>
              </a:graphicData>
            </a:graphic>
            <wp14:sizeRelH relativeFrom="page">
              <wp14:pctWidth>0</wp14:pctWidth>
            </wp14:sizeRelH>
            <wp14:sizeRelV relativeFrom="page">
              <wp14:pctHeight>0</wp14:pctHeight>
            </wp14:sizeRelV>
          </wp:anchor>
        </w:drawing>
      </w:r>
      <w:r w:rsidR="00F468C9" w:rsidRPr="00770F9D">
        <w:rPr>
          <w:rFonts w:ascii="Garamond" w:eastAsia="Times New Roman" w:hAnsi="Garamond" w:cstheme="majorBidi"/>
          <w:b/>
          <w:bCs/>
          <w:color w:val="0D0D0D" w:themeColor="text1" w:themeTint="F2"/>
          <w:sz w:val="20"/>
          <w:szCs w:val="20"/>
          <w:lang w:eastAsia="en-GB"/>
        </w:rPr>
        <w:t>Tabela 4.6.3:</w:t>
      </w:r>
      <w:r w:rsidR="00F468C9" w:rsidRPr="00770F9D">
        <w:rPr>
          <w:rFonts w:ascii="Garamond" w:eastAsia="Times New Roman" w:hAnsi="Garamond" w:cstheme="majorBidi"/>
          <w:color w:val="0D0D0D" w:themeColor="text1" w:themeTint="F2"/>
          <w:sz w:val="20"/>
          <w:szCs w:val="20"/>
          <w:lang w:eastAsia="en-GB"/>
        </w:rPr>
        <w:t xml:space="preserve"> Huamarrja e jashtme</w:t>
      </w:r>
    </w:p>
    <w:p w14:paraId="76DAF4C3" w14:textId="77777777" w:rsidR="00F468C9" w:rsidRPr="00770F9D" w:rsidRDefault="00F468C9" w:rsidP="006073C1">
      <w:pPr>
        <w:ind w:firstLine="284"/>
        <w:jc w:val="center"/>
        <w:rPr>
          <w:rFonts w:ascii="Garamond" w:hAnsi="Garamond" w:cstheme="majorBidi"/>
          <w:iCs/>
          <w:color w:val="0D0D0D" w:themeColor="text1" w:themeTint="F2"/>
          <w:sz w:val="20"/>
          <w:szCs w:val="20"/>
        </w:rPr>
      </w:pPr>
      <w:r w:rsidRPr="00770F9D">
        <w:rPr>
          <w:rFonts w:ascii="Garamond" w:hAnsi="Garamond" w:cstheme="majorBidi"/>
          <w:iCs/>
          <w:color w:val="0D0D0D" w:themeColor="text1" w:themeTint="F2"/>
          <w:sz w:val="20"/>
          <w:szCs w:val="20"/>
        </w:rPr>
        <w:t>Burimi: Ministria e Financave dhe Ekonomisë, 2022</w:t>
      </w:r>
    </w:p>
    <w:p w14:paraId="48ECDCAB" w14:textId="77777777" w:rsidR="00F468C9" w:rsidRPr="00770F9D" w:rsidRDefault="00F468C9" w:rsidP="005674F2">
      <w:pPr>
        <w:ind w:firstLine="284"/>
        <w:jc w:val="both"/>
        <w:rPr>
          <w:rFonts w:ascii="Garamond" w:hAnsi="Garamond" w:cstheme="majorBidi"/>
          <w:b/>
          <w:color w:val="0D0D0D" w:themeColor="text1" w:themeTint="F2"/>
        </w:rPr>
      </w:pPr>
    </w:p>
    <w:p w14:paraId="41DA6177" w14:textId="78E512C1" w:rsidR="00F468C9" w:rsidRPr="00770F9D" w:rsidRDefault="00F468C9" w:rsidP="005674F2">
      <w:pPr>
        <w:ind w:firstLine="284"/>
        <w:jc w:val="both"/>
        <w:rPr>
          <w:rFonts w:ascii="Garamond" w:hAnsi="Garamond" w:cstheme="majorBidi"/>
          <w:i/>
          <w:color w:val="0D0D0D" w:themeColor="text1" w:themeTint="F2"/>
        </w:rPr>
      </w:pPr>
      <w:r w:rsidRPr="00770F9D">
        <w:rPr>
          <w:rFonts w:ascii="Garamond" w:hAnsi="Garamond" w:cstheme="majorBidi"/>
          <w:i/>
          <w:color w:val="0D0D0D" w:themeColor="text1" w:themeTint="F2"/>
        </w:rPr>
        <w:t xml:space="preserve">Kosto dhe </w:t>
      </w:r>
      <w:r w:rsidR="006073C1" w:rsidRPr="00770F9D">
        <w:rPr>
          <w:rFonts w:ascii="Garamond" w:hAnsi="Garamond" w:cstheme="majorBidi"/>
          <w:i/>
          <w:color w:val="0D0D0D" w:themeColor="text1" w:themeTint="F2"/>
        </w:rPr>
        <w:t>risqet</w:t>
      </w:r>
    </w:p>
    <w:p w14:paraId="71D9E7CC" w14:textId="1C599361" w:rsidR="00F468C9" w:rsidRPr="00770F9D" w:rsidRDefault="00F468C9" w:rsidP="005674F2">
      <w:pPr>
        <w:ind w:firstLine="284"/>
        <w:jc w:val="both"/>
        <w:rPr>
          <w:rFonts w:ascii="Garamond" w:eastAsia="Times New Roman" w:hAnsi="Garamond" w:cstheme="majorBidi"/>
          <w:color w:val="0D0D0D" w:themeColor="text1" w:themeTint="F2"/>
          <w:lang w:eastAsia="en-GB"/>
        </w:rPr>
      </w:pPr>
      <w:r w:rsidRPr="00770F9D">
        <w:rPr>
          <w:rFonts w:ascii="Garamond" w:eastAsia="Times New Roman" w:hAnsi="Garamond" w:cstheme="majorBidi"/>
          <w:color w:val="0D0D0D" w:themeColor="text1" w:themeTint="F2"/>
          <w:lang w:eastAsia="en-GB"/>
        </w:rPr>
        <w:t xml:space="preserve">Kostoja e portofolit të borxhit dhe ekspozimi i portofolit ndaj risqeve është menaxhuar në përputhje me objektivat strategjikë afatmesëm. Në këtë drejtim, raportet e riskut në portofolin e borxhit të brendshëm kanë mundur të menaxhohen në nivele të qëndrueshme dhe kostoja ka mundësuar të reduktohet nga viti në vit deri në vitin 2022. Treguesit e riskut të rifinancimit dhe riskut të normave të të interesit (të targetuar në SAMB) të portofolit të borxhit të brendshëm janë përmirësuar (siç tregohet në tabelën e mëposhtme). Për sa i përket riskut të kursit të këmbimit, ai përgjithësisht është mbajtur nën kontroll duke qëndruar nën kufirin strategjik të përcaktuar në strategji. Megjithatë, treguesi për një risk të tillë ka pësuar një </w:t>
      </w:r>
      <w:r w:rsidR="009C41E3" w:rsidRPr="00770F9D">
        <w:rPr>
          <w:rFonts w:ascii="Garamond" w:eastAsia="Times New Roman" w:hAnsi="Garamond" w:cstheme="majorBidi"/>
          <w:color w:val="0D0D0D" w:themeColor="text1" w:themeTint="F2"/>
          <w:lang w:eastAsia="en-GB"/>
        </w:rPr>
        <w:t>r</w:t>
      </w:r>
      <w:r w:rsidRPr="00770F9D">
        <w:rPr>
          <w:rFonts w:ascii="Garamond" w:eastAsia="Times New Roman" w:hAnsi="Garamond" w:cstheme="majorBidi"/>
          <w:color w:val="0D0D0D" w:themeColor="text1" w:themeTint="F2"/>
          <w:lang w:eastAsia="en-GB"/>
        </w:rPr>
        <w:t>ritje</w:t>
      </w:r>
      <w:r w:rsidR="009C41E3" w:rsidRPr="00770F9D">
        <w:rPr>
          <w:rFonts w:ascii="Garamond" w:eastAsia="Times New Roman" w:hAnsi="Garamond" w:cstheme="majorBidi"/>
          <w:color w:val="0D0D0D" w:themeColor="text1" w:themeTint="F2"/>
          <w:lang w:eastAsia="en-GB"/>
        </w:rPr>
        <w:t>,</w:t>
      </w:r>
      <w:r w:rsidRPr="00770F9D">
        <w:rPr>
          <w:rFonts w:ascii="Garamond" w:eastAsia="Times New Roman" w:hAnsi="Garamond" w:cstheme="majorBidi"/>
          <w:color w:val="0D0D0D" w:themeColor="text1" w:themeTint="F2"/>
          <w:lang w:eastAsia="en-GB"/>
        </w:rPr>
        <w:t xml:space="preserve"> pasi pesha e borxhit në valutë është rritur gjatë dy </w:t>
      </w:r>
      <w:r w:rsidR="009C41E3" w:rsidRPr="00770F9D">
        <w:rPr>
          <w:rFonts w:ascii="Garamond" w:eastAsia="Times New Roman" w:hAnsi="Garamond" w:cstheme="majorBidi"/>
          <w:color w:val="0D0D0D" w:themeColor="text1" w:themeTint="F2"/>
          <w:lang w:eastAsia="en-GB"/>
        </w:rPr>
        <w:t>vjetëve</w:t>
      </w:r>
      <w:r w:rsidRPr="00770F9D">
        <w:rPr>
          <w:rFonts w:ascii="Garamond" w:eastAsia="Times New Roman" w:hAnsi="Garamond" w:cstheme="majorBidi"/>
          <w:color w:val="0D0D0D" w:themeColor="text1" w:themeTint="F2"/>
          <w:lang w:eastAsia="en-GB"/>
        </w:rPr>
        <w:t xml:space="preserve"> të fundit</w:t>
      </w:r>
      <w:r w:rsidR="009A6953" w:rsidRPr="00770F9D">
        <w:rPr>
          <w:rFonts w:ascii="Garamond" w:eastAsia="Times New Roman" w:hAnsi="Garamond" w:cstheme="majorBidi"/>
          <w:color w:val="0D0D0D" w:themeColor="text1" w:themeTint="F2"/>
          <w:lang w:eastAsia="en-GB"/>
        </w:rPr>
        <w:t>,</w:t>
      </w:r>
      <w:r w:rsidRPr="00770F9D">
        <w:rPr>
          <w:rFonts w:ascii="Garamond" w:eastAsia="Times New Roman" w:hAnsi="Garamond" w:cstheme="majorBidi"/>
          <w:color w:val="0D0D0D" w:themeColor="text1" w:themeTint="F2"/>
          <w:lang w:eastAsia="en-GB"/>
        </w:rPr>
        <w:t xml:space="preserve"> për shkak të nivelit të lartë të huamarrjes në tregun e jashtëm, duke përfshirë huamarrjen për mbështetje buxhetore.</w:t>
      </w:r>
    </w:p>
    <w:p w14:paraId="4F9E6795" w14:textId="77777777" w:rsidR="00F468C9" w:rsidRPr="00770F9D" w:rsidRDefault="00F468C9" w:rsidP="005674F2">
      <w:pPr>
        <w:ind w:firstLine="284"/>
        <w:jc w:val="both"/>
        <w:rPr>
          <w:rFonts w:ascii="Garamond" w:eastAsia="Times New Roman" w:hAnsi="Garamond" w:cstheme="majorBidi"/>
          <w:color w:val="0D0D0D" w:themeColor="text1" w:themeTint="F2"/>
          <w:lang w:eastAsia="en-GB"/>
        </w:rPr>
      </w:pPr>
    </w:p>
    <w:p w14:paraId="2A34003D" w14:textId="77777777" w:rsidR="009A6953" w:rsidRPr="00770F9D" w:rsidRDefault="009A6953" w:rsidP="009A69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center"/>
        <w:rPr>
          <w:rFonts w:ascii="Garamond" w:eastAsia="Times New Roman" w:hAnsi="Garamond" w:cstheme="majorBidi"/>
          <w:b/>
          <w:bCs/>
          <w:i/>
          <w:iCs/>
          <w:color w:val="0D0D0D" w:themeColor="text1" w:themeTint="F2"/>
          <w:sz w:val="20"/>
          <w:szCs w:val="20"/>
          <w:lang w:eastAsia="en-GB"/>
        </w:rPr>
      </w:pPr>
    </w:p>
    <w:p w14:paraId="7C4C36B8" w14:textId="5666360A" w:rsidR="00F468C9" w:rsidRPr="00770F9D" w:rsidRDefault="00F468C9" w:rsidP="009A69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center"/>
        <w:rPr>
          <w:rFonts w:ascii="Garamond" w:eastAsia="Times New Roman" w:hAnsi="Garamond" w:cstheme="majorBidi"/>
          <w:i/>
          <w:iCs/>
          <w:color w:val="0D0D0D" w:themeColor="text1" w:themeTint="F2"/>
          <w:sz w:val="20"/>
          <w:szCs w:val="20"/>
          <w:lang w:eastAsia="en-GB"/>
        </w:rPr>
      </w:pPr>
      <w:r w:rsidRPr="00770F9D">
        <w:rPr>
          <w:rFonts w:ascii="Garamond" w:eastAsia="Times New Roman" w:hAnsi="Garamond" w:cstheme="majorBidi"/>
          <w:b/>
          <w:bCs/>
          <w:i/>
          <w:iCs/>
          <w:color w:val="0D0D0D" w:themeColor="text1" w:themeTint="F2"/>
          <w:sz w:val="20"/>
          <w:szCs w:val="20"/>
          <w:lang w:eastAsia="en-GB"/>
        </w:rPr>
        <w:t>Tabela 4.6.4:</w:t>
      </w:r>
      <w:r w:rsidRPr="00770F9D">
        <w:rPr>
          <w:rFonts w:ascii="Garamond" w:eastAsia="Times New Roman" w:hAnsi="Garamond" w:cstheme="majorBidi"/>
          <w:i/>
          <w:iCs/>
          <w:color w:val="0D0D0D" w:themeColor="text1" w:themeTint="F2"/>
          <w:sz w:val="20"/>
          <w:szCs w:val="20"/>
          <w:lang w:eastAsia="en-GB"/>
        </w:rPr>
        <w:t xml:space="preserve"> Treguesit e riskut</w:t>
      </w:r>
    </w:p>
    <w:p w14:paraId="2615B6BB" w14:textId="27F9FF80" w:rsidR="00F468C9" w:rsidRPr="000375E8" w:rsidRDefault="00F468C9" w:rsidP="009A6953">
      <w:pPr>
        <w:ind w:firstLine="284"/>
        <w:jc w:val="center"/>
        <w:rPr>
          <w:rFonts w:ascii="Garamond" w:hAnsi="Garamond" w:cstheme="majorBidi"/>
          <w:iCs/>
          <w:color w:val="0D0D0D" w:themeColor="text1" w:themeTint="F2"/>
          <w:sz w:val="20"/>
          <w:szCs w:val="20"/>
        </w:rPr>
      </w:pPr>
      <w:r w:rsidRPr="000375E8">
        <w:rPr>
          <w:rFonts w:ascii="Garamond" w:hAnsi="Garamond" w:cstheme="majorBidi"/>
          <w:iCs/>
          <w:noProof/>
          <w:color w:val="0D0D0D" w:themeColor="text1" w:themeTint="F2"/>
          <w:sz w:val="20"/>
          <w:szCs w:val="20"/>
          <w:lang w:eastAsia="sq-AL"/>
        </w:rPr>
        <w:drawing>
          <wp:anchor distT="0" distB="0" distL="114300" distR="114300" simplePos="0" relativeHeight="251658274" behindDoc="0" locked="0" layoutInCell="1" allowOverlap="1" wp14:anchorId="550A1981" wp14:editId="2E82438D">
            <wp:simplePos x="0" y="0"/>
            <wp:positionH relativeFrom="column">
              <wp:posOffset>-132080</wp:posOffset>
            </wp:positionH>
            <wp:positionV relativeFrom="paragraph">
              <wp:posOffset>0</wp:posOffset>
            </wp:positionV>
            <wp:extent cx="6115050" cy="1549304"/>
            <wp:effectExtent l="0" t="0" r="0"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15050" cy="1549304"/>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5E8">
        <w:rPr>
          <w:rFonts w:ascii="Garamond" w:hAnsi="Garamond" w:cstheme="majorBidi"/>
          <w:iCs/>
          <w:color w:val="0D0D0D" w:themeColor="text1" w:themeTint="F2"/>
          <w:sz w:val="20"/>
          <w:szCs w:val="20"/>
        </w:rPr>
        <w:t>Burimi: Ministria e Financave dhe Ekonomisë, 2022</w:t>
      </w:r>
    </w:p>
    <w:p w14:paraId="2A0FDC22" w14:textId="77777777" w:rsidR="00F468C9" w:rsidRPr="00770F9D" w:rsidRDefault="00F468C9" w:rsidP="005674F2">
      <w:pPr>
        <w:ind w:firstLine="284"/>
        <w:jc w:val="both"/>
        <w:rPr>
          <w:rFonts w:ascii="Garamond" w:hAnsi="Garamond" w:cstheme="majorBidi"/>
          <w:color w:val="0D0D0D" w:themeColor="text1" w:themeTint="F2"/>
        </w:rPr>
      </w:pPr>
    </w:p>
    <w:p w14:paraId="3D7CC0AB" w14:textId="0D05901F" w:rsidR="00F468C9" w:rsidRPr="00770F9D" w:rsidRDefault="00F468C9" w:rsidP="00996F2C">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Pavarësisht zhvillimeve pozitive në treguesit e riskut, duke pasur parasysh mjedisin e ri të normave të rritura të interesit në vitin 2022, të ndikuar nga </w:t>
      </w:r>
      <w:r w:rsidR="00BF31D5" w:rsidRPr="00770F9D">
        <w:rPr>
          <w:rFonts w:ascii="Garamond" w:hAnsi="Garamond" w:cstheme="majorBidi"/>
          <w:color w:val="0D0D0D" w:themeColor="text1" w:themeTint="F2"/>
        </w:rPr>
        <w:t xml:space="preserve">lufta </w:t>
      </w:r>
      <w:r w:rsidRPr="00770F9D">
        <w:rPr>
          <w:rFonts w:ascii="Garamond" w:hAnsi="Garamond" w:cstheme="majorBidi"/>
          <w:color w:val="0D0D0D" w:themeColor="text1" w:themeTint="F2"/>
        </w:rPr>
        <w:t>Rusi-Ukrainë, hezitimi i investitorëve për të investuar në obligacionet e qeverisë dhe bazën e investitorëve që nuk është shumë e diversifikuar, borxhi i brendshëm mbetet i ekspozuar ndaj riskut të normës së interesit dhe riskut të rifinancimit. Në këtë drejtim, në periudhën afatmesme dhe afatgjatë, menaxhimi i borxhit do të vazhdojë të ndërmarrë aktivitete</w:t>
      </w:r>
      <w:r w:rsidR="00BF31D5"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që synojnë zbutjen e mëtejshme të këtyre risqeve. Me synimin për stabilitet të mëtejshëm të portofolit të borxhit, strategjia e re e afatmesme e menaxhimit të borxhit, e përditësuar në vitin 2022, ka përcaktuar disa objektiva më ambicioz</w:t>
      </w:r>
      <w:r w:rsidR="00996F2C">
        <w:rPr>
          <w:rFonts w:ascii="Garamond" w:hAnsi="Garamond" w:cstheme="majorBidi"/>
          <w:color w:val="0D0D0D" w:themeColor="text1" w:themeTint="F2"/>
        </w:rPr>
        <w:t>ë</w:t>
      </w:r>
      <w:r w:rsidRPr="00770F9D">
        <w:rPr>
          <w:rFonts w:ascii="Garamond" w:hAnsi="Garamond" w:cstheme="majorBidi"/>
          <w:color w:val="0D0D0D" w:themeColor="text1" w:themeTint="F2"/>
        </w:rPr>
        <w:t xml:space="preserve"> krahasuar me strategjinë paraardhëse </w:t>
      </w:r>
      <w:r w:rsidR="002354C4" w:rsidRPr="00770F9D">
        <w:rPr>
          <w:rFonts w:ascii="Garamond" w:hAnsi="Garamond" w:cstheme="majorBidi"/>
          <w:color w:val="0D0D0D" w:themeColor="text1" w:themeTint="F2"/>
        </w:rPr>
        <w:t>për sa</w:t>
      </w:r>
      <w:r w:rsidRPr="00770F9D">
        <w:rPr>
          <w:rFonts w:ascii="Garamond" w:hAnsi="Garamond" w:cstheme="majorBidi"/>
          <w:color w:val="0D0D0D" w:themeColor="text1" w:themeTint="F2"/>
        </w:rPr>
        <w:t xml:space="preserve"> i përket riskut të normës së interesit, riskut të rifinancimit dhe riskut të kursit të këmbimit, të cilat jepen në tabelën e mësipërme.</w:t>
      </w:r>
    </w:p>
    <w:p w14:paraId="5019356D" w14:textId="0306A19D" w:rsidR="00F468C9" w:rsidRPr="00770F9D" w:rsidRDefault="00F468C9"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Risku i rifinancimit të borxhit të jashtëm është i lartë në disa vite specifike, siç është viti 2025, kur kemi shlyerje të mëdha, si Eurobondi dhe një kredi të marrë nëpërmjet kreditorit privat dhe të mbështetur përmes një </w:t>
      </w:r>
      <w:r w:rsidR="00BF31D5" w:rsidRPr="00770F9D">
        <w:rPr>
          <w:rFonts w:ascii="Garamond" w:hAnsi="Garamond" w:cstheme="majorBidi"/>
          <w:color w:val="0D0D0D" w:themeColor="text1" w:themeTint="F2"/>
        </w:rPr>
        <w:t xml:space="preserve">garancie </w:t>
      </w:r>
      <w:r w:rsidRPr="00770F9D">
        <w:rPr>
          <w:rFonts w:ascii="Garamond" w:hAnsi="Garamond" w:cstheme="majorBidi"/>
          <w:color w:val="0D0D0D" w:themeColor="text1" w:themeTint="F2"/>
        </w:rPr>
        <w:t xml:space="preserve">(PBG) të Bankës Botërore. Si masë zbutëse e këtij risku të rifinancimit, po shqyrtohet paraprakisht opsioni i një transaksioni të menaxhimit të detyrimeve </w:t>
      </w:r>
      <w:r w:rsidRPr="00770F9D">
        <w:rPr>
          <w:rFonts w:ascii="Garamond" w:hAnsi="Garamond" w:cstheme="majorBidi"/>
          <w:i/>
          <w:iCs/>
          <w:color w:val="0D0D0D" w:themeColor="text1" w:themeTint="F2"/>
        </w:rPr>
        <w:t>(Liability Management)</w:t>
      </w:r>
      <w:r w:rsidR="00BF31D5" w:rsidRPr="00770F9D">
        <w:rPr>
          <w:rFonts w:ascii="Garamond" w:hAnsi="Garamond" w:cstheme="majorBidi"/>
          <w:i/>
          <w:iCs/>
          <w:color w:val="0D0D0D" w:themeColor="text1" w:themeTint="F2"/>
        </w:rPr>
        <w:t>,</w:t>
      </w:r>
      <w:r w:rsidRPr="00770F9D">
        <w:rPr>
          <w:rFonts w:ascii="Garamond" w:hAnsi="Garamond" w:cstheme="majorBidi"/>
          <w:color w:val="0D0D0D" w:themeColor="text1" w:themeTint="F2"/>
        </w:rPr>
        <w:t xml:space="preserve"> që me shumë mundësi mund të zbatohet së bashku me një emetim të ri, gjatë vitit 2023 ose 2024, kur kushtet financiare të tregjeve të jenë të favorshme për ta realizuar këtë transaksion. E njëjta gjë mund të konsiderohet të zbatohet</w:t>
      </w:r>
      <w:r w:rsidR="00BF31D5"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në lidhje me maturime të tjera të larta si në vitet 2027 e më tej.</w:t>
      </w:r>
    </w:p>
    <w:p w14:paraId="53C2D430" w14:textId="3072B557" w:rsidR="00F468C9" w:rsidRDefault="00F468C9"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Për shërbimin e borxhit, gjatë nëntëmujorit të vitit 2022, shpenzimet e interesit arrijnë në 30.0 miliardë lekë. Krahasuar me të njëjtën periudhë të vitit 2021, në përputhje me planin buxhetor 2022, shpenzimet e interesit për borxhin e qeverisë janë rritur me 1.6 miliardë lekë, si rezultat i rritjes së stokut të borxhit në terma nominalë</w:t>
      </w:r>
      <w:r w:rsidR="00BF31D5"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dhe efektit të rritjes së normave të interesit të instrumenteve qeveritare, ku ndikimi më i dukshëm i rritjes së normës së interesit pritet të jetë në vitet e mëtejshme duke nisur nga 2023.</w:t>
      </w:r>
    </w:p>
    <w:p w14:paraId="722FFC20" w14:textId="77777777" w:rsidR="000375E8" w:rsidRPr="00770F9D" w:rsidRDefault="000375E8" w:rsidP="005674F2">
      <w:pPr>
        <w:ind w:firstLine="284"/>
        <w:jc w:val="both"/>
        <w:rPr>
          <w:rFonts w:ascii="Garamond" w:hAnsi="Garamond" w:cstheme="majorBidi"/>
          <w:color w:val="0D0D0D" w:themeColor="text1" w:themeTint="F2"/>
        </w:rPr>
      </w:pPr>
    </w:p>
    <w:p w14:paraId="3263DE1F" w14:textId="719C0EF0" w:rsidR="00F468C9" w:rsidRPr="00770F9D" w:rsidRDefault="00BF31D5" w:rsidP="00BF31D5">
      <w:pPr>
        <w:ind w:firstLine="284"/>
        <w:jc w:val="center"/>
        <w:rPr>
          <w:rFonts w:ascii="Garamond" w:hAnsi="Garamond" w:cstheme="majorBidi"/>
          <w:color w:val="0D0D0D" w:themeColor="text1" w:themeTint="F2"/>
          <w:sz w:val="20"/>
          <w:szCs w:val="20"/>
        </w:rPr>
      </w:pPr>
      <w:r w:rsidRPr="00770F9D">
        <w:rPr>
          <w:rFonts w:ascii="Garamond" w:hAnsi="Garamond" w:cstheme="majorBidi"/>
          <w:noProof/>
          <w:color w:val="0D0D0D" w:themeColor="text1" w:themeTint="F2"/>
          <w:lang w:eastAsia="sq-AL"/>
        </w:rPr>
        <w:drawing>
          <wp:anchor distT="0" distB="0" distL="114300" distR="114300" simplePos="0" relativeHeight="251658275" behindDoc="0" locked="0" layoutInCell="1" allowOverlap="1" wp14:anchorId="1F034B90" wp14:editId="13FA411B">
            <wp:simplePos x="0" y="0"/>
            <wp:positionH relativeFrom="column">
              <wp:posOffset>-182880</wp:posOffset>
            </wp:positionH>
            <wp:positionV relativeFrom="paragraph">
              <wp:posOffset>144780</wp:posOffset>
            </wp:positionV>
            <wp:extent cx="6048375" cy="1771650"/>
            <wp:effectExtent l="0" t="0" r="9525"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48375" cy="1771650"/>
                    </a:xfrm>
                    <a:prstGeom prst="rect">
                      <a:avLst/>
                    </a:prstGeom>
                    <a:noFill/>
                  </pic:spPr>
                </pic:pic>
              </a:graphicData>
            </a:graphic>
            <wp14:sizeRelH relativeFrom="page">
              <wp14:pctWidth>0</wp14:pctWidth>
            </wp14:sizeRelH>
            <wp14:sizeRelV relativeFrom="page">
              <wp14:pctHeight>0</wp14:pctHeight>
            </wp14:sizeRelV>
          </wp:anchor>
        </w:drawing>
      </w:r>
      <w:r w:rsidR="00F468C9" w:rsidRPr="00770F9D">
        <w:rPr>
          <w:rFonts w:ascii="Garamond" w:hAnsi="Garamond" w:cstheme="majorBidi"/>
          <w:b/>
          <w:bCs/>
          <w:color w:val="0D0D0D" w:themeColor="text1" w:themeTint="F2"/>
          <w:sz w:val="20"/>
          <w:szCs w:val="20"/>
        </w:rPr>
        <w:t>Grafiku 4.6.4:</w:t>
      </w:r>
      <w:r w:rsidR="00F468C9" w:rsidRPr="00770F9D">
        <w:rPr>
          <w:rFonts w:ascii="Garamond" w:hAnsi="Garamond" w:cstheme="majorBidi"/>
          <w:color w:val="0D0D0D" w:themeColor="text1" w:themeTint="F2"/>
          <w:sz w:val="20"/>
          <w:szCs w:val="20"/>
        </w:rPr>
        <w:t xml:space="preserve"> Shërbimi i borxhit </w:t>
      </w:r>
      <w:r w:rsidRPr="00770F9D">
        <w:rPr>
          <w:rFonts w:ascii="Garamond" w:hAnsi="Garamond" w:cstheme="majorBidi"/>
          <w:color w:val="0D0D0D" w:themeColor="text1" w:themeTint="F2"/>
          <w:sz w:val="20"/>
          <w:szCs w:val="20"/>
        </w:rPr>
        <w:t>shtator 2017–shtator 2022</w:t>
      </w:r>
    </w:p>
    <w:p w14:paraId="731FCFF2" w14:textId="77777777" w:rsidR="00F468C9" w:rsidRPr="00770F9D" w:rsidRDefault="00F468C9" w:rsidP="00BF31D5">
      <w:pPr>
        <w:ind w:firstLine="284"/>
        <w:jc w:val="center"/>
        <w:rPr>
          <w:rFonts w:ascii="Garamond" w:hAnsi="Garamond" w:cstheme="majorBidi"/>
          <w:iCs/>
          <w:color w:val="0D0D0D" w:themeColor="text1" w:themeTint="F2"/>
          <w:sz w:val="20"/>
          <w:szCs w:val="20"/>
        </w:rPr>
      </w:pPr>
      <w:r w:rsidRPr="00770F9D">
        <w:rPr>
          <w:rFonts w:ascii="Garamond" w:hAnsi="Garamond" w:cstheme="majorBidi"/>
          <w:iCs/>
          <w:color w:val="0D0D0D" w:themeColor="text1" w:themeTint="F2"/>
          <w:sz w:val="20"/>
          <w:szCs w:val="20"/>
        </w:rPr>
        <w:t>Burimi: Ministria e Financave dhe Ekonomisë, 2022</w:t>
      </w:r>
    </w:p>
    <w:p w14:paraId="267979F7" w14:textId="77777777" w:rsidR="00F468C9" w:rsidRPr="00770F9D" w:rsidRDefault="00F468C9" w:rsidP="005674F2">
      <w:pPr>
        <w:ind w:firstLine="284"/>
        <w:jc w:val="both"/>
        <w:rPr>
          <w:rFonts w:ascii="Garamond" w:hAnsi="Garamond" w:cstheme="majorBidi"/>
          <w:iCs/>
          <w:color w:val="0D0D0D" w:themeColor="text1" w:themeTint="F2"/>
        </w:rPr>
      </w:pPr>
    </w:p>
    <w:p w14:paraId="1D48C6BC" w14:textId="77777777" w:rsidR="00F468C9" w:rsidRPr="00770F9D" w:rsidRDefault="00F468C9" w:rsidP="005674F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Në periudhën afatmesme pritet një rritje e shpenzimeve për pagesat e interesave të borxhit në terma absolutë, si pasojë e rritjes së stokut të borxhit dhe rritjes së normave të interesit. Gjithashtu, pritet një rritje graduale e shpenzimeve për interesa në terma relativë ndaj PBB-së. Shpenzimet e interesit të vitit 2022 pritet të jenë, lehtësisht më të larta në krahasim me vitin 2021 si rezultat i rritjes së stokut të borxhit, dhe një pjesë e vogël e kësaj rritjeje i atribuohet rritjes së normave të interesit në tregun e brendshëm dhe të jashtëm, ndërkohë rritja e normave të interesit do të ndikojë ndjeshëm në nivelin e shpenzimeve për interesa duke filluar nga viti 2023 e në vazhdim.</w:t>
      </w:r>
    </w:p>
    <w:p w14:paraId="0BFCD126" w14:textId="77C1F559" w:rsidR="00F468C9" w:rsidRPr="00770F9D" w:rsidRDefault="00F468C9" w:rsidP="005674F2">
      <w:pPr>
        <w:ind w:firstLine="284"/>
        <w:jc w:val="both"/>
        <w:rPr>
          <w:rFonts w:ascii="Garamond" w:hAnsi="Garamond" w:cstheme="majorBidi"/>
          <w:color w:val="0D0D0D" w:themeColor="text1" w:themeTint="F2"/>
        </w:rPr>
      </w:pPr>
    </w:p>
    <w:p w14:paraId="7CF050C7" w14:textId="5F5F7984" w:rsidR="00F468C9" w:rsidRPr="00770F9D" w:rsidRDefault="00E828B4" w:rsidP="00E828B4">
      <w:pPr>
        <w:ind w:firstLine="284"/>
        <w:jc w:val="center"/>
        <w:rPr>
          <w:rFonts w:ascii="Garamond" w:hAnsi="Garamond" w:cstheme="majorBidi"/>
          <w:i/>
          <w:iCs/>
          <w:color w:val="0D0D0D" w:themeColor="text1" w:themeTint="F2"/>
          <w:sz w:val="20"/>
          <w:szCs w:val="20"/>
        </w:rPr>
      </w:pPr>
      <w:r w:rsidRPr="00770F9D">
        <w:rPr>
          <w:rFonts w:ascii="Garamond" w:hAnsi="Garamond" w:cstheme="majorBidi"/>
          <w:noProof/>
          <w:color w:val="0D0D0D" w:themeColor="text1" w:themeTint="F2"/>
          <w:lang w:eastAsia="sq-AL"/>
        </w:rPr>
        <w:drawing>
          <wp:anchor distT="0" distB="0" distL="114300" distR="114300" simplePos="0" relativeHeight="251658276" behindDoc="0" locked="0" layoutInCell="1" allowOverlap="1" wp14:anchorId="4BD2B166" wp14:editId="15A927BF">
            <wp:simplePos x="0" y="0"/>
            <wp:positionH relativeFrom="column">
              <wp:posOffset>-163830</wp:posOffset>
            </wp:positionH>
            <wp:positionV relativeFrom="paragraph">
              <wp:posOffset>185420</wp:posOffset>
            </wp:positionV>
            <wp:extent cx="6114453" cy="1866900"/>
            <wp:effectExtent l="0" t="0" r="635" b="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14453" cy="1866900"/>
                    </a:xfrm>
                    <a:prstGeom prst="rect">
                      <a:avLst/>
                    </a:prstGeom>
                    <a:noFill/>
                  </pic:spPr>
                </pic:pic>
              </a:graphicData>
            </a:graphic>
            <wp14:sizeRelH relativeFrom="page">
              <wp14:pctWidth>0</wp14:pctWidth>
            </wp14:sizeRelH>
            <wp14:sizeRelV relativeFrom="page">
              <wp14:pctHeight>0</wp14:pctHeight>
            </wp14:sizeRelV>
          </wp:anchor>
        </w:drawing>
      </w:r>
      <w:r w:rsidR="00F468C9" w:rsidRPr="00770F9D">
        <w:rPr>
          <w:rFonts w:ascii="Garamond" w:hAnsi="Garamond" w:cstheme="majorBidi"/>
          <w:b/>
          <w:bCs/>
          <w:i/>
          <w:iCs/>
          <w:color w:val="0D0D0D" w:themeColor="text1" w:themeTint="F2"/>
          <w:sz w:val="20"/>
          <w:szCs w:val="20"/>
        </w:rPr>
        <w:t>Grafiku 4.6.5:</w:t>
      </w:r>
      <w:r w:rsidR="00F468C9" w:rsidRPr="00770F9D">
        <w:rPr>
          <w:rFonts w:ascii="Garamond" w:hAnsi="Garamond" w:cstheme="majorBidi"/>
          <w:i/>
          <w:iCs/>
          <w:color w:val="0D0D0D" w:themeColor="text1" w:themeTint="F2"/>
          <w:sz w:val="20"/>
          <w:szCs w:val="20"/>
        </w:rPr>
        <w:t xml:space="preserve"> Shërbimi i borxhit </w:t>
      </w:r>
      <w:r w:rsidRPr="00770F9D">
        <w:rPr>
          <w:rFonts w:ascii="Garamond" w:hAnsi="Garamond" w:cstheme="majorBidi"/>
          <w:i/>
          <w:iCs/>
          <w:color w:val="0D0D0D" w:themeColor="text1" w:themeTint="F2"/>
          <w:sz w:val="20"/>
          <w:szCs w:val="20"/>
        </w:rPr>
        <w:t xml:space="preserve">shtator 201 –shtator </w:t>
      </w:r>
      <w:r w:rsidR="00F468C9" w:rsidRPr="00770F9D">
        <w:rPr>
          <w:rFonts w:ascii="Garamond" w:hAnsi="Garamond" w:cstheme="majorBidi"/>
          <w:i/>
          <w:iCs/>
          <w:color w:val="0D0D0D" w:themeColor="text1" w:themeTint="F2"/>
          <w:sz w:val="20"/>
          <w:szCs w:val="20"/>
        </w:rPr>
        <w:t>2022</w:t>
      </w:r>
    </w:p>
    <w:p w14:paraId="097C09BF" w14:textId="77777777" w:rsidR="00F468C9" w:rsidRPr="000375E8" w:rsidRDefault="00F468C9" w:rsidP="00E828B4">
      <w:pPr>
        <w:ind w:firstLine="284"/>
        <w:jc w:val="center"/>
        <w:rPr>
          <w:rFonts w:ascii="Garamond" w:hAnsi="Garamond" w:cstheme="majorBidi"/>
          <w:iCs/>
          <w:color w:val="0D0D0D" w:themeColor="text1" w:themeTint="F2"/>
          <w:sz w:val="20"/>
          <w:szCs w:val="20"/>
        </w:rPr>
      </w:pPr>
      <w:r w:rsidRPr="000375E8">
        <w:rPr>
          <w:rFonts w:ascii="Garamond" w:hAnsi="Garamond" w:cstheme="majorBidi"/>
          <w:iCs/>
          <w:color w:val="0D0D0D" w:themeColor="text1" w:themeTint="F2"/>
          <w:sz w:val="20"/>
          <w:szCs w:val="20"/>
        </w:rPr>
        <w:t>Burimi: Ministria e Financave dhe Ekonomisë, 2022</w:t>
      </w:r>
    </w:p>
    <w:p w14:paraId="768E92B0" w14:textId="77777777" w:rsidR="00F468C9" w:rsidRPr="00770F9D" w:rsidRDefault="00F468C9" w:rsidP="005674F2">
      <w:pPr>
        <w:ind w:firstLine="284"/>
        <w:jc w:val="both"/>
        <w:rPr>
          <w:rFonts w:ascii="Garamond" w:eastAsia="Times New Roman" w:hAnsi="Garamond" w:cstheme="majorBidi"/>
          <w:b/>
          <w:color w:val="0D0D0D" w:themeColor="text1" w:themeTint="F2"/>
          <w:lang w:eastAsia="en-GB"/>
        </w:rPr>
      </w:pPr>
    </w:p>
    <w:p w14:paraId="569E73E1" w14:textId="77777777" w:rsidR="00F468C9" w:rsidRPr="00770F9D" w:rsidRDefault="00F468C9" w:rsidP="005674F2">
      <w:pPr>
        <w:ind w:firstLine="284"/>
        <w:jc w:val="both"/>
        <w:rPr>
          <w:rFonts w:ascii="Garamond" w:hAnsi="Garamond" w:cstheme="majorBidi"/>
          <w:i/>
          <w:color w:val="0D0D0D" w:themeColor="text1" w:themeTint="F2"/>
        </w:rPr>
      </w:pPr>
      <w:r w:rsidRPr="00770F9D">
        <w:rPr>
          <w:rFonts w:ascii="Garamond" w:eastAsia="Times New Roman" w:hAnsi="Garamond" w:cstheme="majorBidi"/>
          <w:i/>
          <w:color w:val="0D0D0D" w:themeColor="text1" w:themeTint="F2"/>
          <w:lang w:eastAsia="en-GB"/>
        </w:rPr>
        <w:t>Zhvillimi i normave të interesit</w:t>
      </w:r>
    </w:p>
    <w:p w14:paraId="17D06804" w14:textId="77CE6685" w:rsidR="00F468C9" w:rsidRDefault="00F468C9" w:rsidP="005674F2">
      <w:pPr>
        <w:ind w:firstLine="284"/>
        <w:jc w:val="both"/>
        <w:rPr>
          <w:rFonts w:ascii="Garamond" w:hAnsi="Garamond" w:cstheme="majorBidi"/>
          <w:color w:val="0D0D0D" w:themeColor="text1" w:themeTint="F2"/>
        </w:rPr>
      </w:pPr>
      <w:r w:rsidRPr="00770F9D">
        <w:rPr>
          <w:rFonts w:ascii="Garamond" w:hAnsi="Garamond" w:cstheme="majorBidi"/>
          <w:i/>
          <w:iCs/>
          <w:color w:val="0D0D0D" w:themeColor="text1" w:themeTint="F2"/>
        </w:rPr>
        <w:t>Yield</w:t>
      </w:r>
      <w:r w:rsidRPr="00770F9D">
        <w:rPr>
          <w:rFonts w:ascii="Garamond" w:hAnsi="Garamond" w:cstheme="majorBidi"/>
          <w:color w:val="0D0D0D" w:themeColor="text1" w:themeTint="F2"/>
        </w:rPr>
        <w:t xml:space="preserve">-et e obligacioneve të qeverisë në tregun </w:t>
      </w:r>
      <w:r w:rsidR="002A4878" w:rsidRPr="00770F9D">
        <w:rPr>
          <w:rFonts w:ascii="Garamond" w:hAnsi="Garamond" w:cstheme="majorBidi"/>
          <w:color w:val="0D0D0D" w:themeColor="text1" w:themeTint="F2"/>
        </w:rPr>
        <w:t>vendës</w:t>
      </w:r>
      <w:r w:rsidRPr="00770F9D">
        <w:rPr>
          <w:rFonts w:ascii="Garamond" w:hAnsi="Garamond" w:cstheme="majorBidi"/>
          <w:color w:val="0D0D0D" w:themeColor="text1" w:themeTint="F2"/>
        </w:rPr>
        <w:t xml:space="preserve"> janë rritur ndjeshëm gjatë vitit 2022. Rritja varion sipas instrumenteve, nga 178 pikë bazë në 369 pikë bazë dhe është më e madhe se rritja e normës bazë të Bankës së Shqipërisë prej 225 pikë</w:t>
      </w:r>
      <w:r w:rsidR="00E828B4" w:rsidRPr="00770F9D">
        <w:rPr>
          <w:rFonts w:ascii="Garamond" w:hAnsi="Garamond" w:cstheme="majorBidi"/>
          <w:color w:val="0D0D0D" w:themeColor="text1" w:themeTint="F2"/>
        </w:rPr>
        <w:t>sh</w:t>
      </w:r>
      <w:r w:rsidRPr="00770F9D">
        <w:rPr>
          <w:rFonts w:ascii="Garamond" w:hAnsi="Garamond" w:cstheme="majorBidi"/>
          <w:color w:val="0D0D0D" w:themeColor="text1" w:themeTint="F2"/>
        </w:rPr>
        <w:t xml:space="preserve"> bazë që nga fillimi i vitit (norma bazë aktuale qëndron në 2.75%). Për të përballuar rritjen që ka ndodhur tashmë, apo rritjen e mëtejshme që pritet në bazë të situatës së inflacionit të lartë të vazhdueshëm dhe masave të pritshme të autoriteteve monetare në këtë drejtim, ne po planifikojmë një buxhet më të lartë për shpenzimet e interesit dhe një fond kontingjent.</w:t>
      </w:r>
    </w:p>
    <w:p w14:paraId="35E8488B" w14:textId="77777777" w:rsidR="000375E8" w:rsidRPr="00770F9D" w:rsidRDefault="000375E8" w:rsidP="005674F2">
      <w:pPr>
        <w:ind w:firstLine="284"/>
        <w:jc w:val="both"/>
        <w:rPr>
          <w:rFonts w:ascii="Garamond" w:hAnsi="Garamond" w:cstheme="majorBidi"/>
          <w:color w:val="0D0D0D" w:themeColor="text1" w:themeTint="F2"/>
        </w:rPr>
      </w:pPr>
    </w:p>
    <w:p w14:paraId="10E4928F" w14:textId="1EF8A6DC" w:rsidR="00F468C9" w:rsidRPr="00770F9D" w:rsidRDefault="00AC14A4" w:rsidP="00AC14A4">
      <w:pPr>
        <w:ind w:firstLine="284"/>
        <w:jc w:val="center"/>
        <w:rPr>
          <w:rFonts w:ascii="Garamond" w:hAnsi="Garamond" w:cstheme="majorBidi"/>
          <w:color w:val="0D0D0D" w:themeColor="text1" w:themeTint="F2"/>
          <w:sz w:val="20"/>
          <w:szCs w:val="20"/>
        </w:rPr>
      </w:pPr>
      <w:r w:rsidRPr="00770F9D">
        <w:rPr>
          <w:rFonts w:ascii="Garamond" w:hAnsi="Garamond" w:cstheme="majorBidi"/>
          <w:noProof/>
          <w:color w:val="0D0D0D" w:themeColor="text1" w:themeTint="F2"/>
          <w:lang w:eastAsia="sq-AL"/>
        </w:rPr>
        <w:drawing>
          <wp:anchor distT="0" distB="0" distL="114300" distR="114300" simplePos="0" relativeHeight="251658277" behindDoc="0" locked="0" layoutInCell="1" allowOverlap="1" wp14:anchorId="43994C5E" wp14:editId="65581DA8">
            <wp:simplePos x="0" y="0"/>
            <wp:positionH relativeFrom="column">
              <wp:posOffset>-93980</wp:posOffset>
            </wp:positionH>
            <wp:positionV relativeFrom="paragraph">
              <wp:posOffset>146050</wp:posOffset>
            </wp:positionV>
            <wp:extent cx="5951855" cy="1804670"/>
            <wp:effectExtent l="0" t="0" r="0" b="508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51855" cy="1804670"/>
                    </a:xfrm>
                    <a:prstGeom prst="rect">
                      <a:avLst/>
                    </a:prstGeom>
                    <a:noFill/>
                  </pic:spPr>
                </pic:pic>
              </a:graphicData>
            </a:graphic>
            <wp14:sizeRelH relativeFrom="page">
              <wp14:pctWidth>0</wp14:pctWidth>
            </wp14:sizeRelH>
            <wp14:sizeRelV relativeFrom="page">
              <wp14:pctHeight>0</wp14:pctHeight>
            </wp14:sizeRelV>
          </wp:anchor>
        </w:drawing>
      </w:r>
      <w:r w:rsidR="00F468C9" w:rsidRPr="00770F9D">
        <w:rPr>
          <w:rFonts w:ascii="Garamond" w:hAnsi="Garamond" w:cstheme="majorBidi"/>
          <w:b/>
          <w:bCs/>
          <w:color w:val="0D0D0D" w:themeColor="text1" w:themeTint="F2"/>
          <w:sz w:val="20"/>
          <w:szCs w:val="20"/>
        </w:rPr>
        <w:t>Grafiku 4.6.6:</w:t>
      </w:r>
      <w:r w:rsidR="00F468C9" w:rsidRPr="00770F9D">
        <w:rPr>
          <w:rFonts w:ascii="Garamond" w:hAnsi="Garamond" w:cstheme="majorBidi"/>
          <w:color w:val="0D0D0D" w:themeColor="text1" w:themeTint="F2"/>
          <w:sz w:val="20"/>
          <w:szCs w:val="20"/>
        </w:rPr>
        <w:t xml:space="preserve"> </w:t>
      </w:r>
      <w:r w:rsidR="00F468C9" w:rsidRPr="00770F9D">
        <w:rPr>
          <w:rFonts w:ascii="Garamond" w:hAnsi="Garamond" w:cstheme="majorBidi"/>
          <w:i/>
          <w:iCs/>
          <w:color w:val="0D0D0D" w:themeColor="text1" w:themeTint="F2"/>
          <w:sz w:val="20"/>
          <w:szCs w:val="20"/>
        </w:rPr>
        <w:t>Yield</w:t>
      </w:r>
      <w:r w:rsidR="00F468C9" w:rsidRPr="00770F9D">
        <w:rPr>
          <w:rFonts w:ascii="Garamond" w:hAnsi="Garamond" w:cstheme="majorBidi"/>
          <w:color w:val="0D0D0D" w:themeColor="text1" w:themeTint="F2"/>
          <w:sz w:val="20"/>
          <w:szCs w:val="20"/>
        </w:rPr>
        <w:t>-i mesatar i ponderuar për letrat me vlerë të qeverisë</w:t>
      </w:r>
    </w:p>
    <w:p w14:paraId="76FD7989" w14:textId="77777777" w:rsidR="00F468C9" w:rsidRPr="00770F9D" w:rsidRDefault="00F468C9" w:rsidP="00AC14A4">
      <w:pPr>
        <w:ind w:firstLine="284"/>
        <w:jc w:val="cente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Burimi: Ministria e Financave dhe Ekonomisë, 2022</w:t>
      </w:r>
    </w:p>
    <w:p w14:paraId="02EB6C8E" w14:textId="77777777" w:rsidR="00AC14A4" w:rsidRPr="00770F9D" w:rsidRDefault="00AC14A4" w:rsidP="003F46E1">
      <w:pPr>
        <w:ind w:firstLine="284"/>
        <w:jc w:val="both"/>
        <w:rPr>
          <w:rFonts w:ascii="Garamond" w:hAnsi="Garamond" w:cstheme="majorBidi"/>
          <w:i/>
          <w:color w:val="0D0D0D" w:themeColor="text1" w:themeTint="F2"/>
        </w:rPr>
      </w:pPr>
    </w:p>
    <w:p w14:paraId="46BA8E84" w14:textId="44260DC7" w:rsidR="00F468C9" w:rsidRPr="00770F9D" w:rsidRDefault="00F468C9" w:rsidP="003F46E1">
      <w:pPr>
        <w:ind w:firstLine="284"/>
        <w:jc w:val="both"/>
        <w:rPr>
          <w:rFonts w:ascii="Garamond" w:hAnsi="Garamond" w:cstheme="majorBidi"/>
          <w:i/>
          <w:color w:val="0D0D0D" w:themeColor="text1" w:themeTint="F2"/>
        </w:rPr>
      </w:pPr>
      <w:r w:rsidRPr="00770F9D">
        <w:rPr>
          <w:rFonts w:ascii="Garamond" w:hAnsi="Garamond" w:cstheme="majorBidi"/>
          <w:i/>
          <w:color w:val="0D0D0D" w:themeColor="text1" w:themeTint="F2"/>
        </w:rPr>
        <w:t>Detyrimet kontigjente</w:t>
      </w:r>
    </w:p>
    <w:p w14:paraId="7DFA43C7" w14:textId="77777777"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Në fund të shtatorit 2022, portofoli i borxhit të garantuar qëndron në nivelin 54.7 miliardë lekë (2.7% e PBB-së) ose 3.9% e portofolit të borxhit të qeverisë qendrore. Garancitë në tregun e brendshëm zënë 37.6% të stokut total të borxhit të garantuar ose 20.6 miliardë lekë, ndërsa garancitë e dhëna në favor të kreditorëve të huaj përfaqësojnë 62.4% të stokut të borxhit të garantuar ose 34.1 miliardë lekë. Më shumë se 70% e totalit të portofolit të garancisë (41.9 miliardë lekë) i përgjigjet sektorit të energjisë, duke qenë në përputhje me prioritetet e qeverisë për zhvillimin e këtij sektori.</w:t>
      </w:r>
    </w:p>
    <w:p w14:paraId="134A098C" w14:textId="77777777" w:rsidR="00930C8E" w:rsidRPr="00770F9D" w:rsidRDefault="00930C8E" w:rsidP="003F46E1">
      <w:pPr>
        <w:ind w:firstLine="284"/>
        <w:jc w:val="both"/>
        <w:rPr>
          <w:rFonts w:ascii="Garamond" w:hAnsi="Garamond" w:cstheme="majorBidi"/>
          <w:b/>
          <w:bCs/>
          <w:color w:val="0D0D0D" w:themeColor="text1" w:themeTint="F2"/>
        </w:rPr>
      </w:pPr>
    </w:p>
    <w:p w14:paraId="3F67C17E" w14:textId="7BA24649" w:rsidR="00F468C9" w:rsidRPr="00770F9D" w:rsidRDefault="00930C8E" w:rsidP="00930C8E">
      <w:pPr>
        <w:ind w:firstLine="284"/>
        <w:jc w:val="center"/>
        <w:rPr>
          <w:rFonts w:ascii="Garamond" w:hAnsi="Garamond" w:cstheme="majorBidi"/>
          <w:color w:val="0D0D0D" w:themeColor="text1" w:themeTint="F2"/>
        </w:rPr>
      </w:pPr>
      <w:r w:rsidRPr="00770F9D">
        <w:rPr>
          <w:rFonts w:ascii="Garamond" w:hAnsi="Garamond" w:cstheme="majorBidi"/>
          <w:noProof/>
          <w:color w:val="0D0D0D" w:themeColor="text1" w:themeTint="F2"/>
          <w:lang w:eastAsia="sq-AL"/>
        </w:rPr>
        <w:drawing>
          <wp:anchor distT="0" distB="0" distL="114300" distR="114300" simplePos="0" relativeHeight="251658278" behindDoc="0" locked="0" layoutInCell="1" allowOverlap="1" wp14:anchorId="6616CFCA" wp14:editId="35A3DFD4">
            <wp:simplePos x="0" y="0"/>
            <wp:positionH relativeFrom="column">
              <wp:posOffset>-15875</wp:posOffset>
            </wp:positionH>
            <wp:positionV relativeFrom="paragraph">
              <wp:posOffset>185420</wp:posOffset>
            </wp:positionV>
            <wp:extent cx="2734310" cy="1853565"/>
            <wp:effectExtent l="0" t="0" r="8890" b="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734310" cy="1853565"/>
                    </a:xfrm>
                    <a:prstGeom prst="rect">
                      <a:avLst/>
                    </a:prstGeom>
                    <a:noFill/>
                  </pic:spPr>
                </pic:pic>
              </a:graphicData>
            </a:graphic>
            <wp14:sizeRelH relativeFrom="page">
              <wp14:pctWidth>0</wp14:pctWidth>
            </wp14:sizeRelH>
            <wp14:sizeRelV relativeFrom="page">
              <wp14:pctHeight>0</wp14:pctHeight>
            </wp14:sizeRelV>
          </wp:anchor>
        </w:drawing>
      </w:r>
      <w:r w:rsidRPr="00770F9D">
        <w:rPr>
          <w:rFonts w:ascii="Garamond" w:hAnsi="Garamond" w:cstheme="majorBidi"/>
          <w:noProof/>
          <w:color w:val="0D0D0D" w:themeColor="text1" w:themeTint="F2"/>
          <w:lang w:eastAsia="sq-AL"/>
        </w:rPr>
        <w:drawing>
          <wp:anchor distT="0" distB="0" distL="114300" distR="114300" simplePos="0" relativeHeight="251658279" behindDoc="0" locked="0" layoutInCell="1" allowOverlap="1" wp14:anchorId="5395FE07" wp14:editId="2CDD6B3D">
            <wp:simplePos x="0" y="0"/>
            <wp:positionH relativeFrom="column">
              <wp:posOffset>2790190</wp:posOffset>
            </wp:positionH>
            <wp:positionV relativeFrom="paragraph">
              <wp:posOffset>185420</wp:posOffset>
            </wp:positionV>
            <wp:extent cx="2886710" cy="1898650"/>
            <wp:effectExtent l="0" t="0" r="8890" b="6350"/>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886710" cy="1898650"/>
                    </a:xfrm>
                    <a:prstGeom prst="rect">
                      <a:avLst/>
                    </a:prstGeom>
                    <a:noFill/>
                  </pic:spPr>
                </pic:pic>
              </a:graphicData>
            </a:graphic>
            <wp14:sizeRelH relativeFrom="page">
              <wp14:pctWidth>0</wp14:pctWidth>
            </wp14:sizeRelH>
            <wp14:sizeRelV relativeFrom="page">
              <wp14:pctHeight>0</wp14:pctHeight>
            </wp14:sizeRelV>
          </wp:anchor>
        </w:drawing>
      </w:r>
      <w:r w:rsidR="00F468C9" w:rsidRPr="00770F9D">
        <w:rPr>
          <w:rFonts w:ascii="Garamond" w:hAnsi="Garamond" w:cstheme="majorBidi"/>
          <w:b/>
          <w:bCs/>
          <w:color w:val="0D0D0D" w:themeColor="text1" w:themeTint="F2"/>
          <w:sz w:val="20"/>
          <w:szCs w:val="20"/>
        </w:rPr>
        <w:t>Grafiku 4.6.7:</w:t>
      </w:r>
      <w:r w:rsidR="00F468C9" w:rsidRPr="00770F9D">
        <w:rPr>
          <w:rFonts w:ascii="Garamond" w:hAnsi="Garamond" w:cstheme="majorBidi"/>
          <w:color w:val="0D0D0D" w:themeColor="text1" w:themeTint="F2"/>
          <w:sz w:val="20"/>
          <w:szCs w:val="20"/>
        </w:rPr>
        <w:t xml:space="preserve"> Garanc</w:t>
      </w:r>
      <w:r w:rsidR="00871DFA">
        <w:rPr>
          <w:rFonts w:ascii="Garamond" w:hAnsi="Garamond" w:cstheme="majorBidi"/>
          <w:color w:val="0D0D0D" w:themeColor="text1" w:themeTint="F2"/>
          <w:sz w:val="20"/>
          <w:szCs w:val="20"/>
        </w:rPr>
        <w:t>itë e Qeverisë Qendrore (2017–</w:t>
      </w:r>
      <w:r w:rsidRPr="00770F9D">
        <w:rPr>
          <w:rFonts w:ascii="Garamond" w:hAnsi="Garamond" w:cstheme="majorBidi"/>
          <w:color w:val="0D0D0D" w:themeColor="text1" w:themeTint="F2"/>
          <w:sz w:val="20"/>
          <w:szCs w:val="20"/>
        </w:rPr>
        <w:t xml:space="preserve">shtator </w:t>
      </w:r>
      <w:r w:rsidR="00F468C9" w:rsidRPr="00770F9D">
        <w:rPr>
          <w:rFonts w:ascii="Garamond" w:hAnsi="Garamond" w:cstheme="majorBidi"/>
          <w:color w:val="0D0D0D" w:themeColor="text1" w:themeTint="F2"/>
          <w:sz w:val="20"/>
          <w:szCs w:val="20"/>
        </w:rPr>
        <w:t>2022)</w:t>
      </w:r>
    </w:p>
    <w:p w14:paraId="0969F2DA" w14:textId="77777777" w:rsidR="00F468C9" w:rsidRPr="00770F9D" w:rsidRDefault="00F468C9" w:rsidP="00930C8E">
      <w:pPr>
        <w:ind w:firstLine="284"/>
        <w:jc w:val="cente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Burimi: Ministria e Financave dhe Ekonomisë, 2022</w:t>
      </w:r>
    </w:p>
    <w:p w14:paraId="12E22EB8" w14:textId="77777777" w:rsidR="00930C8E" w:rsidRPr="00770F9D" w:rsidRDefault="00930C8E" w:rsidP="003F46E1">
      <w:pPr>
        <w:ind w:firstLine="284"/>
        <w:jc w:val="both"/>
        <w:rPr>
          <w:rFonts w:ascii="Garamond" w:hAnsi="Garamond" w:cstheme="majorBidi"/>
          <w:color w:val="0D0D0D" w:themeColor="text1" w:themeTint="F2"/>
        </w:rPr>
      </w:pPr>
    </w:p>
    <w:p w14:paraId="626E6922" w14:textId="491EE598"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Në periudhën afatmesme, niveli i borxhit të garantuar është planifikuar të mbahet nën nivelin 5% të PBB-së. Për të reduktuar riskun që vjen nga detyrimet kontingjente që rrjedhin nga garancitë shtetërore, stoku i borxhit të garantuar përfshihet 100% në stokun e borxhit publik. Një rregull i tillë është përcaktuar në ligjin organik të buxhetit si një masë për të minimizuar rrezikun e aktiviteteve jasht-buxhetore.</w:t>
      </w:r>
    </w:p>
    <w:p w14:paraId="42B6CB0D" w14:textId="415ACB04"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Për të kontrolluar/reduktuar riskun që vjen nga garancitë shtetërore dhe për të përfituar nga avantazhet e përdorimit</w:t>
      </w:r>
      <w:r w:rsidR="00552280"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të instrumentit të garancisë, kriteret e mëposhtme synohen të zbatohet për dhënien e garancive shtetërore në periudhën afatmesme:</w:t>
      </w:r>
    </w:p>
    <w:p w14:paraId="296B9BF1" w14:textId="31669AD6"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mbria"/>
          <w:color w:val="0D0D0D"/>
          <w:lang w:eastAsia="sq-AL"/>
        </w:rPr>
        <w:t>-</w:t>
      </w:r>
      <w:r w:rsidR="00BA4F1A" w:rsidRPr="00770F9D">
        <w:rPr>
          <w:rFonts w:ascii="Garamond" w:hAnsi="Garamond" w:cs="Cambria"/>
          <w:color w:val="0D0D0D"/>
          <w:lang w:eastAsia="sq-AL"/>
        </w:rPr>
        <w:t xml:space="preserve"> </w:t>
      </w:r>
      <w:r w:rsidRPr="00770F9D">
        <w:rPr>
          <w:rFonts w:ascii="Garamond" w:hAnsi="Garamond" w:cs="Garamond"/>
          <w:color w:val="0D0D0D"/>
          <w:lang w:eastAsia="sq-AL"/>
        </w:rPr>
        <w:t>Garancitë qeveritare mund t</w:t>
      </w:r>
      <w:r w:rsidR="00552280" w:rsidRPr="00770F9D">
        <w:rPr>
          <w:rFonts w:ascii="Garamond" w:hAnsi="Garamond" w:cs="Garamond"/>
          <w:color w:val="0D0D0D"/>
          <w:lang w:eastAsia="sq-AL"/>
        </w:rPr>
        <w:t>’</w:t>
      </w:r>
      <w:r w:rsidRPr="00770F9D">
        <w:rPr>
          <w:rFonts w:ascii="Garamond" w:hAnsi="Garamond" w:cs="Garamond"/>
          <w:color w:val="0D0D0D"/>
          <w:lang w:eastAsia="sq-AL"/>
        </w:rPr>
        <w:t>u lëshohen ndërmarrjeve shtetërore, të cilat kanë ndërmarrë një iniciativë reformuese me ndikim në forcimin e gjendjes së tyre financiare;</w:t>
      </w:r>
    </w:p>
    <w:p w14:paraId="204A4186" w14:textId="428EFDCB"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mbria"/>
          <w:color w:val="0D0D0D"/>
          <w:lang w:eastAsia="sq-AL"/>
        </w:rPr>
        <w:t>-</w:t>
      </w:r>
      <w:r w:rsidR="00BA4F1A" w:rsidRPr="00770F9D">
        <w:rPr>
          <w:rFonts w:ascii="Garamond" w:hAnsi="Garamond" w:cs="Cambria"/>
          <w:color w:val="0D0D0D"/>
          <w:lang w:eastAsia="sq-AL"/>
        </w:rPr>
        <w:t xml:space="preserve"> </w:t>
      </w:r>
      <w:r w:rsidRPr="00770F9D">
        <w:rPr>
          <w:rFonts w:ascii="Garamond" w:hAnsi="Garamond" w:cs="Garamond"/>
          <w:color w:val="0D0D0D"/>
          <w:lang w:eastAsia="sq-AL"/>
        </w:rPr>
        <w:t>Garancitë qeveritare mund të lëshohen për financimin e projekteve investuese;</w:t>
      </w:r>
    </w:p>
    <w:p w14:paraId="5BC06468" w14:textId="1058DFB0"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mbria"/>
          <w:color w:val="0D0D0D"/>
          <w:lang w:eastAsia="sq-AL"/>
        </w:rPr>
        <w:t>-</w:t>
      </w:r>
      <w:r w:rsidR="00BA4F1A" w:rsidRPr="00770F9D">
        <w:rPr>
          <w:rFonts w:ascii="Garamond" w:hAnsi="Garamond" w:cs="Cambria"/>
          <w:color w:val="0D0D0D"/>
          <w:lang w:eastAsia="sq-AL"/>
        </w:rPr>
        <w:t xml:space="preserve"> </w:t>
      </w:r>
      <w:r w:rsidRPr="00770F9D">
        <w:rPr>
          <w:rFonts w:ascii="Garamond" w:hAnsi="Garamond" w:cs="Garamond"/>
          <w:color w:val="0D0D0D"/>
          <w:lang w:eastAsia="sq-AL"/>
        </w:rPr>
        <w:t>Garancitë qeveritare mund të lëshohen</w:t>
      </w:r>
      <w:r w:rsidR="00552280" w:rsidRPr="00770F9D">
        <w:rPr>
          <w:rFonts w:ascii="Garamond" w:hAnsi="Garamond" w:cs="Garamond"/>
          <w:color w:val="0D0D0D"/>
          <w:lang w:eastAsia="sq-AL"/>
        </w:rPr>
        <w:t>,</w:t>
      </w:r>
      <w:r w:rsidRPr="00770F9D">
        <w:rPr>
          <w:rFonts w:ascii="Garamond" w:hAnsi="Garamond" w:cs="Garamond"/>
          <w:color w:val="0D0D0D"/>
          <w:lang w:eastAsia="sq-AL"/>
        </w:rPr>
        <w:t xml:space="preserve"> gjithashtu</w:t>
      </w:r>
      <w:r w:rsidR="00552280" w:rsidRPr="00770F9D">
        <w:rPr>
          <w:rFonts w:ascii="Garamond" w:hAnsi="Garamond" w:cs="Garamond"/>
          <w:color w:val="0D0D0D"/>
          <w:lang w:eastAsia="sq-AL"/>
        </w:rPr>
        <w:t>,</w:t>
      </w:r>
      <w:r w:rsidRPr="00770F9D">
        <w:rPr>
          <w:rFonts w:ascii="Garamond" w:hAnsi="Garamond" w:cs="Garamond"/>
          <w:color w:val="0D0D0D"/>
          <w:lang w:eastAsia="sq-AL"/>
        </w:rPr>
        <w:t xml:space="preserve"> për të mbështetur masat që mund të merren në rast të një krize të sistemit financiar;</w:t>
      </w:r>
    </w:p>
    <w:p w14:paraId="7ED8C27E" w14:textId="03D2B3AB" w:rsidR="00072546" w:rsidRPr="00770F9D" w:rsidRDefault="00072546" w:rsidP="003F46E1">
      <w:pPr>
        <w:autoSpaceDE w:val="0"/>
        <w:autoSpaceDN w:val="0"/>
        <w:adjustRightInd w:val="0"/>
        <w:ind w:firstLine="284"/>
        <w:jc w:val="both"/>
        <w:rPr>
          <w:rFonts w:ascii="Garamond" w:hAnsi="Garamond" w:cs="Garamond"/>
          <w:color w:val="0D0D0D"/>
          <w:lang w:eastAsia="sq-AL"/>
        </w:rPr>
      </w:pPr>
      <w:r w:rsidRPr="00770F9D">
        <w:rPr>
          <w:rFonts w:ascii="Garamond" w:hAnsi="Garamond" w:cs="Cambria"/>
          <w:color w:val="0D0D0D"/>
          <w:lang w:eastAsia="sq-AL"/>
        </w:rPr>
        <w:t>-</w:t>
      </w:r>
      <w:r w:rsidR="00BA4F1A" w:rsidRPr="00770F9D">
        <w:rPr>
          <w:rFonts w:ascii="Garamond" w:hAnsi="Garamond" w:cs="Cambria"/>
          <w:color w:val="0D0D0D"/>
          <w:lang w:eastAsia="sq-AL"/>
        </w:rPr>
        <w:t xml:space="preserve"> </w:t>
      </w:r>
      <w:r w:rsidRPr="00770F9D">
        <w:rPr>
          <w:rFonts w:ascii="Garamond" w:hAnsi="Garamond" w:cs="Garamond"/>
          <w:color w:val="0D0D0D"/>
          <w:lang w:eastAsia="sq-AL"/>
        </w:rPr>
        <w:t>Garancitë qeveritare mund të lëshohen për qëllimin e ristrukturimit të portofolit të garancive qeveritare duke zëvendësuar kreditë afatshkurtra përmes atyre afatgjata.</w:t>
      </w:r>
    </w:p>
    <w:p w14:paraId="4EA8FA92" w14:textId="0EFD00AB" w:rsidR="00F468C9" w:rsidRPr="00770F9D" w:rsidRDefault="00FB6FFC" w:rsidP="003F46E1">
      <w:pPr>
        <w:pStyle w:val="Heading2"/>
        <w:snapToGrid w:val="0"/>
        <w:ind w:left="0" w:firstLine="284"/>
        <w:jc w:val="both"/>
        <w:rPr>
          <w:rFonts w:ascii="Garamond" w:hAnsi="Garamond" w:cstheme="majorBidi"/>
          <w:b/>
          <w:color w:val="0D0D0D" w:themeColor="text1" w:themeTint="F2"/>
        </w:rPr>
      </w:pPr>
      <w:bookmarkStart w:id="38" w:name="_Toc30661222"/>
      <w:bookmarkStart w:id="39" w:name="_Toc30416398"/>
      <w:bookmarkStart w:id="40" w:name="_Toc126050951"/>
      <w:r w:rsidRPr="00770F9D">
        <w:rPr>
          <w:rFonts w:ascii="Garamond" w:hAnsi="Garamond" w:cstheme="majorBidi"/>
          <w:b/>
          <w:color w:val="0D0D0D" w:themeColor="text1" w:themeTint="F2"/>
        </w:rPr>
        <w:t>4</w:t>
      </w:r>
      <w:r w:rsidR="00072546" w:rsidRPr="00770F9D">
        <w:rPr>
          <w:rFonts w:ascii="Garamond" w:hAnsi="Garamond" w:cstheme="majorBidi"/>
          <w:b/>
          <w:color w:val="0D0D0D" w:themeColor="text1" w:themeTint="F2"/>
        </w:rPr>
        <w:t xml:space="preserve">.7 </w:t>
      </w:r>
      <w:r w:rsidR="00F468C9" w:rsidRPr="00770F9D">
        <w:rPr>
          <w:rFonts w:ascii="Garamond" w:hAnsi="Garamond" w:cstheme="majorBidi"/>
          <w:b/>
          <w:color w:val="0D0D0D" w:themeColor="text1" w:themeTint="F2"/>
        </w:rPr>
        <w:t>Analiza e ndjeshmërisë dhe krahasimi me programin e mëparshëm</w:t>
      </w:r>
      <w:bookmarkEnd w:id="37"/>
      <w:bookmarkEnd w:id="38"/>
      <w:bookmarkEnd w:id="39"/>
      <w:bookmarkEnd w:id="40"/>
    </w:p>
    <w:p w14:paraId="43A18A41" w14:textId="77777777" w:rsidR="00F468C9" w:rsidRPr="00770F9D" w:rsidRDefault="00F468C9" w:rsidP="003F46E1">
      <w:pPr>
        <w:pStyle w:val="AAAAAAATEXXXX"/>
        <w:rPr>
          <w:rFonts w:cstheme="majorBidi"/>
          <w:color w:val="0D0D0D" w:themeColor="text1" w:themeTint="F2"/>
          <w:lang w:val="sq-AL"/>
        </w:rPr>
      </w:pPr>
      <w:r w:rsidRPr="00770F9D">
        <w:rPr>
          <w:rFonts w:cstheme="majorBidi"/>
          <w:color w:val="0D0D0D" w:themeColor="text1" w:themeTint="F2"/>
          <w:lang w:val="sq-AL"/>
        </w:rPr>
        <w:t>Ky seksion paraqet ndikimet e pritshme në kuadrin fiskal, si dhe rregullimet e mundshme të politikave fiskale dhe ato buxhetore sipas secilit skenar. Kjo është në përputhje me të dy skenarët alternativë makroekonomikë të paraqitur në seksionin 3.3.</w:t>
      </w:r>
    </w:p>
    <w:p w14:paraId="21ECCC5D" w14:textId="1BF48ADE" w:rsidR="00F468C9" w:rsidRPr="00770F9D" w:rsidRDefault="00F468C9" w:rsidP="003F46E1">
      <w:pPr>
        <w:pStyle w:val="AAAAAAATEXXXX"/>
        <w:rPr>
          <w:rFonts w:cstheme="majorBidi"/>
          <w:color w:val="0D0D0D" w:themeColor="text1" w:themeTint="F2"/>
          <w:lang w:val="sq-AL"/>
        </w:rPr>
      </w:pPr>
      <w:r w:rsidRPr="00770F9D">
        <w:rPr>
          <w:rFonts w:cstheme="majorBidi"/>
          <w:color w:val="0D0D0D" w:themeColor="text1" w:themeTint="F2"/>
          <w:lang w:val="sq-AL"/>
        </w:rPr>
        <w:t>Në rastin e skenarit makroekonomik “pesimist”, i cili supozon një rritje ekonomike dukshëm më të ulët për çdo vit krahasuar me skenarin “bazë”, do të ishte e arsyeshme dhe e përshtatshme për të supozuar efikasitet më të ulët të mbledhjes së taksave për një numër të komponentëve kryesorë të taksave. Ndërsa, efektiviteti më i lartë i mbledhjes së taksave mund të pritet nëse do të ndodhë skenari makroekonomik “optimist”. Prandaj, për të llogaritur ndryshimet e mundshme në performancën e mbledhjes së të ardhurave nën secilin skenar alternativ, si dhe për të llogaritur “një efekt të përgjithshëm neto” të stabilizuesve automatikë, në rastin e skenarit pesimist ne afektojmë raportin e të ardhurave totale ndaj PBB-së me një të tretën e goditjeve përkatëse (në p.p) të prezantuara në “rritjen reale” për çdo vit dhe në mënyrë asimetrike e afektojmë këtë variabël me një të dhjetën në rastin e skenarit “optimist”.</w:t>
      </w:r>
    </w:p>
    <w:p w14:paraId="1389677A" w14:textId="77777777"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Ndërsa në secilin skenar alternativ mbajmë të njëjtin supozim të normave efektive të interesit si në skenarin bazë (të përcaktuara si shpenzime interesi në vitin “t”, të pjesëtuar me stokun e borxhit në vitin “t-1”), ne llogaritim ndryshimet në nivelet e shpenzimeve të interesit, për shkak të huamarrjes më të lartë ose më të ulët sipas secilit skenar. </w:t>
      </w:r>
    </w:p>
    <w:p w14:paraId="321F54D0" w14:textId="77777777"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Kursi i supozuar nominal i këmbimit mbetet, gjithashtu, identik në të gjithë skenarët. Duhet të theksohet se materializuar në buxhetin e çdo viti ekziston, gjithashtu, një kontigjencë (ligjërisht i detyrueshëm sipas përcaktimeve në LOB) me rreth 0.3 për qind të PBB-së që do të mbulonte çdo shpenzim më të lartë interesi, për shkak të ndonjë rritjeje në normat e interesit ose zhvlerësimit të kursit të këmbimit.</w:t>
      </w:r>
    </w:p>
    <w:p w14:paraId="2A07CB01" w14:textId="77777777"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Pajtueshmëria me rregullat fiskale në LOB dhe, rrjedhimisht, politika fiskale e përgjithshme konsoliduese ruhet në çdo skenar makroekonomik. Sidoqoftë, objektivi sasior i deficitit fiskal vjetor ndryshon në secilin skenar, duke reflektuar kryesisht një përgjigje kundërciklike ndaj dinamikave të ndryshme të supozuara të ciklit ekonomik, sa herë që është e mundur në përputhje me rregullat fiskale. Më konkretisht, parashikohet një zbutje e objektivit të deficitit fiskal në rastin e skenarit “pesimist” dhe një konsolidim fiskal më i fortë në rastin e skenarit “optimist”.</w:t>
      </w:r>
    </w:p>
    <w:p w14:paraId="13327AE9" w14:textId="77777777"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Në skenarin “pesimist”, zbutja e politikës fiskale, krahasuar me skenarin “bazë”, do të materializohej deri në masën që të gjithë parametrat kryesorë të financave publike (p.sh. raporti i borxhit ndaj PBB-së, bilanci primar dhe bilanci aktual) do të mbeten në të njëjtën kohë, në përputhje me të gjitha rregullat përkatëse fiskale të përcaktuara në ligjin organik të buxhetit. Rregullimet (masat) e nevojshme të shpenzimeve për të siguruar pajtueshmërinë me rregullat fiskale sipas skenarit “pesimist” kryhet në “shpenzimet e kapitalit me financim të brendshëm”, si dhe në “shpenzimet operacionale dhe të mirëmbajtjes”. </w:t>
      </w:r>
    </w:p>
    <w:p w14:paraId="6A37DEEA" w14:textId="7704CB31" w:rsidR="00F468C9" w:rsidRPr="00770F9D" w:rsidRDefault="00F468C9" w:rsidP="003F46E1">
      <w:pPr>
        <w:ind w:firstLine="284"/>
        <w:jc w:val="both"/>
        <w:rPr>
          <w:rFonts w:ascii="Garamond" w:hAnsi="Garamond" w:cstheme="majorBidi"/>
          <w:color w:val="0D0D0D" w:themeColor="text1" w:themeTint="F2"/>
        </w:rPr>
      </w:pPr>
      <w:bookmarkStart w:id="41" w:name="_Hlk93437145"/>
      <w:r w:rsidRPr="00770F9D">
        <w:rPr>
          <w:rFonts w:ascii="Garamond" w:hAnsi="Garamond" w:cstheme="majorBidi"/>
          <w:color w:val="0D0D0D" w:themeColor="text1" w:themeTint="F2"/>
        </w:rPr>
        <w:t>Më konkretisht, ulja mesatare vjetore e shpenzimeve kapitale gjatë viteve 2023–</w:t>
      </w:r>
      <w:r w:rsidR="00552280" w:rsidRPr="00770F9D">
        <w:rPr>
          <w:rFonts w:ascii="Garamond" w:hAnsi="Garamond" w:cstheme="majorBidi"/>
          <w:color w:val="0D0D0D" w:themeColor="text1" w:themeTint="F2"/>
        </w:rPr>
        <w:t>‘</w:t>
      </w:r>
      <w:r w:rsidRPr="00770F9D">
        <w:rPr>
          <w:rFonts w:ascii="Garamond" w:hAnsi="Garamond" w:cstheme="majorBidi"/>
          <w:color w:val="0D0D0D" w:themeColor="text1" w:themeTint="F2"/>
        </w:rPr>
        <w:t>25, sipas skenarit “pesimist” kundrejt “bazës” është 17.7 miliardë lekë ose 0.6 për qind e PBB-së mesatarisht për çdo vit. Nën skenarin “pesimist”, niveli mesatar vjetor i totalit të shpenzimeve kapitale gjatë 2023–</w:t>
      </w:r>
      <w:r w:rsidR="00552280" w:rsidRPr="00770F9D">
        <w:rPr>
          <w:rFonts w:ascii="Garamond" w:hAnsi="Garamond" w:cstheme="majorBidi"/>
          <w:color w:val="0D0D0D" w:themeColor="text1" w:themeTint="F2"/>
        </w:rPr>
        <w:t>‘</w:t>
      </w:r>
      <w:r w:rsidRPr="00770F9D">
        <w:rPr>
          <w:rFonts w:ascii="Garamond" w:hAnsi="Garamond" w:cstheme="majorBidi"/>
          <w:color w:val="0D0D0D" w:themeColor="text1" w:themeTint="F2"/>
        </w:rPr>
        <w:t>25 bie në 4.7 për qind të PBB-së nga 5.3 për qind e PBB-së së planifikuar në skenarin “bazë”. Shpenzimet operacionale dhe të mirëmbajtjes gjatë viteve 2023–</w:t>
      </w:r>
      <w:r w:rsidR="00552280" w:rsidRPr="00770F9D">
        <w:rPr>
          <w:rFonts w:ascii="Garamond" w:hAnsi="Garamond" w:cstheme="majorBidi"/>
          <w:color w:val="0D0D0D" w:themeColor="text1" w:themeTint="F2"/>
        </w:rPr>
        <w:t>‘</w:t>
      </w:r>
      <w:r w:rsidRPr="00770F9D">
        <w:rPr>
          <w:rFonts w:ascii="Garamond" w:hAnsi="Garamond" w:cstheme="majorBidi"/>
          <w:color w:val="0D0D0D" w:themeColor="text1" w:themeTint="F2"/>
        </w:rPr>
        <w:t>25 zvogëlohen me një mesatare prej 7 miliardë lekësh në vit krahasuar me skenarin bazë, ose mesatarisht me 0.2 për qind të PBB-së në vit.</w:t>
      </w:r>
    </w:p>
    <w:bookmarkEnd w:id="41"/>
    <w:p w14:paraId="60F790C7" w14:textId="77777777"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Në skenarin “optimist” të gjithë zërat diskrecionalë të shpenzimeve në terma nominalë supozohen identikë si në skenarin “bazë” dhe të gjitha të ardhurat e papritura reflektohen si një bilanc i përgjithshëm fiskal më i lartë (d.m.th. deficit më i ulët) për çdo vit, krahasuar me skenarin “bazë”.</w:t>
      </w:r>
    </w:p>
    <w:p w14:paraId="2679F9A5" w14:textId="77777777"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Në mënyrë që të shërbejë në mënyrë adekuate të gjitha nevojat e shërbimit të buxhetit dhe borxhit (d.m.th. nevojat e financimit) gjatë horizontit kohor prej pesë vjetësh (përfshirë 2026), tri zëra financimi, përkatësisht “huamarrja e brendshme neto”, “ndryshimi i stokut të likuiditetit në TSA” dhe “stoku i likuiditetit në TSA” janë optimizuar njëkohësisht në secilin skenar alternativ, më e rëndësishmja në atë “pesimist”. Ndërsa, huamarrja e huaj neto, si në huamarrjen tregtare, ashtu edhe në atë koncesionale, në të dy skenarët alternativë mbeten saktësisht të njëjtë si në skenarin “bazë”.</w:t>
      </w:r>
    </w:p>
    <w:p w14:paraId="1536F297" w14:textId="77777777"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Në rastin e skenarit “shumë ekstrem pesimist”, që do të thotë vetëm në rast të një krize të rëndë ekonomike, e cila seriozisht do të rrezikonte stabilitetin makroekonomik dhe perspektivën afatgjatë, mund të supozohet se mund të përdoret çdo mundësi e disponueshme dhe e përshtatshme e instrumentit të veçantë “jokonvencional” i politikës monetare, vetëm si një mundësi e fundit dhe në një rast të tillë, me sa duket nën një koordinim dhe mbikëqyrje shumë të ngushtë të institucioneve ndërkombëtare partnere. Në të njëjtën kohë, do të ishte mjaft e arsyeshme të supozohet se në një skenar të tillë “shumë ekstrem pesimist”, një gamë më e gjerë dhe më e thellë e rregullave/masave/reformave të financave publike mund dhe duhet të ndërmerren, dhe ndoshta të shtrihet në të gjithë sektorin publik dhe në mallrat/shërbimet publike.</w:t>
      </w:r>
    </w:p>
    <w:p w14:paraId="7D600719" w14:textId="77777777"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Grafikët dhe tabelat vijuese paraqesin implikimet kryesore fiskale të skenarëve alternative.</w:t>
      </w:r>
    </w:p>
    <w:p w14:paraId="68E9AA1C"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334F149D"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70780579"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36CBDB21"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7E91FF0F"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1B786EAA"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325A8475"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4EB410F8"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1631B027"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4D32814C" w14:textId="147A84A1" w:rsidR="00F468C9" w:rsidRPr="00770F9D" w:rsidRDefault="00552280" w:rsidP="00552280">
      <w:pPr>
        <w:ind w:firstLine="284"/>
        <w:jc w:val="center"/>
        <w:rPr>
          <w:rFonts w:ascii="Garamond" w:hAnsi="Garamond" w:cstheme="majorBidi"/>
          <w:i/>
          <w:iCs/>
          <w:color w:val="0D0D0D" w:themeColor="text1" w:themeTint="F2"/>
          <w:sz w:val="20"/>
          <w:szCs w:val="20"/>
        </w:rPr>
      </w:pPr>
      <w:r w:rsidRPr="00770F9D">
        <w:rPr>
          <w:rFonts w:ascii="Garamond" w:hAnsi="Garamond" w:cstheme="majorBidi"/>
          <w:noProof/>
          <w:color w:val="0D0D0D" w:themeColor="text1" w:themeTint="F2"/>
          <w:lang w:eastAsia="sq-AL"/>
        </w:rPr>
        <w:drawing>
          <wp:anchor distT="0" distB="0" distL="114300" distR="114300" simplePos="0" relativeHeight="251658280" behindDoc="0" locked="0" layoutInCell="1" allowOverlap="1" wp14:anchorId="614E1DFA" wp14:editId="60BBD188">
            <wp:simplePos x="0" y="0"/>
            <wp:positionH relativeFrom="column">
              <wp:posOffset>-144780</wp:posOffset>
            </wp:positionH>
            <wp:positionV relativeFrom="paragraph">
              <wp:posOffset>204470</wp:posOffset>
            </wp:positionV>
            <wp:extent cx="6110605" cy="7715250"/>
            <wp:effectExtent l="0" t="0" r="4445" b="0"/>
            <wp:wrapTopAndBottom/>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110605" cy="7715250"/>
                    </a:xfrm>
                    <a:prstGeom prst="rect">
                      <a:avLst/>
                    </a:prstGeom>
                    <a:noFill/>
                    <a:ln>
                      <a:noFill/>
                    </a:ln>
                  </pic:spPr>
                </pic:pic>
              </a:graphicData>
            </a:graphic>
            <wp14:sizeRelH relativeFrom="page">
              <wp14:pctWidth>0</wp14:pctWidth>
            </wp14:sizeRelH>
            <wp14:sizeRelV relativeFrom="page">
              <wp14:pctHeight>0</wp14:pctHeight>
            </wp14:sizeRelV>
          </wp:anchor>
        </w:drawing>
      </w:r>
      <w:r w:rsidR="00F468C9" w:rsidRPr="00770F9D">
        <w:rPr>
          <w:rFonts w:ascii="Garamond" w:hAnsi="Garamond" w:cstheme="majorBidi"/>
          <w:b/>
          <w:bCs/>
          <w:i/>
          <w:iCs/>
          <w:color w:val="0D0D0D" w:themeColor="text1" w:themeTint="F2"/>
          <w:sz w:val="20"/>
          <w:szCs w:val="20"/>
        </w:rPr>
        <w:t>Grafik 4.7.1:</w:t>
      </w:r>
      <w:r w:rsidR="00F468C9" w:rsidRPr="00770F9D">
        <w:rPr>
          <w:rFonts w:ascii="Garamond" w:hAnsi="Garamond" w:cstheme="majorBidi"/>
          <w:i/>
          <w:iCs/>
          <w:color w:val="0D0D0D" w:themeColor="text1" w:themeTint="F2"/>
          <w:sz w:val="20"/>
          <w:szCs w:val="20"/>
        </w:rPr>
        <w:t xml:space="preserve"> Dinamika e treguesve kryesorë në skenarë të ndryshëm</w:t>
      </w:r>
    </w:p>
    <w:p w14:paraId="25971069" w14:textId="129FB8A0" w:rsidR="00F468C9" w:rsidRPr="00770F9D" w:rsidRDefault="00F468C9" w:rsidP="00FB6FFC">
      <w:pPr>
        <w:ind w:firstLine="284"/>
        <w:jc w:val="center"/>
        <w:rPr>
          <w:rFonts w:ascii="Garamond" w:hAnsi="Garamond" w:cstheme="majorBidi"/>
          <w:color w:val="0D0D0D" w:themeColor="text1" w:themeTint="F2"/>
        </w:rPr>
      </w:pPr>
    </w:p>
    <w:p w14:paraId="29F0CAD2" w14:textId="5C0F067A" w:rsidR="00F468C9" w:rsidRPr="00770F9D" w:rsidRDefault="00622206"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T</w:t>
      </w:r>
      <w:r w:rsidR="00552280" w:rsidRPr="00770F9D">
        <w:rPr>
          <w:rFonts w:ascii="Garamond" w:hAnsi="Garamond" w:cstheme="majorBidi"/>
          <w:color w:val="0D0D0D" w:themeColor="text1" w:themeTint="F2"/>
        </w:rPr>
        <w:t>ë</w:t>
      </w:r>
      <w:r w:rsidRPr="00770F9D">
        <w:rPr>
          <w:rFonts w:ascii="Garamond" w:hAnsi="Garamond" w:cstheme="majorBidi"/>
          <w:color w:val="0D0D0D" w:themeColor="text1" w:themeTint="F2"/>
        </w:rPr>
        <w:t xml:space="preserve"> dh</w:t>
      </w:r>
      <w:r w:rsidR="00552280" w:rsidRPr="00770F9D">
        <w:rPr>
          <w:rFonts w:ascii="Garamond" w:hAnsi="Garamond" w:cstheme="majorBidi"/>
          <w:color w:val="0D0D0D" w:themeColor="text1" w:themeTint="F2"/>
        </w:rPr>
        <w:t>ë</w:t>
      </w:r>
      <w:r w:rsidRPr="00770F9D">
        <w:rPr>
          <w:rFonts w:ascii="Garamond" w:hAnsi="Garamond" w:cstheme="majorBidi"/>
          <w:color w:val="0D0D0D" w:themeColor="text1" w:themeTint="F2"/>
        </w:rPr>
        <w:t>nat n</w:t>
      </w:r>
      <w:r w:rsidR="00552280" w:rsidRPr="00770F9D">
        <w:rPr>
          <w:rFonts w:ascii="Garamond" w:hAnsi="Garamond" w:cstheme="majorBidi"/>
          <w:color w:val="0D0D0D" w:themeColor="text1" w:themeTint="F2"/>
        </w:rPr>
        <w:t>ë</w:t>
      </w:r>
      <w:r w:rsidRPr="00770F9D">
        <w:rPr>
          <w:rFonts w:ascii="Garamond" w:hAnsi="Garamond" w:cstheme="majorBidi"/>
          <w:color w:val="0D0D0D" w:themeColor="text1" w:themeTint="F2"/>
        </w:rPr>
        <w:t xml:space="preserve"> grafikun e t</w:t>
      </w:r>
      <w:r w:rsidR="00FB6FFC" w:rsidRPr="00770F9D">
        <w:rPr>
          <w:rFonts w:ascii="Garamond" w:hAnsi="Garamond" w:cstheme="majorBidi"/>
          <w:color w:val="0D0D0D" w:themeColor="text1" w:themeTint="F2"/>
        </w:rPr>
        <w:t>ë</w:t>
      </w:r>
      <w:r w:rsidRPr="00770F9D">
        <w:rPr>
          <w:rFonts w:ascii="Garamond" w:hAnsi="Garamond" w:cstheme="majorBidi"/>
          <w:color w:val="0D0D0D" w:themeColor="text1" w:themeTint="F2"/>
        </w:rPr>
        <w:t xml:space="preserve"> </w:t>
      </w:r>
      <w:r w:rsidR="00552280" w:rsidRPr="00770F9D">
        <w:rPr>
          <w:rFonts w:ascii="Garamond" w:hAnsi="Garamond" w:cstheme="majorBidi"/>
          <w:color w:val="0D0D0D" w:themeColor="text1" w:themeTint="F2"/>
        </w:rPr>
        <w:t xml:space="preserve">ardhurave </w:t>
      </w:r>
      <w:r w:rsidRPr="00770F9D">
        <w:rPr>
          <w:rFonts w:ascii="Garamond" w:hAnsi="Garamond" w:cstheme="majorBidi"/>
          <w:color w:val="0D0D0D" w:themeColor="text1" w:themeTint="F2"/>
        </w:rPr>
        <w:t>ndaj GDP-s</w:t>
      </w:r>
      <w:r w:rsidR="00552280" w:rsidRPr="00770F9D">
        <w:rPr>
          <w:rFonts w:ascii="Garamond" w:hAnsi="Garamond" w:cstheme="majorBidi"/>
          <w:color w:val="0D0D0D" w:themeColor="text1" w:themeTint="F2"/>
        </w:rPr>
        <w:t>ë</w:t>
      </w:r>
      <w:r w:rsidRPr="00770F9D">
        <w:rPr>
          <w:rFonts w:ascii="Garamond" w:hAnsi="Garamond" w:cstheme="majorBidi"/>
          <w:color w:val="0D0D0D" w:themeColor="text1" w:themeTint="F2"/>
        </w:rPr>
        <w:t xml:space="preserve"> nuk </w:t>
      </w:r>
      <w:r w:rsidR="00552280" w:rsidRPr="00770F9D">
        <w:rPr>
          <w:rFonts w:ascii="Garamond" w:hAnsi="Garamond" w:cstheme="majorBidi"/>
          <w:color w:val="0D0D0D" w:themeColor="text1" w:themeTint="F2"/>
        </w:rPr>
        <w:t>përputhen</w:t>
      </w:r>
      <w:r w:rsidRPr="00770F9D">
        <w:rPr>
          <w:rFonts w:ascii="Garamond" w:hAnsi="Garamond" w:cstheme="majorBidi"/>
          <w:color w:val="0D0D0D" w:themeColor="text1" w:themeTint="F2"/>
        </w:rPr>
        <w:t xml:space="preserve"> me t</w:t>
      </w:r>
      <w:r w:rsidR="00552280" w:rsidRPr="00770F9D">
        <w:rPr>
          <w:rFonts w:ascii="Garamond" w:hAnsi="Garamond" w:cstheme="majorBidi"/>
          <w:color w:val="0D0D0D" w:themeColor="text1" w:themeTint="F2"/>
        </w:rPr>
        <w:t>ë</w:t>
      </w:r>
      <w:r w:rsidRPr="00770F9D">
        <w:rPr>
          <w:rFonts w:ascii="Garamond" w:hAnsi="Garamond" w:cstheme="majorBidi"/>
          <w:color w:val="0D0D0D" w:themeColor="text1" w:themeTint="F2"/>
        </w:rPr>
        <w:t xml:space="preserve"> dh</w:t>
      </w:r>
      <w:r w:rsidR="00552280" w:rsidRPr="00770F9D">
        <w:rPr>
          <w:rFonts w:ascii="Garamond" w:hAnsi="Garamond" w:cstheme="majorBidi"/>
          <w:color w:val="0D0D0D" w:themeColor="text1" w:themeTint="F2"/>
        </w:rPr>
        <w:t>ë</w:t>
      </w:r>
      <w:r w:rsidRPr="00770F9D">
        <w:rPr>
          <w:rFonts w:ascii="Garamond" w:hAnsi="Garamond" w:cstheme="majorBidi"/>
          <w:color w:val="0D0D0D" w:themeColor="text1" w:themeTint="F2"/>
        </w:rPr>
        <w:t xml:space="preserve">nat </w:t>
      </w:r>
      <w:r w:rsidR="00552280" w:rsidRPr="00770F9D">
        <w:rPr>
          <w:rFonts w:ascii="Garamond" w:hAnsi="Garamond" w:cstheme="majorBidi"/>
          <w:color w:val="0D0D0D" w:themeColor="text1" w:themeTint="F2"/>
        </w:rPr>
        <w:t>e kuadrit makroekono</w:t>
      </w:r>
      <w:r w:rsidRPr="00770F9D">
        <w:rPr>
          <w:rFonts w:ascii="Garamond" w:hAnsi="Garamond" w:cstheme="majorBidi"/>
          <w:color w:val="0D0D0D" w:themeColor="text1" w:themeTint="F2"/>
        </w:rPr>
        <w:t>mik dhe fiskal 2024–2026.</w:t>
      </w:r>
    </w:p>
    <w:p w14:paraId="6F9F0FEF" w14:textId="77777777" w:rsidR="00552280" w:rsidRPr="00770F9D" w:rsidRDefault="00552280" w:rsidP="003F46E1">
      <w:pPr>
        <w:ind w:firstLine="284"/>
        <w:jc w:val="both"/>
        <w:rPr>
          <w:rFonts w:ascii="Garamond" w:hAnsi="Garamond" w:cstheme="majorBidi"/>
          <w:color w:val="0D0D0D" w:themeColor="text1" w:themeTint="F2"/>
        </w:rPr>
      </w:pPr>
    </w:p>
    <w:p w14:paraId="3BE63838" w14:textId="66B2FD51" w:rsidR="00F468C9" w:rsidRPr="00770F9D" w:rsidRDefault="00552280" w:rsidP="00552280">
      <w:pPr>
        <w:ind w:firstLine="284"/>
        <w:jc w:val="center"/>
        <w:rPr>
          <w:rFonts w:ascii="Garamond" w:hAnsi="Garamond" w:cstheme="majorBidi"/>
          <w:i/>
          <w:iCs/>
          <w:color w:val="0D0D0D" w:themeColor="text1" w:themeTint="F2"/>
          <w:sz w:val="20"/>
          <w:szCs w:val="20"/>
        </w:rPr>
      </w:pPr>
      <w:r w:rsidRPr="00770F9D">
        <w:rPr>
          <w:rFonts w:ascii="Garamond" w:hAnsi="Garamond" w:cstheme="majorBidi"/>
          <w:noProof/>
          <w:color w:val="0D0D0D" w:themeColor="text1" w:themeTint="F2"/>
          <w:lang w:eastAsia="sq-AL"/>
        </w:rPr>
        <w:drawing>
          <wp:anchor distT="0" distB="0" distL="114300" distR="114300" simplePos="0" relativeHeight="251658281" behindDoc="0" locked="0" layoutInCell="1" allowOverlap="1" wp14:anchorId="28FF7A96" wp14:editId="41237E10">
            <wp:simplePos x="0" y="0"/>
            <wp:positionH relativeFrom="column">
              <wp:posOffset>-119380</wp:posOffset>
            </wp:positionH>
            <wp:positionV relativeFrom="paragraph">
              <wp:posOffset>191770</wp:posOffset>
            </wp:positionV>
            <wp:extent cx="6111240" cy="4406486"/>
            <wp:effectExtent l="0" t="0" r="3810" b="0"/>
            <wp:wrapTopAndBottom/>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11240" cy="4406486"/>
                    </a:xfrm>
                    <a:prstGeom prst="rect">
                      <a:avLst/>
                    </a:prstGeom>
                    <a:noFill/>
                    <a:ln>
                      <a:noFill/>
                    </a:ln>
                  </pic:spPr>
                </pic:pic>
              </a:graphicData>
            </a:graphic>
            <wp14:sizeRelH relativeFrom="page">
              <wp14:pctWidth>0</wp14:pctWidth>
            </wp14:sizeRelH>
            <wp14:sizeRelV relativeFrom="page">
              <wp14:pctHeight>0</wp14:pctHeight>
            </wp14:sizeRelV>
          </wp:anchor>
        </w:drawing>
      </w:r>
      <w:r w:rsidR="00F468C9" w:rsidRPr="00770F9D">
        <w:rPr>
          <w:rFonts w:ascii="Garamond" w:hAnsi="Garamond" w:cstheme="majorBidi"/>
          <w:b/>
          <w:bCs/>
          <w:i/>
          <w:iCs/>
          <w:color w:val="0D0D0D" w:themeColor="text1" w:themeTint="F2"/>
          <w:sz w:val="20"/>
          <w:szCs w:val="20"/>
        </w:rPr>
        <w:t>Tabelë 4.7.1A:</w:t>
      </w:r>
      <w:r w:rsidR="00F468C9" w:rsidRPr="00770F9D">
        <w:rPr>
          <w:rFonts w:ascii="Garamond" w:hAnsi="Garamond" w:cstheme="majorBidi"/>
          <w:i/>
          <w:iCs/>
          <w:color w:val="0D0D0D" w:themeColor="text1" w:themeTint="F2"/>
          <w:sz w:val="20"/>
          <w:szCs w:val="20"/>
        </w:rPr>
        <w:t xml:space="preserve"> Të ardhurat dhe </w:t>
      </w:r>
      <w:r w:rsidRPr="00770F9D">
        <w:rPr>
          <w:rFonts w:ascii="Garamond" w:hAnsi="Garamond" w:cstheme="majorBidi"/>
          <w:i/>
          <w:iCs/>
          <w:color w:val="0D0D0D" w:themeColor="text1" w:themeTint="F2"/>
          <w:sz w:val="20"/>
          <w:szCs w:val="20"/>
        </w:rPr>
        <w:t>shpenzimet</w:t>
      </w:r>
      <w:r w:rsidR="00F468C9" w:rsidRPr="00770F9D">
        <w:rPr>
          <w:rFonts w:ascii="Garamond" w:hAnsi="Garamond" w:cstheme="majorBidi"/>
          <w:i/>
          <w:iCs/>
          <w:color w:val="0D0D0D" w:themeColor="text1" w:themeTint="F2"/>
          <w:sz w:val="20"/>
          <w:szCs w:val="20"/>
        </w:rPr>
        <w:t xml:space="preserve"> kryesore për secilin skenar (miliard lek)</w:t>
      </w:r>
    </w:p>
    <w:p w14:paraId="0A079A15" w14:textId="2671616B" w:rsidR="00F468C9" w:rsidRPr="00770F9D" w:rsidRDefault="00F468C9" w:rsidP="00FB6FFC">
      <w:pPr>
        <w:ind w:firstLine="284"/>
        <w:jc w:val="center"/>
        <w:rPr>
          <w:rFonts w:ascii="Garamond" w:hAnsi="Garamond" w:cstheme="majorBidi"/>
          <w:color w:val="0D0D0D" w:themeColor="text1" w:themeTint="F2"/>
        </w:rPr>
      </w:pPr>
    </w:p>
    <w:p w14:paraId="1029060C" w14:textId="77777777" w:rsidR="00552280" w:rsidRPr="00770F9D" w:rsidRDefault="00552280" w:rsidP="00552280">
      <w:pPr>
        <w:ind w:firstLine="284"/>
        <w:jc w:val="center"/>
        <w:rPr>
          <w:rFonts w:ascii="Garamond" w:hAnsi="Garamond" w:cstheme="majorBidi"/>
          <w:b/>
          <w:bCs/>
          <w:color w:val="0D0D0D" w:themeColor="text1" w:themeTint="F2"/>
          <w:sz w:val="20"/>
          <w:szCs w:val="20"/>
        </w:rPr>
      </w:pPr>
    </w:p>
    <w:p w14:paraId="08BE0A20" w14:textId="77777777" w:rsidR="00552280" w:rsidRPr="00770F9D" w:rsidRDefault="00552280" w:rsidP="00552280">
      <w:pPr>
        <w:ind w:firstLine="284"/>
        <w:jc w:val="center"/>
        <w:rPr>
          <w:rFonts w:ascii="Garamond" w:hAnsi="Garamond" w:cstheme="majorBidi"/>
          <w:b/>
          <w:bCs/>
          <w:color w:val="0D0D0D" w:themeColor="text1" w:themeTint="F2"/>
          <w:sz w:val="20"/>
          <w:szCs w:val="20"/>
        </w:rPr>
      </w:pPr>
    </w:p>
    <w:p w14:paraId="2C059B4A" w14:textId="77777777" w:rsidR="00552280" w:rsidRPr="00770F9D" w:rsidRDefault="00552280" w:rsidP="00552280">
      <w:pPr>
        <w:ind w:firstLine="284"/>
        <w:jc w:val="center"/>
        <w:rPr>
          <w:rFonts w:ascii="Garamond" w:hAnsi="Garamond" w:cstheme="majorBidi"/>
          <w:b/>
          <w:bCs/>
          <w:color w:val="0D0D0D" w:themeColor="text1" w:themeTint="F2"/>
          <w:sz w:val="20"/>
          <w:szCs w:val="20"/>
        </w:rPr>
      </w:pPr>
    </w:p>
    <w:p w14:paraId="55AD17C8" w14:textId="77777777" w:rsidR="00552280" w:rsidRPr="00770F9D" w:rsidRDefault="00552280" w:rsidP="00552280">
      <w:pPr>
        <w:ind w:firstLine="284"/>
        <w:jc w:val="center"/>
        <w:rPr>
          <w:rFonts w:ascii="Garamond" w:hAnsi="Garamond" w:cstheme="majorBidi"/>
          <w:b/>
          <w:bCs/>
          <w:color w:val="0D0D0D" w:themeColor="text1" w:themeTint="F2"/>
          <w:sz w:val="20"/>
          <w:szCs w:val="20"/>
        </w:rPr>
      </w:pPr>
    </w:p>
    <w:p w14:paraId="6E8FB981" w14:textId="77777777" w:rsidR="00552280" w:rsidRPr="00770F9D" w:rsidRDefault="00552280" w:rsidP="00552280">
      <w:pPr>
        <w:ind w:firstLine="284"/>
        <w:jc w:val="center"/>
        <w:rPr>
          <w:rFonts w:ascii="Garamond" w:hAnsi="Garamond" w:cstheme="majorBidi"/>
          <w:b/>
          <w:bCs/>
          <w:color w:val="0D0D0D" w:themeColor="text1" w:themeTint="F2"/>
          <w:sz w:val="20"/>
          <w:szCs w:val="20"/>
        </w:rPr>
      </w:pPr>
    </w:p>
    <w:p w14:paraId="3039099F" w14:textId="77777777" w:rsidR="00552280" w:rsidRPr="00770F9D" w:rsidRDefault="00552280" w:rsidP="00552280">
      <w:pPr>
        <w:ind w:firstLine="284"/>
        <w:jc w:val="center"/>
        <w:rPr>
          <w:rFonts w:ascii="Garamond" w:hAnsi="Garamond" w:cstheme="majorBidi"/>
          <w:b/>
          <w:bCs/>
          <w:color w:val="0D0D0D" w:themeColor="text1" w:themeTint="F2"/>
          <w:sz w:val="20"/>
          <w:szCs w:val="20"/>
        </w:rPr>
      </w:pPr>
    </w:p>
    <w:p w14:paraId="16C30471" w14:textId="77777777" w:rsidR="00552280" w:rsidRPr="00770F9D" w:rsidRDefault="00552280" w:rsidP="00552280">
      <w:pPr>
        <w:ind w:firstLine="284"/>
        <w:jc w:val="center"/>
        <w:rPr>
          <w:rFonts w:ascii="Garamond" w:hAnsi="Garamond" w:cstheme="majorBidi"/>
          <w:b/>
          <w:bCs/>
          <w:color w:val="0D0D0D" w:themeColor="text1" w:themeTint="F2"/>
          <w:sz w:val="20"/>
          <w:szCs w:val="20"/>
        </w:rPr>
      </w:pPr>
    </w:p>
    <w:p w14:paraId="31A3D7F7" w14:textId="77777777" w:rsidR="00552280" w:rsidRPr="00770F9D" w:rsidRDefault="00552280" w:rsidP="00552280">
      <w:pPr>
        <w:ind w:firstLine="284"/>
        <w:jc w:val="center"/>
        <w:rPr>
          <w:rFonts w:ascii="Garamond" w:hAnsi="Garamond" w:cstheme="majorBidi"/>
          <w:b/>
          <w:bCs/>
          <w:color w:val="0D0D0D" w:themeColor="text1" w:themeTint="F2"/>
          <w:sz w:val="20"/>
          <w:szCs w:val="20"/>
        </w:rPr>
      </w:pPr>
    </w:p>
    <w:p w14:paraId="380B91A4" w14:textId="77777777" w:rsidR="00552280" w:rsidRPr="00770F9D" w:rsidRDefault="00552280" w:rsidP="00552280">
      <w:pPr>
        <w:ind w:firstLine="284"/>
        <w:jc w:val="center"/>
        <w:rPr>
          <w:rFonts w:ascii="Garamond" w:hAnsi="Garamond" w:cstheme="majorBidi"/>
          <w:b/>
          <w:bCs/>
          <w:color w:val="0D0D0D" w:themeColor="text1" w:themeTint="F2"/>
          <w:sz w:val="20"/>
          <w:szCs w:val="20"/>
        </w:rPr>
      </w:pPr>
    </w:p>
    <w:p w14:paraId="3C22B94A" w14:textId="77777777" w:rsidR="00552280" w:rsidRPr="00770F9D" w:rsidRDefault="00552280" w:rsidP="00552280">
      <w:pPr>
        <w:ind w:firstLine="284"/>
        <w:jc w:val="center"/>
        <w:rPr>
          <w:rFonts w:ascii="Garamond" w:hAnsi="Garamond" w:cstheme="majorBidi"/>
          <w:b/>
          <w:bCs/>
          <w:color w:val="0D0D0D" w:themeColor="text1" w:themeTint="F2"/>
          <w:sz w:val="20"/>
          <w:szCs w:val="20"/>
        </w:rPr>
      </w:pPr>
    </w:p>
    <w:p w14:paraId="6238F188" w14:textId="77777777" w:rsidR="00552280" w:rsidRPr="00770F9D" w:rsidRDefault="00552280" w:rsidP="00552280">
      <w:pPr>
        <w:ind w:firstLine="284"/>
        <w:jc w:val="center"/>
        <w:rPr>
          <w:rFonts w:ascii="Garamond" w:hAnsi="Garamond" w:cstheme="majorBidi"/>
          <w:b/>
          <w:bCs/>
          <w:color w:val="0D0D0D" w:themeColor="text1" w:themeTint="F2"/>
          <w:sz w:val="20"/>
          <w:szCs w:val="20"/>
        </w:rPr>
      </w:pPr>
    </w:p>
    <w:p w14:paraId="5ED1906F" w14:textId="77777777" w:rsidR="00552280" w:rsidRPr="00770F9D" w:rsidRDefault="00552280" w:rsidP="00552280">
      <w:pPr>
        <w:ind w:firstLine="284"/>
        <w:jc w:val="center"/>
        <w:rPr>
          <w:rFonts w:ascii="Garamond" w:hAnsi="Garamond" w:cstheme="majorBidi"/>
          <w:b/>
          <w:bCs/>
          <w:color w:val="0D0D0D" w:themeColor="text1" w:themeTint="F2"/>
          <w:sz w:val="20"/>
          <w:szCs w:val="20"/>
        </w:rPr>
      </w:pPr>
    </w:p>
    <w:p w14:paraId="70B4A5C9" w14:textId="77777777" w:rsidR="00552280" w:rsidRPr="00770F9D" w:rsidRDefault="00552280" w:rsidP="00552280">
      <w:pPr>
        <w:ind w:firstLine="284"/>
        <w:jc w:val="center"/>
        <w:rPr>
          <w:rFonts w:ascii="Garamond" w:hAnsi="Garamond" w:cstheme="majorBidi"/>
          <w:b/>
          <w:bCs/>
          <w:color w:val="0D0D0D" w:themeColor="text1" w:themeTint="F2"/>
          <w:sz w:val="20"/>
          <w:szCs w:val="20"/>
        </w:rPr>
      </w:pPr>
    </w:p>
    <w:p w14:paraId="57846681" w14:textId="77777777" w:rsidR="00552280" w:rsidRPr="00770F9D" w:rsidRDefault="00552280" w:rsidP="00552280">
      <w:pPr>
        <w:ind w:firstLine="284"/>
        <w:jc w:val="center"/>
        <w:rPr>
          <w:rFonts w:ascii="Garamond" w:hAnsi="Garamond" w:cstheme="majorBidi"/>
          <w:b/>
          <w:bCs/>
          <w:color w:val="0D0D0D" w:themeColor="text1" w:themeTint="F2"/>
          <w:sz w:val="20"/>
          <w:szCs w:val="20"/>
        </w:rPr>
      </w:pPr>
    </w:p>
    <w:p w14:paraId="4E3EE7EE" w14:textId="77777777" w:rsidR="00552280" w:rsidRPr="00770F9D" w:rsidRDefault="00552280" w:rsidP="00552280">
      <w:pPr>
        <w:ind w:firstLine="284"/>
        <w:jc w:val="center"/>
        <w:rPr>
          <w:rFonts w:ascii="Garamond" w:hAnsi="Garamond" w:cstheme="majorBidi"/>
          <w:b/>
          <w:bCs/>
          <w:color w:val="0D0D0D" w:themeColor="text1" w:themeTint="F2"/>
          <w:sz w:val="20"/>
          <w:szCs w:val="20"/>
        </w:rPr>
      </w:pPr>
    </w:p>
    <w:p w14:paraId="6AA8B2D6" w14:textId="77777777" w:rsidR="00552280" w:rsidRPr="00770F9D" w:rsidRDefault="00552280" w:rsidP="00552280">
      <w:pPr>
        <w:ind w:firstLine="284"/>
        <w:jc w:val="center"/>
        <w:rPr>
          <w:rFonts w:ascii="Garamond" w:hAnsi="Garamond" w:cstheme="majorBidi"/>
          <w:b/>
          <w:bCs/>
          <w:color w:val="0D0D0D" w:themeColor="text1" w:themeTint="F2"/>
          <w:sz w:val="20"/>
          <w:szCs w:val="20"/>
        </w:rPr>
      </w:pPr>
    </w:p>
    <w:p w14:paraId="4255EBB3" w14:textId="77777777" w:rsidR="00552280" w:rsidRPr="00770F9D" w:rsidRDefault="00552280" w:rsidP="00552280">
      <w:pPr>
        <w:ind w:firstLine="284"/>
        <w:jc w:val="center"/>
        <w:rPr>
          <w:rFonts w:ascii="Garamond" w:hAnsi="Garamond" w:cstheme="majorBidi"/>
          <w:b/>
          <w:bCs/>
          <w:color w:val="0D0D0D" w:themeColor="text1" w:themeTint="F2"/>
          <w:sz w:val="20"/>
          <w:szCs w:val="20"/>
        </w:rPr>
      </w:pPr>
    </w:p>
    <w:p w14:paraId="347BBC2D" w14:textId="77777777" w:rsidR="00552280" w:rsidRPr="00770F9D" w:rsidRDefault="00552280" w:rsidP="00552280">
      <w:pPr>
        <w:ind w:firstLine="284"/>
        <w:jc w:val="center"/>
        <w:rPr>
          <w:rFonts w:ascii="Garamond" w:hAnsi="Garamond" w:cstheme="majorBidi"/>
          <w:b/>
          <w:bCs/>
          <w:color w:val="0D0D0D" w:themeColor="text1" w:themeTint="F2"/>
          <w:sz w:val="20"/>
          <w:szCs w:val="20"/>
        </w:rPr>
      </w:pPr>
    </w:p>
    <w:p w14:paraId="2AE32C10" w14:textId="77777777" w:rsidR="00552280" w:rsidRPr="00770F9D" w:rsidRDefault="00552280" w:rsidP="00552280">
      <w:pPr>
        <w:ind w:firstLine="284"/>
        <w:jc w:val="center"/>
        <w:rPr>
          <w:rFonts w:ascii="Garamond" w:hAnsi="Garamond" w:cstheme="majorBidi"/>
          <w:b/>
          <w:bCs/>
          <w:color w:val="0D0D0D" w:themeColor="text1" w:themeTint="F2"/>
          <w:sz w:val="20"/>
          <w:szCs w:val="20"/>
        </w:rPr>
      </w:pPr>
    </w:p>
    <w:p w14:paraId="67626FB0" w14:textId="77777777" w:rsidR="00552280" w:rsidRPr="00770F9D" w:rsidRDefault="00552280" w:rsidP="00552280">
      <w:pPr>
        <w:ind w:firstLine="284"/>
        <w:jc w:val="center"/>
        <w:rPr>
          <w:rFonts w:ascii="Garamond" w:hAnsi="Garamond" w:cstheme="majorBidi"/>
          <w:b/>
          <w:bCs/>
          <w:color w:val="0D0D0D" w:themeColor="text1" w:themeTint="F2"/>
          <w:sz w:val="20"/>
          <w:szCs w:val="20"/>
        </w:rPr>
      </w:pPr>
    </w:p>
    <w:p w14:paraId="77021E98" w14:textId="77777777" w:rsidR="00552280" w:rsidRPr="00770F9D" w:rsidRDefault="00552280" w:rsidP="00552280">
      <w:pPr>
        <w:ind w:firstLine="284"/>
        <w:jc w:val="center"/>
        <w:rPr>
          <w:rFonts w:ascii="Garamond" w:hAnsi="Garamond" w:cstheme="majorBidi"/>
          <w:b/>
          <w:bCs/>
          <w:color w:val="0D0D0D" w:themeColor="text1" w:themeTint="F2"/>
          <w:sz w:val="20"/>
          <w:szCs w:val="20"/>
        </w:rPr>
      </w:pPr>
    </w:p>
    <w:p w14:paraId="2B0847E1" w14:textId="77777777" w:rsidR="00552280" w:rsidRPr="00770F9D" w:rsidRDefault="00552280" w:rsidP="00552280">
      <w:pPr>
        <w:ind w:firstLine="284"/>
        <w:jc w:val="center"/>
        <w:rPr>
          <w:rFonts w:ascii="Garamond" w:hAnsi="Garamond" w:cstheme="majorBidi"/>
          <w:b/>
          <w:bCs/>
          <w:color w:val="0D0D0D" w:themeColor="text1" w:themeTint="F2"/>
          <w:sz w:val="20"/>
          <w:szCs w:val="20"/>
        </w:rPr>
      </w:pPr>
    </w:p>
    <w:p w14:paraId="3E7F44FD" w14:textId="77777777" w:rsidR="00552280" w:rsidRPr="00770F9D" w:rsidRDefault="00552280" w:rsidP="00552280">
      <w:pPr>
        <w:ind w:firstLine="284"/>
        <w:jc w:val="center"/>
        <w:rPr>
          <w:rFonts w:ascii="Garamond" w:hAnsi="Garamond" w:cstheme="majorBidi"/>
          <w:b/>
          <w:bCs/>
          <w:color w:val="0D0D0D" w:themeColor="text1" w:themeTint="F2"/>
          <w:sz w:val="20"/>
          <w:szCs w:val="20"/>
        </w:rPr>
      </w:pPr>
    </w:p>
    <w:p w14:paraId="477C2021" w14:textId="77777777" w:rsidR="00552280" w:rsidRPr="00770F9D" w:rsidRDefault="00552280" w:rsidP="00552280">
      <w:pPr>
        <w:ind w:firstLine="284"/>
        <w:jc w:val="center"/>
        <w:rPr>
          <w:rFonts w:ascii="Garamond" w:hAnsi="Garamond" w:cstheme="majorBidi"/>
          <w:b/>
          <w:bCs/>
          <w:color w:val="0D0D0D" w:themeColor="text1" w:themeTint="F2"/>
          <w:sz w:val="20"/>
          <w:szCs w:val="20"/>
        </w:rPr>
      </w:pPr>
    </w:p>
    <w:p w14:paraId="3B025CDC" w14:textId="77777777" w:rsidR="00552280" w:rsidRPr="00770F9D" w:rsidRDefault="00552280" w:rsidP="00552280">
      <w:pPr>
        <w:ind w:firstLine="284"/>
        <w:jc w:val="center"/>
        <w:rPr>
          <w:rFonts w:ascii="Garamond" w:hAnsi="Garamond" w:cstheme="majorBidi"/>
          <w:b/>
          <w:bCs/>
          <w:color w:val="0D0D0D" w:themeColor="text1" w:themeTint="F2"/>
          <w:sz w:val="20"/>
          <w:szCs w:val="20"/>
        </w:rPr>
      </w:pPr>
    </w:p>
    <w:p w14:paraId="7AF7DD69" w14:textId="77777777" w:rsidR="00552280" w:rsidRPr="00770F9D" w:rsidRDefault="00552280" w:rsidP="00552280">
      <w:pPr>
        <w:ind w:firstLine="284"/>
        <w:jc w:val="center"/>
        <w:rPr>
          <w:rFonts w:ascii="Garamond" w:hAnsi="Garamond" w:cstheme="majorBidi"/>
          <w:b/>
          <w:bCs/>
          <w:color w:val="0D0D0D" w:themeColor="text1" w:themeTint="F2"/>
          <w:sz w:val="20"/>
          <w:szCs w:val="20"/>
        </w:rPr>
      </w:pPr>
    </w:p>
    <w:p w14:paraId="250746CA" w14:textId="77777777" w:rsidR="00552280" w:rsidRPr="00770F9D" w:rsidRDefault="00552280" w:rsidP="00552280">
      <w:pPr>
        <w:ind w:firstLine="284"/>
        <w:jc w:val="center"/>
        <w:rPr>
          <w:rFonts w:ascii="Garamond" w:hAnsi="Garamond" w:cstheme="majorBidi"/>
          <w:b/>
          <w:bCs/>
          <w:color w:val="0D0D0D" w:themeColor="text1" w:themeTint="F2"/>
          <w:sz w:val="20"/>
          <w:szCs w:val="20"/>
        </w:rPr>
      </w:pPr>
    </w:p>
    <w:p w14:paraId="400D4371" w14:textId="23337C37" w:rsidR="00F468C9" w:rsidRPr="00770F9D" w:rsidRDefault="00F468C9" w:rsidP="00552280">
      <w:pPr>
        <w:ind w:firstLine="284"/>
        <w:jc w:val="center"/>
        <w:rPr>
          <w:rFonts w:ascii="Garamond" w:hAnsi="Garamond" w:cstheme="majorBidi"/>
          <w:color w:val="0D0D0D" w:themeColor="text1" w:themeTint="F2"/>
          <w:sz w:val="20"/>
          <w:szCs w:val="20"/>
        </w:rPr>
      </w:pPr>
      <w:r w:rsidRPr="00770F9D">
        <w:rPr>
          <w:rFonts w:ascii="Garamond" w:hAnsi="Garamond" w:cstheme="majorBidi"/>
          <w:b/>
          <w:bCs/>
          <w:color w:val="0D0D0D" w:themeColor="text1" w:themeTint="F2"/>
          <w:sz w:val="20"/>
          <w:szCs w:val="20"/>
        </w:rPr>
        <w:t>Tabelë 4.7.1B:</w:t>
      </w:r>
      <w:r w:rsidRPr="00770F9D">
        <w:rPr>
          <w:rFonts w:ascii="Garamond" w:hAnsi="Garamond" w:cstheme="majorBidi"/>
          <w:color w:val="0D0D0D" w:themeColor="text1" w:themeTint="F2"/>
          <w:sz w:val="20"/>
          <w:szCs w:val="20"/>
        </w:rPr>
        <w:t xml:space="preserve"> Parametrat kryesorë fiskalë dhe zërat e financimit për secilin skenar (miliard lek)</w:t>
      </w:r>
    </w:p>
    <w:p w14:paraId="57E12908" w14:textId="77777777" w:rsidR="00F468C9" w:rsidRPr="00770F9D" w:rsidRDefault="00F468C9" w:rsidP="00FB6FFC">
      <w:pPr>
        <w:ind w:firstLine="284"/>
        <w:jc w:val="center"/>
        <w:rPr>
          <w:rFonts w:ascii="Garamond" w:hAnsi="Garamond" w:cstheme="majorBidi"/>
          <w:color w:val="0D0D0D" w:themeColor="text1" w:themeTint="F2"/>
        </w:rPr>
      </w:pPr>
      <w:r w:rsidRPr="00770F9D">
        <w:rPr>
          <w:rFonts w:ascii="Garamond" w:hAnsi="Garamond" w:cstheme="majorBidi"/>
          <w:noProof/>
          <w:color w:val="0D0D0D" w:themeColor="text1" w:themeTint="F2"/>
          <w:lang w:eastAsia="sq-AL"/>
        </w:rPr>
        <w:drawing>
          <wp:anchor distT="0" distB="0" distL="114300" distR="114300" simplePos="0" relativeHeight="251658282" behindDoc="0" locked="0" layoutInCell="1" allowOverlap="1" wp14:anchorId="05B74318" wp14:editId="782FB541">
            <wp:simplePos x="0" y="0"/>
            <wp:positionH relativeFrom="column">
              <wp:posOffset>-164029</wp:posOffset>
            </wp:positionH>
            <wp:positionV relativeFrom="paragraph">
              <wp:posOffset>522</wp:posOffset>
            </wp:positionV>
            <wp:extent cx="6111240" cy="7153880"/>
            <wp:effectExtent l="0" t="0" r="3810" b="9525"/>
            <wp:wrapTopAndBottom/>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111240" cy="7153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EFEFB8" w14:textId="77777777" w:rsidR="00F468C9" w:rsidRPr="00770F9D" w:rsidRDefault="00F468C9" w:rsidP="005674F2">
      <w:pPr>
        <w:ind w:firstLine="284"/>
        <w:jc w:val="both"/>
        <w:rPr>
          <w:rFonts w:ascii="Garamond" w:hAnsi="Garamond" w:cstheme="majorBidi"/>
          <w:color w:val="0D0D0D" w:themeColor="text1" w:themeTint="F2"/>
        </w:rPr>
      </w:pPr>
    </w:p>
    <w:p w14:paraId="47E68D41" w14:textId="5713A640" w:rsidR="00F468C9" w:rsidRPr="00770F9D" w:rsidRDefault="00F468C9" w:rsidP="00552280">
      <w:pPr>
        <w:ind w:firstLine="284"/>
        <w:jc w:val="center"/>
        <w:rPr>
          <w:rFonts w:ascii="Garamond" w:hAnsi="Garamond" w:cstheme="majorBidi"/>
          <w:color w:val="0D0D0D" w:themeColor="text1" w:themeTint="F2"/>
        </w:rPr>
      </w:pPr>
      <w:r w:rsidRPr="00770F9D">
        <w:rPr>
          <w:rFonts w:ascii="Garamond" w:hAnsi="Garamond" w:cstheme="majorBidi"/>
          <w:b/>
          <w:bCs/>
          <w:i/>
          <w:iCs/>
          <w:color w:val="0D0D0D" w:themeColor="text1" w:themeTint="F2"/>
          <w:sz w:val="20"/>
          <w:szCs w:val="20"/>
        </w:rPr>
        <w:t>Tabelë 4.7.2A</w:t>
      </w:r>
      <w:r w:rsidR="00552280" w:rsidRPr="00770F9D">
        <w:rPr>
          <w:rFonts w:ascii="Garamond" w:hAnsi="Garamond" w:cstheme="majorBidi"/>
          <w:b/>
          <w:bCs/>
          <w:i/>
          <w:iCs/>
          <w:color w:val="0D0D0D" w:themeColor="text1" w:themeTint="F2"/>
          <w:sz w:val="20"/>
          <w:szCs w:val="20"/>
        </w:rPr>
        <w:t>:</w:t>
      </w:r>
      <w:r w:rsidRPr="00770F9D">
        <w:rPr>
          <w:rFonts w:ascii="Garamond" w:hAnsi="Garamond" w:cstheme="majorBidi"/>
          <w:i/>
          <w:iCs/>
          <w:color w:val="0D0D0D" w:themeColor="text1" w:themeTint="F2"/>
          <w:sz w:val="20"/>
          <w:szCs w:val="20"/>
        </w:rPr>
        <w:t xml:space="preserve"> Të ardhurat dhe shpenzimet</w:t>
      </w:r>
      <w:r w:rsidR="00552280" w:rsidRPr="00770F9D">
        <w:rPr>
          <w:rFonts w:ascii="Garamond" w:hAnsi="Garamond" w:cstheme="majorBidi"/>
          <w:color w:val="0D0D0D" w:themeColor="text1" w:themeTint="F2"/>
        </w:rPr>
        <w:t xml:space="preserve"> </w:t>
      </w:r>
      <w:r w:rsidR="00552280" w:rsidRPr="00770F9D">
        <w:rPr>
          <w:rFonts w:ascii="Garamond" w:hAnsi="Garamond" w:cstheme="majorBidi"/>
          <w:i/>
          <w:iCs/>
          <w:color w:val="0D0D0D" w:themeColor="text1" w:themeTint="F2"/>
          <w:sz w:val="20"/>
          <w:szCs w:val="20"/>
        </w:rPr>
        <w:t>kryesore për secilin skenar (% e PBB-së)</w:t>
      </w:r>
      <w:r w:rsidR="00552280" w:rsidRPr="00770F9D">
        <w:rPr>
          <w:rFonts w:ascii="Garamond" w:hAnsi="Garamond" w:cstheme="majorBidi"/>
          <w:noProof/>
          <w:color w:val="0D0D0D" w:themeColor="text1" w:themeTint="F2"/>
          <w:lang w:eastAsia="sq-AL"/>
        </w:rPr>
        <w:drawing>
          <wp:inline distT="0" distB="0" distL="0" distR="0" wp14:anchorId="5FCDEA7D" wp14:editId="028C62E0">
            <wp:extent cx="5760085" cy="3930432"/>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760085" cy="3930432"/>
                    </a:xfrm>
                    <a:prstGeom prst="rect">
                      <a:avLst/>
                    </a:prstGeom>
                    <a:noFill/>
                    <a:ln>
                      <a:noFill/>
                    </a:ln>
                  </pic:spPr>
                </pic:pic>
              </a:graphicData>
            </a:graphic>
          </wp:inline>
        </w:drawing>
      </w:r>
      <w:r w:rsidRPr="00770F9D">
        <w:rPr>
          <w:rFonts w:ascii="Garamond" w:hAnsi="Garamond" w:cstheme="majorBidi"/>
          <w:color w:val="0D0D0D" w:themeColor="text1" w:themeTint="F2"/>
        </w:rPr>
        <w:t xml:space="preserve"> </w:t>
      </w:r>
    </w:p>
    <w:p w14:paraId="27C9DB9C" w14:textId="77777777" w:rsidR="00F468C9" w:rsidRPr="00770F9D" w:rsidRDefault="00F468C9" w:rsidP="005674F2">
      <w:pPr>
        <w:ind w:firstLine="284"/>
        <w:jc w:val="both"/>
        <w:rPr>
          <w:rFonts w:ascii="Garamond" w:hAnsi="Garamond" w:cstheme="majorBidi"/>
          <w:color w:val="0D0D0D" w:themeColor="text1" w:themeTint="F2"/>
        </w:rPr>
      </w:pPr>
    </w:p>
    <w:p w14:paraId="007FEC77"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643BC688"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778D9370"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6FA2838B"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5825BBC6"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60540C5D"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143572C5"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1F6BC9A0"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23C23ABA"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3D3D2B8A"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43B42A2E"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613DEFCA"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46CEAAF6"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604FE9B3"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51DF8367"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324AFFEC"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3F9FCEF4"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74940963"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20B44848"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727F1504"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537D3A29"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0D09C9E4"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5D40D7D8"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30996DF3"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0BE20661"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29AEF91D"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2B64B1EA"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0BB203B0"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1B334C2B"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38559D33"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10C0A30C" w14:textId="77777777" w:rsidR="00552280" w:rsidRPr="00770F9D" w:rsidRDefault="00552280" w:rsidP="00552280">
      <w:pPr>
        <w:ind w:firstLine="284"/>
        <w:jc w:val="center"/>
        <w:rPr>
          <w:rFonts w:ascii="Garamond" w:hAnsi="Garamond" w:cstheme="majorBidi"/>
          <w:b/>
          <w:bCs/>
          <w:i/>
          <w:iCs/>
          <w:color w:val="0D0D0D" w:themeColor="text1" w:themeTint="F2"/>
          <w:sz w:val="20"/>
          <w:szCs w:val="20"/>
        </w:rPr>
      </w:pPr>
    </w:p>
    <w:p w14:paraId="7B6F6D76" w14:textId="75B1F0E1" w:rsidR="00F468C9" w:rsidRPr="00770F9D" w:rsidRDefault="00552280" w:rsidP="00552280">
      <w:pPr>
        <w:ind w:firstLine="284"/>
        <w:jc w:val="center"/>
        <w:rPr>
          <w:rFonts w:ascii="Garamond" w:hAnsi="Garamond" w:cstheme="majorBidi"/>
          <w:i/>
          <w:iCs/>
          <w:color w:val="0D0D0D" w:themeColor="text1" w:themeTint="F2"/>
          <w:sz w:val="20"/>
          <w:szCs w:val="20"/>
        </w:rPr>
      </w:pPr>
      <w:r w:rsidRPr="00770F9D">
        <w:rPr>
          <w:rFonts w:ascii="Garamond" w:hAnsi="Garamond" w:cstheme="majorBidi"/>
          <w:noProof/>
          <w:color w:val="0D0D0D" w:themeColor="text1" w:themeTint="F2"/>
          <w:lang w:eastAsia="sq-AL"/>
        </w:rPr>
        <w:drawing>
          <wp:anchor distT="0" distB="0" distL="114300" distR="114300" simplePos="0" relativeHeight="251658283" behindDoc="0" locked="0" layoutInCell="1" allowOverlap="1" wp14:anchorId="04CE7B95" wp14:editId="4CBCB142">
            <wp:simplePos x="0" y="0"/>
            <wp:positionH relativeFrom="column">
              <wp:posOffset>-41199</wp:posOffset>
            </wp:positionH>
            <wp:positionV relativeFrom="paragraph">
              <wp:posOffset>143510</wp:posOffset>
            </wp:positionV>
            <wp:extent cx="6111240" cy="7153880"/>
            <wp:effectExtent l="0" t="0" r="3810" b="9525"/>
            <wp:wrapTopAndBottom/>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11240" cy="7153880"/>
                    </a:xfrm>
                    <a:prstGeom prst="rect">
                      <a:avLst/>
                    </a:prstGeom>
                    <a:noFill/>
                    <a:ln>
                      <a:noFill/>
                    </a:ln>
                  </pic:spPr>
                </pic:pic>
              </a:graphicData>
            </a:graphic>
            <wp14:sizeRelH relativeFrom="page">
              <wp14:pctWidth>0</wp14:pctWidth>
            </wp14:sizeRelH>
            <wp14:sizeRelV relativeFrom="page">
              <wp14:pctHeight>0</wp14:pctHeight>
            </wp14:sizeRelV>
          </wp:anchor>
        </w:drawing>
      </w:r>
      <w:r w:rsidR="00F468C9" w:rsidRPr="00770F9D">
        <w:rPr>
          <w:rFonts w:ascii="Garamond" w:hAnsi="Garamond" w:cstheme="majorBidi"/>
          <w:b/>
          <w:bCs/>
          <w:i/>
          <w:iCs/>
          <w:color w:val="0D0D0D" w:themeColor="text1" w:themeTint="F2"/>
          <w:sz w:val="20"/>
          <w:szCs w:val="20"/>
        </w:rPr>
        <w:t>Tabelë 4.7.2B:</w:t>
      </w:r>
      <w:r w:rsidR="00F468C9" w:rsidRPr="00770F9D">
        <w:rPr>
          <w:rFonts w:ascii="Garamond" w:hAnsi="Garamond" w:cstheme="majorBidi"/>
          <w:i/>
          <w:iCs/>
          <w:color w:val="0D0D0D" w:themeColor="text1" w:themeTint="F2"/>
          <w:sz w:val="20"/>
          <w:szCs w:val="20"/>
        </w:rPr>
        <w:t xml:space="preserve"> Parametrat kryesorë fiskalë dhe zërat e financimit në secilin skenar (% e PBB-së)</w:t>
      </w:r>
    </w:p>
    <w:p w14:paraId="7CC7315D" w14:textId="7BCCAA65" w:rsidR="00F468C9" w:rsidRPr="00770F9D" w:rsidRDefault="00F468C9" w:rsidP="00FB6FFC">
      <w:pPr>
        <w:ind w:firstLine="284"/>
        <w:jc w:val="center"/>
        <w:rPr>
          <w:rFonts w:ascii="Garamond" w:hAnsi="Garamond" w:cstheme="majorBidi"/>
          <w:color w:val="0D0D0D" w:themeColor="text1" w:themeTint="F2"/>
        </w:rPr>
      </w:pPr>
    </w:p>
    <w:p w14:paraId="00BDB367" w14:textId="77777777" w:rsidR="00F468C9" w:rsidRPr="00770F9D" w:rsidRDefault="00F468C9" w:rsidP="005674F2">
      <w:pPr>
        <w:ind w:firstLine="284"/>
        <w:rPr>
          <w:rFonts w:ascii="Garamond" w:hAnsi="Garamond" w:cstheme="majorBidi"/>
          <w:color w:val="0D0D0D" w:themeColor="text1" w:themeTint="F2"/>
        </w:rPr>
      </w:pPr>
    </w:p>
    <w:p w14:paraId="4DE5A663" w14:textId="7509C602" w:rsidR="00F468C9" w:rsidRPr="00770F9D" w:rsidRDefault="00FB6FFC" w:rsidP="003F46E1">
      <w:pPr>
        <w:pStyle w:val="Heading2"/>
        <w:snapToGrid w:val="0"/>
        <w:ind w:left="0" w:firstLine="284"/>
        <w:jc w:val="both"/>
        <w:rPr>
          <w:rFonts w:ascii="Garamond" w:hAnsi="Garamond" w:cstheme="majorBidi"/>
          <w:b/>
          <w:color w:val="0D0D0D" w:themeColor="text1" w:themeTint="F2"/>
        </w:rPr>
      </w:pPr>
      <w:bookmarkStart w:id="42" w:name="_Toc126050952"/>
      <w:r w:rsidRPr="00770F9D">
        <w:rPr>
          <w:rFonts w:ascii="Garamond" w:hAnsi="Garamond" w:cstheme="majorBidi"/>
          <w:b/>
          <w:color w:val="0D0D0D" w:themeColor="text1" w:themeTint="F2"/>
        </w:rPr>
        <w:t>4</w:t>
      </w:r>
      <w:r w:rsidR="00072546" w:rsidRPr="00770F9D">
        <w:rPr>
          <w:rFonts w:ascii="Garamond" w:hAnsi="Garamond" w:cstheme="majorBidi"/>
          <w:b/>
          <w:color w:val="0D0D0D" w:themeColor="text1" w:themeTint="F2"/>
        </w:rPr>
        <w:t xml:space="preserve">.8 </w:t>
      </w:r>
      <w:r w:rsidR="00F468C9" w:rsidRPr="00770F9D">
        <w:rPr>
          <w:rFonts w:ascii="Garamond" w:hAnsi="Garamond" w:cstheme="majorBidi"/>
          <w:b/>
          <w:color w:val="0D0D0D" w:themeColor="text1" w:themeTint="F2"/>
        </w:rPr>
        <w:t>Cilësia e financave publike</w:t>
      </w:r>
      <w:bookmarkEnd w:id="42"/>
    </w:p>
    <w:p w14:paraId="7E2CEFFA" w14:textId="4E9C6036"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Cilësia e financave publike në Shqipëri ka </w:t>
      </w:r>
      <w:r w:rsidR="00552280" w:rsidRPr="00770F9D">
        <w:rPr>
          <w:rFonts w:ascii="Garamond" w:hAnsi="Garamond" w:cstheme="majorBidi"/>
          <w:color w:val="0D0D0D" w:themeColor="text1" w:themeTint="F2"/>
        </w:rPr>
        <w:t>qenë</w:t>
      </w:r>
      <w:r w:rsidRPr="00770F9D">
        <w:rPr>
          <w:rFonts w:ascii="Garamond" w:hAnsi="Garamond" w:cstheme="majorBidi"/>
          <w:color w:val="0D0D0D" w:themeColor="text1" w:themeTint="F2"/>
        </w:rPr>
        <w:t xml:space="preserve"> në proces reformimi duke filluar nga viti 2014, me miratimin e Strategjisë së Menaxhimit të Financave Publike (MFP) 2014</w:t>
      </w:r>
      <w:r w:rsidR="00552280" w:rsidRPr="00770F9D">
        <w:rPr>
          <w:rFonts w:ascii="Garamond" w:hAnsi="Garamond" w:cstheme="majorBidi"/>
          <w:color w:val="0D0D0D" w:themeColor="text1" w:themeTint="F2"/>
        </w:rPr>
        <w:t>–</w:t>
      </w:r>
      <w:r w:rsidRPr="00770F9D">
        <w:rPr>
          <w:rFonts w:ascii="Garamond" w:hAnsi="Garamond" w:cstheme="majorBidi"/>
          <w:color w:val="0D0D0D" w:themeColor="text1" w:themeTint="F2"/>
        </w:rPr>
        <w:t>2020, ndjekur nga Strategjia e MFP 2019</w:t>
      </w:r>
      <w:r w:rsidR="00552280" w:rsidRPr="00770F9D">
        <w:rPr>
          <w:rFonts w:ascii="Garamond" w:hAnsi="Garamond" w:cstheme="majorBidi"/>
          <w:color w:val="0D0D0D" w:themeColor="text1" w:themeTint="F2"/>
        </w:rPr>
        <w:t>–</w:t>
      </w:r>
      <w:r w:rsidRPr="00770F9D">
        <w:rPr>
          <w:rFonts w:ascii="Garamond" w:hAnsi="Garamond" w:cstheme="majorBidi"/>
          <w:color w:val="0D0D0D" w:themeColor="text1" w:themeTint="F2"/>
        </w:rPr>
        <w:t>2022. Përmirësimet e financave publike ndër vite dëshmojnë ecurinë e reformës gjatë këtyre viteve. Strategjia e rishikuar e MFP-së 2019</w:t>
      </w:r>
      <w:r w:rsidR="00552280" w:rsidRPr="00770F9D">
        <w:rPr>
          <w:rFonts w:ascii="Garamond" w:hAnsi="Garamond" w:cstheme="majorBidi"/>
          <w:color w:val="0D0D0D" w:themeColor="text1" w:themeTint="F2"/>
        </w:rPr>
        <w:t>–</w:t>
      </w:r>
      <w:r w:rsidRPr="00770F9D">
        <w:rPr>
          <w:rFonts w:ascii="Garamond" w:hAnsi="Garamond" w:cstheme="majorBidi"/>
          <w:color w:val="0D0D0D" w:themeColor="text1" w:themeTint="F2"/>
        </w:rPr>
        <w:t>2022 adreson një sërë sfidash që vendi ynë duhet të trajtojë në rrugën e tij drejt Bashkimit Evropian. Strategjia e MFP-së synon të mbështesë një ekonomi më të zhvilluar, me shërbime më të mira për qytetarët; synon rritjen e përgjegjshmërisë, efi</w:t>
      </w:r>
      <w:r w:rsidR="00A565FF" w:rsidRPr="00770F9D">
        <w:rPr>
          <w:rFonts w:ascii="Garamond" w:hAnsi="Garamond" w:cstheme="majorBidi"/>
          <w:color w:val="0D0D0D" w:themeColor="text1" w:themeTint="F2"/>
        </w:rPr>
        <w:t>ci</w:t>
      </w:r>
      <w:r w:rsidRPr="00770F9D">
        <w:rPr>
          <w:rFonts w:ascii="Garamond" w:hAnsi="Garamond" w:cstheme="majorBidi"/>
          <w:color w:val="0D0D0D" w:themeColor="text1" w:themeTint="F2"/>
        </w:rPr>
        <w:t xml:space="preserve">encës dhe disiplinës fiskale në planifikimin dhe shpenzimin e fondeve publike. Me mbështetjen e kësaj </w:t>
      </w:r>
      <w:r w:rsidR="00125690" w:rsidRPr="00770F9D">
        <w:rPr>
          <w:rFonts w:ascii="Garamond" w:hAnsi="Garamond" w:cstheme="majorBidi"/>
          <w:color w:val="0D0D0D" w:themeColor="text1" w:themeTint="F2"/>
        </w:rPr>
        <w:t>strategjie</w:t>
      </w:r>
      <w:r w:rsidRPr="00770F9D">
        <w:rPr>
          <w:rFonts w:ascii="Garamond" w:hAnsi="Garamond" w:cstheme="majorBidi"/>
          <w:color w:val="0D0D0D" w:themeColor="text1" w:themeTint="F2"/>
        </w:rPr>
        <w:t xml:space="preserve">, qeveria shqiptare pret të përmirësojë buxhetimin me bazë gjinore dhe në këtë mënyrë të ndërmarrë një hap të prekshëm në rritjen e mundësive të barabarta mes meshkujve dhe femrave për zhvillimin e vendit tonë dhe për transformimin shoqëror. Strategjia i mundëson qeverisjes vendore të ofrojë shërbime më të mira dhe më transparente për qytetarët dhe u jep atyre mundësinë të kenë fjalën e tyre në planifikimin dhe shpenzimin e parave publike, përgjegjshmërinë, efikasitetin dhe disiplinën fiskale në planifikimin dhe shpenzimin e fondeve publike. </w:t>
      </w:r>
    </w:p>
    <w:p w14:paraId="077D08BA" w14:textId="0ABF5FB2"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Vizioni i Strategjisë së reformës së MFP-së është garantimi i një sistemi të financave publike që rrit transparencën, llogaridhënien, disiplinën fiskale dhe efi</w:t>
      </w:r>
      <w:r w:rsidR="00EF6C81" w:rsidRPr="00770F9D">
        <w:rPr>
          <w:rFonts w:ascii="Garamond" w:hAnsi="Garamond" w:cstheme="majorBidi"/>
          <w:color w:val="0D0D0D" w:themeColor="text1" w:themeTint="F2"/>
        </w:rPr>
        <w:t>c</w:t>
      </w:r>
      <w:r w:rsidRPr="00770F9D">
        <w:rPr>
          <w:rFonts w:ascii="Garamond" w:hAnsi="Garamond" w:cstheme="majorBidi"/>
          <w:color w:val="0D0D0D" w:themeColor="text1" w:themeTint="F2"/>
        </w:rPr>
        <w:t>iencën në menaxhimin dhe përdorimin e burimeve publike për përmirësimin e cilësisë së ofrimit të shërbimeve dhe zhvillimin ekonomik.</w:t>
      </w:r>
    </w:p>
    <w:p w14:paraId="28A85667" w14:textId="77777777"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Ministria e Financave dhe Ekonomisë po punon për futjen e standardeve të reja për rritjen e transparencës në planifikimin dhe shpenzimin e fondeve publike. Kjo strategji do të shërbejë si bazë për një angazhim të plotë për përmirësimin e administratës fiskale, mbledhjen e taksave dhe reduktimin e informalitetit në ekonomi. Strategjia parashikon një sistem të përmirësuar të menaxhimit financiar, në përputhje me kuadrin ligjor dhe shkallë më të lartë të kontrollit mbi shpenzimet publike. </w:t>
      </w:r>
    </w:p>
    <w:p w14:paraId="0033D653" w14:textId="0013327A"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Gjatë vitit 2020, Ministria e Financave dhe Ekonomisë, ndërmori një proces rishikimi për të përditësuar Planin e Veprimit të MFP-së 2020</w:t>
      </w:r>
      <w:r w:rsidR="00EF6C81"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2022. Qëllimi i rishikimit ishte të merrte parasysh ndikimin negativ të tërmetit dhe pandemisë </w:t>
      </w:r>
      <w:r w:rsidR="00EF6C81" w:rsidRPr="00770F9D">
        <w:rPr>
          <w:rFonts w:ascii="Garamond" w:hAnsi="Garamond" w:cstheme="majorBidi"/>
          <w:color w:val="0D0D0D" w:themeColor="text1" w:themeTint="F2"/>
        </w:rPr>
        <w:t>COVID</w:t>
      </w:r>
      <w:r w:rsidRPr="00770F9D">
        <w:rPr>
          <w:rFonts w:ascii="Garamond" w:hAnsi="Garamond" w:cstheme="majorBidi"/>
          <w:color w:val="0D0D0D" w:themeColor="text1" w:themeTint="F2"/>
        </w:rPr>
        <w:t xml:space="preserve">-19 në arritjen e rezultateve. Ndërkohë që ndryshimet janë përfshirë në </w:t>
      </w:r>
      <w:r w:rsidRPr="00770F9D">
        <w:rPr>
          <w:rFonts w:ascii="Garamond" w:hAnsi="Garamond" w:cstheme="majorBidi"/>
          <w:i/>
          <w:iCs/>
          <w:color w:val="0D0D0D" w:themeColor="text1" w:themeTint="F2"/>
        </w:rPr>
        <w:t>log frame</w:t>
      </w:r>
      <w:r w:rsidRPr="00770F9D">
        <w:rPr>
          <w:rFonts w:ascii="Garamond" w:hAnsi="Garamond" w:cstheme="majorBidi"/>
          <w:i/>
          <w:iCs/>
          <w:color w:val="0D0D0D" w:themeColor="text1" w:themeTint="F2"/>
          <w:vertAlign w:val="superscript"/>
        </w:rPr>
        <w:footnoteReference w:id="13"/>
      </w:r>
      <w:r w:rsidRPr="00770F9D">
        <w:rPr>
          <w:rFonts w:ascii="Garamond" w:hAnsi="Garamond" w:cstheme="majorBidi"/>
          <w:color w:val="0D0D0D" w:themeColor="text1" w:themeTint="F2"/>
        </w:rPr>
        <w:t>-in e strategjisë, thelbi mbetet i njëjtë me objektivat e përgjithsh</w:t>
      </w:r>
      <w:r w:rsidR="002F126C" w:rsidRPr="00770F9D">
        <w:rPr>
          <w:rFonts w:ascii="Garamond" w:hAnsi="Garamond" w:cstheme="majorBidi"/>
          <w:color w:val="0D0D0D" w:themeColor="text1" w:themeTint="F2"/>
        </w:rPr>
        <w:t>ë</w:t>
      </w:r>
      <w:r w:rsidRPr="00770F9D">
        <w:rPr>
          <w:rFonts w:ascii="Garamond" w:hAnsi="Garamond" w:cstheme="majorBidi"/>
          <w:color w:val="0D0D0D" w:themeColor="text1" w:themeTint="F2"/>
        </w:rPr>
        <w:t>m dhe specifik</w:t>
      </w:r>
      <w:r w:rsidR="002F126C" w:rsidRPr="00770F9D">
        <w:rPr>
          <w:rFonts w:ascii="Garamond" w:hAnsi="Garamond" w:cstheme="majorBidi"/>
          <w:color w:val="0D0D0D" w:themeColor="text1" w:themeTint="F2"/>
        </w:rPr>
        <w:t>ë</w:t>
      </w:r>
      <w:r w:rsidRPr="00770F9D">
        <w:rPr>
          <w:rFonts w:ascii="Garamond" w:hAnsi="Garamond" w:cstheme="majorBidi"/>
          <w:color w:val="0D0D0D" w:themeColor="text1" w:themeTint="F2"/>
        </w:rPr>
        <w:t xml:space="preserve"> që po ruhen. Një nga ndryshimet më të rëndësishme, ka të bëjë me përbërjen e shpenzimeve, pasi është një nga aspektet më të ndikuara të financave publike, duke pasur parasysh se </w:t>
      </w:r>
      <w:r w:rsidR="00F15F38" w:rsidRPr="00770F9D">
        <w:rPr>
          <w:rFonts w:ascii="Garamond" w:hAnsi="Garamond" w:cstheme="majorBidi"/>
          <w:color w:val="0D0D0D" w:themeColor="text1" w:themeTint="F2"/>
        </w:rPr>
        <w:t>ri</w:t>
      </w:r>
      <w:r w:rsidRPr="00770F9D">
        <w:rPr>
          <w:rFonts w:ascii="Garamond" w:hAnsi="Garamond" w:cstheme="majorBidi"/>
          <w:color w:val="0D0D0D" w:themeColor="text1" w:themeTint="F2"/>
        </w:rPr>
        <w:t xml:space="preserve">prioritizimi dhe </w:t>
      </w:r>
      <w:r w:rsidR="00F15F38" w:rsidRPr="00770F9D">
        <w:rPr>
          <w:rFonts w:ascii="Garamond" w:hAnsi="Garamond" w:cstheme="majorBidi"/>
          <w:color w:val="0D0D0D" w:themeColor="text1" w:themeTint="F2"/>
        </w:rPr>
        <w:t>ri</w:t>
      </w:r>
      <w:r w:rsidRPr="00770F9D">
        <w:rPr>
          <w:rFonts w:ascii="Garamond" w:hAnsi="Garamond" w:cstheme="majorBidi"/>
          <w:color w:val="0D0D0D" w:themeColor="text1" w:themeTint="F2"/>
        </w:rPr>
        <w:t>alokimi i shpenzimeve buxhetore kanë ndikuar në përbërje. Rishikimi i Planit të Veprimit të MFP-së për vitet 2020</w:t>
      </w:r>
      <w:r w:rsidR="002F126C"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2022, synon të mbështesë dhe të identifikojë këto ndryshime në mënyrë që të përafrohet dhe të shtyjë masat e fundit të politikave në vend që mbështesin një rritje ekonomike gjithëpërfshirëse. </w:t>
      </w:r>
      <w:r w:rsidRPr="00770F9D">
        <w:rPr>
          <w:rFonts w:ascii="Garamond" w:hAnsi="Garamond" w:cstheme="majorBidi"/>
          <w:i/>
          <w:iCs/>
          <w:color w:val="0D0D0D" w:themeColor="text1" w:themeTint="F2"/>
        </w:rPr>
        <w:t>Log frame</w:t>
      </w:r>
      <w:r w:rsidRPr="00770F9D">
        <w:rPr>
          <w:rFonts w:ascii="Garamond" w:hAnsi="Garamond" w:cstheme="majorBidi"/>
          <w:color w:val="0D0D0D" w:themeColor="text1" w:themeTint="F2"/>
        </w:rPr>
        <w:t xml:space="preserve">-i i strategjisë, ndryshimi i treguesve, objektivat e synuar dhe afatet kohore të tyre u diskutuan nga Komiteti Drejtues i MFP-së në janar të vitit 2021 dhe pas kësaj u </w:t>
      </w:r>
      <w:r w:rsidR="00131451" w:rsidRPr="00770F9D">
        <w:rPr>
          <w:rFonts w:ascii="Garamond" w:hAnsi="Garamond" w:cstheme="majorBidi"/>
          <w:color w:val="0D0D0D" w:themeColor="text1" w:themeTint="F2"/>
        </w:rPr>
        <w:t xml:space="preserve">miratua plani i veprimit </w:t>
      </w:r>
      <w:r w:rsidRPr="00770F9D">
        <w:rPr>
          <w:rFonts w:ascii="Garamond" w:hAnsi="Garamond" w:cstheme="majorBidi"/>
          <w:color w:val="0D0D0D" w:themeColor="text1" w:themeTint="F2"/>
        </w:rPr>
        <w:t>i rishikuar për periudhën 2020</w:t>
      </w:r>
      <w:r w:rsidR="00131451"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2022. </w:t>
      </w:r>
    </w:p>
    <w:p w14:paraId="43AE6BBE" w14:textId="3249C63F"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Strategjia e Menaxhimit të Financave Publike (MFP) 2019</w:t>
      </w:r>
      <w:r w:rsidR="00131451" w:rsidRPr="00770F9D">
        <w:rPr>
          <w:rFonts w:ascii="Garamond" w:hAnsi="Garamond" w:cstheme="majorBidi"/>
          <w:color w:val="0D0D0D" w:themeColor="text1" w:themeTint="F2"/>
        </w:rPr>
        <w:t>–</w:t>
      </w:r>
      <w:r w:rsidRPr="00770F9D">
        <w:rPr>
          <w:rFonts w:ascii="Garamond" w:hAnsi="Garamond" w:cstheme="majorBidi"/>
          <w:color w:val="0D0D0D" w:themeColor="text1" w:themeTint="F2"/>
        </w:rPr>
        <w:t>2022 është në vitin e fundit të zbatimit (viti 2022). Raporti vjetor i progresit të raportit të MFP-së ofron një vlerësim të kritereve të pranueshmërisë së MFP-së për Bashkimin Evropian (BE) për të ofruar mbështetje buxhetore për Shqipërinë. Kriteri i pranueshmërisë së MFP-së kërkon ekzistencën e një programi të besueshëm dhe të përshtatshëm për të përmirësuar menaxhimin e financave publike si dhe progres të kënaqshëm në zbatimin e programit. Prandaj, për shkak të këtyre roleve të rëndësishme, MFE</w:t>
      </w:r>
      <w:r w:rsidR="00131451" w:rsidRPr="00770F9D">
        <w:rPr>
          <w:rFonts w:ascii="Garamond" w:hAnsi="Garamond" w:cstheme="majorBidi"/>
          <w:color w:val="0D0D0D" w:themeColor="text1" w:themeTint="F2"/>
        </w:rPr>
        <w:t>-ja</w:t>
      </w:r>
      <w:r w:rsidRPr="00770F9D">
        <w:rPr>
          <w:rFonts w:ascii="Garamond" w:hAnsi="Garamond" w:cstheme="majorBidi"/>
          <w:color w:val="0D0D0D" w:themeColor="text1" w:themeTint="F2"/>
        </w:rPr>
        <w:t xml:space="preserve"> po përgatitet për procesin e strategjisë së re. Aktualisht, me mbështetjen e asistencës teknike SIGMA/OECD ky proces ka nisur. Drejtoria e Menaxhimit të Reformës së Financave Publike u ka dërguar njësive përgjegjëse si brenda Ministrisë së Financave dhe Ekonomisë ashtu edhe institucioneve të tjera dokumentin </w:t>
      </w:r>
      <w:r w:rsidRPr="00770F9D">
        <w:rPr>
          <w:rFonts w:ascii="Garamond" w:hAnsi="Garamond" w:cstheme="majorBidi"/>
          <w:i/>
          <w:iCs/>
          <w:color w:val="0D0D0D" w:themeColor="text1" w:themeTint="F2"/>
        </w:rPr>
        <w:t>“menu of challenges”,</w:t>
      </w:r>
      <w:r w:rsidRPr="00770F9D">
        <w:rPr>
          <w:rFonts w:ascii="Garamond" w:hAnsi="Garamond" w:cstheme="majorBidi"/>
          <w:color w:val="0D0D0D" w:themeColor="text1" w:themeTint="F2"/>
        </w:rPr>
        <w:t xml:space="preserve"> përmes të cilit synohet vlerësimi i progresit të bërë përgjatë viteve 2019</w:t>
      </w:r>
      <w:r w:rsidR="00DB00EF" w:rsidRPr="00770F9D">
        <w:rPr>
          <w:rFonts w:ascii="Garamond" w:hAnsi="Garamond" w:cstheme="majorBidi"/>
          <w:color w:val="0D0D0D" w:themeColor="text1" w:themeTint="F2"/>
        </w:rPr>
        <w:t>–</w:t>
      </w:r>
      <w:r w:rsidRPr="00770F9D">
        <w:rPr>
          <w:rFonts w:ascii="Garamond" w:hAnsi="Garamond" w:cstheme="majorBidi"/>
          <w:color w:val="0D0D0D" w:themeColor="text1" w:themeTint="F2"/>
        </w:rPr>
        <w:t>2022 dhe për të përcaktuar prioritetet për strategjinë e re.</w:t>
      </w:r>
    </w:p>
    <w:p w14:paraId="6AEAC899" w14:textId="3F49E112" w:rsidR="00F468C9" w:rsidRPr="00770F9D" w:rsidRDefault="00FB6FFC" w:rsidP="003F46E1">
      <w:pPr>
        <w:pStyle w:val="Heading2"/>
        <w:snapToGrid w:val="0"/>
        <w:ind w:left="0" w:firstLine="284"/>
        <w:jc w:val="both"/>
        <w:rPr>
          <w:rFonts w:ascii="Garamond" w:hAnsi="Garamond" w:cstheme="majorBidi"/>
          <w:b/>
          <w:color w:val="0D0D0D" w:themeColor="text1" w:themeTint="F2"/>
        </w:rPr>
      </w:pPr>
      <w:bookmarkStart w:id="43" w:name="_Toc126050953"/>
      <w:r w:rsidRPr="00770F9D">
        <w:rPr>
          <w:rFonts w:ascii="Garamond" w:hAnsi="Garamond" w:cstheme="majorBidi"/>
          <w:b/>
          <w:color w:val="0D0D0D" w:themeColor="text1" w:themeTint="F2"/>
        </w:rPr>
        <w:t>4</w:t>
      </w:r>
      <w:r w:rsidR="00072546" w:rsidRPr="00770F9D">
        <w:rPr>
          <w:rFonts w:ascii="Garamond" w:hAnsi="Garamond" w:cstheme="majorBidi"/>
          <w:b/>
          <w:color w:val="0D0D0D" w:themeColor="text1" w:themeTint="F2"/>
        </w:rPr>
        <w:t xml:space="preserve">.9 </w:t>
      </w:r>
      <w:r w:rsidR="00F468C9" w:rsidRPr="00770F9D">
        <w:rPr>
          <w:rFonts w:ascii="Garamond" w:hAnsi="Garamond" w:cstheme="majorBidi"/>
          <w:b/>
          <w:color w:val="0D0D0D" w:themeColor="text1" w:themeTint="F2"/>
        </w:rPr>
        <w:t>Qeverisja fiskale dhe kuadri buxhetor</w:t>
      </w:r>
      <w:bookmarkEnd w:id="43"/>
    </w:p>
    <w:p w14:paraId="4C1E77AA" w14:textId="6202D14B" w:rsidR="00A84445"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Strategjia e MFP-së përshkruan ndryshimet e parashikuara në qeverisjen fiskale të vendit, domethënë në set masash, rregullash dhe institucionesh që mbështesin drejtimin e politikës fiskale dhe kush duhet të bëjë çfarë për të sjellë risi në proceset e menaxhimit të financave publike. Strategjia ofron rezultate </w:t>
      </w:r>
      <w:r w:rsidR="001A486C" w:rsidRPr="00770F9D">
        <w:rPr>
          <w:rFonts w:ascii="Garamond" w:hAnsi="Garamond" w:cstheme="majorBidi"/>
          <w:color w:val="0D0D0D" w:themeColor="text1" w:themeTint="F2"/>
        </w:rPr>
        <w:t>specifike, të matshme</w:t>
      </w:r>
      <w:r w:rsidRPr="00770F9D">
        <w:rPr>
          <w:rFonts w:ascii="Garamond" w:hAnsi="Garamond" w:cstheme="majorBidi"/>
          <w:color w:val="0D0D0D" w:themeColor="text1" w:themeTint="F2"/>
        </w:rPr>
        <w:t xml:space="preserve">, të </w:t>
      </w:r>
      <w:r w:rsidR="001A486C" w:rsidRPr="00770F9D">
        <w:rPr>
          <w:rFonts w:ascii="Garamond" w:hAnsi="Garamond" w:cstheme="majorBidi"/>
          <w:color w:val="0D0D0D" w:themeColor="text1" w:themeTint="F2"/>
        </w:rPr>
        <w:t xml:space="preserve">arritshme, realiste, në kohë </w:t>
      </w:r>
      <w:r w:rsidRPr="00770F9D">
        <w:rPr>
          <w:rFonts w:ascii="Garamond" w:hAnsi="Garamond" w:cstheme="majorBidi"/>
          <w:color w:val="0D0D0D" w:themeColor="text1" w:themeTint="F2"/>
        </w:rPr>
        <w:t xml:space="preserve">(SMART) për secilin nga </w:t>
      </w:r>
      <w:r w:rsidR="001A486C" w:rsidRPr="00770F9D">
        <w:rPr>
          <w:rFonts w:ascii="Garamond" w:hAnsi="Garamond" w:cstheme="majorBidi"/>
          <w:color w:val="0D0D0D" w:themeColor="text1" w:themeTint="F2"/>
        </w:rPr>
        <w:t>objektivat specifikë</w:t>
      </w:r>
      <w:r w:rsidRPr="00770F9D">
        <w:rPr>
          <w:rFonts w:ascii="Garamond" w:hAnsi="Garamond" w:cstheme="majorBidi"/>
          <w:color w:val="0D0D0D" w:themeColor="text1" w:themeTint="F2"/>
        </w:rPr>
        <w:t xml:space="preserve">, të cilat janë të detajuara së bashku me </w:t>
      </w:r>
      <w:r w:rsidR="001A486C" w:rsidRPr="00770F9D">
        <w:rPr>
          <w:rFonts w:ascii="Garamond" w:hAnsi="Garamond" w:cstheme="majorBidi"/>
          <w:color w:val="0D0D0D" w:themeColor="text1" w:themeTint="F2"/>
        </w:rPr>
        <w:t>ndërhyrjet (kom</w:t>
      </w:r>
      <w:r w:rsidRPr="00770F9D">
        <w:rPr>
          <w:rFonts w:ascii="Garamond" w:hAnsi="Garamond" w:cstheme="majorBidi"/>
          <w:color w:val="0D0D0D" w:themeColor="text1" w:themeTint="F2"/>
        </w:rPr>
        <w:t>ponentët). Secili objektiv specifik përfshin një përshkrim të progresit që nga viti 2014 së bashku me mësimet e nxjerra dhe prioritetet deri në vitin 2022. Ndërhyrjet kryesore janë të lidhura drejtpërdrejtë me rezultatet</w:t>
      </w:r>
      <w:r w:rsidR="000E0828"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dhe janë identifikuar aktorët kyçë për të garantuar linja të qarta të llogaridhënies. Gjithashtu, janë identifikuar qartë produktet për secilin komponent brenda </w:t>
      </w:r>
      <w:r w:rsidR="000E0828" w:rsidRPr="00770F9D">
        <w:rPr>
          <w:rFonts w:ascii="Garamond" w:hAnsi="Garamond" w:cstheme="majorBidi"/>
          <w:color w:val="0D0D0D" w:themeColor="text1" w:themeTint="F2"/>
        </w:rPr>
        <w:t>objektivit specifik</w:t>
      </w:r>
      <w:r w:rsidRPr="00770F9D">
        <w:rPr>
          <w:rFonts w:ascii="Garamond" w:hAnsi="Garamond" w:cstheme="majorBidi"/>
          <w:color w:val="0D0D0D" w:themeColor="text1" w:themeTint="F2"/>
        </w:rPr>
        <w:t>. Strategjia 2019</w:t>
      </w:r>
      <w:r w:rsidR="000E0828"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2022 është riorganizuar në shtatë </w:t>
      </w:r>
      <w:r w:rsidR="001A7FFE" w:rsidRPr="00770F9D">
        <w:rPr>
          <w:rFonts w:ascii="Garamond" w:hAnsi="Garamond" w:cstheme="majorBidi"/>
          <w:color w:val="0D0D0D" w:themeColor="text1" w:themeTint="F2"/>
        </w:rPr>
        <w:t>objektiva specifikë</w:t>
      </w:r>
      <w:r w:rsidRPr="00770F9D">
        <w:rPr>
          <w:rFonts w:ascii="Garamond" w:hAnsi="Garamond" w:cstheme="majorBidi"/>
          <w:color w:val="0D0D0D" w:themeColor="text1" w:themeTint="F2"/>
        </w:rPr>
        <w:t>:</w:t>
      </w:r>
    </w:p>
    <w:p w14:paraId="31D52484" w14:textId="200E9E00"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i/>
          <w:color w:val="0D0D0D" w:themeColor="text1" w:themeTint="F2"/>
        </w:rPr>
        <w:t xml:space="preserve">Objektivi </w:t>
      </w:r>
      <w:r w:rsidR="001A7FFE" w:rsidRPr="00770F9D">
        <w:rPr>
          <w:rFonts w:ascii="Garamond" w:hAnsi="Garamond" w:cstheme="majorBidi"/>
          <w:i/>
          <w:color w:val="0D0D0D" w:themeColor="text1" w:themeTint="F2"/>
        </w:rPr>
        <w:t xml:space="preserve">specifik </w:t>
      </w:r>
      <w:r w:rsidRPr="00770F9D">
        <w:rPr>
          <w:rFonts w:ascii="Garamond" w:hAnsi="Garamond" w:cstheme="majorBidi"/>
          <w:i/>
          <w:color w:val="0D0D0D" w:themeColor="text1" w:themeTint="F2"/>
        </w:rPr>
        <w:t>1: Kuadër fiskal i qëndrueshëm dhe i matur;</w:t>
      </w:r>
      <w:r w:rsidRPr="00770F9D">
        <w:rPr>
          <w:rFonts w:ascii="Garamond" w:hAnsi="Garamond" w:cstheme="majorBidi"/>
          <w:color w:val="0D0D0D" w:themeColor="text1" w:themeTint="F2"/>
        </w:rPr>
        <w:t xml:space="preserve"> </w:t>
      </w:r>
      <w:r w:rsidR="001A7FFE" w:rsidRPr="00770F9D">
        <w:rPr>
          <w:rFonts w:ascii="Garamond" w:hAnsi="Garamond" w:cstheme="majorBidi"/>
          <w:color w:val="0D0D0D" w:themeColor="text1" w:themeTint="F2"/>
        </w:rPr>
        <w:t xml:space="preserve">me </w:t>
      </w:r>
      <w:r w:rsidRPr="00770F9D">
        <w:rPr>
          <w:rFonts w:ascii="Garamond" w:hAnsi="Garamond" w:cstheme="majorBidi"/>
          <w:color w:val="0D0D0D" w:themeColor="text1" w:themeTint="F2"/>
        </w:rPr>
        <w:t xml:space="preserve">anë të </w:t>
      </w:r>
      <w:r w:rsidR="001A7FFE" w:rsidRPr="00770F9D">
        <w:rPr>
          <w:rFonts w:ascii="Garamond" w:hAnsi="Garamond" w:cstheme="majorBidi"/>
          <w:color w:val="0D0D0D" w:themeColor="text1" w:themeTint="F2"/>
        </w:rPr>
        <w:t xml:space="preserve">Objektivit specifik </w:t>
      </w:r>
      <w:r w:rsidRPr="00770F9D">
        <w:rPr>
          <w:rFonts w:ascii="Garamond" w:hAnsi="Garamond" w:cstheme="majorBidi"/>
          <w:color w:val="0D0D0D" w:themeColor="text1" w:themeTint="F2"/>
        </w:rPr>
        <w:t>1, qeveria synon të krijojë një kuadër makroekonomik të matur dhe politika fiskale që kanë si objektiv uljen e raportit të borxhit ndaj PBB-së në planin afatmesëm</w:t>
      </w:r>
      <w:r w:rsidR="001A7FFE"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dhe menaxhimin e risqeve fiskale në mënyrë më efektive.</w:t>
      </w:r>
    </w:p>
    <w:p w14:paraId="23EA94AA" w14:textId="4722B9BD" w:rsidR="00A84445"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i/>
          <w:color w:val="0D0D0D" w:themeColor="text1" w:themeTint="F2"/>
        </w:rPr>
        <w:t xml:space="preserve">Objektivi </w:t>
      </w:r>
      <w:r w:rsidR="001A7FFE" w:rsidRPr="00770F9D">
        <w:rPr>
          <w:rFonts w:ascii="Garamond" w:hAnsi="Garamond" w:cstheme="majorBidi"/>
          <w:i/>
          <w:color w:val="0D0D0D" w:themeColor="text1" w:themeTint="F2"/>
        </w:rPr>
        <w:t xml:space="preserve">specifik </w:t>
      </w:r>
      <w:r w:rsidRPr="00770F9D">
        <w:rPr>
          <w:rFonts w:ascii="Garamond" w:hAnsi="Garamond" w:cstheme="majorBidi"/>
          <w:i/>
          <w:color w:val="0D0D0D" w:themeColor="text1" w:themeTint="F2"/>
        </w:rPr>
        <w:t xml:space="preserve">2: Planifikim i mirintegruar dhe efikas; </w:t>
      </w:r>
      <w:r w:rsidR="001A7FFE" w:rsidRPr="00770F9D">
        <w:rPr>
          <w:rFonts w:ascii="Garamond" w:hAnsi="Garamond" w:cstheme="majorBidi"/>
          <w:color w:val="0D0D0D" w:themeColor="text1" w:themeTint="F2"/>
        </w:rPr>
        <w:t xml:space="preserve">qeveria </w:t>
      </w:r>
      <w:r w:rsidRPr="00770F9D">
        <w:rPr>
          <w:rFonts w:ascii="Garamond" w:hAnsi="Garamond" w:cstheme="majorBidi"/>
          <w:color w:val="0D0D0D" w:themeColor="text1" w:themeTint="F2"/>
        </w:rPr>
        <w:t xml:space="preserve">e pranon nevojën për të përafruar më tej dokumentet planifikuese strategjike, si Strategjia Kombëtare për Zhvillim dhe Integrim (SKZHI II), Strategjitë Sektoriale dhe Programi Buxhetor Afatmesëm (PBA), që është dhe fokusi i Objektivit </w:t>
      </w:r>
      <w:r w:rsidR="001A7FFE" w:rsidRPr="00770F9D">
        <w:rPr>
          <w:rFonts w:ascii="Garamond" w:hAnsi="Garamond" w:cstheme="majorBidi"/>
          <w:color w:val="0D0D0D" w:themeColor="text1" w:themeTint="F2"/>
        </w:rPr>
        <w:t xml:space="preserve">specifik </w:t>
      </w:r>
      <w:r w:rsidRPr="00770F9D">
        <w:rPr>
          <w:rFonts w:ascii="Garamond" w:hAnsi="Garamond" w:cstheme="majorBidi"/>
          <w:color w:val="0D0D0D" w:themeColor="text1" w:themeTint="F2"/>
        </w:rPr>
        <w:t>2. Buxheti vjetor dhe proceset e PBA-së do të vazhdojnë të përmirësohen, si dhe do të ulen detyrimet e prapambetura.</w:t>
      </w:r>
    </w:p>
    <w:p w14:paraId="73C07DB0" w14:textId="0E19E629"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i/>
          <w:color w:val="0D0D0D" w:themeColor="text1" w:themeTint="F2"/>
        </w:rPr>
        <w:t xml:space="preserve">Objektivi </w:t>
      </w:r>
      <w:r w:rsidR="001A7FFE" w:rsidRPr="00770F9D">
        <w:rPr>
          <w:rFonts w:ascii="Garamond" w:hAnsi="Garamond" w:cstheme="majorBidi"/>
          <w:i/>
          <w:color w:val="0D0D0D" w:themeColor="text1" w:themeTint="F2"/>
        </w:rPr>
        <w:t xml:space="preserve">specifik </w:t>
      </w:r>
      <w:r w:rsidRPr="00770F9D">
        <w:rPr>
          <w:rFonts w:ascii="Garamond" w:hAnsi="Garamond" w:cstheme="majorBidi"/>
          <w:i/>
          <w:color w:val="0D0D0D" w:themeColor="text1" w:themeTint="F2"/>
        </w:rPr>
        <w:t xml:space="preserve">3: Mbledhja e të ardhurave; </w:t>
      </w:r>
      <w:r w:rsidR="001A7FFE" w:rsidRPr="00770F9D">
        <w:rPr>
          <w:rFonts w:ascii="Garamond" w:hAnsi="Garamond" w:cstheme="majorBidi"/>
          <w:color w:val="0D0D0D" w:themeColor="text1" w:themeTint="F2"/>
        </w:rPr>
        <w:t xml:space="preserve">rritja </w:t>
      </w:r>
      <w:r w:rsidRPr="00770F9D">
        <w:rPr>
          <w:rFonts w:ascii="Garamond" w:hAnsi="Garamond" w:cstheme="majorBidi"/>
          <w:color w:val="0D0D0D" w:themeColor="text1" w:themeTint="F2"/>
        </w:rPr>
        <w:t xml:space="preserve">e mbledhjes së të ardhurave është fokusi i Objektivit </w:t>
      </w:r>
      <w:r w:rsidR="001A7FFE" w:rsidRPr="00770F9D">
        <w:rPr>
          <w:rFonts w:ascii="Garamond" w:hAnsi="Garamond" w:cstheme="majorBidi"/>
          <w:color w:val="0D0D0D" w:themeColor="text1" w:themeTint="F2"/>
        </w:rPr>
        <w:t xml:space="preserve">specifik </w:t>
      </w:r>
      <w:r w:rsidRPr="00770F9D">
        <w:rPr>
          <w:rFonts w:ascii="Garamond" w:hAnsi="Garamond" w:cstheme="majorBidi"/>
          <w:color w:val="0D0D0D" w:themeColor="text1" w:themeTint="F2"/>
        </w:rPr>
        <w:t>3, duke rritur efikasitetin në mbledhjen e burimeve të të ardhurave, që mbulon tatimet edhe doganat, duke sjellë kështu më shumë qëndrueshmëri në financimin e buxhetit</w:t>
      </w:r>
      <w:r w:rsidR="001A7FFE"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në nivel qendror dhe vendor. Gjithashtu, do të ulet informaliteti. </w:t>
      </w:r>
    </w:p>
    <w:p w14:paraId="0EB8621C" w14:textId="78D9D62B"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i/>
          <w:color w:val="0D0D0D" w:themeColor="text1" w:themeTint="F2"/>
        </w:rPr>
        <w:t xml:space="preserve">Objektivi </w:t>
      </w:r>
      <w:r w:rsidR="001A7FFE" w:rsidRPr="00770F9D">
        <w:rPr>
          <w:rFonts w:ascii="Garamond" w:hAnsi="Garamond" w:cstheme="majorBidi"/>
          <w:i/>
          <w:color w:val="0D0D0D" w:themeColor="text1" w:themeTint="F2"/>
        </w:rPr>
        <w:t xml:space="preserve">specifik </w:t>
      </w:r>
      <w:r w:rsidRPr="00770F9D">
        <w:rPr>
          <w:rFonts w:ascii="Garamond" w:hAnsi="Garamond" w:cstheme="majorBidi"/>
          <w:i/>
          <w:color w:val="0D0D0D" w:themeColor="text1" w:themeTint="F2"/>
        </w:rPr>
        <w:t xml:space="preserve">4: Zbatim efikas i buxhetit; </w:t>
      </w:r>
      <w:r w:rsidRPr="00770F9D">
        <w:rPr>
          <w:rFonts w:ascii="Garamond" w:hAnsi="Garamond" w:cstheme="majorBidi"/>
          <w:color w:val="0D0D0D" w:themeColor="text1" w:themeTint="F2"/>
        </w:rPr>
        <w:t xml:space="preserve">Objektivat </w:t>
      </w:r>
      <w:r w:rsidR="001A7FFE" w:rsidRPr="00770F9D">
        <w:rPr>
          <w:rFonts w:ascii="Garamond" w:hAnsi="Garamond" w:cstheme="majorBidi"/>
          <w:color w:val="0D0D0D" w:themeColor="text1" w:themeTint="F2"/>
        </w:rPr>
        <w:t xml:space="preserve">specifikë </w:t>
      </w:r>
      <w:r w:rsidRPr="00770F9D">
        <w:rPr>
          <w:rFonts w:ascii="Garamond" w:hAnsi="Garamond" w:cstheme="majorBidi"/>
          <w:color w:val="0D0D0D" w:themeColor="text1" w:themeTint="F2"/>
        </w:rPr>
        <w:t>1</w:t>
      </w:r>
      <w:r w:rsidR="001A7FFE"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5 dhe </w:t>
      </w:r>
      <w:r w:rsidR="001A7FFE" w:rsidRPr="00770F9D">
        <w:rPr>
          <w:rFonts w:ascii="Garamond" w:hAnsi="Garamond" w:cstheme="majorBidi"/>
          <w:color w:val="0D0D0D" w:themeColor="text1" w:themeTint="F2"/>
        </w:rPr>
        <w:t>objektivi spe</w:t>
      </w:r>
      <w:r w:rsidRPr="00770F9D">
        <w:rPr>
          <w:rFonts w:ascii="Garamond" w:hAnsi="Garamond" w:cstheme="majorBidi"/>
          <w:color w:val="0D0D0D" w:themeColor="text1" w:themeTint="F2"/>
        </w:rPr>
        <w:t xml:space="preserve">cifik 4 në veçanti, kanë në fokusin e tyre integrimin e plotë të Sistemit të Informacionit të Menaxhimit Financiar Shqiptar (SIMFSH) me sistemet e tjera të MFP-së, për të minimizuar operacionet manuale dhe për të bërë të mundur që të ketë më shumë saktësi dhe respektim të afateve kohore në raportimin e operacioneve financiare qeveritare. Objektivi kryesor është të garantohet përdorim efektiv dhe efikas i burimeve të miratuara buxhetore. Ndërhyrjet synojnë të ulin detyrimet e prapambetura, të reduktojnë kostot e huamarrjes dhe të rrisin efikasitetin dhe transparencën e sistemit të prokurimit. </w:t>
      </w:r>
    </w:p>
    <w:p w14:paraId="3F34F72D" w14:textId="3EE085B8"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i/>
          <w:color w:val="0D0D0D" w:themeColor="text1" w:themeTint="F2"/>
        </w:rPr>
        <w:t xml:space="preserve">Objektivi </w:t>
      </w:r>
      <w:r w:rsidR="001A7FFE" w:rsidRPr="00770F9D">
        <w:rPr>
          <w:rFonts w:ascii="Garamond" w:hAnsi="Garamond" w:cstheme="majorBidi"/>
          <w:i/>
          <w:color w:val="0D0D0D" w:themeColor="text1" w:themeTint="F2"/>
        </w:rPr>
        <w:t xml:space="preserve">specifik </w:t>
      </w:r>
      <w:r w:rsidRPr="00770F9D">
        <w:rPr>
          <w:rFonts w:ascii="Garamond" w:hAnsi="Garamond" w:cstheme="majorBidi"/>
          <w:i/>
          <w:color w:val="0D0D0D" w:themeColor="text1" w:themeTint="F2"/>
        </w:rPr>
        <w:t xml:space="preserve">5: Transparencë e </w:t>
      </w:r>
      <w:r w:rsidR="001A7FFE" w:rsidRPr="00770F9D">
        <w:rPr>
          <w:rFonts w:ascii="Garamond" w:hAnsi="Garamond" w:cstheme="majorBidi"/>
          <w:i/>
          <w:color w:val="0D0D0D" w:themeColor="text1" w:themeTint="F2"/>
        </w:rPr>
        <w:t>financave publike</w:t>
      </w:r>
      <w:r w:rsidRPr="00770F9D">
        <w:rPr>
          <w:rFonts w:ascii="Garamond" w:hAnsi="Garamond" w:cstheme="majorBidi"/>
          <w:i/>
          <w:color w:val="0D0D0D" w:themeColor="text1" w:themeTint="F2"/>
        </w:rPr>
        <w:t xml:space="preserve">; </w:t>
      </w:r>
      <w:r w:rsidRPr="00770F9D">
        <w:rPr>
          <w:rFonts w:ascii="Garamond" w:hAnsi="Garamond" w:cstheme="majorBidi"/>
          <w:color w:val="0D0D0D" w:themeColor="text1" w:themeTint="F2"/>
        </w:rPr>
        <w:t xml:space="preserve">ky objektiv përpiqet të rrisë llogaridhënien dhe transparencën falë raportimit më të mirë financiar dhe </w:t>
      </w:r>
      <w:r w:rsidR="00F15F38" w:rsidRPr="00770F9D">
        <w:rPr>
          <w:rFonts w:ascii="Garamond" w:hAnsi="Garamond" w:cstheme="majorBidi"/>
          <w:color w:val="0D0D0D" w:themeColor="text1" w:themeTint="F2"/>
        </w:rPr>
        <w:t>jo</w:t>
      </w:r>
      <w:r w:rsidRPr="00770F9D">
        <w:rPr>
          <w:rFonts w:ascii="Garamond" w:hAnsi="Garamond" w:cstheme="majorBidi"/>
          <w:color w:val="0D0D0D" w:themeColor="text1" w:themeTint="F2"/>
        </w:rPr>
        <w:t>financiar</w:t>
      </w:r>
      <w:r w:rsidR="001A7FFE"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në përputhje me </w:t>
      </w:r>
      <w:r w:rsidR="001A7FFE" w:rsidRPr="00770F9D">
        <w:rPr>
          <w:rFonts w:ascii="Garamond" w:hAnsi="Garamond" w:cstheme="majorBidi"/>
          <w:color w:val="0D0D0D" w:themeColor="text1" w:themeTint="F2"/>
        </w:rPr>
        <w:t>standardet</w:t>
      </w:r>
      <w:r w:rsidRPr="00770F9D">
        <w:rPr>
          <w:rFonts w:ascii="Garamond" w:hAnsi="Garamond" w:cstheme="majorBidi"/>
          <w:color w:val="0D0D0D" w:themeColor="text1" w:themeTint="F2"/>
        </w:rPr>
        <w:t xml:space="preserve"> ndërkombëtare, të përmirësojë mbulimin, cilësinë dhe aksesueshmërinë e informacionit për financat publike. Do të shtohen përpjekjet për të angazhuar publikun në procesin buxhetor. </w:t>
      </w:r>
    </w:p>
    <w:p w14:paraId="5CA21665" w14:textId="230235EC"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i/>
          <w:color w:val="0D0D0D" w:themeColor="text1" w:themeTint="F2"/>
        </w:rPr>
        <w:t xml:space="preserve">Objektivi </w:t>
      </w:r>
      <w:r w:rsidR="001A7FFE" w:rsidRPr="00770F9D">
        <w:rPr>
          <w:rFonts w:ascii="Garamond" w:hAnsi="Garamond" w:cstheme="majorBidi"/>
          <w:i/>
          <w:color w:val="0D0D0D" w:themeColor="text1" w:themeTint="F2"/>
        </w:rPr>
        <w:t xml:space="preserve">specifik </w:t>
      </w:r>
      <w:r w:rsidRPr="00770F9D">
        <w:rPr>
          <w:rFonts w:ascii="Garamond" w:hAnsi="Garamond" w:cstheme="majorBidi"/>
          <w:i/>
          <w:color w:val="0D0D0D" w:themeColor="text1" w:themeTint="F2"/>
        </w:rPr>
        <w:t>6: Kontrolli i brendshëm efektiv;</w:t>
      </w:r>
      <w:r w:rsidRPr="00770F9D">
        <w:rPr>
          <w:rFonts w:ascii="Garamond" w:hAnsi="Garamond" w:cstheme="majorBidi"/>
          <w:color w:val="0D0D0D" w:themeColor="text1" w:themeTint="F2"/>
        </w:rPr>
        <w:t xml:space="preserve"> </w:t>
      </w:r>
      <w:r w:rsidR="001A7FFE" w:rsidRPr="00770F9D">
        <w:rPr>
          <w:rFonts w:ascii="Garamond" w:hAnsi="Garamond" w:cstheme="majorBidi"/>
          <w:color w:val="0D0D0D" w:themeColor="text1" w:themeTint="F2"/>
        </w:rPr>
        <w:t>disiplina</w:t>
      </w:r>
      <w:r w:rsidRPr="00770F9D">
        <w:rPr>
          <w:rFonts w:ascii="Garamond" w:hAnsi="Garamond" w:cstheme="majorBidi"/>
          <w:color w:val="0D0D0D" w:themeColor="text1" w:themeTint="F2"/>
        </w:rPr>
        <w:t xml:space="preserve">, kontrolli dhe transparenca financiare nëpërmjet përmirësimit të </w:t>
      </w:r>
      <w:r w:rsidR="001A7FFE" w:rsidRPr="00770F9D">
        <w:rPr>
          <w:rFonts w:ascii="Garamond" w:hAnsi="Garamond" w:cstheme="majorBidi"/>
          <w:color w:val="0D0D0D" w:themeColor="text1" w:themeTint="F2"/>
        </w:rPr>
        <w:t xml:space="preserve">menaxhimit financiar dhe kontrollit </w:t>
      </w:r>
      <w:r w:rsidRPr="00770F9D">
        <w:rPr>
          <w:rFonts w:ascii="Garamond" w:hAnsi="Garamond" w:cstheme="majorBidi"/>
          <w:color w:val="0D0D0D" w:themeColor="text1" w:themeTint="F2"/>
        </w:rPr>
        <w:t xml:space="preserve">(MFK), </w:t>
      </w:r>
      <w:r w:rsidR="001A7FFE" w:rsidRPr="00770F9D">
        <w:rPr>
          <w:rFonts w:ascii="Garamond" w:hAnsi="Garamond" w:cstheme="majorBidi"/>
          <w:color w:val="0D0D0D" w:themeColor="text1" w:themeTint="F2"/>
        </w:rPr>
        <w:t>auditimit të brendshëm dhe inspektimit financiar publik e</w:t>
      </w:r>
      <w:r w:rsidRPr="00770F9D">
        <w:rPr>
          <w:rFonts w:ascii="Garamond" w:hAnsi="Garamond" w:cstheme="majorBidi"/>
          <w:color w:val="0D0D0D" w:themeColor="text1" w:themeTint="F2"/>
        </w:rPr>
        <w:t xml:space="preserve">fikas në qeverisjen qendrore dhe vendore është edhe fokusi i </w:t>
      </w:r>
      <w:r w:rsidR="001A7FFE" w:rsidRPr="00770F9D">
        <w:rPr>
          <w:rFonts w:ascii="Garamond" w:hAnsi="Garamond" w:cstheme="majorBidi"/>
          <w:color w:val="0D0D0D" w:themeColor="text1" w:themeTint="F2"/>
        </w:rPr>
        <w:t xml:space="preserve">objektivit specifik </w:t>
      </w:r>
      <w:r w:rsidRPr="00770F9D">
        <w:rPr>
          <w:rFonts w:ascii="Garamond" w:hAnsi="Garamond" w:cstheme="majorBidi"/>
          <w:color w:val="0D0D0D" w:themeColor="text1" w:themeTint="F2"/>
        </w:rPr>
        <w:t xml:space="preserve">6. </w:t>
      </w:r>
    </w:p>
    <w:p w14:paraId="6C547825" w14:textId="21DFC9EC"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i/>
          <w:color w:val="0D0D0D" w:themeColor="text1" w:themeTint="F2"/>
        </w:rPr>
        <w:t xml:space="preserve">Objektivi </w:t>
      </w:r>
      <w:r w:rsidR="001A7FFE" w:rsidRPr="00770F9D">
        <w:rPr>
          <w:rFonts w:ascii="Garamond" w:hAnsi="Garamond" w:cstheme="majorBidi"/>
          <w:i/>
          <w:color w:val="0D0D0D" w:themeColor="text1" w:themeTint="F2"/>
        </w:rPr>
        <w:t xml:space="preserve">specifik </w:t>
      </w:r>
      <w:r w:rsidRPr="00770F9D">
        <w:rPr>
          <w:rFonts w:ascii="Garamond" w:hAnsi="Garamond" w:cstheme="majorBidi"/>
          <w:i/>
          <w:color w:val="0D0D0D" w:themeColor="text1" w:themeTint="F2"/>
        </w:rPr>
        <w:t xml:space="preserve">7: Mbikëqyrje e jashtme efektive e financave publike; </w:t>
      </w:r>
      <w:r w:rsidRPr="00770F9D">
        <w:rPr>
          <w:rFonts w:ascii="Garamond" w:hAnsi="Garamond" w:cstheme="majorBidi"/>
          <w:color w:val="0D0D0D" w:themeColor="text1" w:themeTint="F2"/>
        </w:rPr>
        <w:t xml:space="preserve">Së fundmi, Objektivi </w:t>
      </w:r>
      <w:r w:rsidR="001A7FFE" w:rsidRPr="00770F9D">
        <w:rPr>
          <w:rFonts w:ascii="Garamond" w:hAnsi="Garamond" w:cstheme="majorBidi"/>
          <w:color w:val="0D0D0D" w:themeColor="text1" w:themeTint="F2"/>
        </w:rPr>
        <w:t xml:space="preserve">specifik </w:t>
      </w:r>
      <w:r w:rsidRPr="00770F9D">
        <w:rPr>
          <w:rFonts w:ascii="Garamond" w:hAnsi="Garamond" w:cstheme="majorBidi"/>
          <w:color w:val="0D0D0D" w:themeColor="text1" w:themeTint="F2"/>
        </w:rPr>
        <w:t>7 synon të rrisë e të bëjë efektive mbikëqyrjen e jashtme të financave publike</w:t>
      </w:r>
      <w:r w:rsidR="001A7FFE"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duke forcuar kapacitetet e Kontrollit të Lartë të Shtetit (KLSH). Do të rritet numri i auditimeve financiare dhe auditimeve të performancës</w:t>
      </w:r>
      <w:r w:rsidR="001A7FFE"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në mënyrë që të rritet edhe vlera e tyre dhe përfitimet në shoqëri. </w:t>
      </w:r>
    </w:p>
    <w:p w14:paraId="6ED59092" w14:textId="0F29AE2B" w:rsidR="00F468C9" w:rsidRPr="00770F9D" w:rsidRDefault="00FB6FFC" w:rsidP="003F46E1">
      <w:pPr>
        <w:pStyle w:val="Heading2"/>
        <w:snapToGrid w:val="0"/>
        <w:ind w:left="0" w:firstLine="284"/>
        <w:jc w:val="both"/>
        <w:rPr>
          <w:rFonts w:ascii="Garamond" w:hAnsi="Garamond" w:cstheme="majorBidi"/>
          <w:b/>
          <w:color w:val="0D0D0D" w:themeColor="text1" w:themeTint="F2"/>
        </w:rPr>
      </w:pPr>
      <w:bookmarkStart w:id="44" w:name="_Toc126050954"/>
      <w:r w:rsidRPr="00770F9D">
        <w:rPr>
          <w:rFonts w:ascii="Garamond" w:hAnsi="Garamond" w:cstheme="majorBidi"/>
          <w:b/>
          <w:color w:val="0D0D0D" w:themeColor="text1" w:themeTint="F2"/>
        </w:rPr>
        <w:t>4</w:t>
      </w:r>
      <w:r w:rsidR="00072546" w:rsidRPr="00770F9D">
        <w:rPr>
          <w:rFonts w:ascii="Garamond" w:hAnsi="Garamond" w:cstheme="majorBidi"/>
          <w:b/>
          <w:color w:val="0D0D0D" w:themeColor="text1" w:themeTint="F2"/>
        </w:rPr>
        <w:t xml:space="preserve">.10 </w:t>
      </w:r>
      <w:r w:rsidR="00F468C9" w:rsidRPr="00770F9D">
        <w:rPr>
          <w:rFonts w:ascii="Garamond" w:hAnsi="Garamond" w:cstheme="majorBidi"/>
          <w:b/>
          <w:color w:val="0D0D0D" w:themeColor="text1" w:themeTint="F2"/>
        </w:rPr>
        <w:t>Qëndrueshmëria e financave publike</w:t>
      </w:r>
      <w:bookmarkEnd w:id="44"/>
    </w:p>
    <w:p w14:paraId="12183152" w14:textId="151C9987" w:rsidR="00F468C9" w:rsidRPr="00770F9D" w:rsidRDefault="00F468C9"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Zbatimi i reformës së MFP-së shërben si udhërrëfyes për Shqipërinë, për të ruajtur qëndrueshmërinë e financave publike. </w:t>
      </w:r>
      <w:r w:rsidRPr="00770F9D">
        <w:rPr>
          <w:rFonts w:ascii="Garamond" w:hAnsi="Garamond" w:cstheme="majorBidi"/>
          <w:i/>
          <w:color w:val="0D0D0D" w:themeColor="text1" w:themeTint="F2"/>
        </w:rPr>
        <w:t>Objektivi i përgjithshëm</w:t>
      </w:r>
      <w:r w:rsidRPr="00770F9D">
        <w:rPr>
          <w:rFonts w:ascii="Garamond" w:hAnsi="Garamond" w:cstheme="majorBidi"/>
          <w:color w:val="0D0D0D" w:themeColor="text1" w:themeTint="F2"/>
        </w:rPr>
        <w:t xml:space="preserve"> i </w:t>
      </w:r>
      <w:r w:rsidR="001A7FFE" w:rsidRPr="00770F9D">
        <w:rPr>
          <w:rFonts w:ascii="Garamond" w:hAnsi="Garamond" w:cstheme="majorBidi"/>
          <w:color w:val="0D0D0D" w:themeColor="text1" w:themeTint="F2"/>
        </w:rPr>
        <w:t xml:space="preserve">strategjisë </w:t>
      </w:r>
      <w:r w:rsidRPr="00770F9D">
        <w:rPr>
          <w:rFonts w:ascii="Garamond" w:hAnsi="Garamond" w:cstheme="majorBidi"/>
          <w:color w:val="0D0D0D" w:themeColor="text1" w:themeTint="F2"/>
        </w:rPr>
        <w:t>së reformës së MFP-së është të arrijë një buxhet më të balancuar dhe të qëndrueshëm me një raport të reduktuar të borxhit përmes menaxhimit financiar më të fortë dhe proceseve të kontrollit dhe auditimit dhe ku ekzekutimi i buxhetit është i lidhur siç duhet me politikat e qeverisë. Ky dokument strategjik në fushën e menaxhimit të financave publike shërben si një udhërrëfyes</w:t>
      </w:r>
      <w:r w:rsidR="001A7FFE"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në:</w:t>
      </w:r>
    </w:p>
    <w:p w14:paraId="1AE02B6F" w14:textId="420627A1" w:rsidR="00072546" w:rsidRPr="00770F9D" w:rsidRDefault="00072546" w:rsidP="003F46E1">
      <w:pPr>
        <w:ind w:firstLine="284"/>
        <w:jc w:val="both"/>
        <w:rPr>
          <w:rFonts w:ascii="Garamond" w:hAnsi="Garamond" w:cs="Garamond"/>
          <w:color w:val="0D0D0D"/>
        </w:rPr>
      </w:pPr>
      <w:r w:rsidRPr="00770F9D">
        <w:rPr>
          <w:rFonts w:ascii="Garamond" w:hAnsi="Garamond"/>
          <w:color w:val="0D0D0D"/>
        </w:rPr>
        <w:t>-</w:t>
      </w:r>
      <w:r w:rsidR="00BA4F1A" w:rsidRPr="00770F9D">
        <w:rPr>
          <w:rFonts w:ascii="Garamond" w:hAnsi="Garamond"/>
          <w:color w:val="0D0D0D"/>
        </w:rPr>
        <w:t xml:space="preserve"> </w:t>
      </w:r>
      <w:r w:rsidRPr="00770F9D">
        <w:rPr>
          <w:rFonts w:ascii="Garamond" w:hAnsi="Garamond" w:cs="Garamond"/>
          <w:color w:val="0D0D0D"/>
        </w:rPr>
        <w:t>Reduktimin e borxhit publik;</w:t>
      </w:r>
    </w:p>
    <w:p w14:paraId="24EF0FC7" w14:textId="6CCE5582" w:rsidR="00072546" w:rsidRPr="00770F9D" w:rsidRDefault="00072546" w:rsidP="003F46E1">
      <w:pPr>
        <w:ind w:firstLine="284"/>
        <w:jc w:val="both"/>
        <w:rPr>
          <w:rFonts w:ascii="Garamond" w:hAnsi="Garamond" w:cs="Garamond"/>
          <w:color w:val="0D0D0D"/>
        </w:rPr>
      </w:pPr>
      <w:r w:rsidRPr="00770F9D">
        <w:rPr>
          <w:rFonts w:ascii="Garamond" w:hAnsi="Garamond"/>
          <w:color w:val="0D0D0D"/>
        </w:rPr>
        <w:t>-</w:t>
      </w:r>
      <w:r w:rsidR="00BA4F1A" w:rsidRPr="00770F9D">
        <w:rPr>
          <w:rFonts w:ascii="Garamond" w:hAnsi="Garamond"/>
          <w:color w:val="0D0D0D"/>
        </w:rPr>
        <w:t xml:space="preserve"> </w:t>
      </w:r>
      <w:r w:rsidRPr="00770F9D">
        <w:rPr>
          <w:rFonts w:ascii="Garamond" w:hAnsi="Garamond" w:cs="Garamond"/>
          <w:color w:val="0D0D0D"/>
        </w:rPr>
        <w:t>Shlyerjen dhe parandalimin e detyrimeve të prapambetura;</w:t>
      </w:r>
    </w:p>
    <w:p w14:paraId="023CFF97" w14:textId="7322055F" w:rsidR="00072546" w:rsidRPr="00770F9D" w:rsidRDefault="00072546" w:rsidP="003F46E1">
      <w:pPr>
        <w:ind w:firstLine="284"/>
        <w:jc w:val="both"/>
        <w:rPr>
          <w:rFonts w:ascii="Garamond" w:hAnsi="Garamond" w:cs="Garamond"/>
          <w:color w:val="0D0D0D"/>
        </w:rPr>
      </w:pPr>
      <w:r w:rsidRPr="00770F9D">
        <w:rPr>
          <w:rFonts w:ascii="Garamond" w:hAnsi="Garamond"/>
          <w:color w:val="0D0D0D"/>
        </w:rPr>
        <w:t>-</w:t>
      </w:r>
      <w:r w:rsidR="00BA4F1A" w:rsidRPr="00770F9D">
        <w:rPr>
          <w:rFonts w:ascii="Garamond" w:hAnsi="Garamond"/>
          <w:color w:val="0D0D0D"/>
        </w:rPr>
        <w:t xml:space="preserve"> </w:t>
      </w:r>
      <w:r w:rsidRPr="00770F9D">
        <w:rPr>
          <w:rFonts w:ascii="Garamond" w:hAnsi="Garamond" w:cs="Garamond"/>
          <w:color w:val="0D0D0D"/>
        </w:rPr>
        <w:t>Mobilizimin e vazhdueshëm të mbledhjes së të hyrave tatimore dhe doganore;</w:t>
      </w:r>
    </w:p>
    <w:p w14:paraId="79260377" w14:textId="7444CA6F" w:rsidR="00072546" w:rsidRPr="00770F9D" w:rsidRDefault="00072546" w:rsidP="003F46E1">
      <w:pPr>
        <w:ind w:firstLine="284"/>
        <w:jc w:val="both"/>
        <w:rPr>
          <w:rFonts w:ascii="Garamond" w:hAnsi="Garamond" w:cs="Garamond"/>
          <w:color w:val="0D0D0D"/>
        </w:rPr>
      </w:pPr>
      <w:r w:rsidRPr="00770F9D">
        <w:rPr>
          <w:rFonts w:ascii="Garamond" w:hAnsi="Garamond"/>
          <w:color w:val="0D0D0D"/>
        </w:rPr>
        <w:t>-</w:t>
      </w:r>
      <w:r w:rsidR="00BA4F1A" w:rsidRPr="00770F9D">
        <w:rPr>
          <w:rFonts w:ascii="Garamond" w:hAnsi="Garamond"/>
          <w:color w:val="0D0D0D"/>
        </w:rPr>
        <w:t xml:space="preserve"> </w:t>
      </w:r>
      <w:r w:rsidRPr="00770F9D">
        <w:rPr>
          <w:rFonts w:ascii="Garamond" w:hAnsi="Garamond" w:cs="Garamond"/>
          <w:color w:val="0D0D0D"/>
        </w:rPr>
        <w:t xml:space="preserve">Përmirësimin e projekteve të investimeve publike, duke përfshirë </w:t>
      </w:r>
      <w:r w:rsidR="0057378F" w:rsidRPr="00770F9D">
        <w:rPr>
          <w:rFonts w:ascii="Garamond" w:hAnsi="Garamond" w:cs="Garamond"/>
          <w:color w:val="0D0D0D"/>
        </w:rPr>
        <w:t xml:space="preserve">partneritetin publik privat </w:t>
      </w:r>
      <w:r w:rsidRPr="00770F9D">
        <w:rPr>
          <w:rFonts w:ascii="Garamond" w:hAnsi="Garamond" w:cs="Garamond"/>
          <w:color w:val="0D0D0D"/>
        </w:rPr>
        <w:t>dhe koncensionet;</w:t>
      </w:r>
    </w:p>
    <w:p w14:paraId="425FF49A" w14:textId="03E77D9E" w:rsidR="00072546" w:rsidRPr="00770F9D" w:rsidRDefault="00072546" w:rsidP="003F46E1">
      <w:pPr>
        <w:ind w:firstLine="284"/>
        <w:jc w:val="both"/>
        <w:rPr>
          <w:rFonts w:ascii="Garamond" w:hAnsi="Garamond" w:cs="Garamond"/>
          <w:color w:val="0D0D0D"/>
        </w:rPr>
      </w:pPr>
      <w:r w:rsidRPr="00770F9D">
        <w:rPr>
          <w:rFonts w:ascii="Garamond" w:hAnsi="Garamond"/>
          <w:color w:val="0D0D0D"/>
        </w:rPr>
        <w:t>-</w:t>
      </w:r>
      <w:r w:rsidR="00BA4F1A" w:rsidRPr="00770F9D">
        <w:rPr>
          <w:rFonts w:ascii="Garamond" w:hAnsi="Garamond"/>
          <w:color w:val="0D0D0D"/>
        </w:rPr>
        <w:t xml:space="preserve"> </w:t>
      </w:r>
      <w:r w:rsidRPr="00770F9D">
        <w:rPr>
          <w:rFonts w:ascii="Garamond" w:hAnsi="Garamond" w:cs="Garamond"/>
          <w:color w:val="0D0D0D"/>
        </w:rPr>
        <w:t xml:space="preserve">Sigurimi i një lidhjeje më të mirë ndërmjet politikave strategjike dhe Programit Buxhetor Afatmesëm; </w:t>
      </w:r>
    </w:p>
    <w:p w14:paraId="763798F9" w14:textId="4A759FC8" w:rsidR="00072546" w:rsidRPr="00770F9D" w:rsidRDefault="00072546" w:rsidP="003F46E1">
      <w:pPr>
        <w:ind w:firstLine="284"/>
        <w:jc w:val="both"/>
        <w:rPr>
          <w:rFonts w:ascii="Garamond" w:hAnsi="Garamond" w:cs="Garamond"/>
          <w:color w:val="0D0D0D"/>
        </w:rPr>
      </w:pPr>
      <w:r w:rsidRPr="00770F9D">
        <w:rPr>
          <w:rFonts w:ascii="Garamond" w:hAnsi="Garamond"/>
          <w:color w:val="0D0D0D"/>
        </w:rPr>
        <w:t>-</w:t>
      </w:r>
      <w:r w:rsidR="00BA4F1A" w:rsidRPr="00770F9D">
        <w:rPr>
          <w:rFonts w:ascii="Garamond" w:hAnsi="Garamond"/>
          <w:color w:val="0D0D0D"/>
        </w:rPr>
        <w:t xml:space="preserve"> </w:t>
      </w:r>
      <w:r w:rsidRPr="00770F9D">
        <w:rPr>
          <w:rFonts w:ascii="Garamond" w:hAnsi="Garamond" w:cs="Garamond"/>
          <w:color w:val="0D0D0D"/>
        </w:rPr>
        <w:t xml:space="preserve">Një angazhim më i strukturuar dhe në kohë me qytetarët, </w:t>
      </w:r>
      <w:r w:rsidR="002052F3" w:rsidRPr="00770F9D">
        <w:rPr>
          <w:rFonts w:ascii="Garamond" w:hAnsi="Garamond" w:cs="Garamond"/>
          <w:color w:val="0D0D0D"/>
        </w:rPr>
        <w:t xml:space="preserve">organizatat e shoqërisë civile </w:t>
      </w:r>
      <w:r w:rsidRPr="00770F9D">
        <w:rPr>
          <w:rFonts w:ascii="Garamond" w:hAnsi="Garamond" w:cs="Garamond"/>
          <w:color w:val="0D0D0D"/>
        </w:rPr>
        <w:t xml:space="preserve">dhe </w:t>
      </w:r>
      <w:r w:rsidR="002052F3" w:rsidRPr="00770F9D">
        <w:rPr>
          <w:rFonts w:ascii="Garamond" w:hAnsi="Garamond" w:cs="Garamond"/>
          <w:color w:val="0D0D0D"/>
        </w:rPr>
        <w:t xml:space="preserve">akademinë </w:t>
      </w:r>
      <w:r w:rsidRPr="00770F9D">
        <w:rPr>
          <w:rFonts w:ascii="Garamond" w:hAnsi="Garamond" w:cs="Garamond"/>
          <w:color w:val="0D0D0D"/>
        </w:rPr>
        <w:t xml:space="preserve">në planifikimin, monitorimin dhe raportimin e buxhetit; </w:t>
      </w:r>
    </w:p>
    <w:p w14:paraId="4DF49147" w14:textId="0198C382" w:rsidR="00072546" w:rsidRPr="00770F9D" w:rsidRDefault="00072546" w:rsidP="003F46E1">
      <w:pPr>
        <w:ind w:firstLine="284"/>
        <w:jc w:val="both"/>
        <w:rPr>
          <w:rFonts w:ascii="Garamond" w:hAnsi="Garamond" w:cs="Garamond"/>
          <w:color w:val="0D0D0D"/>
        </w:rPr>
      </w:pPr>
      <w:r w:rsidRPr="00770F9D">
        <w:rPr>
          <w:rFonts w:ascii="Garamond" w:hAnsi="Garamond"/>
          <w:color w:val="0D0D0D"/>
        </w:rPr>
        <w:t>-</w:t>
      </w:r>
      <w:r w:rsidR="00BA4F1A" w:rsidRPr="00770F9D">
        <w:rPr>
          <w:rFonts w:ascii="Garamond" w:hAnsi="Garamond"/>
          <w:color w:val="0D0D0D"/>
        </w:rPr>
        <w:t xml:space="preserve"> </w:t>
      </w:r>
      <w:r w:rsidRPr="00770F9D">
        <w:rPr>
          <w:rFonts w:ascii="Garamond" w:hAnsi="Garamond" w:cs="Garamond"/>
          <w:color w:val="0D0D0D"/>
        </w:rPr>
        <w:t xml:space="preserve">Rritja e përpjekjeve për të përmirësuar shkallën e zbatimit të rekomandimeve dhe gjetjeve të </w:t>
      </w:r>
      <w:r w:rsidR="002052F3" w:rsidRPr="00770F9D">
        <w:rPr>
          <w:rFonts w:ascii="Garamond" w:hAnsi="Garamond" w:cs="Garamond"/>
          <w:color w:val="0D0D0D"/>
        </w:rPr>
        <w:t>institucioneve supreme të auditit.</w:t>
      </w:r>
    </w:p>
    <w:p w14:paraId="3A761E58" w14:textId="14BA0A0F" w:rsidR="00072546" w:rsidRPr="00770F9D" w:rsidRDefault="00072546" w:rsidP="003F46E1">
      <w:pPr>
        <w:ind w:firstLine="284"/>
        <w:jc w:val="both"/>
        <w:rPr>
          <w:rFonts w:ascii="Garamond" w:hAnsi="Garamond" w:cs="Garamond"/>
          <w:color w:val="0D0D0D"/>
        </w:rPr>
      </w:pPr>
      <w:r w:rsidRPr="00770F9D">
        <w:rPr>
          <w:rFonts w:ascii="Garamond" w:hAnsi="Garamond" w:cs="Garamond"/>
          <w:color w:val="0D0D0D"/>
        </w:rPr>
        <w:t>Ministria e Financave dhe Ekonomisë i ka dhënë një fokus të veçantë reformës së MFP-së</w:t>
      </w:r>
      <w:r w:rsidR="002052F3" w:rsidRPr="00770F9D">
        <w:rPr>
          <w:rFonts w:ascii="Garamond" w:hAnsi="Garamond" w:cs="Garamond"/>
          <w:color w:val="0D0D0D"/>
        </w:rPr>
        <w:t>,</w:t>
      </w:r>
      <w:r w:rsidRPr="00770F9D">
        <w:rPr>
          <w:rFonts w:ascii="Garamond" w:hAnsi="Garamond" w:cs="Garamond"/>
          <w:color w:val="0D0D0D"/>
        </w:rPr>
        <w:t xml:space="preserve"> duke filluar me formulimin e </w:t>
      </w:r>
      <w:r w:rsidR="002052F3" w:rsidRPr="00770F9D">
        <w:rPr>
          <w:rFonts w:ascii="Garamond" w:hAnsi="Garamond" w:cs="Garamond"/>
          <w:color w:val="0D0D0D"/>
        </w:rPr>
        <w:t xml:space="preserve">strategjisë </w:t>
      </w:r>
      <w:r w:rsidRPr="00770F9D">
        <w:rPr>
          <w:rFonts w:ascii="Garamond" w:hAnsi="Garamond" w:cs="Garamond"/>
          <w:color w:val="0D0D0D"/>
        </w:rPr>
        <w:t xml:space="preserve">së MFP-së, zbatimin e reformës ndër vite, monitorimin dhe raportimin dhe vlerësimin. </w:t>
      </w:r>
    </w:p>
    <w:p w14:paraId="6076EFBB" w14:textId="0D06FB54" w:rsidR="00072546" w:rsidRPr="00770F9D" w:rsidRDefault="00FB6FFC" w:rsidP="003F46E1">
      <w:pPr>
        <w:pStyle w:val="Heading1"/>
        <w:ind w:left="0" w:firstLine="284"/>
        <w:jc w:val="both"/>
        <w:rPr>
          <w:rFonts w:ascii="Garamond" w:hAnsi="Garamond" w:cs="Garamond"/>
          <w:b w:val="0"/>
          <w:bCs w:val="0"/>
          <w:color w:val="0D0D0D"/>
        </w:rPr>
      </w:pPr>
      <w:r w:rsidRPr="00770F9D">
        <w:rPr>
          <w:rFonts w:ascii="Garamond" w:hAnsi="Garamond" w:cs="Garamond"/>
          <w:b w:val="0"/>
          <w:bCs w:val="0"/>
          <w:color w:val="0D0D0D"/>
        </w:rPr>
        <w:t>5.</w:t>
      </w:r>
      <w:r w:rsidR="00BA4F1A" w:rsidRPr="00770F9D">
        <w:rPr>
          <w:rFonts w:ascii="Garamond" w:hAnsi="Garamond" w:cs="Garamond"/>
          <w:b w:val="0"/>
          <w:bCs w:val="0"/>
          <w:color w:val="0D0D0D"/>
        </w:rPr>
        <w:t xml:space="preserve"> </w:t>
      </w:r>
      <w:r w:rsidR="00072546" w:rsidRPr="00770F9D">
        <w:rPr>
          <w:rFonts w:ascii="Garamond" w:hAnsi="Garamond" w:cs="Garamond"/>
          <w:b w:val="0"/>
          <w:bCs w:val="0"/>
          <w:color w:val="0D0D0D"/>
        </w:rPr>
        <w:t xml:space="preserve">REFORMAT STRUKTURORE PARËSORE NË </w:t>
      </w:r>
      <w:r w:rsidR="003F4C96" w:rsidRPr="00770F9D">
        <w:rPr>
          <w:rFonts w:ascii="Garamond" w:hAnsi="Garamond" w:cs="Garamond"/>
          <w:b w:val="0"/>
          <w:bCs w:val="0"/>
          <w:color w:val="0D0D0D"/>
        </w:rPr>
        <w:t>2023–2025</w:t>
      </w:r>
    </w:p>
    <w:p w14:paraId="6A6D3F82" w14:textId="744FAA3F" w:rsidR="00072546" w:rsidRPr="00770F9D" w:rsidRDefault="00FB6FFC" w:rsidP="00EB64CA">
      <w:pPr>
        <w:pStyle w:val="Heading2"/>
        <w:ind w:left="0" w:firstLine="284"/>
        <w:jc w:val="both"/>
        <w:rPr>
          <w:rFonts w:ascii="Garamond" w:hAnsi="Garamond" w:cs="Garamond"/>
          <w:b/>
          <w:bCs/>
          <w:color w:val="0D0D0D"/>
        </w:rPr>
      </w:pPr>
      <w:r w:rsidRPr="00770F9D">
        <w:rPr>
          <w:rFonts w:ascii="Garamond" w:hAnsi="Garamond" w:cs="Garamond"/>
          <w:b/>
          <w:bCs/>
          <w:color w:val="0D0D0D"/>
        </w:rPr>
        <w:t>5</w:t>
      </w:r>
      <w:r w:rsidR="00072546" w:rsidRPr="00770F9D">
        <w:rPr>
          <w:rFonts w:ascii="Garamond" w:hAnsi="Garamond" w:cs="Garamond"/>
          <w:b/>
          <w:bCs/>
          <w:color w:val="0D0D0D"/>
        </w:rPr>
        <w:t>.1</w:t>
      </w:r>
      <w:r w:rsidR="00BA4F1A" w:rsidRPr="00770F9D">
        <w:rPr>
          <w:rFonts w:ascii="Garamond" w:hAnsi="Garamond" w:cs="Garamond"/>
          <w:b/>
          <w:bCs/>
          <w:color w:val="0D0D0D"/>
        </w:rPr>
        <w:t xml:space="preserve"> </w:t>
      </w:r>
      <w:r w:rsidR="00072546" w:rsidRPr="00770F9D">
        <w:rPr>
          <w:rFonts w:ascii="Garamond" w:hAnsi="Garamond" w:cs="Garamond"/>
          <w:b/>
          <w:bCs/>
          <w:color w:val="0D0D0D"/>
        </w:rPr>
        <w:t>Përditësim mbi tr</w:t>
      </w:r>
      <w:r w:rsidR="00EB64CA">
        <w:rPr>
          <w:rFonts w:ascii="Garamond" w:hAnsi="Garamond" w:cs="Garamond"/>
          <w:b/>
          <w:bCs/>
          <w:color w:val="0D0D0D"/>
        </w:rPr>
        <w:t>i</w:t>
      </w:r>
      <w:r w:rsidR="00072546" w:rsidRPr="00770F9D">
        <w:rPr>
          <w:rFonts w:ascii="Garamond" w:hAnsi="Garamond" w:cs="Garamond"/>
          <w:b/>
          <w:bCs/>
          <w:color w:val="0D0D0D"/>
        </w:rPr>
        <w:t xml:space="preserve"> sfidat kyçe në konkurrueshmëri dhe rritje përfshirëse dhe masat e reformave përkatëse</w:t>
      </w:r>
    </w:p>
    <w:p w14:paraId="7EA98852" w14:textId="382D19E3" w:rsidR="00072546" w:rsidRPr="00770F9D" w:rsidRDefault="00072546" w:rsidP="003F46E1">
      <w:pPr>
        <w:pStyle w:val="Heading3"/>
        <w:ind w:left="0" w:firstLine="284"/>
        <w:jc w:val="both"/>
        <w:rPr>
          <w:rFonts w:ascii="Garamond" w:hAnsi="Garamond" w:cs="Garamond"/>
          <w:b/>
          <w:bCs/>
          <w:color w:val="0D0D0D"/>
          <w:sz w:val="24"/>
          <w:szCs w:val="24"/>
        </w:rPr>
      </w:pPr>
      <w:r w:rsidRPr="00770F9D">
        <w:rPr>
          <w:rFonts w:ascii="Garamond" w:hAnsi="Garamond" w:cs="Garamond"/>
          <w:b/>
          <w:bCs/>
          <w:color w:val="0D0D0D"/>
          <w:sz w:val="24"/>
          <w:szCs w:val="24"/>
        </w:rPr>
        <w:t xml:space="preserve">Sfida </w:t>
      </w:r>
      <w:r w:rsidR="002526C9" w:rsidRPr="00770F9D">
        <w:rPr>
          <w:rFonts w:ascii="Garamond" w:hAnsi="Garamond" w:cs="Garamond"/>
          <w:b/>
          <w:bCs/>
          <w:color w:val="0D0D0D"/>
          <w:sz w:val="24"/>
          <w:szCs w:val="24"/>
        </w:rPr>
        <w:t xml:space="preserve">kyçe </w:t>
      </w:r>
      <w:r w:rsidRPr="00770F9D">
        <w:rPr>
          <w:rFonts w:ascii="Garamond" w:hAnsi="Garamond" w:cs="Garamond"/>
          <w:b/>
          <w:bCs/>
          <w:color w:val="0D0D0D"/>
          <w:sz w:val="24"/>
          <w:szCs w:val="24"/>
        </w:rPr>
        <w:t>#1</w:t>
      </w:r>
    </w:p>
    <w:p w14:paraId="48DFB8E2" w14:textId="77777777" w:rsidR="00072546" w:rsidRPr="00770F9D" w:rsidRDefault="00072546" w:rsidP="003F46E1">
      <w:pPr>
        <w:ind w:firstLine="284"/>
        <w:jc w:val="both"/>
        <w:rPr>
          <w:rFonts w:ascii="Garamond" w:hAnsi="Garamond" w:cs="Garamond"/>
          <w:b/>
          <w:bCs/>
          <w:color w:val="0D0D0D"/>
        </w:rPr>
      </w:pPr>
      <w:r w:rsidRPr="00770F9D">
        <w:rPr>
          <w:rFonts w:ascii="Garamond" w:hAnsi="Garamond" w:cs="Garamond"/>
          <w:b/>
          <w:bCs/>
          <w:color w:val="0D0D0D"/>
        </w:rPr>
        <w:t>Rritja e inovacionit dhe aftësive të të rinjve dhe të rriturve për të rritur punësimin</w:t>
      </w:r>
    </w:p>
    <w:p w14:paraId="49C4A31F" w14:textId="70153599" w:rsidR="00072546" w:rsidRPr="00770F9D" w:rsidRDefault="00072546" w:rsidP="003F46E1">
      <w:pPr>
        <w:pStyle w:val="Heading4"/>
        <w:ind w:left="0" w:firstLine="284"/>
        <w:jc w:val="both"/>
        <w:rPr>
          <w:rFonts w:ascii="Garamond" w:hAnsi="Garamond" w:cs="Garamond"/>
          <w:b w:val="0"/>
          <w:bCs w:val="0"/>
          <w:i/>
          <w:iCs/>
          <w:color w:val="0D0D0D"/>
          <w:sz w:val="24"/>
          <w:szCs w:val="24"/>
        </w:rPr>
      </w:pPr>
      <w:r w:rsidRPr="00770F9D">
        <w:rPr>
          <w:rFonts w:ascii="Garamond" w:hAnsi="Garamond" w:cs="Garamond"/>
          <w:b w:val="0"/>
          <w:bCs w:val="0"/>
          <w:i/>
          <w:iCs/>
          <w:color w:val="0D0D0D"/>
          <w:sz w:val="24"/>
          <w:szCs w:val="24"/>
        </w:rPr>
        <w:t>a</w:t>
      </w:r>
      <w:r w:rsidR="002526C9" w:rsidRPr="00770F9D">
        <w:rPr>
          <w:rFonts w:ascii="Garamond" w:hAnsi="Garamond" w:cs="Garamond"/>
          <w:b w:val="0"/>
          <w:bCs w:val="0"/>
          <w:i/>
          <w:iCs/>
          <w:color w:val="0D0D0D"/>
          <w:sz w:val="24"/>
          <w:szCs w:val="24"/>
        </w:rPr>
        <w:t xml:space="preserve">) </w:t>
      </w:r>
      <w:r w:rsidRPr="00770F9D">
        <w:rPr>
          <w:rFonts w:ascii="Garamond" w:hAnsi="Garamond" w:cs="Garamond"/>
          <w:b w:val="0"/>
          <w:bCs w:val="0"/>
          <w:i/>
          <w:iCs/>
          <w:color w:val="0D0D0D"/>
          <w:sz w:val="24"/>
          <w:szCs w:val="24"/>
        </w:rPr>
        <w:t>Analiza e pengesave kryesore</w:t>
      </w:r>
    </w:p>
    <w:p w14:paraId="17B2C11E" w14:textId="3BD0B0DC" w:rsidR="00072546" w:rsidRPr="00770F9D" w:rsidRDefault="00072546" w:rsidP="003F46E1">
      <w:pPr>
        <w:ind w:firstLine="284"/>
        <w:jc w:val="both"/>
        <w:rPr>
          <w:rFonts w:ascii="Garamond" w:hAnsi="Garamond" w:cs="Garamond"/>
          <w:color w:val="0D0D0D"/>
        </w:rPr>
      </w:pPr>
      <w:r w:rsidRPr="00770F9D">
        <w:rPr>
          <w:rFonts w:ascii="Garamond" w:hAnsi="Garamond" w:cs="Garamond"/>
          <w:color w:val="0D0D0D"/>
        </w:rPr>
        <w:t>Gjatë vitit 2021, të rinjtë e moshës 15</w:t>
      </w:r>
      <w:r w:rsidR="002526C9" w:rsidRPr="00770F9D">
        <w:rPr>
          <w:rFonts w:ascii="Garamond" w:hAnsi="Garamond" w:cstheme="majorBidi"/>
          <w:color w:val="0D0D0D" w:themeColor="text1" w:themeTint="F2"/>
        </w:rPr>
        <w:t>–</w:t>
      </w:r>
      <w:r w:rsidRPr="00770F9D">
        <w:rPr>
          <w:rFonts w:ascii="Garamond" w:hAnsi="Garamond" w:cs="Garamond"/>
          <w:color w:val="0D0D0D"/>
        </w:rPr>
        <w:t xml:space="preserve">29 vjeç, as në punësim, as në arsim apo trajnim (NEET) përbëjnë 26.1 % të të gjithë popullsisë rinore. Edhe me një rënie prej 1.8 pp krahasuar me vitin 2020, </w:t>
      </w:r>
      <w:r w:rsidR="00623F19" w:rsidRPr="00770F9D">
        <w:rPr>
          <w:rFonts w:ascii="Garamond" w:hAnsi="Garamond" w:cs="Garamond"/>
          <w:color w:val="0D0D0D"/>
        </w:rPr>
        <w:t>përqind</w:t>
      </w:r>
      <w:r w:rsidRPr="00770F9D">
        <w:rPr>
          <w:rFonts w:ascii="Garamond" w:hAnsi="Garamond" w:cs="Garamond"/>
          <w:color w:val="0D0D0D"/>
        </w:rPr>
        <w:t>ja e NEET</w:t>
      </w:r>
      <w:r w:rsidR="002B2840" w:rsidRPr="00770F9D">
        <w:rPr>
          <w:rFonts w:ascii="Garamond" w:hAnsi="Garamond" w:cs="Garamond"/>
          <w:color w:val="0D0D0D"/>
        </w:rPr>
        <w:t>-së</w:t>
      </w:r>
      <w:r w:rsidRPr="00770F9D">
        <w:rPr>
          <w:rFonts w:ascii="Garamond" w:hAnsi="Garamond" w:cs="Garamond"/>
          <w:color w:val="0D0D0D"/>
        </w:rPr>
        <w:t xml:space="preserve"> mbetet ende e lartë. Në këtë grup, 37.3% janë të papunë. Pjesa tjetër është jashtë fuqisë punëtore sepse janë punëtorë të dekurajuar (15.4%), që përmbushin përgjegjësitë shtëpiake dhe familjare (17.5%), ose për arsye të tjera (29.8%). Krahasimi i të rinjve që nuk janë as në punësim, as në arsim apo trajnim nga seksi dhe statusi i tyre në tregun e punës, rezultatet tregojnë se meshkujt janë më aktivë se femrat (46.6% e meshkujve kërkojnë punë dhe janë të gatshëm për të punuar, ndërsa për femrat kjo </w:t>
      </w:r>
      <w:r w:rsidR="007A2FF2" w:rsidRPr="00770F9D">
        <w:rPr>
          <w:rFonts w:ascii="Garamond" w:hAnsi="Garamond" w:cs="Garamond"/>
          <w:color w:val="0D0D0D"/>
        </w:rPr>
        <w:t xml:space="preserve">përqindje </w:t>
      </w:r>
      <w:r w:rsidRPr="00770F9D">
        <w:rPr>
          <w:rFonts w:ascii="Garamond" w:hAnsi="Garamond" w:cs="Garamond"/>
          <w:color w:val="0D0D0D"/>
        </w:rPr>
        <w:t xml:space="preserve">është 29.5%). </w:t>
      </w:r>
      <w:r w:rsidR="00623F19" w:rsidRPr="00770F9D">
        <w:rPr>
          <w:rFonts w:ascii="Garamond" w:hAnsi="Garamond" w:cs="Garamond"/>
          <w:color w:val="0D0D0D"/>
        </w:rPr>
        <w:t>Përqind</w:t>
      </w:r>
      <w:r w:rsidRPr="00770F9D">
        <w:rPr>
          <w:rFonts w:ascii="Garamond" w:hAnsi="Garamond" w:cs="Garamond"/>
          <w:color w:val="0D0D0D"/>
        </w:rPr>
        <w:t>ja e NEET</w:t>
      </w:r>
      <w:r w:rsidR="00FE26BD" w:rsidRPr="00770F9D">
        <w:rPr>
          <w:rFonts w:ascii="Garamond" w:hAnsi="Garamond" w:cs="Garamond"/>
          <w:color w:val="0D0D0D"/>
        </w:rPr>
        <w:t>-së</w:t>
      </w:r>
      <w:r w:rsidRPr="00770F9D">
        <w:rPr>
          <w:rFonts w:ascii="Garamond" w:hAnsi="Garamond" w:cs="Garamond"/>
          <w:color w:val="0D0D0D"/>
        </w:rPr>
        <w:t xml:space="preserve"> ishte më e larta në mesin e të diplomuarve në universitet (27.8%), të ndjekur nga të diplomuarit e mesëm të lartë (27.1%), ndërsa të rinjtë me jo më shumë se arsim të mesëm të ulët dolën më mirë (24.2%). Kjo lidhet me strukturën e sipërmarrjeve që nuk janë ende në gjendje të absorbojnë numrin në rritje të të diplomuarve me arsim të lartë, shoqëruar me tërheqjen aktualisht të ulët të investimeve të huaja direkte në vend dhe orientimin e kufizuar ose inekzistent të karrierës, ku studentët bëjnë zgjedhje që mund të </w:t>
      </w:r>
      <w:r w:rsidRPr="00F52E05">
        <w:rPr>
          <w:rFonts w:ascii="Garamond" w:hAnsi="Garamond" w:cs="Garamond"/>
          <w:color w:val="0D0D0D"/>
        </w:rPr>
        <w:t>mos jenë gjithmonë</w:t>
      </w:r>
      <w:r w:rsidR="00FE26BD" w:rsidRPr="00F52E05">
        <w:rPr>
          <w:rFonts w:ascii="Garamond" w:hAnsi="Garamond" w:cs="Garamond"/>
          <w:color w:val="0D0D0D"/>
        </w:rPr>
        <w:t>,</w:t>
      </w:r>
      <w:r w:rsidRPr="00F52E05">
        <w:rPr>
          <w:rFonts w:ascii="Garamond" w:hAnsi="Garamond" w:cs="Garamond"/>
          <w:color w:val="0D0D0D"/>
        </w:rPr>
        <w:t xml:space="preserve"> korrespondojnë</w:t>
      </w:r>
      <w:r w:rsidRPr="00770F9D">
        <w:rPr>
          <w:rFonts w:ascii="Garamond" w:hAnsi="Garamond" w:cs="Garamond"/>
          <w:color w:val="0D0D0D"/>
        </w:rPr>
        <w:t xml:space="preserve"> me kërkesën në tregun e punës.</w:t>
      </w:r>
    </w:p>
    <w:p w14:paraId="7E35D275" w14:textId="69B07390" w:rsidR="002752DE" w:rsidRPr="00770F9D" w:rsidRDefault="002752DE" w:rsidP="003F46E1">
      <w:pPr>
        <w:adjustRightInd w:val="0"/>
        <w:ind w:firstLine="284"/>
        <w:jc w:val="both"/>
        <w:rPr>
          <w:rFonts w:ascii="Garamond" w:hAnsi="Garamond" w:cstheme="majorBidi"/>
          <w:color w:val="0D0D0D" w:themeColor="text1" w:themeTint="F2"/>
          <w:lang w:eastAsia="en-GB"/>
        </w:rPr>
      </w:pPr>
      <w:r w:rsidRPr="00770F9D">
        <w:rPr>
          <w:rFonts w:ascii="Garamond" w:hAnsi="Garamond" w:cstheme="majorBidi"/>
          <w:color w:val="0D0D0D" w:themeColor="text1" w:themeTint="F2"/>
          <w:lang w:eastAsia="en-GB"/>
        </w:rPr>
        <w:t>Të rinjtë shqiptarë përballen me sfida të rëndësishme në përputhjen e kualifikimeve të tyre të arsimit të lartë me kërkesat e tregut të punës dhe shpesh pranojnë pozicione të përkohshme punësimi për të cilat ata janë të mbikualifikuar si një alternativë ndaj vendeve të pakta të punës në fushat e tyre përkatëse të specializimit. Ekziston një nevojë e vazhdueshme për t</w:t>
      </w:r>
      <w:r w:rsidR="00DF573F" w:rsidRPr="00770F9D">
        <w:rPr>
          <w:rFonts w:ascii="Garamond" w:hAnsi="Garamond" w:cstheme="majorBidi"/>
          <w:color w:val="0D0D0D" w:themeColor="text1" w:themeTint="F2"/>
          <w:lang w:eastAsia="en-GB"/>
        </w:rPr>
        <w:t>’</w:t>
      </w:r>
      <w:r w:rsidRPr="00770F9D">
        <w:rPr>
          <w:rFonts w:ascii="Garamond" w:hAnsi="Garamond" w:cstheme="majorBidi"/>
          <w:color w:val="0D0D0D" w:themeColor="text1" w:themeTint="F2"/>
          <w:lang w:eastAsia="en-GB"/>
        </w:rPr>
        <w:t>u fokusuar tek të rinjtë NEET nga grupet vulnerabël. Rinia mund të identifikohet si një grup vulnerabël që përballet me sfida të mëdha si rreziku i varfërisë, papunësia e lartë dhe shkalla e papunësisë afatgjatë, normat e larta NEET. Disa nga sfidat janë edhe më të mëdha për të rejat, të tjera për të rinjtë. Pjesëmarrja ekonomike e të rinjve është ende dukshëm nën mesataren e BE-së.</w:t>
      </w:r>
    </w:p>
    <w:p w14:paraId="7F67DF53" w14:textId="4BEA923F" w:rsidR="002752DE" w:rsidRPr="00770F9D" w:rsidRDefault="002752DE" w:rsidP="003F46E1">
      <w:pPr>
        <w:adjustRightInd w:val="0"/>
        <w:ind w:firstLine="284"/>
        <w:jc w:val="both"/>
        <w:rPr>
          <w:rFonts w:ascii="Garamond" w:hAnsi="Garamond" w:cstheme="majorBidi"/>
          <w:color w:val="0D0D0D" w:themeColor="text1" w:themeTint="F2"/>
          <w:lang w:eastAsia="en-GB"/>
        </w:rPr>
      </w:pPr>
      <w:r w:rsidRPr="00770F9D">
        <w:rPr>
          <w:rFonts w:ascii="Garamond" w:hAnsi="Garamond" w:cstheme="majorBidi"/>
          <w:color w:val="0D0D0D" w:themeColor="text1" w:themeTint="F2"/>
          <w:lang w:eastAsia="en-GB"/>
        </w:rPr>
        <w:t>Në sistemin e AFP-së, tashmë është zhvilluar një cikël politik koherent i proceseve të brendshme për zhvillimin dhe mirëmbajtjen e kualifikimeve profesionale, i cili mbështet rëndësinë e kualifikimeve në tregun e punës. Në këtë kuadër, standardet e profesionit, standardet e kualifikimit dhe kurrikulat e skeletit po zhvillohen tashmë në përputhje me një metodologji bashkëkohore</w:t>
      </w:r>
      <w:r w:rsidR="009A6662" w:rsidRPr="00770F9D">
        <w:rPr>
          <w:rFonts w:ascii="Garamond" w:hAnsi="Garamond" w:cstheme="majorBidi"/>
          <w:color w:val="0D0D0D" w:themeColor="text1" w:themeTint="F2"/>
          <w:lang w:eastAsia="en-GB"/>
        </w:rPr>
        <w:t>,</w:t>
      </w:r>
      <w:r w:rsidRPr="00770F9D">
        <w:rPr>
          <w:rFonts w:ascii="Garamond" w:hAnsi="Garamond" w:cstheme="majorBidi"/>
          <w:color w:val="0D0D0D" w:themeColor="text1" w:themeTint="F2"/>
          <w:lang w:eastAsia="en-GB"/>
        </w:rPr>
        <w:t xml:space="preserve"> e cila merr në konsideratë parimet dhe kriteret e </w:t>
      </w:r>
      <w:r w:rsidR="006D3722" w:rsidRPr="00770F9D">
        <w:rPr>
          <w:rFonts w:ascii="Garamond" w:hAnsi="Garamond" w:cstheme="majorBidi"/>
          <w:color w:val="0D0D0D" w:themeColor="text1" w:themeTint="F2"/>
          <w:lang w:eastAsia="en-GB"/>
        </w:rPr>
        <w:t xml:space="preserve">kornizës shqiptare të kualifikimeve </w:t>
      </w:r>
      <w:r w:rsidRPr="00770F9D">
        <w:rPr>
          <w:rFonts w:ascii="Garamond" w:hAnsi="Garamond" w:cstheme="majorBidi"/>
          <w:color w:val="0D0D0D" w:themeColor="text1" w:themeTint="F2"/>
          <w:lang w:eastAsia="en-GB"/>
        </w:rPr>
        <w:t xml:space="preserve">dhe dokumentet e sipërpërmendura bazohen në kontributin aktiv të privatit. sektor. Rishikimi dhe përditësimi i </w:t>
      </w:r>
      <w:r w:rsidR="006D3722" w:rsidRPr="00770F9D">
        <w:rPr>
          <w:rFonts w:ascii="Garamond" w:hAnsi="Garamond" w:cstheme="majorBidi"/>
          <w:color w:val="0D0D0D" w:themeColor="text1" w:themeTint="F2"/>
          <w:lang w:eastAsia="en-GB"/>
        </w:rPr>
        <w:t xml:space="preserve">katalogut kombëtar të kualifikimeve </w:t>
      </w:r>
      <w:r w:rsidRPr="00770F9D">
        <w:rPr>
          <w:rFonts w:ascii="Garamond" w:hAnsi="Garamond" w:cstheme="majorBidi"/>
          <w:color w:val="0D0D0D" w:themeColor="text1" w:themeTint="F2"/>
          <w:lang w:eastAsia="en-GB"/>
        </w:rPr>
        <w:t>është një proces dinamik që lidhet ngushtë me adresimin e nevojave të tregut të punës dhe të nevojave të shoqërisë në tërësi.</w:t>
      </w:r>
    </w:p>
    <w:p w14:paraId="501B5EFB" w14:textId="523B4ECA" w:rsidR="002752DE" w:rsidRPr="00770F9D" w:rsidRDefault="003F4C96" w:rsidP="003F46E1">
      <w:pPr>
        <w:adjustRightInd w:val="0"/>
        <w:ind w:firstLine="284"/>
        <w:jc w:val="both"/>
        <w:rPr>
          <w:rFonts w:ascii="Garamond" w:hAnsi="Garamond" w:cstheme="majorBidi"/>
          <w:color w:val="0D0D0D" w:themeColor="text1" w:themeTint="F2"/>
          <w:lang w:eastAsia="en-GB"/>
        </w:rPr>
      </w:pPr>
      <w:r w:rsidRPr="00770F9D">
        <w:rPr>
          <w:rFonts w:ascii="Garamond" w:hAnsi="Garamond" w:cstheme="majorBidi"/>
          <w:color w:val="0D0D0D" w:themeColor="text1" w:themeTint="F2"/>
          <w:lang w:eastAsia="en-GB"/>
        </w:rPr>
        <w:t>Digjital</w:t>
      </w:r>
      <w:r w:rsidR="002752DE" w:rsidRPr="00770F9D">
        <w:rPr>
          <w:rFonts w:ascii="Garamond" w:hAnsi="Garamond" w:cstheme="majorBidi"/>
          <w:color w:val="0D0D0D" w:themeColor="text1" w:themeTint="F2"/>
          <w:lang w:eastAsia="en-GB"/>
        </w:rPr>
        <w:t>izimi është bërë një element i rëndësishëm i tregut të punës dhe ofruesit e AFP-së po përshtaten për të përdorur avantazhet e tij për të ofruar mënyra të reja të të mësuarit/mësimdhënies moderne. Në bashkëpunim me donatorët, (BE, GIZ-Gjermani, SDC-Zvicër, ADA-Austri, Italian Cooperation etj.) po punohet si në drejtim të pajisjes me infrastrukturën dhe logjistikën e nevojshme, por edhe në rritjen e kapaciteteve të burimeve njerëzore</w:t>
      </w:r>
      <w:r w:rsidR="008E48C8" w:rsidRPr="00770F9D">
        <w:rPr>
          <w:rFonts w:ascii="Garamond" w:hAnsi="Garamond" w:cstheme="majorBidi"/>
          <w:color w:val="0D0D0D" w:themeColor="text1" w:themeTint="F2"/>
          <w:lang w:eastAsia="en-GB"/>
        </w:rPr>
        <w:t>,</w:t>
      </w:r>
      <w:r w:rsidR="002752DE" w:rsidRPr="00770F9D">
        <w:rPr>
          <w:rFonts w:ascii="Garamond" w:hAnsi="Garamond" w:cstheme="majorBidi"/>
          <w:color w:val="0D0D0D" w:themeColor="text1" w:themeTint="F2"/>
          <w:lang w:eastAsia="en-GB"/>
        </w:rPr>
        <w:t xml:space="preserve"> në përdorimin e avantazheve të </w:t>
      </w:r>
      <w:r w:rsidRPr="00770F9D">
        <w:rPr>
          <w:rFonts w:ascii="Garamond" w:hAnsi="Garamond" w:cstheme="majorBidi"/>
          <w:color w:val="0D0D0D" w:themeColor="text1" w:themeTint="F2"/>
          <w:lang w:eastAsia="en-GB"/>
        </w:rPr>
        <w:t>digjital</w:t>
      </w:r>
      <w:r w:rsidR="002752DE" w:rsidRPr="00770F9D">
        <w:rPr>
          <w:rFonts w:ascii="Garamond" w:hAnsi="Garamond" w:cstheme="majorBidi"/>
          <w:color w:val="0D0D0D" w:themeColor="text1" w:themeTint="F2"/>
          <w:lang w:eastAsia="en-GB"/>
        </w:rPr>
        <w:t xml:space="preserve">izimit në zhvillimin e procesit mësimor. Nevojat në këtë fushë janë të konsiderueshme dhe situata e COVID-2019 vuri në dukje se duhet investuar prioritet në këtë drejtim, si në drejtim të pajisjes me infrastrukturë dhe </w:t>
      </w:r>
      <w:r w:rsidR="00C71D71" w:rsidRPr="00770F9D">
        <w:rPr>
          <w:rFonts w:ascii="Garamond" w:hAnsi="Garamond" w:cstheme="majorBidi"/>
          <w:color w:val="0D0D0D" w:themeColor="text1" w:themeTint="F2"/>
          <w:lang w:eastAsia="en-GB"/>
        </w:rPr>
        <w:t xml:space="preserve">me </w:t>
      </w:r>
      <w:r w:rsidR="002752DE" w:rsidRPr="00770F9D">
        <w:rPr>
          <w:rFonts w:ascii="Garamond" w:hAnsi="Garamond" w:cstheme="majorBidi"/>
          <w:color w:val="0D0D0D" w:themeColor="text1" w:themeTint="F2"/>
          <w:lang w:eastAsia="en-GB"/>
        </w:rPr>
        <w:t>logjistikë, ashtu edhe në trajnime të vazhdueshme.</w:t>
      </w:r>
    </w:p>
    <w:p w14:paraId="382BC71E" w14:textId="57B4005F" w:rsidR="002752DE" w:rsidRPr="00770F9D" w:rsidRDefault="002752DE" w:rsidP="003F46E1">
      <w:pPr>
        <w:adjustRightInd w:val="0"/>
        <w:ind w:firstLine="284"/>
        <w:jc w:val="both"/>
        <w:rPr>
          <w:rFonts w:ascii="Garamond" w:hAnsi="Garamond" w:cstheme="majorBidi"/>
          <w:color w:val="0D0D0D" w:themeColor="text1" w:themeTint="F2"/>
          <w:lang w:eastAsia="en-GB"/>
        </w:rPr>
      </w:pPr>
      <w:r w:rsidRPr="00770F9D">
        <w:rPr>
          <w:rFonts w:ascii="Garamond" w:hAnsi="Garamond" w:cstheme="majorBidi"/>
          <w:color w:val="0D0D0D" w:themeColor="text1" w:themeTint="F2"/>
          <w:lang w:eastAsia="en-GB"/>
        </w:rPr>
        <w:t>Nëpërmjet buxhetit të shtetit janë bërë investime të konsiderueshme në infrastrukturën e ofruesve të AFP-së, si në aspektin e ndërtesave të reja moderne, ashtu edhe në laboratorët e praktikës profesionale. Tani pothuajse të gjitha shkollat kanë pajisje të përshtatshme për zhvillimin e mësimit praktik dhe teorik. Ndërkohë, po vazhdon puna për optimizimin e rrjetit të ofruesve të arsimit dhe formimit profesional për t</w:t>
      </w:r>
      <w:r w:rsidR="007C75E7" w:rsidRPr="00770F9D">
        <w:rPr>
          <w:rFonts w:ascii="Garamond" w:hAnsi="Garamond" w:cstheme="majorBidi"/>
          <w:color w:val="0D0D0D" w:themeColor="text1" w:themeTint="F2"/>
          <w:lang w:eastAsia="en-GB"/>
        </w:rPr>
        <w:t>’</w:t>
      </w:r>
      <w:r w:rsidRPr="00770F9D">
        <w:rPr>
          <w:rFonts w:ascii="Garamond" w:hAnsi="Garamond" w:cstheme="majorBidi"/>
          <w:color w:val="0D0D0D" w:themeColor="text1" w:themeTint="F2"/>
          <w:lang w:eastAsia="en-GB"/>
        </w:rPr>
        <w:t>u pozicionuar në treg si një ofertë arsimore cilësore në përgjigje të nevojave të tregut të punës dhe shoqërisë në tërësi.</w:t>
      </w:r>
    </w:p>
    <w:p w14:paraId="66945511" w14:textId="77777777" w:rsidR="002752DE" w:rsidRPr="00770F9D" w:rsidRDefault="002752DE" w:rsidP="003F46E1">
      <w:pPr>
        <w:adjustRightInd w:val="0"/>
        <w:ind w:firstLine="284"/>
        <w:jc w:val="both"/>
        <w:rPr>
          <w:rFonts w:ascii="Garamond" w:hAnsi="Garamond" w:cstheme="majorBidi"/>
          <w:color w:val="0D0D0D" w:themeColor="text1" w:themeTint="F2"/>
          <w:lang w:eastAsia="en-GB"/>
        </w:rPr>
      </w:pPr>
      <w:r w:rsidRPr="00770F9D">
        <w:rPr>
          <w:rFonts w:ascii="Garamond" w:hAnsi="Garamond" w:cstheme="majorBidi"/>
          <w:color w:val="0D0D0D" w:themeColor="text1" w:themeTint="F2"/>
          <w:lang w:eastAsia="en-GB"/>
        </w:rPr>
        <w:t>Problemet demografike dhe emigracioni kanë sjellë uljen e numrit të nxënësve që ndjekin arsimin në arsimin e përgjithshëm dhe atë profesional. Bursat janë dhënë prej disa vitesh për të rritur pjesëmarrjen e nxënësve nga zonat rurale, nga grupet vulnerabël dhe vajzat në shkollat profesionale për ato vajza që duan të studiojnë lëndë tradicionalisht jo tipike për to.</w:t>
      </w:r>
    </w:p>
    <w:p w14:paraId="331AD4F2" w14:textId="7304C371" w:rsidR="002752DE" w:rsidRPr="00770F9D" w:rsidRDefault="002752DE" w:rsidP="003F46E1">
      <w:pPr>
        <w:adjustRightInd w:val="0"/>
        <w:ind w:firstLine="284"/>
        <w:jc w:val="both"/>
        <w:rPr>
          <w:rFonts w:ascii="Garamond" w:hAnsi="Garamond" w:cstheme="majorBidi"/>
          <w:color w:val="0D0D0D" w:themeColor="text1" w:themeTint="F2"/>
          <w:lang w:eastAsia="en-GB"/>
        </w:rPr>
      </w:pPr>
      <w:r w:rsidRPr="00770F9D">
        <w:rPr>
          <w:rFonts w:ascii="Garamond" w:hAnsi="Garamond" w:cstheme="majorBidi"/>
          <w:color w:val="0D0D0D" w:themeColor="text1" w:themeTint="F2"/>
          <w:lang w:eastAsia="en-GB"/>
        </w:rPr>
        <w:t xml:space="preserve">Shkenca, teknologjia dhe inovacioni janë të rëndësishme në të gjitha fazat e rritjes dhe zhvillimit ekonomik të një vendi dhe padyshim që forca kryesore lëvizëse këtu janë burimet njerëzore. Fatkeqësisht, Shqipëria për shkak të migrimit masiv pas viteve 1990, humbi jo vetëm fuqinë punëtore me kualifikim të ulët, por edhe një </w:t>
      </w:r>
      <w:r w:rsidR="007A2FF2" w:rsidRPr="00770F9D">
        <w:rPr>
          <w:rFonts w:ascii="Garamond" w:hAnsi="Garamond" w:cstheme="majorBidi"/>
          <w:color w:val="0D0D0D" w:themeColor="text1" w:themeTint="F2"/>
          <w:lang w:eastAsia="en-GB"/>
        </w:rPr>
        <w:t xml:space="preserve">përqindje </w:t>
      </w:r>
      <w:r w:rsidRPr="00770F9D">
        <w:rPr>
          <w:rFonts w:ascii="Garamond" w:hAnsi="Garamond" w:cstheme="majorBidi"/>
          <w:color w:val="0D0D0D" w:themeColor="text1" w:themeTint="F2"/>
          <w:lang w:eastAsia="en-GB"/>
        </w:rPr>
        <w:t>të lartë njerëzish dhe studiuesish të mirë arsimuar. Sondazhe të ndryshme kombëtare tregojnë se nga viti 1990 deri në vitin 2000, rreth 40% e profesorëve dhe shkencëtarëve kërkimorë të universiteteve dhe institucioneve shkencore në vend kanë emigruar.</w:t>
      </w:r>
    </w:p>
    <w:p w14:paraId="5EF55107" w14:textId="77777777" w:rsidR="002752DE" w:rsidRPr="00770F9D" w:rsidRDefault="002752DE" w:rsidP="003F46E1">
      <w:pPr>
        <w:adjustRightInd w:val="0"/>
        <w:ind w:firstLine="284"/>
        <w:jc w:val="both"/>
        <w:rPr>
          <w:rFonts w:ascii="Garamond" w:hAnsi="Garamond" w:cstheme="majorBidi"/>
          <w:color w:val="0D0D0D" w:themeColor="text1" w:themeTint="F2"/>
          <w:lang w:eastAsia="en-GB"/>
        </w:rPr>
      </w:pPr>
      <w:r w:rsidRPr="00770F9D">
        <w:rPr>
          <w:rFonts w:ascii="Garamond" w:hAnsi="Garamond" w:cstheme="majorBidi"/>
          <w:color w:val="0D0D0D" w:themeColor="text1" w:themeTint="F2"/>
          <w:lang w:eastAsia="en-GB"/>
        </w:rPr>
        <w:t>Sistemi i kërkimit në Shqipëri përfshin një gamë të gjerë institucionesh në arsimin e lartë, kërkimin shkencor, zhvillimin dhe teknologjinë dhe sektorin privat. Megjithatë, bizneset kanë pjesëmarrje të ulët në K&amp;Zh dhe aktivitete të tjera të gjenerimit të njohurive.</w:t>
      </w:r>
    </w:p>
    <w:p w14:paraId="1C61C97F" w14:textId="77777777" w:rsidR="002752DE" w:rsidRPr="00770F9D" w:rsidRDefault="002752DE" w:rsidP="003F46E1">
      <w:pPr>
        <w:adjustRightInd w:val="0"/>
        <w:ind w:firstLine="284"/>
        <w:jc w:val="both"/>
        <w:rPr>
          <w:rFonts w:ascii="Garamond" w:hAnsi="Garamond" w:cstheme="majorBidi"/>
          <w:color w:val="0D0D0D" w:themeColor="text1" w:themeTint="F2"/>
          <w:lang w:eastAsia="en-GB"/>
        </w:rPr>
      </w:pPr>
      <w:r w:rsidRPr="00770F9D">
        <w:rPr>
          <w:rFonts w:ascii="Garamond" w:hAnsi="Garamond" w:cstheme="majorBidi"/>
          <w:color w:val="0D0D0D" w:themeColor="text1" w:themeTint="F2"/>
          <w:lang w:eastAsia="en-GB"/>
        </w:rPr>
        <w:t>Në vitin 2015, qeveria shqiptare ndërmori një reformë të thellë në sistemin e arsimit të lartë dhe të kërkimit shkencor. Pas kësaj hyri në fuqi ligji i ri për Akademinë e Shkencave. Është riorganizuar sipas modelit të shumë vendeve të tjera evropiane;</w:t>
      </w:r>
    </w:p>
    <w:p w14:paraId="1F05FCC6" w14:textId="41E056FA" w:rsidR="002752DE" w:rsidRPr="00770F9D" w:rsidRDefault="002752DE" w:rsidP="00996F2C">
      <w:pPr>
        <w:adjustRightInd w:val="0"/>
        <w:ind w:firstLine="284"/>
        <w:jc w:val="both"/>
        <w:rPr>
          <w:rFonts w:ascii="Garamond" w:hAnsi="Garamond" w:cstheme="majorBidi"/>
          <w:color w:val="0D0D0D" w:themeColor="text1" w:themeTint="F2"/>
          <w:lang w:eastAsia="en-GB"/>
        </w:rPr>
      </w:pPr>
      <w:r w:rsidRPr="00770F9D">
        <w:rPr>
          <w:rFonts w:ascii="Garamond" w:hAnsi="Garamond" w:cstheme="majorBidi"/>
          <w:color w:val="0D0D0D" w:themeColor="text1" w:themeTint="F2"/>
          <w:lang w:eastAsia="en-GB"/>
        </w:rPr>
        <w:t>Bashkimi Evropian (BE) ka vendosur objektiva të qart</w:t>
      </w:r>
      <w:r w:rsidR="00996F2C">
        <w:rPr>
          <w:rFonts w:ascii="Garamond" w:hAnsi="Garamond" w:cstheme="majorBidi"/>
          <w:color w:val="0D0D0D" w:themeColor="text1" w:themeTint="F2"/>
          <w:lang w:eastAsia="en-GB"/>
        </w:rPr>
        <w:t>ë</w:t>
      </w:r>
      <w:r w:rsidRPr="00770F9D">
        <w:rPr>
          <w:rFonts w:ascii="Garamond" w:hAnsi="Garamond" w:cstheme="majorBidi"/>
          <w:color w:val="0D0D0D" w:themeColor="text1" w:themeTint="F2"/>
          <w:lang w:eastAsia="en-GB"/>
        </w:rPr>
        <w:t xml:space="preserve"> për kërkimin dhe inovacionin si pjesë e Strategjisë së tij të Lisbonës për t'u bërë më konkurrues dhe inovativ. Në vijim, Shqipëria u bë një vend i asociuar nga viti 2009. Aktualisht Shqipëria është pjesë e </w:t>
      </w:r>
      <w:r w:rsidRPr="00770F9D">
        <w:rPr>
          <w:rFonts w:ascii="Garamond" w:hAnsi="Garamond" w:cstheme="majorBidi"/>
          <w:i/>
          <w:iCs/>
          <w:color w:val="0D0D0D" w:themeColor="text1" w:themeTint="F2"/>
          <w:lang w:eastAsia="en-GB"/>
        </w:rPr>
        <w:t>Horizon Europe</w:t>
      </w:r>
      <w:r w:rsidRPr="00770F9D">
        <w:rPr>
          <w:rFonts w:ascii="Garamond" w:hAnsi="Garamond" w:cstheme="majorBidi"/>
          <w:color w:val="0D0D0D" w:themeColor="text1" w:themeTint="F2"/>
          <w:lang w:eastAsia="en-GB"/>
        </w:rPr>
        <w:t xml:space="preserve"> si vend asociuar.</w:t>
      </w:r>
    </w:p>
    <w:p w14:paraId="12E31235" w14:textId="3C3E0D33" w:rsidR="004F312A" w:rsidRPr="00770F9D" w:rsidRDefault="00FB6FFC" w:rsidP="003F46E1">
      <w:pPr>
        <w:pStyle w:val="Heading4"/>
        <w:snapToGrid w:val="0"/>
        <w:ind w:left="0" w:firstLine="284"/>
        <w:jc w:val="both"/>
        <w:rPr>
          <w:rFonts w:ascii="Garamond" w:hAnsi="Garamond" w:cstheme="majorBidi"/>
          <w:b w:val="0"/>
          <w:i/>
          <w:color w:val="0D0D0D" w:themeColor="text1" w:themeTint="F2"/>
          <w:sz w:val="24"/>
          <w:szCs w:val="24"/>
        </w:rPr>
      </w:pPr>
      <w:r w:rsidRPr="00770F9D">
        <w:rPr>
          <w:rFonts w:ascii="Garamond" w:hAnsi="Garamond" w:cstheme="majorBidi"/>
          <w:b w:val="0"/>
          <w:i/>
          <w:color w:val="0D0D0D" w:themeColor="text1" w:themeTint="F2"/>
          <w:sz w:val="24"/>
          <w:szCs w:val="24"/>
        </w:rPr>
        <w:t>b</w:t>
      </w:r>
      <w:r w:rsidR="007C75E7" w:rsidRPr="00770F9D">
        <w:rPr>
          <w:rFonts w:ascii="Garamond" w:hAnsi="Garamond" w:cstheme="majorBidi"/>
          <w:b w:val="0"/>
          <w:i/>
          <w:color w:val="0D0D0D" w:themeColor="text1" w:themeTint="F2"/>
          <w:sz w:val="24"/>
          <w:szCs w:val="24"/>
        </w:rPr>
        <w:t>)</w:t>
      </w:r>
      <w:r w:rsidR="00072546" w:rsidRPr="00770F9D">
        <w:rPr>
          <w:rFonts w:ascii="Garamond" w:hAnsi="Garamond" w:cstheme="majorBidi"/>
          <w:b w:val="0"/>
          <w:i/>
          <w:color w:val="0D0D0D" w:themeColor="text1" w:themeTint="F2"/>
          <w:sz w:val="24"/>
          <w:szCs w:val="24"/>
        </w:rPr>
        <w:t xml:space="preserve"> </w:t>
      </w:r>
      <w:r w:rsidR="00B2062A" w:rsidRPr="00770F9D">
        <w:rPr>
          <w:rFonts w:ascii="Garamond" w:hAnsi="Garamond" w:cstheme="majorBidi"/>
          <w:b w:val="0"/>
          <w:i/>
          <w:color w:val="0D0D0D" w:themeColor="text1" w:themeTint="F2"/>
          <w:sz w:val="24"/>
          <w:szCs w:val="24"/>
        </w:rPr>
        <w:t>Masat e reformës</w:t>
      </w:r>
    </w:p>
    <w:p w14:paraId="2C3E455C" w14:textId="77777777" w:rsidR="004F312A" w:rsidRPr="00770F9D" w:rsidRDefault="00B2062A" w:rsidP="003F46E1">
      <w:pPr>
        <w:pStyle w:val="Heading5"/>
        <w:snapToGrid w:val="0"/>
        <w:ind w:left="0" w:firstLine="284"/>
        <w:jc w:val="both"/>
        <w:rPr>
          <w:rFonts w:ascii="Garamond" w:hAnsi="Garamond" w:cstheme="majorBidi"/>
          <w:i w:val="0"/>
          <w:color w:val="0D0D0D" w:themeColor="text1" w:themeTint="F2"/>
          <w:sz w:val="24"/>
          <w:szCs w:val="24"/>
        </w:rPr>
      </w:pPr>
      <w:r w:rsidRPr="00770F9D">
        <w:rPr>
          <w:rFonts w:ascii="Garamond" w:hAnsi="Garamond" w:cstheme="majorBidi"/>
          <w:i w:val="0"/>
          <w:color w:val="0D0D0D" w:themeColor="text1" w:themeTint="F2"/>
          <w:sz w:val="24"/>
          <w:szCs w:val="24"/>
        </w:rPr>
        <w:t>Masa e reformës</w:t>
      </w:r>
      <w:r w:rsidR="005358F8" w:rsidRPr="00770F9D">
        <w:rPr>
          <w:rFonts w:ascii="Garamond" w:hAnsi="Garamond" w:cstheme="majorBidi"/>
          <w:i w:val="0"/>
          <w:color w:val="0D0D0D" w:themeColor="text1" w:themeTint="F2"/>
          <w:sz w:val="24"/>
          <w:szCs w:val="24"/>
        </w:rPr>
        <w:t xml:space="preserve"> 01</w:t>
      </w:r>
      <w:r w:rsidR="004F312A" w:rsidRPr="00770F9D">
        <w:rPr>
          <w:rFonts w:ascii="Garamond" w:hAnsi="Garamond" w:cstheme="majorBidi"/>
          <w:i w:val="0"/>
          <w:color w:val="0D0D0D" w:themeColor="text1" w:themeTint="F2"/>
          <w:sz w:val="24"/>
          <w:szCs w:val="24"/>
        </w:rPr>
        <w:t xml:space="preserve">: </w:t>
      </w:r>
      <w:r w:rsidR="009F7319" w:rsidRPr="00770F9D">
        <w:rPr>
          <w:rFonts w:ascii="Garamond" w:hAnsi="Garamond" w:cstheme="majorBidi"/>
          <w:i w:val="0"/>
          <w:color w:val="0D0D0D" w:themeColor="text1" w:themeTint="F2"/>
          <w:sz w:val="24"/>
          <w:szCs w:val="24"/>
        </w:rPr>
        <w:t>Rritja e cilësisë dhe aksesit në AFP</w:t>
      </w:r>
    </w:p>
    <w:p w14:paraId="6BF7A68C" w14:textId="42CE4F2E" w:rsidR="004F312A" w:rsidRPr="00770F9D" w:rsidRDefault="00072546" w:rsidP="003F46E1">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 xml:space="preserve">1. </w:t>
      </w:r>
      <w:r w:rsidR="00B2062A" w:rsidRPr="00770F9D">
        <w:rPr>
          <w:rFonts w:ascii="Garamond" w:hAnsi="Garamond" w:cstheme="majorBidi"/>
          <w:color w:val="0D0D0D" w:themeColor="text1" w:themeTint="F2"/>
          <w:u w:val="none"/>
        </w:rPr>
        <w:t>Përshkrimi i masës</w:t>
      </w:r>
    </w:p>
    <w:p w14:paraId="1241E3EA" w14:textId="4BDF2F25" w:rsidR="001C2987" w:rsidRPr="00770F9D" w:rsidRDefault="00C219CA"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Strategjia Kombëtare e Punësimit dhe Aftësive 2023</w:t>
      </w:r>
      <w:r w:rsidR="00723E75" w:rsidRPr="00770F9D">
        <w:rPr>
          <w:rFonts w:ascii="Garamond" w:hAnsi="Garamond" w:cstheme="majorBidi"/>
          <w:color w:val="0D0D0D" w:themeColor="text1" w:themeTint="F2"/>
        </w:rPr>
        <w:t>–</w:t>
      </w:r>
      <w:r w:rsidRPr="00770F9D">
        <w:rPr>
          <w:rFonts w:ascii="Garamond" w:hAnsi="Garamond" w:cstheme="majorBidi"/>
          <w:color w:val="0D0D0D" w:themeColor="text1" w:themeTint="F2"/>
        </w:rPr>
        <w:t>2030 është dokumenti kryesor i politikave që drejton zbatimin e veprimeve</w:t>
      </w:r>
      <w:r w:rsidR="00723E75"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në lidhje me punësimin dhe zhvillimin e aftësive në vend</w:t>
      </w:r>
      <w:r w:rsidR="001C2987"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Strategjia është finalizuar dhe është në proces miratimi në Këshillin e Ministrave.</w:t>
      </w:r>
      <w:r w:rsidR="00436302" w:rsidRPr="00770F9D">
        <w:rPr>
          <w:rFonts w:ascii="Garamond" w:hAnsi="Garamond" w:cstheme="majorBidi"/>
          <w:color w:val="0D0D0D" w:themeColor="text1" w:themeTint="F2"/>
        </w:rPr>
        <w:t xml:space="preserve"> </w:t>
      </w:r>
      <w:r w:rsidR="001C2987" w:rsidRPr="00770F9D">
        <w:rPr>
          <w:rFonts w:ascii="Garamond" w:hAnsi="Garamond" w:cstheme="majorBidi"/>
          <w:color w:val="0D0D0D" w:themeColor="text1" w:themeTint="F2"/>
        </w:rPr>
        <w:t>Vizioni i këtij dokumenti është “Punë cilësore dhe aftësi gjatë gjithë jetës për të gjithë” dhe shtylla e AFP-së “Zhvillimi i aftësive dhe përputhja më e mirë e kërkesës me ofertën në tregun e punës për rritjen e punësimit”.</w:t>
      </w:r>
    </w:p>
    <w:p w14:paraId="04D1471A" w14:textId="77777777" w:rsidR="001C2987" w:rsidRPr="00770F9D" w:rsidRDefault="001C2987"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Objektivat e këtij dokumenti janë:</w:t>
      </w:r>
    </w:p>
    <w:p w14:paraId="6BA161AC" w14:textId="4790D32A" w:rsidR="001C2987" w:rsidRPr="00770F9D" w:rsidRDefault="001C2987"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 Angazhimi sistematik i sektorit privat në zhvillimin e aftësive </w:t>
      </w:r>
      <w:r w:rsidR="00723E75"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AAP</w:t>
      </w:r>
      <w:r w:rsidR="00723E75" w:rsidRPr="00770F9D">
        <w:rPr>
          <w:rFonts w:ascii="Garamond" w:hAnsi="Garamond" w:cstheme="majorBidi"/>
          <w:color w:val="0D0D0D" w:themeColor="text1" w:themeTint="F2"/>
        </w:rPr>
        <w:t>-ja</w:t>
      </w:r>
      <w:r w:rsidRPr="00770F9D">
        <w:rPr>
          <w:rFonts w:ascii="Garamond" w:hAnsi="Garamond" w:cstheme="majorBidi"/>
          <w:color w:val="0D0D0D" w:themeColor="text1" w:themeTint="F2"/>
        </w:rPr>
        <w:t xml:space="preserve"> dhe </w:t>
      </w:r>
      <w:r w:rsidR="00723E75" w:rsidRPr="00770F9D">
        <w:rPr>
          <w:rFonts w:ascii="Garamond" w:hAnsi="Garamond" w:cstheme="majorBidi"/>
          <w:color w:val="0D0D0D" w:themeColor="text1" w:themeTint="F2"/>
        </w:rPr>
        <w:t>punësimi</w:t>
      </w:r>
      <w:r w:rsidRPr="00770F9D">
        <w:rPr>
          <w:rFonts w:ascii="Garamond" w:hAnsi="Garamond" w:cstheme="majorBidi"/>
          <w:color w:val="0D0D0D" w:themeColor="text1" w:themeTint="F2"/>
        </w:rPr>
        <w:t>;</w:t>
      </w:r>
    </w:p>
    <w:p w14:paraId="292CEA4A" w14:textId="77777777" w:rsidR="001C2987" w:rsidRPr="00770F9D" w:rsidRDefault="001C2987"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Sigurimi i qeverisjes së bazuar në prova të tregut të punës dhe politikave të AFP-së;</w:t>
      </w:r>
    </w:p>
    <w:p w14:paraId="3B24D474" w14:textId="77777777" w:rsidR="001C2987" w:rsidRPr="00770F9D" w:rsidRDefault="001C2987"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Mbështetja dhe promovimi i të mësuarit cilësor dhe gjithëpërfshirës gjatë gjithë jetës për punësim të zgjeruar; dhe</w:t>
      </w:r>
    </w:p>
    <w:p w14:paraId="0EF72921" w14:textId="7665F032" w:rsidR="001C2987" w:rsidRPr="00770F9D" w:rsidRDefault="001C2987"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 Transformimi </w:t>
      </w:r>
      <w:r w:rsidR="003F4C96" w:rsidRPr="00770F9D">
        <w:rPr>
          <w:rFonts w:ascii="Garamond" w:hAnsi="Garamond" w:cstheme="majorBidi"/>
          <w:color w:val="0D0D0D" w:themeColor="text1" w:themeTint="F2"/>
        </w:rPr>
        <w:t>digjital</w:t>
      </w:r>
      <w:r w:rsidRPr="00770F9D">
        <w:rPr>
          <w:rFonts w:ascii="Garamond" w:hAnsi="Garamond" w:cstheme="majorBidi"/>
          <w:color w:val="0D0D0D" w:themeColor="text1" w:themeTint="F2"/>
        </w:rPr>
        <w:t xml:space="preserve"> i AFP-së dhe punësimit dhe lidhja me ekonominë e gjelbër.</w:t>
      </w:r>
    </w:p>
    <w:p w14:paraId="6192EF4B" w14:textId="77777777" w:rsidR="001C2987" w:rsidRPr="00770F9D" w:rsidRDefault="001C2987"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Masat kryesore:</w:t>
      </w:r>
    </w:p>
    <w:p w14:paraId="5CF305A8" w14:textId="77777777" w:rsidR="001C2987" w:rsidRPr="00770F9D" w:rsidRDefault="001C2987"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Zhvillimi i sistemit përkatës, fleksibël, të depërtueshëm dhe të bazuar në fakte të AFP-së;</w:t>
      </w:r>
    </w:p>
    <w:p w14:paraId="722CF012" w14:textId="77777777" w:rsidR="001C2987" w:rsidRPr="00770F9D" w:rsidRDefault="001C2987"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Forcimi i kornizës së sigurimit të cilësisë dhe zhvillimit në AAP;</w:t>
      </w:r>
    </w:p>
    <w:p w14:paraId="4102CDE9" w14:textId="77777777" w:rsidR="001C2987" w:rsidRPr="00770F9D" w:rsidRDefault="001C2987"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Angazhimi sistematik dhe sistematik i sektorit privat në AAP;</w:t>
      </w:r>
    </w:p>
    <w:p w14:paraId="23A248BA" w14:textId="77777777" w:rsidR="001C2987" w:rsidRPr="00770F9D" w:rsidRDefault="001C2987"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Nxitja e mundësive gjithëpërfshirëse të të mësuarit gjatë gjithë jetës për të gjithë;</w:t>
      </w:r>
    </w:p>
    <w:p w14:paraId="23CCBC52" w14:textId="77777777" w:rsidR="001C2987" w:rsidRPr="00770F9D" w:rsidRDefault="001C2987"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Njohja e mësimit të mëparshëm joformal dhe joformal;</w:t>
      </w:r>
    </w:p>
    <w:p w14:paraId="00616AD6" w14:textId="40E80705" w:rsidR="001C2987" w:rsidRPr="00770F9D" w:rsidRDefault="001C2987"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 </w:t>
      </w:r>
      <w:r w:rsidR="003F4C96" w:rsidRPr="00770F9D">
        <w:rPr>
          <w:rFonts w:ascii="Garamond" w:hAnsi="Garamond" w:cstheme="majorBidi"/>
          <w:color w:val="0D0D0D" w:themeColor="text1" w:themeTint="F2"/>
        </w:rPr>
        <w:t>Digjital</w:t>
      </w:r>
      <w:r w:rsidRPr="00770F9D">
        <w:rPr>
          <w:rFonts w:ascii="Garamond" w:hAnsi="Garamond" w:cstheme="majorBidi"/>
          <w:color w:val="0D0D0D" w:themeColor="text1" w:themeTint="F2"/>
        </w:rPr>
        <w:t>izimi i shërbimeve të punësimit dhe ofrimit të AFP-së;</w:t>
      </w:r>
    </w:p>
    <w:p w14:paraId="344C4D70" w14:textId="77777777" w:rsidR="001C2987" w:rsidRPr="00770F9D" w:rsidRDefault="001C2987"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Krijimi i sistemit të inteligjencës së aftësive që jep sinjale të rregullta mbi tregun e punës dhe zhvillimet e AFP-së.</w:t>
      </w:r>
    </w:p>
    <w:p w14:paraId="31E93328" w14:textId="7ED6232F" w:rsidR="001C2987" w:rsidRPr="00770F9D" w:rsidRDefault="001C2987"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Ofrimi i arsimit dhe trajnimit profesional cilësor për të rinjtë dhe të rriturit janë prioritetet e përgjithshme strategjike të AAP-së. Mungesa e kapaciteteve në infrastrukturë në disa qarqe (Tiranë, Durrës, Elbasan) dhe përdorimi joracional i tyre në disa qarqe të tjera (Korçë, Berat) bëjnë të domosdoshëm zbatimin e menjëhershëm të planit për optimizimin e ofruesve publikë të arsimit dhe formimit profesional.</w:t>
      </w:r>
    </w:p>
    <w:p w14:paraId="21373A0E" w14:textId="77777777" w:rsidR="001C2987" w:rsidRPr="00770F9D" w:rsidRDefault="001C2987"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Zbatimi i këtij plani kërkon edhe përshtatjen e kuadrit ligjor dhe nënligjor. Grupi i punës po punon në këtë drejtim.</w:t>
      </w:r>
    </w:p>
    <w:p w14:paraId="41975062" w14:textId="6942BF69" w:rsidR="001C2987" w:rsidRPr="00770F9D" w:rsidRDefault="001C2987"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Përvoja pozitive e bashkëpunimit me komunitetin e biznesit duhet të shtrihet në të gjitha fushat e ofruara nga shkollat profesionale. Mos u kufizoni në hotele</w:t>
      </w:r>
      <w:r w:rsidR="00F15F38" w:rsidRPr="00770F9D">
        <w:rPr>
          <w:rFonts w:ascii="Garamond" w:hAnsi="Garamond" w:cstheme="majorBidi"/>
          <w:color w:val="0D0D0D" w:themeColor="text1" w:themeTint="F2"/>
        </w:rPr>
        <w:t>ri</w:t>
      </w:r>
      <w:r w:rsidRPr="00770F9D">
        <w:rPr>
          <w:rFonts w:ascii="Garamond" w:hAnsi="Garamond" w:cstheme="majorBidi"/>
          <w:color w:val="0D0D0D" w:themeColor="text1" w:themeTint="F2"/>
        </w:rPr>
        <w:t>turizëm, shërbime automjetesh etj.</w:t>
      </w:r>
    </w:p>
    <w:p w14:paraId="3B466FAA" w14:textId="76C58652" w:rsidR="00072546" w:rsidRPr="00770F9D" w:rsidRDefault="00072546" w:rsidP="000F6F7A">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a</w:t>
      </w:r>
      <w:r w:rsidR="00D72B7C" w:rsidRPr="00770F9D">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 xml:space="preserve">Aktivitete të planifikuara </w:t>
      </w:r>
      <w:r w:rsidR="000F6F7A">
        <w:rPr>
          <w:rFonts w:ascii="Garamond" w:hAnsi="Garamond"/>
          <w:b/>
          <w:bCs/>
          <w:color w:val="0D0D0D"/>
          <w:sz w:val="24"/>
          <w:szCs w:val="24"/>
          <w:lang w:val="sq-AL"/>
        </w:rPr>
        <w:t>m</w:t>
      </w:r>
      <w:r w:rsidRPr="00770F9D">
        <w:rPr>
          <w:rFonts w:ascii="Garamond" w:hAnsi="Garamond"/>
          <w:b/>
          <w:bCs/>
          <w:color w:val="0D0D0D"/>
          <w:sz w:val="24"/>
          <w:szCs w:val="24"/>
          <w:lang w:val="sq-AL"/>
        </w:rPr>
        <w:t>ë 2023</w:t>
      </w:r>
      <w:r w:rsidR="008D0297" w:rsidRPr="00770F9D">
        <w:rPr>
          <w:rFonts w:ascii="Garamond" w:hAnsi="Garamond"/>
          <w:b/>
          <w:bCs/>
          <w:color w:val="0D0D0D"/>
          <w:sz w:val="24"/>
          <w:szCs w:val="24"/>
          <w:lang w:val="sq-AL"/>
        </w:rPr>
        <w:t>-shin</w:t>
      </w:r>
    </w:p>
    <w:p w14:paraId="18369E22" w14:textId="7FA36844" w:rsidR="00072546" w:rsidRPr="00770F9D" w:rsidRDefault="00072546" w:rsidP="003F46E1">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a</w:t>
      </w:r>
      <w:r w:rsidR="00D72B7C"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Rikonstruksioni i shkollave dhe punishteve, sipas parashikimit të bërë në </w:t>
      </w:r>
      <w:r w:rsidR="008D0297" w:rsidRPr="00770F9D">
        <w:rPr>
          <w:rFonts w:ascii="Garamond" w:hAnsi="Garamond"/>
          <w:color w:val="0D0D0D"/>
          <w:sz w:val="24"/>
          <w:szCs w:val="24"/>
          <w:lang w:val="sq-AL"/>
        </w:rPr>
        <w:t>projektin e buxhetit afatmesëm dhe planifikimin e buxhetit 2</w:t>
      </w:r>
      <w:r w:rsidRPr="00770F9D">
        <w:rPr>
          <w:rFonts w:ascii="Garamond" w:hAnsi="Garamond"/>
          <w:color w:val="0D0D0D"/>
          <w:sz w:val="24"/>
          <w:szCs w:val="24"/>
          <w:lang w:val="sq-AL"/>
        </w:rPr>
        <w:t>023</w:t>
      </w:r>
      <w:r w:rsidR="008D0297" w:rsidRPr="00770F9D">
        <w:rPr>
          <w:rFonts w:ascii="Garamond" w:hAnsi="Garamond"/>
          <w:color w:val="0D0D0D"/>
          <w:sz w:val="24"/>
          <w:szCs w:val="24"/>
          <w:lang w:val="sq-AL"/>
        </w:rPr>
        <w:t>;</w:t>
      </w:r>
    </w:p>
    <w:p w14:paraId="025D3BDF" w14:textId="5472293D" w:rsidR="00072546" w:rsidRPr="00770F9D" w:rsidRDefault="00072546" w:rsidP="003F46E1">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b</w:t>
      </w:r>
      <w:r w:rsidR="00D72B7C"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Fillimi i zbatimit të “Strategjisë së Punësimit dhe Aftësive 2023</w:t>
      </w:r>
      <w:r w:rsidR="00326350" w:rsidRPr="00770F9D">
        <w:rPr>
          <w:rFonts w:ascii="Garamond" w:hAnsi="Garamond"/>
          <w:color w:val="0D0D0D"/>
          <w:sz w:val="24"/>
          <w:szCs w:val="24"/>
          <w:lang w:val="sq-AL"/>
        </w:rPr>
        <w:t>–</w:t>
      </w:r>
      <w:r w:rsidRPr="00770F9D">
        <w:rPr>
          <w:rFonts w:ascii="Garamond" w:hAnsi="Garamond"/>
          <w:color w:val="0D0D0D"/>
          <w:sz w:val="24"/>
          <w:szCs w:val="24"/>
          <w:lang w:val="sq-AL"/>
        </w:rPr>
        <w:t xml:space="preserve">2030”, bazuar në </w:t>
      </w:r>
      <w:r w:rsidR="008D0297" w:rsidRPr="00770F9D">
        <w:rPr>
          <w:rFonts w:ascii="Garamond" w:hAnsi="Garamond"/>
          <w:color w:val="0D0D0D"/>
          <w:sz w:val="24"/>
          <w:szCs w:val="24"/>
          <w:lang w:val="sq-AL"/>
        </w:rPr>
        <w:t>planin e veprimit;</w:t>
      </w:r>
    </w:p>
    <w:p w14:paraId="4DCE925B" w14:textId="66683D58" w:rsidR="00072546" w:rsidRPr="00770F9D" w:rsidRDefault="00072546" w:rsidP="003F46E1">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c</w:t>
      </w:r>
      <w:r w:rsidR="00D72B7C"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Zhvillimi i kompetencave të 200 mësuesve të AFP-së dhe stafit mbështetës, si dhe trajnerëve të mësuesve</w:t>
      </w:r>
      <w:r w:rsidR="008D0297" w:rsidRPr="00770F9D">
        <w:rPr>
          <w:rFonts w:ascii="Garamond" w:hAnsi="Garamond"/>
          <w:color w:val="0D0D0D"/>
          <w:sz w:val="24"/>
          <w:szCs w:val="24"/>
          <w:lang w:val="sq-AL"/>
        </w:rPr>
        <w:t>;</w:t>
      </w:r>
    </w:p>
    <w:p w14:paraId="08D19DAF" w14:textId="102F9246" w:rsidR="00072546" w:rsidRPr="00770F9D" w:rsidRDefault="00072546" w:rsidP="003F46E1">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d</w:t>
      </w:r>
      <w:r w:rsidR="00D72B7C"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Ngritja e dy komiteteve të tjera sektoriale.</w:t>
      </w:r>
    </w:p>
    <w:p w14:paraId="6C9AE6E9" w14:textId="43D2164C" w:rsidR="00072546" w:rsidRPr="00770F9D" w:rsidRDefault="00072546" w:rsidP="000F6F7A">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b</w:t>
      </w:r>
      <w:r w:rsidR="00D72B7C" w:rsidRPr="00770F9D">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 xml:space="preserve">Aktivitete të planifikuara </w:t>
      </w:r>
      <w:r w:rsidR="000F6F7A">
        <w:rPr>
          <w:rFonts w:ascii="Garamond" w:hAnsi="Garamond"/>
          <w:b/>
          <w:bCs/>
          <w:color w:val="0D0D0D"/>
          <w:sz w:val="24"/>
          <w:szCs w:val="24"/>
          <w:lang w:val="sq-AL"/>
        </w:rPr>
        <w:t>m</w:t>
      </w:r>
      <w:r w:rsidRPr="00770F9D">
        <w:rPr>
          <w:rFonts w:ascii="Garamond" w:hAnsi="Garamond"/>
          <w:b/>
          <w:bCs/>
          <w:color w:val="0D0D0D"/>
          <w:sz w:val="24"/>
          <w:szCs w:val="24"/>
          <w:lang w:val="sq-AL"/>
        </w:rPr>
        <w:t>ë 2024</w:t>
      </w:r>
      <w:r w:rsidR="008D0297" w:rsidRPr="00770F9D">
        <w:rPr>
          <w:rFonts w:ascii="Garamond" w:hAnsi="Garamond"/>
          <w:b/>
          <w:bCs/>
          <w:color w:val="0D0D0D"/>
          <w:sz w:val="24"/>
          <w:szCs w:val="24"/>
          <w:lang w:val="sq-AL"/>
        </w:rPr>
        <w:t>-n</w:t>
      </w:r>
    </w:p>
    <w:p w14:paraId="0D997C86" w14:textId="6AD39EB0" w:rsidR="00072546" w:rsidRPr="00770F9D" w:rsidRDefault="00072546" w:rsidP="003F46E1">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a</w:t>
      </w:r>
      <w:r w:rsidR="00D72B7C"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Këshilli Kombëtar i AFP-së është institucionalizimi</w:t>
      </w:r>
      <w:r w:rsidR="00723FFC" w:rsidRPr="00770F9D">
        <w:rPr>
          <w:rFonts w:ascii="Garamond" w:hAnsi="Garamond"/>
          <w:color w:val="0D0D0D"/>
          <w:sz w:val="24"/>
          <w:szCs w:val="24"/>
          <w:lang w:val="sq-AL"/>
        </w:rPr>
        <w:t>;</w:t>
      </w:r>
    </w:p>
    <w:p w14:paraId="544AC82A" w14:textId="369A9E87" w:rsidR="00072546" w:rsidRPr="00770F9D" w:rsidRDefault="00072546" w:rsidP="003F46E1">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b</w:t>
      </w:r>
      <w:r w:rsidR="00D72B7C"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Promovimi i AFP-së përmes ditëve të hapura, panaireve dhe olimpiadave</w:t>
      </w:r>
      <w:r w:rsidR="008D0297" w:rsidRPr="00770F9D">
        <w:rPr>
          <w:rFonts w:ascii="Garamond" w:hAnsi="Garamond"/>
          <w:color w:val="0D0D0D"/>
          <w:sz w:val="24"/>
          <w:szCs w:val="24"/>
          <w:lang w:val="sq-AL"/>
        </w:rPr>
        <w:t>;</w:t>
      </w:r>
    </w:p>
    <w:p w14:paraId="53EDE8E5" w14:textId="50BF4D5C" w:rsidR="00072546" w:rsidRPr="00770F9D" w:rsidRDefault="00072546" w:rsidP="003F46E1">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c</w:t>
      </w:r>
      <w:r w:rsidR="00D72B7C"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Zhvillimi i kompetencave të 200 mësuesve të AFP-së dhe stafit mbështetës, si dhe trajnerëve të mësuesve</w:t>
      </w:r>
      <w:r w:rsidR="00723FFC" w:rsidRPr="00770F9D">
        <w:rPr>
          <w:rFonts w:ascii="Garamond" w:hAnsi="Garamond"/>
          <w:color w:val="0D0D0D"/>
          <w:sz w:val="24"/>
          <w:szCs w:val="24"/>
          <w:lang w:val="sq-AL"/>
        </w:rPr>
        <w:t>;</w:t>
      </w:r>
    </w:p>
    <w:p w14:paraId="690C79C6" w14:textId="7C1C925B" w:rsidR="00072546" w:rsidRPr="00770F9D" w:rsidRDefault="00072546" w:rsidP="003F46E1">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d</w:t>
      </w:r>
      <w:r w:rsidR="00D72B7C"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Bazuar në planin e optimizimit të ofruesve publikë të AFP-së, është vendosur qendra e parë multifunksionale</w:t>
      </w:r>
      <w:r w:rsidR="00723FFC" w:rsidRPr="00770F9D">
        <w:rPr>
          <w:rFonts w:ascii="Garamond" w:hAnsi="Garamond"/>
          <w:color w:val="0D0D0D"/>
          <w:sz w:val="24"/>
          <w:szCs w:val="24"/>
          <w:lang w:val="sq-AL"/>
        </w:rPr>
        <w:t>;</w:t>
      </w:r>
    </w:p>
    <w:p w14:paraId="1EA87FF1" w14:textId="4DC737FF" w:rsidR="00072546" w:rsidRPr="00770F9D" w:rsidRDefault="00072546" w:rsidP="000F6F7A">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c</w:t>
      </w:r>
      <w:r w:rsidR="00D72B7C" w:rsidRPr="00770F9D">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 xml:space="preserve">Aktivitete të planifikuara </w:t>
      </w:r>
      <w:r w:rsidR="000F6F7A">
        <w:rPr>
          <w:rFonts w:ascii="Garamond" w:hAnsi="Garamond"/>
          <w:b/>
          <w:bCs/>
          <w:color w:val="0D0D0D"/>
          <w:sz w:val="24"/>
          <w:szCs w:val="24"/>
          <w:lang w:val="sq-AL"/>
        </w:rPr>
        <w:t>m</w:t>
      </w:r>
      <w:r w:rsidRPr="00770F9D">
        <w:rPr>
          <w:rFonts w:ascii="Garamond" w:hAnsi="Garamond"/>
          <w:b/>
          <w:bCs/>
          <w:color w:val="0D0D0D"/>
          <w:sz w:val="24"/>
          <w:szCs w:val="24"/>
          <w:lang w:val="sq-AL"/>
        </w:rPr>
        <w:t>ë 2025</w:t>
      </w:r>
      <w:r w:rsidR="008D0297" w:rsidRPr="00770F9D">
        <w:rPr>
          <w:rFonts w:ascii="Garamond" w:hAnsi="Garamond"/>
          <w:b/>
          <w:bCs/>
          <w:color w:val="0D0D0D"/>
          <w:sz w:val="24"/>
          <w:szCs w:val="24"/>
          <w:lang w:val="sq-AL"/>
        </w:rPr>
        <w:t>-n</w:t>
      </w:r>
    </w:p>
    <w:p w14:paraId="41410051" w14:textId="3C2E5B60" w:rsidR="00072546" w:rsidRPr="00770F9D" w:rsidRDefault="00072546" w:rsidP="003F46E1">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a</w:t>
      </w:r>
      <w:r w:rsidR="00D72B7C"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Vazhdimi i zbatimit të “Strategjisë së Punësimit dhe Aftësive 2023</w:t>
      </w:r>
      <w:r w:rsidR="008D0297" w:rsidRPr="00770F9D">
        <w:rPr>
          <w:rFonts w:ascii="Garamond" w:hAnsi="Garamond"/>
          <w:color w:val="0D0D0D"/>
          <w:sz w:val="24"/>
          <w:szCs w:val="24"/>
          <w:lang w:val="sq-AL"/>
        </w:rPr>
        <w:t>–</w:t>
      </w:r>
      <w:r w:rsidRPr="00770F9D">
        <w:rPr>
          <w:rFonts w:ascii="Garamond" w:hAnsi="Garamond"/>
          <w:color w:val="0D0D0D"/>
          <w:sz w:val="24"/>
          <w:szCs w:val="24"/>
          <w:lang w:val="sq-AL"/>
        </w:rPr>
        <w:t xml:space="preserve">2030”, bazuar në </w:t>
      </w:r>
      <w:r w:rsidR="00723FFC" w:rsidRPr="00770F9D">
        <w:rPr>
          <w:rFonts w:ascii="Garamond" w:hAnsi="Garamond"/>
          <w:color w:val="0D0D0D"/>
          <w:sz w:val="24"/>
          <w:szCs w:val="24"/>
          <w:lang w:val="sq-AL"/>
        </w:rPr>
        <w:t>planin e veprimit;</w:t>
      </w:r>
    </w:p>
    <w:p w14:paraId="75B5ED01" w14:textId="5BAC529E" w:rsidR="00072546" w:rsidRPr="00770F9D" w:rsidRDefault="00072546" w:rsidP="003F46E1">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b</w:t>
      </w:r>
      <w:r w:rsidR="00D72B7C"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Zhvillimi i kompetencave të 150 mësuesve të AFP-së dhe stafit mbështetës, si dhe trajnerëve të mësuesve</w:t>
      </w:r>
      <w:r w:rsidR="00723FFC" w:rsidRPr="00770F9D">
        <w:rPr>
          <w:rFonts w:ascii="Garamond" w:hAnsi="Garamond"/>
          <w:color w:val="0D0D0D"/>
          <w:sz w:val="24"/>
          <w:szCs w:val="24"/>
          <w:lang w:val="sq-AL"/>
        </w:rPr>
        <w:t>;</w:t>
      </w:r>
    </w:p>
    <w:p w14:paraId="5F522770" w14:textId="737D97C7" w:rsidR="00072546" w:rsidRPr="00770F9D" w:rsidRDefault="00072546" w:rsidP="003F46E1">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c</w:t>
      </w:r>
      <w:r w:rsidR="00D72B7C"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Nëpërmjet ofruesve të akredituar të AFP-së publike dhe private, fillimi i procesit të njohjes së mësimit të mëparshëm.</w:t>
      </w:r>
    </w:p>
    <w:p w14:paraId="73F731CC" w14:textId="68D54AD5" w:rsidR="00072546" w:rsidRPr="00770F9D" w:rsidRDefault="00FB6FFC" w:rsidP="003F46E1">
      <w:pPr>
        <w:pStyle w:val="Heading6"/>
        <w:numPr>
          <w:ilvl w:val="0"/>
          <w:numId w:val="0"/>
        </w:numPr>
        <w:ind w:firstLine="284"/>
        <w:rPr>
          <w:rFonts w:ascii="Garamond" w:hAnsi="Garamond"/>
          <w:color w:val="0D0D0D"/>
          <w:u w:val="none"/>
        </w:rPr>
      </w:pPr>
      <w:r w:rsidRPr="00770F9D">
        <w:rPr>
          <w:rFonts w:ascii="Garamond" w:hAnsi="Garamond"/>
          <w:color w:val="0D0D0D"/>
          <w:u w:val="none"/>
        </w:rPr>
        <w:t>2</w:t>
      </w:r>
      <w:r w:rsidR="00072546" w:rsidRPr="00770F9D">
        <w:rPr>
          <w:rFonts w:ascii="Garamond" w:hAnsi="Garamond"/>
          <w:color w:val="0D0D0D"/>
          <w:u w:val="none"/>
        </w:rPr>
        <w:t>.</w:t>
      </w:r>
      <w:r w:rsidR="00BA4F1A" w:rsidRPr="00770F9D">
        <w:rPr>
          <w:rFonts w:ascii="Garamond" w:hAnsi="Garamond"/>
          <w:color w:val="0D0D0D"/>
          <w:u w:val="none"/>
        </w:rPr>
        <w:t xml:space="preserve"> </w:t>
      </w:r>
      <w:r w:rsidR="00072546" w:rsidRPr="00770F9D">
        <w:rPr>
          <w:rFonts w:ascii="Garamond" w:hAnsi="Garamond"/>
          <w:color w:val="0D0D0D"/>
          <w:u w:val="none"/>
        </w:rPr>
        <w:t>Treguesit e rezultateve</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1800"/>
        <w:gridCol w:w="2121"/>
        <w:gridCol w:w="1848"/>
      </w:tblGrid>
      <w:tr w:rsidR="00FA29AB" w:rsidRPr="00770F9D" w14:paraId="4E2B17AB" w14:textId="77777777" w:rsidTr="006D6E8D">
        <w:trPr>
          <w:trHeight w:val="20"/>
          <w:jc w:val="center"/>
        </w:trPr>
        <w:tc>
          <w:tcPr>
            <w:tcW w:w="3865" w:type="dxa"/>
            <w:shd w:val="clear" w:color="auto" w:fill="auto"/>
            <w:vAlign w:val="center"/>
          </w:tcPr>
          <w:p w14:paraId="6350E7F6" w14:textId="77777777" w:rsidR="00951D71" w:rsidRPr="00770F9D" w:rsidRDefault="00B2062A" w:rsidP="006D6E8D">
            <w:pPr>
              <w:widowControl w:val="0"/>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Tregues</w:t>
            </w:r>
          </w:p>
        </w:tc>
        <w:tc>
          <w:tcPr>
            <w:tcW w:w="1800" w:type="dxa"/>
            <w:shd w:val="clear" w:color="auto" w:fill="auto"/>
            <w:vAlign w:val="center"/>
          </w:tcPr>
          <w:p w14:paraId="31DFB158" w14:textId="77777777" w:rsidR="00951D71" w:rsidRPr="00770F9D" w:rsidRDefault="00B2062A" w:rsidP="006D6E8D">
            <w:pPr>
              <w:widowControl w:val="0"/>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Bazë</w:t>
            </w:r>
            <w:r w:rsidR="00951D71" w:rsidRPr="00770F9D">
              <w:rPr>
                <w:rFonts w:ascii="Garamond" w:hAnsi="Garamond" w:cstheme="majorBidi"/>
                <w:b/>
                <w:bCs/>
                <w:color w:val="0D0D0D" w:themeColor="text1" w:themeTint="F2"/>
                <w:sz w:val="20"/>
                <w:szCs w:val="20"/>
              </w:rPr>
              <w:t xml:space="preserve"> (</w:t>
            </w:r>
            <w:r w:rsidR="00DB3786" w:rsidRPr="00770F9D">
              <w:rPr>
                <w:rFonts w:ascii="Garamond" w:hAnsi="Garamond" w:cstheme="majorBidi"/>
                <w:b/>
                <w:bCs/>
                <w:color w:val="0D0D0D" w:themeColor="text1" w:themeTint="F2"/>
                <w:sz w:val="20"/>
                <w:szCs w:val="20"/>
              </w:rPr>
              <w:t>2023</w:t>
            </w:r>
            <w:r w:rsidR="00951D71" w:rsidRPr="00770F9D">
              <w:rPr>
                <w:rFonts w:ascii="Garamond" w:hAnsi="Garamond" w:cstheme="majorBidi"/>
                <w:b/>
                <w:bCs/>
                <w:color w:val="0D0D0D" w:themeColor="text1" w:themeTint="F2"/>
                <w:sz w:val="20"/>
                <w:szCs w:val="20"/>
              </w:rPr>
              <w:t>)</w:t>
            </w:r>
          </w:p>
        </w:tc>
        <w:tc>
          <w:tcPr>
            <w:tcW w:w="2121" w:type="dxa"/>
            <w:shd w:val="clear" w:color="auto" w:fill="auto"/>
            <w:vAlign w:val="center"/>
          </w:tcPr>
          <w:p w14:paraId="6DA342CD" w14:textId="77777777" w:rsidR="00951D71" w:rsidRPr="00770F9D" w:rsidRDefault="00B2062A" w:rsidP="006D6E8D">
            <w:pPr>
              <w:widowControl w:val="0"/>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I ndërmjetëm</w:t>
            </w:r>
            <w:r w:rsidR="00951D71" w:rsidRPr="00770F9D">
              <w:rPr>
                <w:rFonts w:ascii="Garamond" w:hAnsi="Garamond" w:cstheme="majorBidi"/>
                <w:b/>
                <w:bCs/>
                <w:color w:val="0D0D0D" w:themeColor="text1" w:themeTint="F2"/>
                <w:sz w:val="20"/>
                <w:szCs w:val="20"/>
              </w:rPr>
              <w:t xml:space="preserve"> (</w:t>
            </w:r>
            <w:r w:rsidR="00DB3786" w:rsidRPr="00770F9D">
              <w:rPr>
                <w:rFonts w:ascii="Garamond" w:hAnsi="Garamond" w:cstheme="majorBidi"/>
                <w:b/>
                <w:bCs/>
                <w:color w:val="0D0D0D" w:themeColor="text1" w:themeTint="F2"/>
                <w:sz w:val="20"/>
                <w:szCs w:val="20"/>
              </w:rPr>
              <w:t>2024</w:t>
            </w:r>
            <w:r w:rsidR="00951D71" w:rsidRPr="00770F9D">
              <w:rPr>
                <w:rFonts w:ascii="Garamond" w:hAnsi="Garamond" w:cstheme="majorBidi"/>
                <w:b/>
                <w:bCs/>
                <w:color w:val="0D0D0D" w:themeColor="text1" w:themeTint="F2"/>
                <w:sz w:val="20"/>
                <w:szCs w:val="20"/>
              </w:rPr>
              <w:t>)</w:t>
            </w:r>
          </w:p>
        </w:tc>
        <w:tc>
          <w:tcPr>
            <w:tcW w:w="1848" w:type="dxa"/>
            <w:shd w:val="clear" w:color="auto" w:fill="auto"/>
            <w:vAlign w:val="center"/>
          </w:tcPr>
          <w:p w14:paraId="2B469767" w14:textId="77777777" w:rsidR="00951D71" w:rsidRPr="00770F9D" w:rsidRDefault="00DB3786" w:rsidP="006D6E8D">
            <w:pPr>
              <w:widowControl w:val="0"/>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Final</w:t>
            </w:r>
            <w:r w:rsidR="00951D71" w:rsidRPr="00770F9D">
              <w:rPr>
                <w:rFonts w:ascii="Garamond" w:hAnsi="Garamond" w:cstheme="majorBidi"/>
                <w:b/>
                <w:bCs/>
                <w:color w:val="0D0D0D" w:themeColor="text1" w:themeTint="F2"/>
                <w:sz w:val="20"/>
                <w:szCs w:val="20"/>
              </w:rPr>
              <w:t xml:space="preserve"> (</w:t>
            </w:r>
            <w:r w:rsidRPr="00770F9D">
              <w:rPr>
                <w:rFonts w:ascii="Garamond" w:hAnsi="Garamond" w:cstheme="majorBidi"/>
                <w:b/>
                <w:bCs/>
                <w:color w:val="0D0D0D" w:themeColor="text1" w:themeTint="F2"/>
                <w:sz w:val="20"/>
                <w:szCs w:val="20"/>
              </w:rPr>
              <w:t>2025</w:t>
            </w:r>
            <w:r w:rsidR="00951D71" w:rsidRPr="00770F9D">
              <w:rPr>
                <w:rFonts w:ascii="Garamond" w:hAnsi="Garamond" w:cstheme="majorBidi"/>
                <w:b/>
                <w:bCs/>
                <w:color w:val="0D0D0D" w:themeColor="text1" w:themeTint="F2"/>
                <w:sz w:val="20"/>
                <w:szCs w:val="20"/>
              </w:rPr>
              <w:t>)</w:t>
            </w:r>
          </w:p>
        </w:tc>
      </w:tr>
      <w:tr w:rsidR="001C2987" w:rsidRPr="00770F9D" w14:paraId="4DAD15D3" w14:textId="77777777" w:rsidTr="006D6E8D">
        <w:trPr>
          <w:trHeight w:val="20"/>
          <w:jc w:val="center"/>
        </w:trPr>
        <w:tc>
          <w:tcPr>
            <w:tcW w:w="3865" w:type="dxa"/>
            <w:shd w:val="clear" w:color="auto" w:fill="auto"/>
          </w:tcPr>
          <w:p w14:paraId="6637DF60" w14:textId="20D11900" w:rsidR="001C2987" w:rsidRPr="00770F9D" w:rsidRDefault="001C2987" w:rsidP="00FB6FFC">
            <w:pPr>
              <w:widowControl w:val="0"/>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Numri i mësuesve të trajnuar në trajnime gjatë gjithë jetës</w:t>
            </w:r>
          </w:p>
        </w:tc>
        <w:tc>
          <w:tcPr>
            <w:tcW w:w="1800" w:type="dxa"/>
            <w:shd w:val="clear" w:color="auto" w:fill="auto"/>
            <w:vAlign w:val="center"/>
          </w:tcPr>
          <w:p w14:paraId="08814111" w14:textId="77777777" w:rsidR="001C2987" w:rsidRPr="00770F9D" w:rsidRDefault="001C2987" w:rsidP="006D6E8D">
            <w:pPr>
              <w:widowControl w:val="0"/>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200</w:t>
            </w:r>
          </w:p>
        </w:tc>
        <w:tc>
          <w:tcPr>
            <w:tcW w:w="2121" w:type="dxa"/>
            <w:shd w:val="clear" w:color="auto" w:fill="auto"/>
            <w:vAlign w:val="center"/>
          </w:tcPr>
          <w:p w14:paraId="61A9DED3" w14:textId="77777777" w:rsidR="001C2987" w:rsidRPr="00770F9D" w:rsidRDefault="001C2987" w:rsidP="006D6E8D">
            <w:pPr>
              <w:widowControl w:val="0"/>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200</w:t>
            </w:r>
          </w:p>
        </w:tc>
        <w:tc>
          <w:tcPr>
            <w:tcW w:w="1848" w:type="dxa"/>
            <w:shd w:val="clear" w:color="auto" w:fill="auto"/>
            <w:vAlign w:val="center"/>
          </w:tcPr>
          <w:p w14:paraId="4CD62097" w14:textId="77777777" w:rsidR="001C2987" w:rsidRPr="00770F9D" w:rsidRDefault="001C2987" w:rsidP="006D6E8D">
            <w:pPr>
              <w:widowControl w:val="0"/>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150</w:t>
            </w:r>
          </w:p>
        </w:tc>
      </w:tr>
      <w:tr w:rsidR="001C2987" w:rsidRPr="00770F9D" w14:paraId="5B3D66E0" w14:textId="77777777" w:rsidTr="006D6E8D">
        <w:trPr>
          <w:trHeight w:val="20"/>
          <w:jc w:val="center"/>
        </w:trPr>
        <w:tc>
          <w:tcPr>
            <w:tcW w:w="3865" w:type="dxa"/>
            <w:shd w:val="clear" w:color="auto" w:fill="auto"/>
          </w:tcPr>
          <w:p w14:paraId="042B18BF" w14:textId="7CEA70B4" w:rsidR="001C2987" w:rsidRPr="00770F9D" w:rsidRDefault="001C2987" w:rsidP="00FB6FFC">
            <w:pPr>
              <w:widowControl w:val="0"/>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e të regjistruarve në AAP në raport me totalin e të regjistruarve në arsimin e mesëm</w:t>
            </w:r>
          </w:p>
        </w:tc>
        <w:tc>
          <w:tcPr>
            <w:tcW w:w="1800" w:type="dxa"/>
            <w:shd w:val="clear" w:color="auto" w:fill="auto"/>
            <w:vAlign w:val="center"/>
          </w:tcPr>
          <w:p w14:paraId="046109BE" w14:textId="77777777" w:rsidR="001C2987" w:rsidRPr="00770F9D" w:rsidRDefault="001C2987" w:rsidP="006D6E8D">
            <w:pPr>
              <w:widowControl w:val="0"/>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18%</w:t>
            </w:r>
          </w:p>
        </w:tc>
        <w:tc>
          <w:tcPr>
            <w:tcW w:w="2121" w:type="dxa"/>
            <w:shd w:val="clear" w:color="auto" w:fill="auto"/>
            <w:vAlign w:val="center"/>
          </w:tcPr>
          <w:p w14:paraId="19BF73E6" w14:textId="77777777" w:rsidR="001C2987" w:rsidRPr="00770F9D" w:rsidRDefault="001C2987" w:rsidP="006D6E8D">
            <w:pPr>
              <w:widowControl w:val="0"/>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19%</w:t>
            </w:r>
          </w:p>
        </w:tc>
        <w:tc>
          <w:tcPr>
            <w:tcW w:w="1848" w:type="dxa"/>
            <w:shd w:val="clear" w:color="auto" w:fill="auto"/>
            <w:vAlign w:val="center"/>
          </w:tcPr>
          <w:p w14:paraId="60CE0908" w14:textId="77777777" w:rsidR="001C2987" w:rsidRPr="00770F9D" w:rsidRDefault="001C2987" w:rsidP="006D6E8D">
            <w:pPr>
              <w:widowControl w:val="0"/>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20%</w:t>
            </w:r>
          </w:p>
        </w:tc>
      </w:tr>
      <w:tr w:rsidR="001C2987" w:rsidRPr="00770F9D" w14:paraId="2CA65A43" w14:textId="77777777" w:rsidTr="006D6E8D">
        <w:trPr>
          <w:trHeight w:val="20"/>
          <w:jc w:val="center"/>
        </w:trPr>
        <w:tc>
          <w:tcPr>
            <w:tcW w:w="3865" w:type="dxa"/>
            <w:shd w:val="clear" w:color="auto" w:fill="auto"/>
          </w:tcPr>
          <w:p w14:paraId="5DA07996" w14:textId="48F2AC84" w:rsidR="001C2987" w:rsidRPr="00770F9D" w:rsidRDefault="001C2987" w:rsidP="00FB6FFC">
            <w:pPr>
              <w:widowControl w:val="0"/>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e nxënëseve femra që ndjekin shkollat e arsimit të lartë</w:t>
            </w:r>
          </w:p>
        </w:tc>
        <w:tc>
          <w:tcPr>
            <w:tcW w:w="1800" w:type="dxa"/>
            <w:shd w:val="clear" w:color="auto" w:fill="auto"/>
            <w:vAlign w:val="center"/>
          </w:tcPr>
          <w:p w14:paraId="70656401" w14:textId="77777777" w:rsidR="001C2987" w:rsidRPr="00770F9D" w:rsidRDefault="001C2987" w:rsidP="006D6E8D">
            <w:pPr>
              <w:widowControl w:val="0"/>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15%</w:t>
            </w:r>
          </w:p>
        </w:tc>
        <w:tc>
          <w:tcPr>
            <w:tcW w:w="2121" w:type="dxa"/>
            <w:shd w:val="clear" w:color="auto" w:fill="auto"/>
            <w:vAlign w:val="center"/>
          </w:tcPr>
          <w:p w14:paraId="7CBA6582" w14:textId="77777777" w:rsidR="001C2987" w:rsidRPr="00770F9D" w:rsidRDefault="001C2987" w:rsidP="006D6E8D">
            <w:pPr>
              <w:widowControl w:val="0"/>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17%</w:t>
            </w:r>
          </w:p>
        </w:tc>
        <w:tc>
          <w:tcPr>
            <w:tcW w:w="1848" w:type="dxa"/>
            <w:shd w:val="clear" w:color="auto" w:fill="auto"/>
            <w:vAlign w:val="center"/>
          </w:tcPr>
          <w:p w14:paraId="15D522D7" w14:textId="77777777" w:rsidR="001C2987" w:rsidRPr="00770F9D" w:rsidRDefault="001C2987" w:rsidP="006D6E8D">
            <w:pPr>
              <w:widowControl w:val="0"/>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20%</w:t>
            </w:r>
          </w:p>
        </w:tc>
      </w:tr>
    </w:tbl>
    <w:p w14:paraId="04E1931C" w14:textId="77777777" w:rsidR="00951D71" w:rsidRPr="00770F9D" w:rsidRDefault="00951D71" w:rsidP="005674F2">
      <w:pPr>
        <w:snapToGrid w:val="0"/>
        <w:ind w:firstLine="284"/>
        <w:rPr>
          <w:rFonts w:ascii="Garamond" w:hAnsi="Garamond" w:cstheme="majorBidi"/>
          <w:color w:val="0D0D0D" w:themeColor="text1" w:themeTint="F2"/>
        </w:rPr>
      </w:pPr>
    </w:p>
    <w:p w14:paraId="1EF04828" w14:textId="0BEACBFA" w:rsidR="00072546" w:rsidRPr="00770F9D" w:rsidRDefault="00FB6FFC" w:rsidP="003F46E1">
      <w:pPr>
        <w:pStyle w:val="Heading6"/>
        <w:numPr>
          <w:ilvl w:val="0"/>
          <w:numId w:val="0"/>
        </w:numPr>
        <w:ind w:firstLine="284"/>
        <w:rPr>
          <w:rFonts w:ascii="Garamond" w:hAnsi="Garamond"/>
          <w:color w:val="0D0D0D"/>
          <w:u w:val="none"/>
        </w:rPr>
      </w:pPr>
      <w:r w:rsidRPr="00770F9D">
        <w:rPr>
          <w:rFonts w:ascii="Garamond" w:hAnsi="Garamond"/>
          <w:color w:val="0D0D0D"/>
          <w:u w:val="none"/>
        </w:rPr>
        <w:t>3</w:t>
      </w:r>
      <w:r w:rsidR="00072546" w:rsidRPr="00770F9D">
        <w:rPr>
          <w:rFonts w:ascii="Garamond" w:hAnsi="Garamond"/>
          <w:color w:val="0D0D0D"/>
          <w:u w:val="none"/>
        </w:rPr>
        <w:t>.</w:t>
      </w:r>
      <w:r w:rsidR="00BA4F1A" w:rsidRPr="00770F9D">
        <w:rPr>
          <w:rFonts w:ascii="Garamond" w:hAnsi="Garamond"/>
          <w:color w:val="0D0D0D"/>
          <w:u w:val="none"/>
        </w:rPr>
        <w:t xml:space="preserve"> </w:t>
      </w:r>
      <w:r w:rsidR="00072546" w:rsidRPr="00770F9D">
        <w:rPr>
          <w:rFonts w:ascii="Garamond" w:hAnsi="Garamond"/>
          <w:color w:val="0D0D0D"/>
          <w:u w:val="none"/>
        </w:rPr>
        <w:t>Ndikimi i pritshëm në konkurrueshmëri</w:t>
      </w:r>
    </w:p>
    <w:p w14:paraId="030CE40D" w14:textId="77777777" w:rsidR="00072546" w:rsidRPr="00770F9D" w:rsidRDefault="00072546" w:rsidP="003F46E1">
      <w:pPr>
        <w:ind w:firstLine="284"/>
        <w:jc w:val="both"/>
        <w:rPr>
          <w:rFonts w:ascii="Garamond" w:hAnsi="Garamond"/>
          <w:color w:val="0D0D0D"/>
        </w:rPr>
      </w:pPr>
      <w:r w:rsidRPr="00770F9D">
        <w:rPr>
          <w:rFonts w:ascii="Garamond" w:hAnsi="Garamond"/>
          <w:color w:val="0D0D0D"/>
        </w:rPr>
        <w:t>Reforma synon të pajisë të rinjtë por edhe të rriturit me trajnimet, aftësitë dhe kualifikimet e nevojshme për të konkurruar në tregun e punës dhe për të rritur mundësitë e tyre të punësimit. Një fuqi punëtore e kualifikuar është një parakusht për tërheqjen e investimeve të bazuara në teknologji, zhvillimin e mëtejshëm të sektorëve shqiptarë me avantazhe krahasuese dhe/ose mundësi dhe pika të forta dhe një faktor i rëndësishëm që stimulon flukset hyrëse të IHD-ve.</w:t>
      </w:r>
    </w:p>
    <w:p w14:paraId="22389FCC" w14:textId="555AAEA7" w:rsidR="00072546" w:rsidRPr="00770F9D" w:rsidRDefault="00FB6FFC" w:rsidP="003F46E1">
      <w:pPr>
        <w:pStyle w:val="Heading6"/>
        <w:numPr>
          <w:ilvl w:val="0"/>
          <w:numId w:val="0"/>
        </w:numPr>
        <w:ind w:firstLine="284"/>
        <w:rPr>
          <w:rFonts w:ascii="Garamond" w:hAnsi="Garamond"/>
          <w:color w:val="0D0D0D"/>
          <w:u w:val="none"/>
        </w:rPr>
      </w:pPr>
      <w:r w:rsidRPr="00770F9D">
        <w:rPr>
          <w:rFonts w:ascii="Garamond" w:hAnsi="Garamond"/>
          <w:color w:val="0D0D0D"/>
          <w:u w:val="none"/>
        </w:rPr>
        <w:t>4</w:t>
      </w:r>
      <w:r w:rsidR="00072546" w:rsidRPr="00770F9D">
        <w:rPr>
          <w:rFonts w:ascii="Garamond" w:hAnsi="Garamond"/>
          <w:color w:val="0D0D0D"/>
          <w:u w:val="none"/>
        </w:rPr>
        <w:t>.</w:t>
      </w:r>
      <w:r w:rsidR="00BA4F1A" w:rsidRPr="00770F9D">
        <w:rPr>
          <w:rFonts w:ascii="Garamond" w:hAnsi="Garamond"/>
          <w:color w:val="0D0D0D"/>
          <w:u w:val="none"/>
        </w:rPr>
        <w:t xml:space="preserve"> </w:t>
      </w:r>
      <w:r w:rsidR="00072546" w:rsidRPr="00770F9D">
        <w:rPr>
          <w:rFonts w:ascii="Garamond" w:hAnsi="Garamond"/>
          <w:color w:val="0D0D0D"/>
          <w:u w:val="none"/>
        </w:rPr>
        <w:t>Kosto</w:t>
      </w:r>
      <w:r w:rsidR="00FC5030" w:rsidRPr="00770F9D">
        <w:rPr>
          <w:rFonts w:ascii="Garamond" w:hAnsi="Garamond"/>
          <w:color w:val="0D0D0D"/>
          <w:u w:val="none"/>
        </w:rPr>
        <w:t>ja</w:t>
      </w:r>
      <w:r w:rsidR="00072546" w:rsidRPr="00770F9D">
        <w:rPr>
          <w:rFonts w:ascii="Garamond" w:hAnsi="Garamond"/>
          <w:color w:val="0D0D0D"/>
          <w:u w:val="none"/>
        </w:rPr>
        <w:t xml:space="preserve"> e parashikuar e aktiviteteve dhe burimi i financimit</w:t>
      </w:r>
    </w:p>
    <w:p w14:paraId="71571FCF" w14:textId="5A9AFE9A" w:rsidR="00072546" w:rsidRPr="00770F9D" w:rsidRDefault="00072546" w:rsidP="003F46E1">
      <w:pPr>
        <w:ind w:firstLine="284"/>
        <w:jc w:val="both"/>
        <w:rPr>
          <w:rFonts w:ascii="Garamond" w:hAnsi="Garamond"/>
          <w:color w:val="0D0D0D"/>
        </w:rPr>
      </w:pPr>
      <w:r w:rsidRPr="00770F9D">
        <w:rPr>
          <w:rFonts w:ascii="Garamond" w:hAnsi="Garamond"/>
          <w:color w:val="0D0D0D"/>
        </w:rPr>
        <w:t xml:space="preserve">Kostot për zbatimin e masave të AFP-së janë të përfshira në Programin Buxhetor Afatmesëm. Buxheti afatmesëm </w:t>
      </w:r>
      <w:r w:rsidR="003F4C96" w:rsidRPr="00770F9D">
        <w:rPr>
          <w:rFonts w:ascii="Garamond" w:hAnsi="Garamond"/>
          <w:color w:val="0D0D0D"/>
        </w:rPr>
        <w:t>2023–2025</w:t>
      </w:r>
      <w:r w:rsidRPr="00770F9D">
        <w:rPr>
          <w:rFonts w:ascii="Garamond" w:hAnsi="Garamond"/>
          <w:color w:val="0D0D0D"/>
        </w:rPr>
        <w:t xml:space="preserve"> është miratuar tashmë.</w:t>
      </w:r>
    </w:p>
    <w:p w14:paraId="73AF42C0" w14:textId="22E50177" w:rsidR="00072546" w:rsidRPr="00770F9D" w:rsidRDefault="00FB6FFC" w:rsidP="003F46E1">
      <w:pPr>
        <w:pStyle w:val="Heading6"/>
        <w:numPr>
          <w:ilvl w:val="0"/>
          <w:numId w:val="0"/>
        </w:numPr>
        <w:ind w:firstLine="284"/>
        <w:rPr>
          <w:rFonts w:ascii="Garamond" w:hAnsi="Garamond"/>
          <w:color w:val="0D0D0D"/>
          <w:u w:val="none"/>
        </w:rPr>
      </w:pPr>
      <w:r w:rsidRPr="00770F9D">
        <w:rPr>
          <w:rFonts w:ascii="Garamond" w:hAnsi="Garamond"/>
          <w:color w:val="0D0D0D"/>
          <w:u w:val="none"/>
        </w:rPr>
        <w:t>5</w:t>
      </w:r>
      <w:r w:rsidR="00072546" w:rsidRPr="00770F9D">
        <w:rPr>
          <w:rFonts w:ascii="Garamond" w:hAnsi="Garamond"/>
          <w:color w:val="0D0D0D"/>
          <w:u w:val="none"/>
        </w:rPr>
        <w:t>.</w:t>
      </w:r>
      <w:r w:rsidR="00BA4F1A" w:rsidRPr="00770F9D">
        <w:rPr>
          <w:rFonts w:ascii="Garamond" w:hAnsi="Garamond"/>
          <w:color w:val="0D0D0D"/>
          <w:u w:val="none"/>
        </w:rPr>
        <w:t xml:space="preserve"> </w:t>
      </w:r>
      <w:r w:rsidR="00072546" w:rsidRPr="00770F9D">
        <w:rPr>
          <w:rFonts w:ascii="Garamond" w:hAnsi="Garamond"/>
          <w:color w:val="0D0D0D"/>
          <w:u w:val="none"/>
        </w:rPr>
        <w:t>Ndikimi i pritshëm në përfundimet sociale</w:t>
      </w:r>
      <w:r w:rsidR="00040D7B" w:rsidRPr="00770F9D">
        <w:rPr>
          <w:rFonts w:ascii="Garamond" w:hAnsi="Garamond"/>
          <w:color w:val="0D0D0D"/>
          <w:u w:val="none"/>
        </w:rPr>
        <w:t>,</w:t>
      </w:r>
      <w:r w:rsidR="00072546" w:rsidRPr="00770F9D">
        <w:rPr>
          <w:rFonts w:ascii="Garamond" w:hAnsi="Garamond"/>
          <w:color w:val="0D0D0D"/>
          <w:u w:val="none"/>
        </w:rPr>
        <w:t xml:space="preserve"> si</w:t>
      </w:r>
      <w:r w:rsidR="00040D7B" w:rsidRPr="00770F9D">
        <w:rPr>
          <w:rFonts w:ascii="Garamond" w:hAnsi="Garamond"/>
          <w:color w:val="0D0D0D"/>
          <w:u w:val="none"/>
        </w:rPr>
        <w:t>:</w:t>
      </w:r>
      <w:r w:rsidR="00072546" w:rsidRPr="00770F9D">
        <w:rPr>
          <w:rFonts w:ascii="Garamond" w:hAnsi="Garamond"/>
          <w:color w:val="0D0D0D"/>
          <w:u w:val="none"/>
        </w:rPr>
        <w:t xml:space="preserve"> punësimi, ulja e varfërisë, barazia gjinore dhe aksesi në kujdesin shëndetësor</w:t>
      </w:r>
    </w:p>
    <w:p w14:paraId="25A0B564" w14:textId="77777777" w:rsidR="00072546" w:rsidRPr="00770F9D" w:rsidRDefault="00072546" w:rsidP="003F46E1">
      <w:pPr>
        <w:ind w:firstLine="284"/>
        <w:jc w:val="both"/>
        <w:rPr>
          <w:rFonts w:ascii="Garamond" w:hAnsi="Garamond"/>
          <w:color w:val="0D0D0D"/>
        </w:rPr>
      </w:pPr>
      <w:r w:rsidRPr="00770F9D">
        <w:rPr>
          <w:rFonts w:ascii="Garamond" w:hAnsi="Garamond"/>
          <w:color w:val="0D0D0D"/>
        </w:rPr>
        <w:t>Reforma synon të sigurojë arsim cilësor gjithëpërfshirës dhe të barabartë dhe të promovojë mundësitë e të mësuarit gjatë gjithë jetës për të gjithë. Gjithashtu, rifokusi synon zhvillimin e aftësive, veçanërisht në lidhje me aksesin në aftësitë profesionale për punësim, punën e denjë dhe sipërmarrjen, eliminimin e pabarazisë gjinore dhe sigurimin e aksesit për shtresat vulnerabël.</w:t>
      </w:r>
    </w:p>
    <w:p w14:paraId="4D0BD49C" w14:textId="1838FABB" w:rsidR="00072546" w:rsidRPr="00770F9D" w:rsidRDefault="00FB6FFC" w:rsidP="003F46E1">
      <w:pPr>
        <w:pStyle w:val="Heading6"/>
        <w:numPr>
          <w:ilvl w:val="0"/>
          <w:numId w:val="0"/>
        </w:numPr>
        <w:ind w:firstLine="284"/>
        <w:rPr>
          <w:rFonts w:ascii="Garamond" w:hAnsi="Garamond"/>
          <w:color w:val="0D0D0D"/>
          <w:u w:val="none"/>
        </w:rPr>
      </w:pPr>
      <w:r w:rsidRPr="00770F9D">
        <w:rPr>
          <w:rFonts w:ascii="Garamond" w:hAnsi="Garamond"/>
          <w:color w:val="0D0D0D"/>
          <w:u w:val="none"/>
        </w:rPr>
        <w:t>6</w:t>
      </w:r>
      <w:r w:rsidR="00072546" w:rsidRPr="00770F9D">
        <w:rPr>
          <w:rFonts w:ascii="Garamond" w:hAnsi="Garamond"/>
          <w:color w:val="0D0D0D"/>
          <w:u w:val="none"/>
        </w:rPr>
        <w:t>.</w:t>
      </w:r>
      <w:r w:rsidR="00BA4F1A" w:rsidRPr="00770F9D">
        <w:rPr>
          <w:rFonts w:ascii="Garamond" w:hAnsi="Garamond"/>
          <w:color w:val="0D0D0D"/>
          <w:u w:val="none"/>
        </w:rPr>
        <w:t xml:space="preserve"> </w:t>
      </w:r>
      <w:r w:rsidR="00072546" w:rsidRPr="00770F9D">
        <w:rPr>
          <w:rFonts w:ascii="Garamond" w:hAnsi="Garamond"/>
          <w:color w:val="0D0D0D"/>
          <w:u w:val="none"/>
        </w:rPr>
        <w:t>Ndikimi i pritshëm në mjedis dhe ndryshimi i klimës</w:t>
      </w:r>
    </w:p>
    <w:p w14:paraId="59E8428E" w14:textId="77777777" w:rsidR="00072546" w:rsidRPr="00770F9D" w:rsidRDefault="00072546" w:rsidP="003F46E1">
      <w:pPr>
        <w:ind w:firstLine="284"/>
        <w:jc w:val="both"/>
        <w:rPr>
          <w:rFonts w:ascii="Garamond" w:hAnsi="Garamond"/>
          <w:color w:val="0D0D0D"/>
        </w:rPr>
      </w:pPr>
      <w:r w:rsidRPr="00770F9D">
        <w:rPr>
          <w:rFonts w:ascii="Garamond" w:hAnsi="Garamond"/>
          <w:color w:val="0D0D0D"/>
        </w:rPr>
        <w:t>Masa e reformës nuk pritet të ketë ndikim në mjedis. Ato shihen me ekonomi të gjelbër.</w:t>
      </w:r>
    </w:p>
    <w:p w14:paraId="58EBAED3" w14:textId="1532A788" w:rsidR="00072546" w:rsidRPr="00770F9D" w:rsidRDefault="00084F56" w:rsidP="003F46E1">
      <w:pPr>
        <w:pStyle w:val="Heading6"/>
        <w:numPr>
          <w:ilvl w:val="0"/>
          <w:numId w:val="0"/>
        </w:numPr>
        <w:ind w:firstLine="284"/>
        <w:rPr>
          <w:rFonts w:ascii="Garamond" w:hAnsi="Garamond"/>
          <w:color w:val="0D0D0D"/>
          <w:u w:val="none"/>
        </w:rPr>
      </w:pPr>
      <w:r w:rsidRPr="00770F9D">
        <w:rPr>
          <w:rFonts w:ascii="Garamond" w:hAnsi="Garamond"/>
          <w:color w:val="0D0D0D"/>
          <w:u w:val="none"/>
        </w:rPr>
        <w:t>7</w:t>
      </w:r>
      <w:r w:rsidR="00072546" w:rsidRPr="00770F9D">
        <w:rPr>
          <w:rFonts w:ascii="Garamond" w:hAnsi="Garamond"/>
          <w:color w:val="0D0D0D"/>
          <w:u w:val="none"/>
        </w:rPr>
        <w:t>.</w:t>
      </w:r>
      <w:r w:rsidR="00BA4F1A" w:rsidRPr="00770F9D">
        <w:rPr>
          <w:rFonts w:ascii="Garamond" w:hAnsi="Garamond"/>
          <w:color w:val="0D0D0D"/>
          <w:u w:val="none"/>
        </w:rPr>
        <w:t xml:space="preserve"> </w:t>
      </w:r>
      <w:r w:rsidR="00072546" w:rsidRPr="00770F9D">
        <w:rPr>
          <w:rFonts w:ascii="Garamond" w:hAnsi="Garamond"/>
          <w:color w:val="0D0D0D"/>
          <w:u w:val="none"/>
        </w:rPr>
        <w:t>Rreziqet e mundshme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1"/>
        <w:gridCol w:w="1508"/>
        <w:gridCol w:w="4088"/>
      </w:tblGrid>
      <w:tr w:rsidR="00FA29AB" w:rsidRPr="00770F9D" w14:paraId="2B00D0AA" w14:textId="77777777" w:rsidTr="006D6E8D">
        <w:trPr>
          <w:trHeight w:val="20"/>
        </w:trPr>
        <w:tc>
          <w:tcPr>
            <w:tcW w:w="1987" w:type="pct"/>
            <w:shd w:val="clear" w:color="auto" w:fill="auto"/>
            <w:vAlign w:val="center"/>
          </w:tcPr>
          <w:p w14:paraId="25BC8FAA" w14:textId="77777777" w:rsidR="00951D71" w:rsidRPr="00770F9D" w:rsidRDefault="00B2062A" w:rsidP="006D6E8D">
            <w:pPr>
              <w:widowControl w:val="0"/>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Rreziku</w:t>
            </w:r>
          </w:p>
        </w:tc>
        <w:tc>
          <w:tcPr>
            <w:tcW w:w="812" w:type="pct"/>
            <w:shd w:val="clear" w:color="auto" w:fill="auto"/>
            <w:vAlign w:val="center"/>
          </w:tcPr>
          <w:p w14:paraId="3CD1C788" w14:textId="56E093F5" w:rsidR="006D6E8D" w:rsidRPr="00770F9D" w:rsidRDefault="00B2062A" w:rsidP="006D6E8D">
            <w:pPr>
              <w:widowControl w:val="0"/>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Mundësia</w:t>
            </w:r>
          </w:p>
          <w:p w14:paraId="4DE02ED8" w14:textId="3A1117FB" w:rsidR="00951D71" w:rsidRPr="00770F9D" w:rsidRDefault="00951D71" w:rsidP="006D6E8D">
            <w:pPr>
              <w:widowControl w:val="0"/>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w:t>
            </w:r>
            <w:r w:rsidR="00B2062A" w:rsidRPr="00770F9D">
              <w:rPr>
                <w:rFonts w:ascii="Garamond" w:hAnsi="Garamond" w:cstheme="majorBidi"/>
                <w:b/>
                <w:bCs/>
                <w:color w:val="0D0D0D" w:themeColor="text1" w:themeTint="F2"/>
                <w:sz w:val="20"/>
                <w:szCs w:val="20"/>
              </w:rPr>
              <w:t>e ulët, e lartë</w:t>
            </w:r>
            <w:r w:rsidRPr="00770F9D">
              <w:rPr>
                <w:rFonts w:ascii="Garamond" w:hAnsi="Garamond" w:cstheme="majorBidi"/>
                <w:b/>
                <w:bCs/>
                <w:color w:val="0D0D0D" w:themeColor="text1" w:themeTint="F2"/>
                <w:sz w:val="20"/>
                <w:szCs w:val="20"/>
              </w:rPr>
              <w:t>)</w:t>
            </w:r>
          </w:p>
        </w:tc>
        <w:tc>
          <w:tcPr>
            <w:tcW w:w="2201" w:type="pct"/>
            <w:shd w:val="clear" w:color="auto" w:fill="auto"/>
            <w:vAlign w:val="center"/>
          </w:tcPr>
          <w:p w14:paraId="2C71F640" w14:textId="77777777" w:rsidR="00951D71" w:rsidRPr="00770F9D" w:rsidRDefault="00B2062A" w:rsidP="006D6E8D">
            <w:pPr>
              <w:widowControl w:val="0"/>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Veprimi zbutës i parashikuar</w:t>
            </w:r>
          </w:p>
        </w:tc>
      </w:tr>
      <w:tr w:rsidR="001C2987" w:rsidRPr="00770F9D" w14:paraId="30E14C3A" w14:textId="77777777" w:rsidTr="006D6E8D">
        <w:trPr>
          <w:trHeight w:val="20"/>
        </w:trPr>
        <w:tc>
          <w:tcPr>
            <w:tcW w:w="1987" w:type="pct"/>
            <w:shd w:val="clear" w:color="auto" w:fill="auto"/>
          </w:tcPr>
          <w:p w14:paraId="5951D44F" w14:textId="77777777" w:rsidR="001C2987" w:rsidRPr="00770F9D" w:rsidRDefault="001C2987" w:rsidP="00084F56">
            <w:pPr>
              <w:widowControl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Disponueshmëri e pamjaftueshme për trajnime/praktikë në punë në treg</w:t>
            </w:r>
          </w:p>
        </w:tc>
        <w:tc>
          <w:tcPr>
            <w:tcW w:w="812" w:type="pct"/>
            <w:shd w:val="clear" w:color="auto" w:fill="auto"/>
          </w:tcPr>
          <w:p w14:paraId="334AD0A3" w14:textId="77777777" w:rsidR="001C2987" w:rsidRPr="00770F9D" w:rsidRDefault="001C2987" w:rsidP="00084F56">
            <w:pPr>
              <w:widowControl w:val="0"/>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E ulët</w:t>
            </w:r>
          </w:p>
        </w:tc>
        <w:tc>
          <w:tcPr>
            <w:tcW w:w="2201" w:type="pct"/>
            <w:shd w:val="clear" w:color="auto" w:fill="auto"/>
          </w:tcPr>
          <w:p w14:paraId="5832D34E" w14:textId="4675FFDB" w:rsidR="001C2987" w:rsidRPr="00770F9D" w:rsidRDefault="001C2987" w:rsidP="00084F56">
            <w:pPr>
              <w:widowControl w:val="0"/>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Fushata sensibilizuese për bizneset për njohjen dhe zbatimin e rregullores së të nxënit në vendin e punës</w:t>
            </w:r>
          </w:p>
        </w:tc>
      </w:tr>
      <w:tr w:rsidR="001C2987" w:rsidRPr="00770F9D" w14:paraId="6FE643A4" w14:textId="77777777" w:rsidTr="006D6E8D">
        <w:trPr>
          <w:trHeight w:val="20"/>
        </w:trPr>
        <w:tc>
          <w:tcPr>
            <w:tcW w:w="1987" w:type="pct"/>
            <w:shd w:val="clear" w:color="auto" w:fill="auto"/>
          </w:tcPr>
          <w:p w14:paraId="4E360E55" w14:textId="77777777" w:rsidR="001C2987" w:rsidRPr="00770F9D" w:rsidRDefault="001C2987" w:rsidP="00084F56">
            <w:pPr>
              <w:widowControl w:val="0"/>
              <w:rPr>
                <w:rFonts w:ascii="Garamond" w:hAnsi="Garamond" w:cstheme="majorBidi"/>
                <w:color w:val="0D0D0D" w:themeColor="text1" w:themeTint="F2"/>
                <w:sz w:val="20"/>
                <w:szCs w:val="20"/>
                <w:lang w:eastAsia="sq-AL"/>
              </w:rPr>
            </w:pPr>
            <w:r w:rsidRPr="00770F9D">
              <w:rPr>
                <w:rFonts w:ascii="Garamond" w:hAnsi="Garamond" w:cstheme="majorBidi"/>
                <w:color w:val="0D0D0D" w:themeColor="text1" w:themeTint="F2"/>
                <w:sz w:val="20"/>
                <w:szCs w:val="20"/>
              </w:rPr>
              <w:t>Ngurrimi i mësuesve për të marrë pjesë në trajnime të vazhdueshme.</w:t>
            </w:r>
          </w:p>
        </w:tc>
        <w:tc>
          <w:tcPr>
            <w:tcW w:w="812" w:type="pct"/>
            <w:shd w:val="clear" w:color="auto" w:fill="auto"/>
          </w:tcPr>
          <w:p w14:paraId="0AD0B4BD" w14:textId="77777777" w:rsidR="001C2987" w:rsidRPr="00770F9D" w:rsidRDefault="001C2987" w:rsidP="00084F56">
            <w:pPr>
              <w:widowControl w:val="0"/>
              <w:snapToGrid w:val="0"/>
              <w:rPr>
                <w:rFonts w:ascii="Garamond" w:hAnsi="Garamond" w:cstheme="majorBidi"/>
                <w:color w:val="0D0D0D" w:themeColor="text1" w:themeTint="F2"/>
                <w:sz w:val="20"/>
                <w:szCs w:val="20"/>
                <w:lang w:eastAsia="sq-AL"/>
              </w:rPr>
            </w:pPr>
            <w:r w:rsidRPr="00770F9D">
              <w:rPr>
                <w:rFonts w:ascii="Garamond" w:hAnsi="Garamond" w:cstheme="majorBidi"/>
                <w:color w:val="0D0D0D" w:themeColor="text1" w:themeTint="F2"/>
                <w:sz w:val="20"/>
                <w:szCs w:val="20"/>
              </w:rPr>
              <w:t>E ulët</w:t>
            </w:r>
          </w:p>
        </w:tc>
        <w:tc>
          <w:tcPr>
            <w:tcW w:w="2201" w:type="pct"/>
            <w:shd w:val="clear" w:color="auto" w:fill="auto"/>
          </w:tcPr>
          <w:p w14:paraId="03B272AF" w14:textId="77777777" w:rsidR="001C2987" w:rsidRPr="00770F9D" w:rsidRDefault="001C2987" w:rsidP="00084F56">
            <w:pPr>
              <w:widowControl w:val="0"/>
              <w:snapToGrid w:val="0"/>
              <w:rPr>
                <w:rFonts w:ascii="Garamond" w:hAnsi="Garamond" w:cstheme="majorBidi"/>
                <w:color w:val="0D0D0D" w:themeColor="text1" w:themeTint="F2"/>
                <w:sz w:val="20"/>
                <w:szCs w:val="20"/>
                <w:lang w:eastAsia="sq-AL"/>
              </w:rPr>
            </w:pPr>
            <w:r w:rsidRPr="00770F9D">
              <w:rPr>
                <w:rFonts w:ascii="Garamond" w:hAnsi="Garamond" w:cstheme="majorBidi"/>
                <w:color w:val="0D0D0D" w:themeColor="text1" w:themeTint="F2"/>
                <w:sz w:val="20"/>
                <w:szCs w:val="20"/>
              </w:rPr>
              <w:t>Informacion në ofruesit e AFP-së për rëndësinë e trajnimit të vazhdueshëm. Zbatimi i masave promovuese për shpërblimin e kualifikimeve në pagë</w:t>
            </w:r>
          </w:p>
        </w:tc>
      </w:tr>
      <w:tr w:rsidR="001C2987" w:rsidRPr="00770F9D" w14:paraId="02170082" w14:textId="77777777" w:rsidTr="006D6E8D">
        <w:trPr>
          <w:trHeight w:val="20"/>
        </w:trPr>
        <w:tc>
          <w:tcPr>
            <w:tcW w:w="1987" w:type="pct"/>
            <w:shd w:val="clear" w:color="auto" w:fill="auto"/>
          </w:tcPr>
          <w:p w14:paraId="6FBDE0E3" w14:textId="77777777" w:rsidR="001C2987" w:rsidRPr="00770F9D" w:rsidRDefault="001C2987" w:rsidP="00084F56">
            <w:pPr>
              <w:widowControl w:val="0"/>
              <w:rPr>
                <w:rFonts w:ascii="Garamond" w:hAnsi="Garamond" w:cstheme="majorBidi"/>
                <w:color w:val="0D0D0D" w:themeColor="text1" w:themeTint="F2"/>
                <w:sz w:val="20"/>
                <w:szCs w:val="20"/>
                <w:lang w:eastAsia="sq-AL"/>
              </w:rPr>
            </w:pPr>
            <w:r w:rsidRPr="00770F9D">
              <w:rPr>
                <w:rFonts w:ascii="Garamond" w:hAnsi="Garamond" w:cstheme="majorBidi"/>
                <w:color w:val="0D0D0D" w:themeColor="text1" w:themeTint="F2"/>
                <w:sz w:val="20"/>
                <w:szCs w:val="20"/>
              </w:rPr>
              <w:t>Niveli joadekuat i koordinimit me bizneset për mbështetje më të mirë në AAP</w:t>
            </w:r>
          </w:p>
        </w:tc>
        <w:tc>
          <w:tcPr>
            <w:tcW w:w="812" w:type="pct"/>
            <w:shd w:val="clear" w:color="auto" w:fill="auto"/>
          </w:tcPr>
          <w:p w14:paraId="62695D79" w14:textId="77777777" w:rsidR="001C2987" w:rsidRPr="00770F9D" w:rsidRDefault="001C2987" w:rsidP="00084F56">
            <w:pPr>
              <w:widowControl w:val="0"/>
              <w:snapToGrid w:val="0"/>
              <w:rPr>
                <w:rFonts w:ascii="Garamond" w:hAnsi="Garamond" w:cstheme="majorBidi"/>
                <w:color w:val="0D0D0D" w:themeColor="text1" w:themeTint="F2"/>
                <w:sz w:val="20"/>
                <w:szCs w:val="20"/>
                <w:lang w:eastAsia="sq-AL"/>
              </w:rPr>
            </w:pPr>
            <w:r w:rsidRPr="00770F9D">
              <w:rPr>
                <w:rFonts w:ascii="Garamond" w:hAnsi="Garamond" w:cstheme="majorBidi"/>
                <w:color w:val="0D0D0D" w:themeColor="text1" w:themeTint="F2"/>
                <w:sz w:val="20"/>
                <w:szCs w:val="20"/>
              </w:rPr>
              <w:t>E mesme</w:t>
            </w:r>
          </w:p>
        </w:tc>
        <w:tc>
          <w:tcPr>
            <w:tcW w:w="2201" w:type="pct"/>
            <w:shd w:val="clear" w:color="auto" w:fill="auto"/>
          </w:tcPr>
          <w:p w14:paraId="7F33D248" w14:textId="77777777" w:rsidR="001C2987" w:rsidRPr="00770F9D" w:rsidRDefault="001C2987" w:rsidP="00084F56">
            <w:pPr>
              <w:widowControl w:val="0"/>
              <w:snapToGrid w:val="0"/>
              <w:rPr>
                <w:rFonts w:ascii="Garamond" w:hAnsi="Garamond" w:cstheme="majorBidi"/>
                <w:color w:val="0D0D0D" w:themeColor="text1" w:themeTint="F2"/>
                <w:sz w:val="20"/>
                <w:szCs w:val="20"/>
                <w:lang w:eastAsia="sq-AL"/>
              </w:rPr>
            </w:pPr>
            <w:r w:rsidRPr="00770F9D">
              <w:rPr>
                <w:rFonts w:ascii="Garamond" w:hAnsi="Garamond" w:cstheme="majorBidi"/>
                <w:color w:val="0D0D0D" w:themeColor="text1" w:themeTint="F2"/>
                <w:sz w:val="20"/>
                <w:szCs w:val="20"/>
              </w:rPr>
              <w:t>Forcimi i rolit të njësisë së zhvillimit të ofruesve dhe shoqatave të biznesit duke rritur kapacitetet e koordinatorëve të biznesit</w:t>
            </w:r>
          </w:p>
        </w:tc>
      </w:tr>
      <w:tr w:rsidR="001C2987" w:rsidRPr="00770F9D" w14:paraId="256919BA" w14:textId="77777777" w:rsidTr="006D6E8D">
        <w:trPr>
          <w:trHeight w:val="20"/>
        </w:trPr>
        <w:tc>
          <w:tcPr>
            <w:tcW w:w="1987" w:type="pct"/>
            <w:shd w:val="clear" w:color="auto" w:fill="auto"/>
          </w:tcPr>
          <w:p w14:paraId="477B2184" w14:textId="77777777" w:rsidR="001C2987" w:rsidRPr="00770F9D" w:rsidRDefault="001C2987" w:rsidP="00084F56">
            <w:pPr>
              <w:snapToGrid w:val="0"/>
              <w:jc w:val="both"/>
              <w:rPr>
                <w:rFonts w:ascii="Garamond" w:eastAsia="Times New Roman" w:hAnsi="Garamond" w:cstheme="majorBidi"/>
                <w:color w:val="0D0D0D" w:themeColor="text1" w:themeTint="F2"/>
                <w:sz w:val="20"/>
                <w:szCs w:val="20"/>
              </w:rPr>
            </w:pPr>
            <w:r w:rsidRPr="00770F9D">
              <w:rPr>
                <w:rFonts w:ascii="Garamond" w:hAnsi="Garamond" w:cstheme="majorBidi"/>
                <w:color w:val="0D0D0D" w:themeColor="text1" w:themeTint="F2"/>
                <w:sz w:val="20"/>
                <w:szCs w:val="20"/>
              </w:rPr>
              <w:t>Mungesa e vlerësimit specifik rajonal për aftësitë që mungojnë në tregun e punës.</w:t>
            </w:r>
          </w:p>
        </w:tc>
        <w:tc>
          <w:tcPr>
            <w:tcW w:w="812" w:type="pct"/>
            <w:shd w:val="clear" w:color="auto" w:fill="auto"/>
          </w:tcPr>
          <w:p w14:paraId="59C197D3" w14:textId="77777777" w:rsidR="001C2987" w:rsidRPr="00770F9D" w:rsidRDefault="001C2987" w:rsidP="00084F56">
            <w:pPr>
              <w:widowControl w:val="0"/>
              <w:snapToGrid w:val="0"/>
              <w:rPr>
                <w:rFonts w:ascii="Garamond" w:hAnsi="Garamond" w:cstheme="majorBidi"/>
                <w:color w:val="0D0D0D" w:themeColor="text1" w:themeTint="F2"/>
                <w:sz w:val="20"/>
                <w:szCs w:val="20"/>
                <w:lang w:eastAsia="sq-AL"/>
              </w:rPr>
            </w:pPr>
            <w:r w:rsidRPr="00770F9D">
              <w:rPr>
                <w:rFonts w:ascii="Garamond" w:hAnsi="Garamond" w:cstheme="majorBidi"/>
                <w:color w:val="0D0D0D" w:themeColor="text1" w:themeTint="F2"/>
                <w:sz w:val="20"/>
                <w:szCs w:val="20"/>
              </w:rPr>
              <w:t>E mesme</w:t>
            </w:r>
          </w:p>
        </w:tc>
        <w:tc>
          <w:tcPr>
            <w:tcW w:w="2201" w:type="pct"/>
            <w:shd w:val="clear" w:color="auto" w:fill="auto"/>
          </w:tcPr>
          <w:p w14:paraId="72EA6672" w14:textId="77777777" w:rsidR="001C2987" w:rsidRPr="00770F9D" w:rsidRDefault="001C2987" w:rsidP="00084F56">
            <w:pPr>
              <w:widowControl w:val="0"/>
              <w:snapToGrid w:val="0"/>
              <w:rPr>
                <w:rFonts w:ascii="Garamond" w:hAnsi="Garamond" w:cstheme="majorBidi"/>
                <w:color w:val="0D0D0D" w:themeColor="text1" w:themeTint="F2"/>
                <w:sz w:val="20"/>
                <w:szCs w:val="20"/>
                <w:lang w:eastAsia="sq-AL"/>
              </w:rPr>
            </w:pPr>
            <w:r w:rsidRPr="00770F9D">
              <w:rPr>
                <w:rFonts w:ascii="Garamond" w:hAnsi="Garamond" w:cstheme="majorBidi"/>
                <w:color w:val="0D0D0D" w:themeColor="text1" w:themeTint="F2"/>
                <w:sz w:val="20"/>
                <w:szCs w:val="20"/>
              </w:rPr>
              <w:t>Studim mbi aftësitë që mungojnë në tregun rajonal të punës</w:t>
            </w:r>
          </w:p>
        </w:tc>
      </w:tr>
      <w:tr w:rsidR="001C2987" w:rsidRPr="00770F9D" w14:paraId="239C3830" w14:textId="77777777" w:rsidTr="006D6E8D">
        <w:trPr>
          <w:trHeight w:val="20"/>
        </w:trPr>
        <w:tc>
          <w:tcPr>
            <w:tcW w:w="1987" w:type="pct"/>
            <w:shd w:val="clear" w:color="auto" w:fill="auto"/>
          </w:tcPr>
          <w:p w14:paraId="4C0CC737" w14:textId="77777777" w:rsidR="001C2987" w:rsidRPr="00770F9D" w:rsidRDefault="001C2987" w:rsidP="00084F56">
            <w:pPr>
              <w:widowControl w:val="0"/>
              <w:rPr>
                <w:rFonts w:ascii="Garamond" w:hAnsi="Garamond" w:cstheme="majorBidi"/>
                <w:color w:val="0D0D0D" w:themeColor="text1" w:themeTint="F2"/>
                <w:sz w:val="20"/>
                <w:szCs w:val="20"/>
                <w:lang w:eastAsia="sq-AL"/>
              </w:rPr>
            </w:pPr>
            <w:r w:rsidRPr="00770F9D">
              <w:rPr>
                <w:rFonts w:ascii="Garamond" w:hAnsi="Garamond" w:cstheme="majorBidi"/>
                <w:color w:val="0D0D0D" w:themeColor="text1" w:themeTint="F2"/>
                <w:sz w:val="20"/>
                <w:szCs w:val="20"/>
              </w:rPr>
              <w:t>Mungesa e pajisjeve të teknologjisë së lartë.</w:t>
            </w:r>
          </w:p>
        </w:tc>
        <w:tc>
          <w:tcPr>
            <w:tcW w:w="812" w:type="pct"/>
            <w:shd w:val="clear" w:color="auto" w:fill="auto"/>
          </w:tcPr>
          <w:p w14:paraId="2143703C" w14:textId="77777777" w:rsidR="001C2987" w:rsidRPr="00770F9D" w:rsidRDefault="001C2987" w:rsidP="00084F56">
            <w:pPr>
              <w:widowControl w:val="0"/>
              <w:snapToGrid w:val="0"/>
              <w:rPr>
                <w:rFonts w:ascii="Garamond" w:hAnsi="Garamond" w:cstheme="majorBidi"/>
                <w:color w:val="0D0D0D" w:themeColor="text1" w:themeTint="F2"/>
                <w:sz w:val="20"/>
                <w:szCs w:val="20"/>
                <w:lang w:eastAsia="sq-AL"/>
              </w:rPr>
            </w:pPr>
            <w:r w:rsidRPr="00770F9D">
              <w:rPr>
                <w:rFonts w:ascii="Garamond" w:hAnsi="Garamond" w:cstheme="majorBidi"/>
                <w:color w:val="0D0D0D" w:themeColor="text1" w:themeTint="F2"/>
                <w:sz w:val="20"/>
                <w:szCs w:val="20"/>
              </w:rPr>
              <w:t>E mesme</w:t>
            </w:r>
          </w:p>
        </w:tc>
        <w:tc>
          <w:tcPr>
            <w:tcW w:w="2201" w:type="pct"/>
            <w:shd w:val="clear" w:color="auto" w:fill="auto"/>
          </w:tcPr>
          <w:p w14:paraId="33356CD0" w14:textId="720ADCD8" w:rsidR="001C2987" w:rsidRPr="00770F9D" w:rsidRDefault="001C2987" w:rsidP="00084F56">
            <w:pPr>
              <w:widowControl w:val="0"/>
              <w:snapToGrid w:val="0"/>
              <w:rPr>
                <w:rFonts w:ascii="Garamond" w:hAnsi="Garamond" w:cstheme="majorBidi"/>
                <w:color w:val="0D0D0D" w:themeColor="text1" w:themeTint="F2"/>
                <w:sz w:val="20"/>
                <w:szCs w:val="20"/>
                <w:lang w:eastAsia="sq-AL"/>
              </w:rPr>
            </w:pPr>
            <w:r w:rsidRPr="00770F9D">
              <w:rPr>
                <w:rFonts w:ascii="Garamond" w:hAnsi="Garamond" w:cstheme="majorBidi"/>
                <w:color w:val="0D0D0D" w:themeColor="text1" w:themeTint="F2"/>
                <w:sz w:val="20"/>
                <w:szCs w:val="20"/>
              </w:rPr>
              <w:t xml:space="preserve">Identifikimi, planifikimi i nevojave dhe kostove për pajisjen e ofruesve të AFP-së për </w:t>
            </w:r>
            <w:r w:rsidR="003F4C96" w:rsidRPr="00770F9D">
              <w:rPr>
                <w:rFonts w:ascii="Garamond" w:hAnsi="Garamond" w:cstheme="majorBidi"/>
                <w:color w:val="0D0D0D" w:themeColor="text1" w:themeTint="F2"/>
                <w:sz w:val="20"/>
                <w:szCs w:val="20"/>
              </w:rPr>
              <w:t>digjital</w:t>
            </w:r>
            <w:r w:rsidRPr="00770F9D">
              <w:rPr>
                <w:rFonts w:ascii="Garamond" w:hAnsi="Garamond" w:cstheme="majorBidi"/>
                <w:color w:val="0D0D0D" w:themeColor="text1" w:themeTint="F2"/>
                <w:sz w:val="20"/>
                <w:szCs w:val="20"/>
              </w:rPr>
              <w:t>izim dhe fokus dhe investime për rritjen e teknologjisë.</w:t>
            </w:r>
          </w:p>
        </w:tc>
      </w:tr>
    </w:tbl>
    <w:p w14:paraId="3B244DFF" w14:textId="77777777" w:rsidR="00FB30AC" w:rsidRPr="00770F9D" w:rsidRDefault="00FB30AC" w:rsidP="003F46E1">
      <w:pPr>
        <w:snapToGrid w:val="0"/>
        <w:ind w:firstLine="284"/>
        <w:jc w:val="both"/>
        <w:rPr>
          <w:rFonts w:ascii="Garamond" w:eastAsia="Times New Roman" w:hAnsi="Garamond" w:cstheme="majorBidi"/>
          <w:color w:val="0D0D0D" w:themeColor="text1" w:themeTint="F2"/>
        </w:rPr>
      </w:pPr>
    </w:p>
    <w:p w14:paraId="66EEDFBD" w14:textId="54E235C1" w:rsidR="00857902" w:rsidRPr="00770F9D" w:rsidRDefault="00B2062A" w:rsidP="008C433D">
      <w:pPr>
        <w:pStyle w:val="Heading5"/>
        <w:snapToGrid w:val="0"/>
        <w:ind w:left="0" w:firstLine="284"/>
        <w:jc w:val="both"/>
        <w:rPr>
          <w:rFonts w:ascii="Garamond" w:hAnsi="Garamond" w:cstheme="majorBidi"/>
          <w:i w:val="0"/>
          <w:color w:val="0D0D0D" w:themeColor="text1" w:themeTint="F2"/>
          <w:sz w:val="24"/>
          <w:szCs w:val="24"/>
        </w:rPr>
      </w:pPr>
      <w:r w:rsidRPr="00770F9D">
        <w:rPr>
          <w:rFonts w:ascii="Garamond" w:hAnsi="Garamond" w:cstheme="majorBidi"/>
          <w:i w:val="0"/>
          <w:color w:val="0D0D0D" w:themeColor="text1" w:themeTint="F2"/>
          <w:sz w:val="24"/>
          <w:szCs w:val="24"/>
        </w:rPr>
        <w:t>Masa e reformës</w:t>
      </w:r>
      <w:r w:rsidR="005358F8" w:rsidRPr="00770F9D">
        <w:rPr>
          <w:rFonts w:ascii="Garamond" w:hAnsi="Garamond" w:cstheme="majorBidi"/>
          <w:i w:val="0"/>
          <w:color w:val="0D0D0D" w:themeColor="text1" w:themeTint="F2"/>
          <w:sz w:val="24"/>
          <w:szCs w:val="24"/>
        </w:rPr>
        <w:t xml:space="preserve"> 02</w:t>
      </w:r>
      <w:r w:rsidR="00DB22AB" w:rsidRPr="00770F9D">
        <w:rPr>
          <w:rFonts w:ascii="Garamond" w:hAnsi="Garamond" w:cstheme="majorBidi"/>
          <w:i w:val="0"/>
          <w:color w:val="0D0D0D" w:themeColor="text1" w:themeTint="F2"/>
          <w:sz w:val="24"/>
          <w:szCs w:val="24"/>
        </w:rPr>
        <w:t xml:space="preserve">: </w:t>
      </w:r>
      <w:r w:rsidR="00857902" w:rsidRPr="00770F9D">
        <w:rPr>
          <w:rFonts w:ascii="Garamond" w:hAnsi="Garamond" w:cstheme="majorBidi"/>
          <w:i w:val="0"/>
          <w:color w:val="0D0D0D" w:themeColor="text1" w:themeTint="F2"/>
          <w:sz w:val="24"/>
          <w:szCs w:val="24"/>
        </w:rPr>
        <w:t>Përmirësimi i punësueshmërisë së punëkë</w:t>
      </w:r>
      <w:r w:rsidR="00A27E87" w:rsidRPr="00770F9D">
        <w:rPr>
          <w:rFonts w:ascii="Garamond" w:hAnsi="Garamond" w:cstheme="majorBidi"/>
          <w:i w:val="0"/>
          <w:color w:val="0D0D0D" w:themeColor="text1" w:themeTint="F2"/>
          <w:sz w:val="24"/>
          <w:szCs w:val="24"/>
        </w:rPr>
        <w:t xml:space="preserve">rkuesve të papunë më </w:t>
      </w:r>
      <w:r w:rsidR="003C4E4F" w:rsidRPr="00770F9D">
        <w:rPr>
          <w:rFonts w:ascii="Garamond" w:hAnsi="Garamond" w:cstheme="majorBidi"/>
          <w:i w:val="0"/>
          <w:color w:val="0D0D0D" w:themeColor="text1" w:themeTint="F2"/>
          <w:sz w:val="24"/>
          <w:szCs w:val="24"/>
        </w:rPr>
        <w:t>t</w:t>
      </w:r>
      <w:r w:rsidR="008C433D">
        <w:rPr>
          <w:rFonts w:ascii="Garamond" w:hAnsi="Garamond" w:cstheme="majorBidi"/>
          <w:i w:val="0"/>
          <w:color w:val="0D0D0D" w:themeColor="text1" w:themeTint="F2"/>
          <w:sz w:val="24"/>
          <w:szCs w:val="24"/>
        </w:rPr>
        <w:t>ë</w:t>
      </w:r>
      <w:r w:rsidR="003C4E4F" w:rsidRPr="00770F9D">
        <w:rPr>
          <w:rFonts w:ascii="Garamond" w:hAnsi="Garamond" w:cstheme="majorBidi"/>
          <w:i w:val="0"/>
          <w:color w:val="0D0D0D" w:themeColor="text1" w:themeTint="F2"/>
          <w:sz w:val="24"/>
          <w:szCs w:val="24"/>
        </w:rPr>
        <w:t xml:space="preserve"> rrezikuar</w:t>
      </w:r>
    </w:p>
    <w:p w14:paraId="750A3232" w14:textId="2CE2253B" w:rsidR="00DB22AB" w:rsidRPr="00770F9D" w:rsidRDefault="009D37E3" w:rsidP="003F46E1">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 xml:space="preserve">1. </w:t>
      </w:r>
      <w:r w:rsidR="00B2062A" w:rsidRPr="00770F9D">
        <w:rPr>
          <w:rFonts w:ascii="Garamond" w:hAnsi="Garamond" w:cstheme="majorBidi"/>
          <w:color w:val="0D0D0D" w:themeColor="text1" w:themeTint="F2"/>
          <w:u w:val="none"/>
        </w:rPr>
        <w:t>Përshkrimi i masës</w:t>
      </w:r>
    </w:p>
    <w:p w14:paraId="23348E85" w14:textId="6ED3A9C7" w:rsidR="003C4E4F" w:rsidRPr="00770F9D" w:rsidRDefault="003C4E4F"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Strategjia Kombëtare e Punësimit dhe Aftësive (NESS 2019-2022) dhe plani i saj i veprimit ka si synim të përgjithshëm</w:t>
      </w:r>
      <w:r w:rsidR="00040D7B"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 xml:space="preserve">të promovojë vende pune cilësore dhe mundësi për aftësi për të gjithë gratë dhe burrat shqiptarë, gjatë ciklit të tyre të jetës dhe është në përputhje me detyrimet për </w:t>
      </w:r>
      <w:r w:rsidR="00174C2E" w:rsidRPr="00770F9D">
        <w:rPr>
          <w:rFonts w:ascii="Garamond" w:hAnsi="Garamond" w:cstheme="majorBidi"/>
          <w:color w:val="0D0D0D" w:themeColor="text1" w:themeTint="F2"/>
        </w:rPr>
        <w:t>“</w:t>
      </w:r>
      <w:r w:rsidRPr="00770F9D">
        <w:rPr>
          <w:rFonts w:ascii="Garamond" w:hAnsi="Garamond" w:cstheme="majorBidi"/>
          <w:color w:val="0D0D0D" w:themeColor="text1" w:themeTint="F2"/>
        </w:rPr>
        <w:t>Kapitullin 19</w:t>
      </w:r>
      <w:r w:rsidR="00174C2E"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të </w:t>
      </w:r>
      <w:r w:rsidR="00174C2E" w:rsidRPr="00770F9D">
        <w:rPr>
          <w:rFonts w:ascii="Garamond" w:hAnsi="Garamond" w:cstheme="majorBidi"/>
          <w:color w:val="0D0D0D" w:themeColor="text1" w:themeTint="F2"/>
        </w:rPr>
        <w:t xml:space="preserve">punësimit dhe politikës sociale </w:t>
      </w:r>
      <w:r w:rsidRPr="00770F9D">
        <w:rPr>
          <w:rFonts w:ascii="Garamond" w:hAnsi="Garamond" w:cstheme="majorBidi"/>
          <w:color w:val="0D0D0D" w:themeColor="text1" w:themeTint="F2"/>
        </w:rPr>
        <w:t xml:space="preserve">dhe rekomandimet e Komisionit Evropian për </w:t>
      </w:r>
      <w:r w:rsidR="00174C2E" w:rsidRPr="00770F9D">
        <w:rPr>
          <w:rFonts w:ascii="Garamond" w:hAnsi="Garamond" w:cstheme="majorBidi"/>
          <w:color w:val="0D0D0D" w:themeColor="text1" w:themeTint="F2"/>
        </w:rPr>
        <w:t xml:space="preserve">punësim dhe politikë </w:t>
      </w:r>
      <w:r w:rsidRPr="00770F9D">
        <w:rPr>
          <w:rFonts w:ascii="Garamond" w:hAnsi="Garamond" w:cstheme="majorBidi"/>
          <w:color w:val="0D0D0D" w:themeColor="text1" w:themeTint="F2"/>
        </w:rPr>
        <w:t>Sociale.</w:t>
      </w:r>
    </w:p>
    <w:p w14:paraId="31BD3024" w14:textId="78F28E8E" w:rsidR="003C4E4F" w:rsidRPr="00770F9D" w:rsidRDefault="003C4E4F"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Strategjia Kombëtare e Punësimit dhe Aftësive (NESS) 2019</w:t>
      </w:r>
      <w:r w:rsidR="00174C2E" w:rsidRPr="00770F9D">
        <w:rPr>
          <w:rFonts w:ascii="Garamond" w:hAnsi="Garamond"/>
          <w:color w:val="0D0D0D"/>
        </w:rPr>
        <w:t>–</w:t>
      </w:r>
      <w:r w:rsidRPr="00770F9D">
        <w:rPr>
          <w:rFonts w:ascii="Garamond" w:hAnsi="Garamond" w:cstheme="majorBidi"/>
          <w:color w:val="0D0D0D" w:themeColor="text1" w:themeTint="F2"/>
        </w:rPr>
        <w:t>2022, strategjia dhe plani i veprimit përkatës është në vitin e fundit të zbatimit. Ndërkohë është finalizuar Strategjia e re Kombëtare për Punësimin dhe Aftësitë 2023</w:t>
      </w:r>
      <w:r w:rsidR="00174C2E" w:rsidRPr="00770F9D">
        <w:rPr>
          <w:rFonts w:ascii="Garamond" w:hAnsi="Garamond"/>
          <w:color w:val="0D0D0D"/>
        </w:rPr>
        <w:t>–</w:t>
      </w:r>
      <w:r w:rsidRPr="00770F9D">
        <w:rPr>
          <w:rFonts w:ascii="Garamond" w:hAnsi="Garamond" w:cstheme="majorBidi"/>
          <w:color w:val="0D0D0D" w:themeColor="text1" w:themeTint="F2"/>
        </w:rPr>
        <w:t>2030</w:t>
      </w:r>
      <w:r w:rsidR="0049233C"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e cila është në proces konsultimi. </w:t>
      </w:r>
      <w:bookmarkStart w:id="45" w:name="_Toc119598195"/>
      <w:bookmarkStart w:id="46" w:name="_Toc120012443"/>
      <w:r w:rsidRPr="00770F9D">
        <w:rPr>
          <w:rFonts w:ascii="Garamond" w:hAnsi="Garamond" w:cstheme="majorBidi"/>
          <w:color w:val="0D0D0D" w:themeColor="text1" w:themeTint="F2"/>
        </w:rPr>
        <w:t>Vizioni</w:t>
      </w:r>
      <w:bookmarkEnd w:id="45"/>
      <w:bookmarkEnd w:id="46"/>
      <w:r w:rsidRPr="00770F9D">
        <w:rPr>
          <w:rFonts w:ascii="Garamond" w:hAnsi="Garamond" w:cstheme="majorBidi"/>
          <w:color w:val="0D0D0D" w:themeColor="text1" w:themeTint="F2"/>
        </w:rPr>
        <w:t xml:space="preserve"> i Strategjisë Kombëtare të Punësimit dhe Aftësive 2023</w:t>
      </w:r>
      <w:r w:rsidR="00174C2E" w:rsidRPr="00770F9D">
        <w:rPr>
          <w:rFonts w:ascii="Garamond" w:hAnsi="Garamond"/>
          <w:color w:val="0D0D0D"/>
        </w:rPr>
        <w:t>–</w:t>
      </w:r>
      <w:r w:rsidRPr="00770F9D">
        <w:rPr>
          <w:rFonts w:ascii="Garamond" w:hAnsi="Garamond" w:cstheme="majorBidi"/>
          <w:color w:val="0D0D0D" w:themeColor="text1" w:themeTint="F2"/>
        </w:rPr>
        <w:t>2030 është “Punësim cilësor dhe aftësim gjatë të gjithë jetës për të gjithë”. Qëllimet politike të kësaj Strategjie janë</w:t>
      </w:r>
      <w:r w:rsidR="009A6377"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i</w:t>
      </w:r>
      <w:r w:rsidR="009A6377"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Zhvillimi i aftësive dhe lidhje më e mirë e kërkesës me ofertën në tregun e punës për më shumë punësim; ii</w:t>
      </w:r>
      <w:r w:rsidR="009A6377"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mundësimi i punësimit të denjë për gra dhe burra nëpërmjet zbatimit të punës</w:t>
      </w:r>
      <w:r w:rsidRPr="00770F9D">
        <w:rPr>
          <w:rFonts w:ascii="Garamond" w:hAnsi="Garamond" w:cstheme="majorBidi"/>
          <w:b/>
          <w:color w:val="0D0D0D" w:themeColor="text1" w:themeTint="F2"/>
        </w:rPr>
        <w:t xml:space="preserve">. </w:t>
      </w:r>
      <w:r w:rsidRPr="00770F9D">
        <w:rPr>
          <w:rFonts w:ascii="Garamond" w:hAnsi="Garamond" w:cstheme="majorBidi"/>
          <w:color w:val="0D0D0D" w:themeColor="text1" w:themeTint="F2"/>
        </w:rPr>
        <w:t>Objektivi kryesor është identifikimi dhe hartimi i politikave të përshtatshme nxitëse në vend për punësimin dhe formimin profesional të fuqisë punëtore</w:t>
      </w:r>
      <w:r w:rsidR="009A6377"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me qëllim krijimin e punësimit cilësor dhe trajnimit të vazhdueshëm. për të gjithë. Plani i veprimit do të fokusohet në mundësimin e punësimit të denjë nëpërmjet zbatimit të politikave gjithëpërfshirëse të tregut të punës dhe zhvillimit të aftësive dhe përshtatjes më të mirë të kërkesës me ofertën në tregun e punës për punësim më të lartë.</w:t>
      </w:r>
    </w:p>
    <w:p w14:paraId="30A5F78B" w14:textId="403CFC1E" w:rsidR="003C4E4F" w:rsidRPr="00770F9D" w:rsidRDefault="003C4E4F" w:rsidP="003F46E1">
      <w:pPr>
        <w:ind w:firstLine="284"/>
        <w:jc w:val="both"/>
        <w:rPr>
          <w:rFonts w:ascii="Garamond" w:hAnsi="Garamond" w:cstheme="majorBidi"/>
          <w:bCs/>
          <w:color w:val="0D0D0D" w:themeColor="text1" w:themeTint="F2"/>
        </w:rPr>
      </w:pPr>
      <w:r w:rsidRPr="00770F9D">
        <w:rPr>
          <w:rFonts w:ascii="Garamond" w:hAnsi="Garamond" w:cstheme="majorBidi"/>
          <w:color w:val="0D0D0D" w:themeColor="text1" w:themeTint="F2"/>
        </w:rPr>
        <w:t xml:space="preserve">Pas miratimit të </w:t>
      </w:r>
      <w:r w:rsidR="009A6377" w:rsidRPr="00770F9D">
        <w:rPr>
          <w:rFonts w:ascii="Garamond" w:hAnsi="Garamond" w:cstheme="majorBidi"/>
          <w:color w:val="0D0D0D" w:themeColor="text1" w:themeTint="F2"/>
        </w:rPr>
        <w:t xml:space="preserve">ligjit </w:t>
      </w:r>
      <w:r w:rsidRPr="00770F9D">
        <w:rPr>
          <w:rFonts w:ascii="Garamond" w:hAnsi="Garamond" w:cstheme="majorBidi"/>
          <w:color w:val="0D0D0D" w:themeColor="text1" w:themeTint="F2"/>
        </w:rPr>
        <w:t xml:space="preserve">të ri “Për nxitjen e </w:t>
      </w:r>
      <w:r w:rsidR="009A6377" w:rsidRPr="00770F9D">
        <w:rPr>
          <w:rFonts w:ascii="Garamond" w:hAnsi="Garamond" w:cstheme="majorBidi"/>
          <w:color w:val="0D0D0D" w:themeColor="text1" w:themeTint="F2"/>
        </w:rPr>
        <w:t>punësimit</w:t>
      </w:r>
      <w:r w:rsidRPr="00770F9D">
        <w:rPr>
          <w:rFonts w:ascii="Garamond" w:hAnsi="Garamond" w:cstheme="majorBidi"/>
          <w:color w:val="0D0D0D" w:themeColor="text1" w:themeTint="F2"/>
        </w:rPr>
        <w:t>” në vitin 2019 (ligji nr. 15/2019), Ministria e Financave dhe Ekonomisë ndërmori një rishikim të plotë dhe më tej një reformë për paketën e</w:t>
      </w:r>
      <w:r w:rsidR="009A6377"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programeve të nxitjes së punësimit (PNP) gjatë viteve 2019 dhe 2020. Në thelb të reformës ishte përpjekja për të adresuar nevojat e bazës së klientëve të AKPA</w:t>
      </w:r>
      <w:r w:rsidR="009A6377"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s dhe për të përmirësuar procedurat e zbatimit. Reforma synonte të zhvillonte dhe të ofronte një portofol shërbimi që bazohet në një qasje të ekuilibruar të orientuar nga kërkesa dhe oferta, duke njohur dhe nxitur potencialin e grupeve të ndryshme të punëkërkuesve nëpërmjet planeve të veprimit të përshtatura dhe masave ndërmjetësuese. Ndërsa kuadri ligjor dhe operacional u miratua në vitin 2020, një zbatim i plotë mundi të bëhej vetëm në vitin 2021. Programet përfshijnë trajnimin në punë, subvencionimin e pagave, programin e praktikës profesionale, programin e vetëpunësimit, programin e punësimit në komunitet, program për të mbështetur riintegrimin në tregun e punës të punëtorëve që vetëdeklarohen se janë punësuar dhe pushuar në mënyrë joformale si rezultat i pandemisë COVID-19. 8 </w:t>
      </w:r>
      <w:r w:rsidR="00694FC3" w:rsidRPr="00770F9D">
        <w:rPr>
          <w:rFonts w:ascii="Garamond" w:hAnsi="Garamond" w:cstheme="majorBidi"/>
          <w:color w:val="0D0D0D" w:themeColor="text1" w:themeTint="F2"/>
        </w:rPr>
        <w:t xml:space="preserve">programet </w:t>
      </w:r>
      <w:r w:rsidRPr="00770F9D">
        <w:rPr>
          <w:rFonts w:ascii="Garamond" w:hAnsi="Garamond" w:cstheme="majorBidi"/>
          <w:color w:val="0D0D0D" w:themeColor="text1" w:themeTint="F2"/>
        </w:rPr>
        <w:t xml:space="preserve">e reja dhe të rishikuara të </w:t>
      </w:r>
      <w:r w:rsidR="00694FC3" w:rsidRPr="00770F9D">
        <w:rPr>
          <w:rFonts w:ascii="Garamond" w:hAnsi="Garamond" w:cstheme="majorBidi"/>
          <w:color w:val="0D0D0D" w:themeColor="text1" w:themeTint="F2"/>
        </w:rPr>
        <w:t>nxitjes së punësimit</w:t>
      </w:r>
      <w:r w:rsidRPr="00770F9D">
        <w:rPr>
          <w:rFonts w:ascii="Garamond" w:hAnsi="Garamond" w:cstheme="majorBidi"/>
          <w:color w:val="0D0D0D" w:themeColor="text1" w:themeTint="F2"/>
        </w:rPr>
        <w:t>, përfshirë ato për situatën COVID-19, kanë për qëllim që të arrihet një përgjigje më e mirë ndaj nevojave të punëkërkuesve të papunë, veçanërisht atyre më të cenueshëm</w:t>
      </w:r>
      <w:r w:rsidR="00694FC3"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duke harmonizuar ndërveprimet dhe ndërhyrjet e AKPA</w:t>
      </w:r>
      <w:r w:rsidR="00694FC3"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s me Shërbimin Social Shtetëror dhe autoriteteve lokale. </w:t>
      </w:r>
    </w:p>
    <w:p w14:paraId="776F69F3" w14:textId="21DEE56A" w:rsidR="003C4E4F" w:rsidRPr="00770F9D" w:rsidRDefault="003C4E4F"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Finalizimi i sistemit të informacionit të AKPA</w:t>
      </w:r>
      <w:r w:rsidR="00D26098" w:rsidRPr="00770F9D">
        <w:rPr>
          <w:rFonts w:ascii="Garamond" w:hAnsi="Garamond" w:cstheme="majorBidi"/>
          <w:color w:val="0D0D0D" w:themeColor="text1" w:themeTint="F2"/>
        </w:rPr>
        <w:t>-</w:t>
      </w:r>
      <w:r w:rsidRPr="00770F9D">
        <w:rPr>
          <w:rFonts w:ascii="Garamond" w:hAnsi="Garamond" w:cstheme="majorBidi"/>
          <w:color w:val="0D0D0D" w:themeColor="text1" w:themeTint="F2"/>
        </w:rPr>
        <w:t>s dhe zhvillimi i planeve individuale të punësimit janë në zbatim. Operacionalizimi i funksioneve të AKPA</w:t>
      </w:r>
      <w:r w:rsidR="00D26098" w:rsidRPr="00770F9D">
        <w:rPr>
          <w:rFonts w:ascii="Garamond" w:hAnsi="Garamond" w:cstheme="majorBidi"/>
          <w:color w:val="0D0D0D" w:themeColor="text1" w:themeTint="F2"/>
        </w:rPr>
        <w:t>-</w:t>
      </w:r>
      <w:r w:rsidRPr="00770F9D">
        <w:rPr>
          <w:rFonts w:ascii="Garamond" w:hAnsi="Garamond" w:cstheme="majorBidi"/>
          <w:color w:val="0D0D0D" w:themeColor="text1" w:themeTint="F2"/>
        </w:rPr>
        <w:t>s dhe mbështetja e kapaciteteve për stafin e AKPA</w:t>
      </w:r>
      <w:r w:rsidR="00D26098" w:rsidRPr="00770F9D">
        <w:rPr>
          <w:rFonts w:ascii="Garamond" w:hAnsi="Garamond" w:cstheme="majorBidi"/>
          <w:color w:val="0D0D0D" w:themeColor="text1" w:themeTint="F2"/>
        </w:rPr>
        <w:t>-</w:t>
      </w:r>
      <w:r w:rsidRPr="00770F9D">
        <w:rPr>
          <w:rFonts w:ascii="Garamond" w:hAnsi="Garamond" w:cstheme="majorBidi"/>
          <w:color w:val="0D0D0D" w:themeColor="text1" w:themeTint="F2"/>
        </w:rPr>
        <w:t>s në të gjitha nivelet ka vazhduar.</w:t>
      </w:r>
    </w:p>
    <w:p w14:paraId="084074F5" w14:textId="1335A0DA" w:rsidR="003C4E4F" w:rsidRPr="00770F9D" w:rsidRDefault="003C4E4F" w:rsidP="003F46E1">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Kanë filluar përgatitjet për zbatimin e </w:t>
      </w:r>
      <w:r w:rsidR="00B101FA" w:rsidRPr="00770F9D">
        <w:rPr>
          <w:rFonts w:ascii="Garamond" w:hAnsi="Garamond" w:cstheme="majorBidi"/>
          <w:color w:val="0D0D0D" w:themeColor="text1" w:themeTint="F2"/>
        </w:rPr>
        <w:t xml:space="preserve">Skemës </w:t>
      </w:r>
      <w:r w:rsidR="00D26098" w:rsidRPr="00770F9D">
        <w:rPr>
          <w:rFonts w:ascii="Garamond" w:hAnsi="Garamond" w:cstheme="majorBidi"/>
          <w:color w:val="0D0D0D" w:themeColor="text1" w:themeTint="F2"/>
        </w:rPr>
        <w:t xml:space="preserve">së </w:t>
      </w:r>
      <w:r w:rsidR="00B101FA" w:rsidRPr="00770F9D">
        <w:rPr>
          <w:rFonts w:ascii="Garamond" w:hAnsi="Garamond" w:cstheme="majorBidi"/>
          <w:color w:val="0D0D0D" w:themeColor="text1" w:themeTint="F2"/>
        </w:rPr>
        <w:t>Garancisë Rinore</w:t>
      </w:r>
      <w:r w:rsidRPr="00770F9D">
        <w:rPr>
          <w:rFonts w:ascii="Garamond" w:hAnsi="Garamond" w:cstheme="majorBidi"/>
          <w:color w:val="0D0D0D" w:themeColor="text1" w:themeTint="F2"/>
        </w:rPr>
        <w:t>, bazuar në modelin e BE-së, për të ndihmuar të rinjtë 15</w:t>
      </w:r>
      <w:r w:rsidR="00D26098" w:rsidRPr="00770F9D">
        <w:rPr>
          <w:rFonts w:ascii="Garamond" w:hAnsi="Garamond"/>
          <w:color w:val="0D0D0D"/>
        </w:rPr>
        <w:t>–</w:t>
      </w:r>
      <w:r w:rsidRPr="00770F9D">
        <w:rPr>
          <w:rFonts w:ascii="Garamond" w:hAnsi="Garamond" w:cstheme="majorBidi"/>
          <w:color w:val="0D0D0D" w:themeColor="text1" w:themeTint="F2"/>
        </w:rPr>
        <w:t>29 vjeç të cilët nuk janë as në punësim arsim apo trajnim (NEET)</w:t>
      </w:r>
      <w:r w:rsidR="00D26098"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 xml:space="preserve">të integrohen në tregun e punës. Plani i </w:t>
      </w:r>
      <w:r w:rsidR="00D26098" w:rsidRPr="00770F9D">
        <w:rPr>
          <w:rFonts w:ascii="Garamond" w:hAnsi="Garamond" w:cstheme="majorBidi"/>
          <w:color w:val="0D0D0D" w:themeColor="text1" w:themeTint="F2"/>
        </w:rPr>
        <w:t xml:space="preserve">zbatimit të skemës së garancisë rinore </w:t>
      </w:r>
      <w:r w:rsidRPr="00770F9D">
        <w:rPr>
          <w:rFonts w:ascii="Garamond" w:hAnsi="Garamond" w:cstheme="majorBidi"/>
          <w:color w:val="0D0D0D" w:themeColor="text1" w:themeTint="F2"/>
        </w:rPr>
        <w:t>është finalizuar dhe pritet të miratohet së shpejti. NAES po përgatit shërbimet e saj të punësimit për pilotimin që do të fillojë në vitin 2023. Me asistencën teknike të financuar nga BE</w:t>
      </w:r>
      <w:r w:rsidR="00D26098" w:rsidRPr="00770F9D">
        <w:rPr>
          <w:rFonts w:ascii="Garamond" w:hAnsi="Garamond" w:cstheme="majorBidi"/>
          <w:color w:val="0D0D0D" w:themeColor="text1" w:themeTint="F2"/>
        </w:rPr>
        <w:t>-ja</w:t>
      </w:r>
      <w:r w:rsidRPr="00770F9D">
        <w:rPr>
          <w:rFonts w:ascii="Garamond" w:hAnsi="Garamond" w:cstheme="majorBidi"/>
          <w:color w:val="0D0D0D" w:themeColor="text1" w:themeTint="F2"/>
        </w:rPr>
        <w:t>, Shqipëria ka kryer një hartëzim të NEET</w:t>
      </w:r>
      <w:r w:rsidR="00D26098" w:rsidRPr="00770F9D">
        <w:rPr>
          <w:rFonts w:ascii="Garamond" w:hAnsi="Garamond" w:cstheme="majorBidi"/>
          <w:color w:val="0D0D0D" w:themeColor="text1" w:themeTint="F2"/>
        </w:rPr>
        <w:t>-së</w:t>
      </w:r>
      <w:r w:rsidRPr="00770F9D">
        <w:rPr>
          <w:rFonts w:ascii="Garamond" w:hAnsi="Garamond" w:cstheme="majorBidi"/>
          <w:color w:val="0D0D0D" w:themeColor="text1" w:themeTint="F2"/>
        </w:rPr>
        <w:t xml:space="preserve"> dhe një rishikim të kuadrit ligjor. Një grup ndërinstitucional dhe një grup ekspertësh teknikë u ngritën me urdhër të Kryeministrit dhe përgatitën Planin e Zbatimit të Garancisë Rinore. Pak më shumë se 10% e të rinjve NEET të moshës 15</w:t>
      </w:r>
      <w:r w:rsidR="00D26098" w:rsidRPr="00770F9D">
        <w:rPr>
          <w:rFonts w:ascii="Garamond" w:hAnsi="Garamond"/>
          <w:color w:val="0D0D0D"/>
        </w:rPr>
        <w:t>–</w:t>
      </w:r>
      <w:r w:rsidRPr="00770F9D">
        <w:rPr>
          <w:rFonts w:ascii="Garamond" w:hAnsi="Garamond" w:cstheme="majorBidi"/>
          <w:color w:val="0D0D0D" w:themeColor="text1" w:themeTint="F2"/>
        </w:rPr>
        <w:t>29 vjeç (18 142 nga 175 209) u regjistruan si punëkërkues në tremujorin e tretë të 2021.</w:t>
      </w:r>
    </w:p>
    <w:p w14:paraId="70DC7605" w14:textId="0B687ED3" w:rsidR="003C4E4F" w:rsidRPr="00770F9D" w:rsidRDefault="003C4E4F"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AKPA ka ndërtuar një plan të qëndrueshëm për të adresuar kategoritë vulnerabël që janë në bazën e të dhënave të tij. Gjatë planifikimit të treguesve vjetorë që lidhen me punësimin, programet e nxitjes së punësimit dhe kurset e formimit profesional në secilin prej treguesve, janë vendosur objektiva për përfshirjen e kategorive të veçanta në këto shërbime. Kjo siguron trajtimin e planifikuar të kategorive vulnerabël. Sistemi i ri i punësimit ka mundësuar edhe integrimin me sisteme të tjera</w:t>
      </w:r>
      <w:r w:rsidR="00B101FA"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ndihma ekonomike dhe personat me aftësi të kufizuara, gjë që siguron ndërveprimin e të dhënave dhe lehtësimin e procedurave.</w:t>
      </w:r>
    </w:p>
    <w:p w14:paraId="7AA92312" w14:textId="2CFF0DDA" w:rsidR="009D37E3" w:rsidRPr="00770F9D" w:rsidRDefault="009D37E3" w:rsidP="003F46E1">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a</w:t>
      </w:r>
      <w:r w:rsidR="00B101FA" w:rsidRPr="00770F9D">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Aktivitete të planifikuara në 2023</w:t>
      </w:r>
    </w:p>
    <w:p w14:paraId="45B375FE" w14:textId="0EA022EC" w:rsidR="009D37E3" w:rsidRPr="00770F9D" w:rsidRDefault="009D37E3" w:rsidP="003F46E1">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a</w:t>
      </w:r>
      <w:r w:rsidR="00B101FA"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Zbatimi i programeve të nxitjes së punësimit me fokus grupet më të rrezikuara;</w:t>
      </w:r>
    </w:p>
    <w:p w14:paraId="10C26AAB" w14:textId="0D119D50" w:rsidR="009D37E3" w:rsidRPr="00770F9D" w:rsidRDefault="009D37E3" w:rsidP="003F46E1">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b</w:t>
      </w:r>
      <w:r w:rsidR="00B101FA"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Pilotimi Skemës së Garancisë Rinore që synon papunësinë e të rinjve veçanërisht NEET</w:t>
      </w:r>
      <w:r w:rsidR="000D1C96" w:rsidRPr="00770F9D">
        <w:rPr>
          <w:rFonts w:ascii="Garamond" w:hAnsi="Garamond"/>
          <w:color w:val="0D0D0D"/>
          <w:sz w:val="24"/>
          <w:szCs w:val="24"/>
          <w:lang w:val="sq-AL"/>
        </w:rPr>
        <w:t>-ja</w:t>
      </w:r>
      <w:r w:rsidRPr="00770F9D">
        <w:rPr>
          <w:rFonts w:ascii="Garamond" w:hAnsi="Garamond"/>
          <w:color w:val="0D0D0D"/>
          <w:sz w:val="24"/>
          <w:szCs w:val="24"/>
          <w:lang w:val="sq-AL"/>
        </w:rPr>
        <w:t>;</w:t>
      </w:r>
    </w:p>
    <w:p w14:paraId="0D82C9FD" w14:textId="0566A441" w:rsidR="009D37E3" w:rsidRPr="00770F9D" w:rsidRDefault="009D37E3" w:rsidP="003F46E1">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c</w:t>
      </w:r>
      <w:r w:rsidR="00B101FA"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Zbatimi i programeve të nxitjes së punësimit që synojnë mbështetjen e grupeve më vulnerabël dhe të rrezikuara</w:t>
      </w:r>
      <w:r w:rsidR="000D1C96" w:rsidRPr="00770F9D">
        <w:rPr>
          <w:rFonts w:ascii="Garamond" w:hAnsi="Garamond"/>
          <w:color w:val="0D0D0D"/>
          <w:sz w:val="24"/>
          <w:szCs w:val="24"/>
          <w:lang w:val="sq-AL"/>
        </w:rPr>
        <w:t>,</w:t>
      </w:r>
      <w:r w:rsidRPr="00770F9D">
        <w:rPr>
          <w:rFonts w:ascii="Garamond" w:hAnsi="Garamond"/>
          <w:color w:val="0D0D0D"/>
          <w:sz w:val="24"/>
          <w:szCs w:val="24"/>
          <w:lang w:val="sq-AL"/>
        </w:rPr>
        <w:t xml:space="preserve"> si dhe aktivizimin dhe numrin e punëkërkuesve të regjistruar të papunë</w:t>
      </w:r>
      <w:r w:rsidR="000D1C96" w:rsidRPr="00770F9D">
        <w:rPr>
          <w:rFonts w:ascii="Garamond" w:hAnsi="Garamond"/>
          <w:color w:val="0D0D0D"/>
          <w:sz w:val="24"/>
          <w:szCs w:val="24"/>
          <w:lang w:val="sq-AL"/>
        </w:rPr>
        <w:t>,</w:t>
      </w:r>
      <w:r w:rsidRPr="00770F9D">
        <w:rPr>
          <w:rFonts w:ascii="Garamond" w:hAnsi="Garamond"/>
          <w:color w:val="0D0D0D"/>
          <w:sz w:val="24"/>
          <w:szCs w:val="24"/>
          <w:lang w:val="sq-AL"/>
        </w:rPr>
        <w:t xml:space="preserve"> që përfitojnë nga programet e nxitjes së punësimit synohet të arrijë në 7.2% të punëkërkuesve të papunë të regjistruar;</w:t>
      </w:r>
    </w:p>
    <w:p w14:paraId="6D8B944C" w14:textId="1C60FE8E" w:rsidR="009D37E3" w:rsidRPr="00770F9D" w:rsidRDefault="009D37E3" w:rsidP="003F46E1">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d</w:t>
      </w:r>
      <w:r w:rsidR="00B101FA"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Zbatimi i marrëveshjeve të nënshkruara me pushtetin vendor në zonat e pambuluara;</w:t>
      </w:r>
    </w:p>
    <w:p w14:paraId="1EC519F4" w14:textId="4713F0FD" w:rsidR="009D37E3" w:rsidRPr="00770F9D" w:rsidRDefault="009D37E3" w:rsidP="003F46E1">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e</w:t>
      </w:r>
      <w:r w:rsidR="00B101FA"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Përmirësimi i cilësisë dhe efektivitetit të institucioneve dhe shërbimeve të tregut të punës nëpërmjet trajnimit të vazhdueshëm të stafit dhe matja e kënaqësisë së klientëve për shërbimet e punësimit;</w:t>
      </w:r>
    </w:p>
    <w:p w14:paraId="0A816050" w14:textId="591626D5" w:rsidR="009D37E3" w:rsidRPr="00770F9D" w:rsidRDefault="009D37E3" w:rsidP="003F46E1">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f</w:t>
      </w:r>
      <w:r w:rsidR="00B101FA"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Zhvillimi dhe publikimi i informacionit dhe analiza cilësore të tregut të punës dhe përmirësimi i marrëdhënieve me publikun;</w:t>
      </w:r>
    </w:p>
    <w:p w14:paraId="20589928" w14:textId="3A42AB58" w:rsidR="009D37E3" w:rsidRPr="00770F9D" w:rsidRDefault="009D37E3" w:rsidP="003F46E1">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g</w:t>
      </w:r>
      <w:r w:rsidR="00B101FA"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Kryerja e një vlerësim për të matur ndikimin e zbatimit të programeve të nxitjes së punësimit.</w:t>
      </w:r>
    </w:p>
    <w:p w14:paraId="01F860F0" w14:textId="0A7CBF3C" w:rsidR="009D37E3" w:rsidRPr="00770F9D" w:rsidRDefault="009D37E3" w:rsidP="003F46E1">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b</w:t>
      </w:r>
      <w:r w:rsidR="00B101FA" w:rsidRPr="00770F9D">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Aktivitete të planifikuara në 2024</w:t>
      </w:r>
    </w:p>
    <w:p w14:paraId="30AB7CA7" w14:textId="03838CF4" w:rsidR="009D37E3" w:rsidRPr="00770F9D" w:rsidRDefault="009D37E3" w:rsidP="003F46E1">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a</w:t>
      </w:r>
      <w:r w:rsidR="00B101FA"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Përmirësimi i cilësisë dhe efektivitetit të institucioneve dhe shërbimeve të tregut të punës, nëpërmjet rritjes së performancës së stafit përmes trajnimit të vazhdueshëm të stafit, dhe matja e kënaqësisë së klientëve për shërbimet e punësimit;</w:t>
      </w:r>
    </w:p>
    <w:p w14:paraId="3DD9E59E" w14:textId="290C84FE" w:rsidR="009D37E3" w:rsidRPr="00770F9D" w:rsidRDefault="009D37E3" w:rsidP="003F46E1">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b</w:t>
      </w:r>
      <w:r w:rsidR="000D1C96"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Zbatimi i Skemës së Garancisë Rinore;</w:t>
      </w:r>
    </w:p>
    <w:p w14:paraId="6B4AABCC" w14:textId="4D9A647F" w:rsidR="009D37E3" w:rsidRPr="00770F9D" w:rsidRDefault="009D37E3" w:rsidP="003F46E1">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c</w:t>
      </w:r>
      <w:r w:rsidR="000D1C96"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Zbatimi i programeve të nxitjes së punësimit që synojnë mbështetjen e grupeve më vulnerabël dhe aktivizimin dhe numrin e punëkërkuesve të regjistruar të papunë që përfitojnë nga programet e nxitjes së punësimit synohet të arrijë në 7.2% të punëkërkuesve të papunë të regjistruar;</w:t>
      </w:r>
    </w:p>
    <w:p w14:paraId="2AADA34D" w14:textId="772C54AB" w:rsidR="009D37E3" w:rsidRPr="00770F9D" w:rsidRDefault="009D37E3" w:rsidP="003F46E1">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d</w:t>
      </w:r>
      <w:r w:rsidR="000D1C96" w:rsidRPr="00770F9D">
        <w:rPr>
          <w:rFonts w:ascii="Garamond" w:hAnsi="Garamond"/>
          <w:color w:val="0D0D0D"/>
          <w:sz w:val="24"/>
          <w:szCs w:val="24"/>
          <w:lang w:val="sq-AL"/>
        </w:rPr>
        <w:t xml:space="preserve">) </w:t>
      </w:r>
      <w:r w:rsidRPr="00770F9D">
        <w:rPr>
          <w:rFonts w:ascii="Garamond" w:hAnsi="Garamond"/>
          <w:color w:val="0D0D0D"/>
          <w:sz w:val="24"/>
          <w:szCs w:val="24"/>
          <w:lang w:val="sq-AL"/>
        </w:rPr>
        <w:t>Vlerësimi i ndikimit të programeve të nxitjes së punësimit.</w:t>
      </w:r>
    </w:p>
    <w:p w14:paraId="625E93EB" w14:textId="75F29ADF" w:rsidR="009D37E3" w:rsidRPr="00770F9D" w:rsidRDefault="009D37E3" w:rsidP="003F46E1">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c</w:t>
      </w:r>
      <w:r w:rsidR="000D1C96" w:rsidRPr="00770F9D">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Aktivitete të planifikuara në 2025</w:t>
      </w:r>
    </w:p>
    <w:p w14:paraId="615D7B21" w14:textId="370E45F0" w:rsidR="009D37E3" w:rsidRPr="00770F9D" w:rsidRDefault="009D37E3" w:rsidP="003F46E1">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a</w:t>
      </w:r>
      <w:r w:rsidR="000D1C96" w:rsidRPr="00770F9D">
        <w:rPr>
          <w:rFonts w:ascii="Garamond" w:hAnsi="Garamond"/>
          <w:color w:val="0D0D0D"/>
          <w:sz w:val="24"/>
          <w:szCs w:val="24"/>
          <w:lang w:val="sq-AL"/>
        </w:rPr>
        <w:t xml:space="preserve">) </w:t>
      </w:r>
      <w:r w:rsidRPr="00770F9D">
        <w:rPr>
          <w:rFonts w:ascii="Garamond" w:hAnsi="Garamond"/>
          <w:color w:val="0D0D0D"/>
          <w:sz w:val="24"/>
          <w:szCs w:val="24"/>
          <w:lang w:val="sq-AL"/>
        </w:rPr>
        <w:t>Përmirësimi i cilësisë dhe efektivitetit të institucioneve dhe shërbimeve të tregut të punës, nëpërmjet rritjes së performancës së stafit përmes trajnimit të vazhdueshëm të stafit, dhe matja e kënaqësisë së klientëve për shërbimet e punësimit;</w:t>
      </w:r>
    </w:p>
    <w:p w14:paraId="5A499C3E" w14:textId="15E3270C" w:rsidR="009D37E3" w:rsidRPr="00770F9D" w:rsidRDefault="009D37E3" w:rsidP="003F46E1">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b</w:t>
      </w:r>
      <w:r w:rsidR="000D1C96"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Zbatimi i Skemës së Garancisë për Rininë</w:t>
      </w:r>
      <w:r w:rsidR="00ED1F8D" w:rsidRPr="00770F9D">
        <w:rPr>
          <w:rFonts w:ascii="Garamond" w:hAnsi="Garamond"/>
          <w:color w:val="0D0D0D"/>
          <w:sz w:val="24"/>
          <w:szCs w:val="24"/>
          <w:lang w:val="sq-AL"/>
        </w:rPr>
        <w:t>;</w:t>
      </w:r>
    </w:p>
    <w:p w14:paraId="54FBEF02" w14:textId="75AACC00" w:rsidR="009D37E3" w:rsidRPr="00770F9D" w:rsidRDefault="009D37E3" w:rsidP="003F46E1">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c</w:t>
      </w:r>
      <w:r w:rsidR="000D1C96"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Zbatimi i programeve të nxitjes së punësimit që synojnë mbështetjen e grupeve më vulnerabël dhe aktivizimin dhe numrin e punëkërkuesve të regjistruar të papunë që përfitojnë nga programet e nxitjes së punësimit synohet të arrijë në 7.3%</w:t>
      </w:r>
      <w:r w:rsidR="00B06A23" w:rsidRPr="00770F9D">
        <w:rPr>
          <w:rFonts w:ascii="Garamond" w:hAnsi="Garamond"/>
          <w:color w:val="0D0D0D"/>
          <w:sz w:val="24"/>
          <w:szCs w:val="24"/>
          <w:lang w:val="sq-AL"/>
        </w:rPr>
        <w:t>;</w:t>
      </w:r>
    </w:p>
    <w:p w14:paraId="600CFC90" w14:textId="7DAB2630" w:rsidR="009D37E3" w:rsidRPr="00770F9D" w:rsidRDefault="009D37E3" w:rsidP="003F46E1">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d</w:t>
      </w:r>
      <w:r w:rsidR="000D1C96"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Rishikimi i programeve të nxitjes së punësimit bazuar në vlerësimin e ndikimit.</w:t>
      </w:r>
    </w:p>
    <w:p w14:paraId="1774185A" w14:textId="1A0A6ACF" w:rsidR="009D37E3" w:rsidRPr="00770F9D" w:rsidRDefault="00084F56" w:rsidP="003F46E1">
      <w:pPr>
        <w:pStyle w:val="Heading6"/>
        <w:numPr>
          <w:ilvl w:val="0"/>
          <w:numId w:val="0"/>
        </w:numPr>
        <w:ind w:firstLine="284"/>
        <w:rPr>
          <w:rFonts w:ascii="Garamond" w:hAnsi="Garamond"/>
          <w:color w:val="0D0D0D"/>
          <w:u w:val="none"/>
        </w:rPr>
      </w:pPr>
      <w:r w:rsidRPr="00770F9D">
        <w:rPr>
          <w:rFonts w:ascii="Garamond" w:hAnsi="Garamond"/>
          <w:color w:val="0D0D0D"/>
          <w:u w:val="none"/>
        </w:rPr>
        <w:t>2</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Treguesit e rezultateve</w:t>
      </w:r>
    </w:p>
    <w:tbl>
      <w:tblPr>
        <w:tblStyle w:val="TableGrid2"/>
        <w:tblW w:w="5000" w:type="pct"/>
        <w:jc w:val="center"/>
        <w:tblLook w:val="04A0" w:firstRow="1" w:lastRow="0" w:firstColumn="1" w:lastColumn="0" w:noHBand="0" w:noVBand="1"/>
      </w:tblPr>
      <w:tblGrid>
        <w:gridCol w:w="5646"/>
        <w:gridCol w:w="1005"/>
        <w:gridCol w:w="1380"/>
        <w:gridCol w:w="1256"/>
      </w:tblGrid>
      <w:tr w:rsidR="003C4E4F" w:rsidRPr="00770F9D" w14:paraId="5A473C35" w14:textId="77777777" w:rsidTr="00B06A23">
        <w:trPr>
          <w:trHeight w:val="144"/>
          <w:jc w:val="center"/>
        </w:trPr>
        <w:tc>
          <w:tcPr>
            <w:tcW w:w="3040" w:type="pct"/>
            <w:vAlign w:val="center"/>
          </w:tcPr>
          <w:p w14:paraId="5E634E53" w14:textId="77777777" w:rsidR="003C4E4F" w:rsidRPr="00770F9D" w:rsidRDefault="003C4E4F" w:rsidP="00B06A23">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Tregues</w:t>
            </w:r>
          </w:p>
        </w:tc>
        <w:tc>
          <w:tcPr>
            <w:tcW w:w="541" w:type="pct"/>
            <w:vAlign w:val="center"/>
          </w:tcPr>
          <w:p w14:paraId="22C0AC0F" w14:textId="77777777" w:rsidR="003C4E4F" w:rsidRPr="00770F9D" w:rsidRDefault="003C4E4F" w:rsidP="00B06A23">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Bazë (2021)</w:t>
            </w:r>
          </w:p>
        </w:tc>
        <w:tc>
          <w:tcPr>
            <w:tcW w:w="743" w:type="pct"/>
            <w:vAlign w:val="center"/>
          </w:tcPr>
          <w:p w14:paraId="5495701F" w14:textId="77777777" w:rsidR="003C4E4F" w:rsidRPr="00770F9D" w:rsidRDefault="003C4E4F" w:rsidP="00B06A23">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I ndërmjetëm (202</w:t>
            </w:r>
            <w:r w:rsidR="0042137D" w:rsidRPr="00770F9D">
              <w:rPr>
                <w:rFonts w:ascii="Garamond" w:hAnsi="Garamond" w:cstheme="majorBidi"/>
                <w:b/>
                <w:bCs/>
                <w:color w:val="0D0D0D" w:themeColor="text1" w:themeTint="F2"/>
                <w:sz w:val="20"/>
                <w:szCs w:val="20"/>
              </w:rPr>
              <w:t>4</w:t>
            </w:r>
            <w:r w:rsidRPr="00770F9D">
              <w:rPr>
                <w:rFonts w:ascii="Garamond" w:hAnsi="Garamond" w:cstheme="majorBidi"/>
                <w:b/>
                <w:bCs/>
                <w:color w:val="0D0D0D" w:themeColor="text1" w:themeTint="F2"/>
                <w:sz w:val="20"/>
                <w:szCs w:val="20"/>
              </w:rPr>
              <w:t>)</w:t>
            </w:r>
          </w:p>
        </w:tc>
        <w:tc>
          <w:tcPr>
            <w:tcW w:w="676" w:type="pct"/>
            <w:vAlign w:val="center"/>
          </w:tcPr>
          <w:p w14:paraId="03FB49B4" w14:textId="77777777" w:rsidR="003C4E4F" w:rsidRPr="00770F9D" w:rsidRDefault="003C4E4F" w:rsidP="00B06A23">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Final (202</w:t>
            </w:r>
            <w:r w:rsidR="0042137D" w:rsidRPr="00770F9D">
              <w:rPr>
                <w:rFonts w:ascii="Garamond" w:hAnsi="Garamond" w:cstheme="majorBidi"/>
                <w:b/>
                <w:bCs/>
                <w:color w:val="0D0D0D" w:themeColor="text1" w:themeTint="F2"/>
                <w:sz w:val="20"/>
                <w:szCs w:val="20"/>
              </w:rPr>
              <w:t>5</w:t>
            </w:r>
            <w:r w:rsidRPr="00770F9D">
              <w:rPr>
                <w:rFonts w:ascii="Garamond" w:hAnsi="Garamond" w:cstheme="majorBidi"/>
                <w:b/>
                <w:bCs/>
                <w:color w:val="0D0D0D" w:themeColor="text1" w:themeTint="F2"/>
                <w:sz w:val="20"/>
                <w:szCs w:val="20"/>
              </w:rPr>
              <w:t>)</w:t>
            </w:r>
          </w:p>
        </w:tc>
      </w:tr>
      <w:tr w:rsidR="002752DE" w:rsidRPr="00770F9D" w14:paraId="722EA282" w14:textId="77777777" w:rsidTr="00B06A23">
        <w:trPr>
          <w:trHeight w:val="144"/>
          <w:jc w:val="center"/>
        </w:trPr>
        <w:tc>
          <w:tcPr>
            <w:tcW w:w="3040" w:type="pct"/>
          </w:tcPr>
          <w:p w14:paraId="79DD9178" w14:textId="77777777" w:rsidR="002752DE" w:rsidRPr="00770F9D" w:rsidRDefault="002752DE" w:rsidP="00452AB0">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Niveli i punësimit (%) e forcave të punës [15-64]</w:t>
            </w:r>
          </w:p>
        </w:tc>
        <w:tc>
          <w:tcPr>
            <w:tcW w:w="541" w:type="pct"/>
          </w:tcPr>
          <w:p w14:paraId="4422AF17" w14:textId="77777777" w:rsidR="002752DE" w:rsidRPr="00770F9D" w:rsidRDefault="002752DE" w:rsidP="00B06A23">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60.9</w:t>
            </w:r>
          </w:p>
        </w:tc>
        <w:tc>
          <w:tcPr>
            <w:tcW w:w="743" w:type="pct"/>
          </w:tcPr>
          <w:p w14:paraId="01A3E0FF" w14:textId="77777777" w:rsidR="002752DE" w:rsidRPr="00770F9D" w:rsidRDefault="002752DE" w:rsidP="00B06A23">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62.0</w:t>
            </w:r>
          </w:p>
        </w:tc>
        <w:tc>
          <w:tcPr>
            <w:tcW w:w="676" w:type="pct"/>
          </w:tcPr>
          <w:p w14:paraId="06FB4FBC" w14:textId="77777777" w:rsidR="002752DE" w:rsidRPr="00770F9D" w:rsidRDefault="002752DE" w:rsidP="00B06A23">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64.5</w:t>
            </w:r>
          </w:p>
        </w:tc>
      </w:tr>
      <w:tr w:rsidR="002752DE" w:rsidRPr="00770F9D" w14:paraId="7143E433" w14:textId="77777777" w:rsidTr="00B06A23">
        <w:trPr>
          <w:trHeight w:val="144"/>
          <w:jc w:val="center"/>
        </w:trPr>
        <w:tc>
          <w:tcPr>
            <w:tcW w:w="3040" w:type="pct"/>
          </w:tcPr>
          <w:p w14:paraId="021D37F3" w14:textId="77777777" w:rsidR="002752DE" w:rsidRPr="00770F9D" w:rsidRDefault="002752DE" w:rsidP="00452AB0">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Niveli i papunësisë së të rinjve (%) e forcave të punës [15-24]</w:t>
            </w:r>
          </w:p>
        </w:tc>
        <w:tc>
          <w:tcPr>
            <w:tcW w:w="541" w:type="pct"/>
          </w:tcPr>
          <w:p w14:paraId="35F81190" w14:textId="77777777" w:rsidR="002752DE" w:rsidRPr="00770F9D" w:rsidRDefault="002752DE" w:rsidP="00B06A23">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26.1</w:t>
            </w:r>
          </w:p>
        </w:tc>
        <w:tc>
          <w:tcPr>
            <w:tcW w:w="743" w:type="pct"/>
          </w:tcPr>
          <w:p w14:paraId="08C68235" w14:textId="77777777" w:rsidR="002752DE" w:rsidRPr="00770F9D" w:rsidRDefault="002752DE" w:rsidP="00B06A23">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25.8</w:t>
            </w:r>
          </w:p>
        </w:tc>
        <w:tc>
          <w:tcPr>
            <w:tcW w:w="676" w:type="pct"/>
          </w:tcPr>
          <w:p w14:paraId="427DDAE9" w14:textId="77777777" w:rsidR="002752DE" w:rsidRPr="00770F9D" w:rsidRDefault="002752DE" w:rsidP="00B06A23">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24.8</w:t>
            </w:r>
          </w:p>
        </w:tc>
      </w:tr>
      <w:tr w:rsidR="002752DE" w:rsidRPr="00770F9D" w14:paraId="2BB3111D" w14:textId="77777777" w:rsidTr="00B06A23">
        <w:trPr>
          <w:trHeight w:val="144"/>
          <w:jc w:val="center"/>
        </w:trPr>
        <w:tc>
          <w:tcPr>
            <w:tcW w:w="3040" w:type="pct"/>
          </w:tcPr>
          <w:p w14:paraId="54966446" w14:textId="77777777" w:rsidR="002752DE" w:rsidRPr="00770F9D" w:rsidRDefault="002752DE" w:rsidP="00452AB0">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Niveli i punësimit(%) i individëve vulnerabël ndaj totalit të të punësuarve nga programet e nxitjes së punësimit</w:t>
            </w:r>
          </w:p>
        </w:tc>
        <w:tc>
          <w:tcPr>
            <w:tcW w:w="541" w:type="pct"/>
          </w:tcPr>
          <w:p w14:paraId="2891B310" w14:textId="77777777" w:rsidR="002752DE" w:rsidRPr="00770F9D" w:rsidRDefault="002752DE" w:rsidP="00B06A23">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Viti bazë 2022</w:t>
            </w:r>
          </w:p>
        </w:tc>
        <w:tc>
          <w:tcPr>
            <w:tcW w:w="743" w:type="pct"/>
          </w:tcPr>
          <w:p w14:paraId="788F3A49" w14:textId="77777777" w:rsidR="002752DE" w:rsidRPr="00770F9D" w:rsidRDefault="002752DE" w:rsidP="00B06A23">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Viti bazë 2022 +1pp</w:t>
            </w:r>
          </w:p>
        </w:tc>
        <w:tc>
          <w:tcPr>
            <w:tcW w:w="676" w:type="pct"/>
          </w:tcPr>
          <w:p w14:paraId="29BBFBAE" w14:textId="77777777" w:rsidR="002752DE" w:rsidRPr="00770F9D" w:rsidRDefault="002752DE" w:rsidP="00B06A23">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Viti bazë 2022 +2 pp</w:t>
            </w:r>
          </w:p>
        </w:tc>
      </w:tr>
      <w:tr w:rsidR="002752DE" w:rsidRPr="00770F9D" w14:paraId="6E4A50C6" w14:textId="77777777" w:rsidTr="00B06A23">
        <w:trPr>
          <w:trHeight w:val="144"/>
          <w:jc w:val="center"/>
        </w:trPr>
        <w:tc>
          <w:tcPr>
            <w:tcW w:w="3040" w:type="pct"/>
          </w:tcPr>
          <w:p w14:paraId="0FA44348" w14:textId="77777777" w:rsidR="002752DE" w:rsidRPr="00770F9D" w:rsidRDefault="002752DE" w:rsidP="00452AB0">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xml:space="preserve">Niveli i punësimit (%) të grave </w:t>
            </w:r>
          </w:p>
        </w:tc>
        <w:tc>
          <w:tcPr>
            <w:tcW w:w="541" w:type="pct"/>
          </w:tcPr>
          <w:p w14:paraId="2BB5C80C" w14:textId="77777777" w:rsidR="002752DE" w:rsidRPr="00770F9D" w:rsidRDefault="002752DE" w:rsidP="00B06A23">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53</w:t>
            </w:r>
            <w:r w:rsidR="00D9597B" w:rsidRPr="00770F9D">
              <w:rPr>
                <w:rFonts w:ascii="Garamond" w:hAnsi="Garamond" w:cstheme="majorBidi"/>
                <w:color w:val="0D0D0D" w:themeColor="text1" w:themeTint="F2"/>
                <w:sz w:val="20"/>
                <w:szCs w:val="20"/>
              </w:rPr>
              <w:t>.</w:t>
            </w:r>
            <w:r w:rsidRPr="00770F9D">
              <w:rPr>
                <w:rFonts w:ascii="Garamond" w:hAnsi="Garamond" w:cstheme="majorBidi"/>
                <w:color w:val="0D0D0D" w:themeColor="text1" w:themeTint="F2"/>
                <w:sz w:val="20"/>
                <w:szCs w:val="20"/>
              </w:rPr>
              <w:t>8</w:t>
            </w:r>
          </w:p>
        </w:tc>
        <w:tc>
          <w:tcPr>
            <w:tcW w:w="743" w:type="pct"/>
          </w:tcPr>
          <w:p w14:paraId="77C8323F" w14:textId="77777777" w:rsidR="002752DE" w:rsidRPr="00770F9D" w:rsidRDefault="002752DE" w:rsidP="00B06A23">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54.1</w:t>
            </w:r>
          </w:p>
        </w:tc>
        <w:tc>
          <w:tcPr>
            <w:tcW w:w="676" w:type="pct"/>
          </w:tcPr>
          <w:p w14:paraId="563C9C70" w14:textId="77777777" w:rsidR="002752DE" w:rsidRPr="00770F9D" w:rsidRDefault="002752DE" w:rsidP="00B06A23">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54.4</w:t>
            </w:r>
          </w:p>
        </w:tc>
      </w:tr>
    </w:tbl>
    <w:p w14:paraId="701F4896" w14:textId="4DD75396" w:rsidR="00DB22AB" w:rsidRPr="00770F9D" w:rsidRDefault="00452AB0" w:rsidP="003F46E1">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 xml:space="preserve">3. </w:t>
      </w:r>
      <w:r w:rsidR="00B2062A" w:rsidRPr="00770F9D">
        <w:rPr>
          <w:rFonts w:ascii="Garamond" w:hAnsi="Garamond" w:cstheme="majorBidi"/>
          <w:color w:val="0D0D0D" w:themeColor="text1" w:themeTint="F2"/>
          <w:u w:val="none"/>
        </w:rPr>
        <w:t>Ndikimi i pritshëm në konkurrueshmëri</w:t>
      </w:r>
    </w:p>
    <w:p w14:paraId="7B30A251" w14:textId="34612545" w:rsidR="002752DE" w:rsidRPr="00770F9D" w:rsidRDefault="002752DE"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Masa e reformës synon të përmirësojë punësueshmërinë, aftësitë dhe kualifikimet e punëkërkuesve të papunë; pra rritjen e cilësisë së fuqisë punëtore. Në periudhën afatmesme dhe afatgjatë, masa pritet të ndihmojë në tërheqjen e investimeve të huaja direkte</w:t>
      </w:r>
      <w:r w:rsidR="00B06A23"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pasi fuqia punëtore e kualifikuar i përket faktorit më të rëndësishëm.</w:t>
      </w:r>
    </w:p>
    <w:p w14:paraId="2C9562FF" w14:textId="55FA2279" w:rsidR="00DB22AB" w:rsidRPr="00770F9D" w:rsidRDefault="00452AB0" w:rsidP="00452AB0">
      <w:pPr>
        <w:pStyle w:val="Heading6"/>
        <w:numPr>
          <w:ilvl w:val="0"/>
          <w:numId w:val="0"/>
        </w:numPr>
        <w:snapToGrid w:val="0"/>
        <w:ind w:left="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4</w:t>
      </w:r>
      <w:r w:rsidR="009D37E3"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Kosto</w:t>
      </w:r>
      <w:r w:rsidR="00B06A23" w:rsidRPr="00770F9D">
        <w:rPr>
          <w:rFonts w:ascii="Garamond" w:hAnsi="Garamond" w:cstheme="majorBidi"/>
          <w:color w:val="0D0D0D" w:themeColor="text1" w:themeTint="F2"/>
          <w:u w:val="none"/>
        </w:rPr>
        <w:t>ja</w:t>
      </w:r>
      <w:r w:rsidR="00B2062A" w:rsidRPr="00770F9D">
        <w:rPr>
          <w:rFonts w:ascii="Garamond" w:hAnsi="Garamond" w:cstheme="majorBidi"/>
          <w:color w:val="0D0D0D" w:themeColor="text1" w:themeTint="F2"/>
          <w:u w:val="none"/>
        </w:rPr>
        <w:t xml:space="preserve"> e parashikuar e aktiviteteve dhe burimi i financimit</w:t>
      </w:r>
    </w:p>
    <w:tbl>
      <w:tblPr>
        <w:tblStyle w:val="TableGrid2"/>
        <w:tblW w:w="0" w:type="auto"/>
        <w:jc w:val="center"/>
        <w:tblLook w:val="04A0" w:firstRow="1" w:lastRow="0" w:firstColumn="1" w:lastColumn="0" w:noHBand="0" w:noVBand="1"/>
      </w:tblPr>
      <w:tblGrid>
        <w:gridCol w:w="2637"/>
        <w:gridCol w:w="1330"/>
        <w:gridCol w:w="1330"/>
        <w:gridCol w:w="1526"/>
        <w:gridCol w:w="1232"/>
        <w:gridCol w:w="1232"/>
      </w:tblGrid>
      <w:tr w:rsidR="0030544C" w:rsidRPr="00770F9D" w14:paraId="2D09174E" w14:textId="77777777" w:rsidTr="002E2CC4">
        <w:trPr>
          <w:trHeight w:val="20"/>
          <w:jc w:val="center"/>
        </w:trPr>
        <w:tc>
          <w:tcPr>
            <w:tcW w:w="3064" w:type="dxa"/>
            <w:vMerge w:val="restart"/>
            <w:vAlign w:val="center"/>
            <w:hideMark/>
          </w:tcPr>
          <w:p w14:paraId="7A039BB6" w14:textId="77777777" w:rsidR="0030544C" w:rsidRPr="00770F9D" w:rsidRDefault="0030544C" w:rsidP="002E2CC4">
            <w:pPr>
              <w:snapToGrid w:val="0"/>
              <w:jc w:val="center"/>
              <w:rPr>
                <w:rFonts w:ascii="Garamond" w:eastAsia="Times New Roman" w:hAnsi="Garamond" w:cstheme="majorBidi"/>
                <w:b/>
                <w:color w:val="0D0D0D" w:themeColor="text1" w:themeTint="F2"/>
                <w:sz w:val="20"/>
                <w:szCs w:val="20"/>
              </w:rPr>
            </w:pPr>
          </w:p>
        </w:tc>
        <w:tc>
          <w:tcPr>
            <w:tcW w:w="1363" w:type="dxa"/>
            <w:vAlign w:val="center"/>
            <w:hideMark/>
          </w:tcPr>
          <w:p w14:paraId="77799577" w14:textId="77777777" w:rsidR="0030544C" w:rsidRPr="00770F9D" w:rsidRDefault="0030544C" w:rsidP="002E2CC4">
            <w:pPr>
              <w:snapToGrid w:val="0"/>
              <w:jc w:val="center"/>
              <w:rPr>
                <w:rFonts w:ascii="Garamond" w:hAnsi="Garamond" w:cstheme="majorBidi"/>
                <w:b/>
                <w:color w:val="0D0D0D" w:themeColor="text1" w:themeTint="F2"/>
                <w:sz w:val="20"/>
                <w:szCs w:val="20"/>
              </w:rPr>
            </w:pPr>
            <w:r w:rsidRPr="00770F9D">
              <w:rPr>
                <w:rFonts w:ascii="Garamond" w:hAnsi="Garamond" w:cstheme="majorBidi"/>
                <w:b/>
                <w:color w:val="0D0D0D" w:themeColor="text1" w:themeTint="F2"/>
                <w:sz w:val="20"/>
                <w:szCs w:val="20"/>
              </w:rPr>
              <w:t>2020</w:t>
            </w:r>
          </w:p>
        </w:tc>
        <w:tc>
          <w:tcPr>
            <w:tcW w:w="1363" w:type="dxa"/>
            <w:vAlign w:val="center"/>
            <w:hideMark/>
          </w:tcPr>
          <w:p w14:paraId="0E67FC48" w14:textId="77777777" w:rsidR="0030544C" w:rsidRPr="00770F9D" w:rsidRDefault="0030544C" w:rsidP="002E2CC4">
            <w:pPr>
              <w:snapToGrid w:val="0"/>
              <w:jc w:val="center"/>
              <w:rPr>
                <w:rFonts w:ascii="Garamond" w:hAnsi="Garamond" w:cstheme="majorBidi"/>
                <w:b/>
                <w:color w:val="0D0D0D" w:themeColor="text1" w:themeTint="F2"/>
                <w:sz w:val="20"/>
                <w:szCs w:val="20"/>
              </w:rPr>
            </w:pPr>
            <w:r w:rsidRPr="00770F9D">
              <w:rPr>
                <w:rFonts w:ascii="Garamond" w:hAnsi="Garamond" w:cstheme="majorBidi"/>
                <w:b/>
                <w:color w:val="0D0D0D" w:themeColor="text1" w:themeTint="F2"/>
                <w:sz w:val="20"/>
                <w:szCs w:val="20"/>
              </w:rPr>
              <w:t>2021</w:t>
            </w:r>
          </w:p>
        </w:tc>
        <w:tc>
          <w:tcPr>
            <w:tcW w:w="1613" w:type="dxa"/>
            <w:vAlign w:val="center"/>
            <w:hideMark/>
          </w:tcPr>
          <w:p w14:paraId="464607FC" w14:textId="77777777" w:rsidR="0030544C" w:rsidRPr="00770F9D" w:rsidRDefault="0030544C" w:rsidP="002E2CC4">
            <w:pPr>
              <w:snapToGrid w:val="0"/>
              <w:jc w:val="center"/>
              <w:rPr>
                <w:rFonts w:ascii="Garamond" w:hAnsi="Garamond" w:cstheme="majorBidi"/>
                <w:b/>
                <w:color w:val="0D0D0D" w:themeColor="text1" w:themeTint="F2"/>
                <w:sz w:val="20"/>
                <w:szCs w:val="20"/>
              </w:rPr>
            </w:pPr>
            <w:r w:rsidRPr="00770F9D">
              <w:rPr>
                <w:rFonts w:ascii="Garamond" w:hAnsi="Garamond" w:cstheme="majorBidi"/>
                <w:b/>
                <w:color w:val="0D0D0D" w:themeColor="text1" w:themeTint="F2"/>
                <w:sz w:val="20"/>
                <w:szCs w:val="20"/>
              </w:rPr>
              <w:t>2022</w:t>
            </w:r>
          </w:p>
        </w:tc>
        <w:tc>
          <w:tcPr>
            <w:tcW w:w="1296" w:type="dxa"/>
            <w:vAlign w:val="center"/>
          </w:tcPr>
          <w:p w14:paraId="07AD205F" w14:textId="77777777" w:rsidR="0030544C" w:rsidRPr="00770F9D" w:rsidRDefault="0030544C" w:rsidP="002E2CC4">
            <w:pPr>
              <w:snapToGrid w:val="0"/>
              <w:jc w:val="center"/>
              <w:rPr>
                <w:rFonts w:ascii="Garamond" w:hAnsi="Garamond" w:cstheme="majorBidi"/>
                <w:b/>
                <w:color w:val="0D0D0D" w:themeColor="text1" w:themeTint="F2"/>
                <w:sz w:val="20"/>
                <w:szCs w:val="20"/>
              </w:rPr>
            </w:pPr>
            <w:r w:rsidRPr="00770F9D">
              <w:rPr>
                <w:rFonts w:ascii="Garamond" w:hAnsi="Garamond" w:cstheme="majorBidi"/>
                <w:b/>
                <w:color w:val="0D0D0D" w:themeColor="text1" w:themeTint="F2"/>
                <w:sz w:val="20"/>
                <w:szCs w:val="20"/>
              </w:rPr>
              <w:t>2023</w:t>
            </w:r>
          </w:p>
        </w:tc>
        <w:tc>
          <w:tcPr>
            <w:tcW w:w="1296" w:type="dxa"/>
            <w:vAlign w:val="center"/>
          </w:tcPr>
          <w:p w14:paraId="17BF9D7A" w14:textId="77777777" w:rsidR="0030544C" w:rsidRPr="00770F9D" w:rsidRDefault="0030544C" w:rsidP="002E2CC4">
            <w:pPr>
              <w:snapToGrid w:val="0"/>
              <w:jc w:val="center"/>
              <w:rPr>
                <w:rFonts w:ascii="Garamond" w:hAnsi="Garamond" w:cstheme="majorBidi"/>
                <w:b/>
                <w:color w:val="0D0D0D" w:themeColor="text1" w:themeTint="F2"/>
                <w:sz w:val="20"/>
                <w:szCs w:val="20"/>
              </w:rPr>
            </w:pPr>
            <w:r w:rsidRPr="00770F9D">
              <w:rPr>
                <w:rFonts w:ascii="Garamond" w:hAnsi="Garamond" w:cstheme="majorBidi"/>
                <w:b/>
                <w:color w:val="0D0D0D" w:themeColor="text1" w:themeTint="F2"/>
                <w:sz w:val="20"/>
                <w:szCs w:val="20"/>
              </w:rPr>
              <w:t>2024</w:t>
            </w:r>
          </w:p>
        </w:tc>
      </w:tr>
      <w:tr w:rsidR="0030544C" w:rsidRPr="00770F9D" w14:paraId="2ED531EE" w14:textId="77777777" w:rsidTr="002E2CC4">
        <w:trPr>
          <w:trHeight w:val="20"/>
          <w:jc w:val="center"/>
        </w:trPr>
        <w:tc>
          <w:tcPr>
            <w:tcW w:w="3064" w:type="dxa"/>
            <w:vMerge/>
            <w:vAlign w:val="center"/>
            <w:hideMark/>
          </w:tcPr>
          <w:p w14:paraId="50CFD7D6" w14:textId="77777777" w:rsidR="0030544C" w:rsidRPr="00770F9D" w:rsidRDefault="0030544C" w:rsidP="002E2CC4">
            <w:pPr>
              <w:snapToGrid w:val="0"/>
              <w:jc w:val="center"/>
              <w:rPr>
                <w:rFonts w:ascii="Garamond" w:hAnsi="Garamond" w:cstheme="majorBidi"/>
                <w:b/>
                <w:color w:val="0D0D0D" w:themeColor="text1" w:themeTint="F2"/>
                <w:sz w:val="20"/>
                <w:szCs w:val="20"/>
              </w:rPr>
            </w:pPr>
          </w:p>
        </w:tc>
        <w:tc>
          <w:tcPr>
            <w:tcW w:w="1363" w:type="dxa"/>
            <w:vAlign w:val="center"/>
            <w:hideMark/>
          </w:tcPr>
          <w:p w14:paraId="5098180A" w14:textId="77777777" w:rsidR="0030544C" w:rsidRPr="00770F9D" w:rsidRDefault="00B433CD" w:rsidP="002E2CC4">
            <w:pPr>
              <w:snapToGrid w:val="0"/>
              <w:jc w:val="center"/>
              <w:rPr>
                <w:rFonts w:ascii="Garamond" w:eastAsia="Times New Roman" w:hAnsi="Garamond" w:cstheme="majorBidi"/>
                <w:b/>
                <w:color w:val="0D0D0D" w:themeColor="text1" w:themeTint="F2"/>
                <w:sz w:val="20"/>
                <w:szCs w:val="20"/>
              </w:rPr>
            </w:pPr>
            <w:r w:rsidRPr="00770F9D">
              <w:rPr>
                <w:rFonts w:ascii="Garamond" w:eastAsia="Times New Roman" w:hAnsi="Garamond" w:cstheme="majorBidi"/>
                <w:b/>
                <w:color w:val="0D0D0D" w:themeColor="text1" w:themeTint="F2"/>
                <w:sz w:val="20"/>
                <w:szCs w:val="20"/>
              </w:rPr>
              <w:t xml:space="preserve">Parashikimi </w:t>
            </w:r>
            <w:r w:rsidR="0030544C" w:rsidRPr="00770F9D">
              <w:rPr>
                <w:rFonts w:ascii="Garamond" w:eastAsia="Times New Roman" w:hAnsi="Garamond" w:cstheme="majorBidi"/>
                <w:b/>
                <w:color w:val="0D0D0D" w:themeColor="text1" w:themeTint="F2"/>
                <w:sz w:val="20"/>
                <w:szCs w:val="20"/>
              </w:rPr>
              <w:t>EUR</w:t>
            </w:r>
          </w:p>
        </w:tc>
        <w:tc>
          <w:tcPr>
            <w:tcW w:w="1363" w:type="dxa"/>
            <w:vAlign w:val="center"/>
            <w:hideMark/>
          </w:tcPr>
          <w:p w14:paraId="75DF15AA" w14:textId="77777777" w:rsidR="0030544C" w:rsidRPr="00770F9D" w:rsidRDefault="00B433CD" w:rsidP="002E2CC4">
            <w:pPr>
              <w:snapToGrid w:val="0"/>
              <w:jc w:val="center"/>
              <w:rPr>
                <w:rFonts w:ascii="Garamond" w:eastAsia="Times New Roman" w:hAnsi="Garamond" w:cstheme="majorBidi"/>
                <w:b/>
                <w:color w:val="0D0D0D" w:themeColor="text1" w:themeTint="F2"/>
                <w:sz w:val="20"/>
                <w:szCs w:val="20"/>
              </w:rPr>
            </w:pPr>
            <w:r w:rsidRPr="00770F9D">
              <w:rPr>
                <w:rFonts w:ascii="Garamond" w:eastAsia="Times New Roman" w:hAnsi="Garamond" w:cstheme="majorBidi"/>
                <w:b/>
                <w:color w:val="0D0D0D" w:themeColor="text1" w:themeTint="F2"/>
                <w:sz w:val="20"/>
                <w:szCs w:val="20"/>
              </w:rPr>
              <w:t>Parashikimi</w:t>
            </w:r>
            <w:r w:rsidR="0030544C" w:rsidRPr="00770F9D">
              <w:rPr>
                <w:rFonts w:ascii="Garamond" w:eastAsia="Times New Roman" w:hAnsi="Garamond" w:cstheme="majorBidi"/>
                <w:b/>
                <w:color w:val="0D0D0D" w:themeColor="text1" w:themeTint="F2"/>
                <w:sz w:val="20"/>
                <w:szCs w:val="20"/>
              </w:rPr>
              <w:t xml:space="preserve"> EUR</w:t>
            </w:r>
          </w:p>
        </w:tc>
        <w:tc>
          <w:tcPr>
            <w:tcW w:w="1613" w:type="dxa"/>
            <w:vAlign w:val="center"/>
            <w:hideMark/>
          </w:tcPr>
          <w:p w14:paraId="0A4F1964" w14:textId="77777777" w:rsidR="0030544C" w:rsidRPr="00770F9D" w:rsidRDefault="00B433CD" w:rsidP="002E2CC4">
            <w:pPr>
              <w:snapToGrid w:val="0"/>
              <w:jc w:val="center"/>
              <w:rPr>
                <w:rFonts w:ascii="Garamond" w:eastAsia="Times New Roman" w:hAnsi="Garamond" w:cstheme="majorBidi"/>
                <w:b/>
                <w:color w:val="0D0D0D" w:themeColor="text1" w:themeTint="F2"/>
                <w:sz w:val="20"/>
                <w:szCs w:val="20"/>
              </w:rPr>
            </w:pPr>
            <w:r w:rsidRPr="00770F9D">
              <w:rPr>
                <w:rFonts w:ascii="Garamond" w:eastAsia="Times New Roman" w:hAnsi="Garamond" w:cstheme="majorBidi"/>
                <w:b/>
                <w:color w:val="0D0D0D" w:themeColor="text1" w:themeTint="F2"/>
                <w:sz w:val="20"/>
                <w:szCs w:val="20"/>
              </w:rPr>
              <w:t xml:space="preserve">Parashikimi </w:t>
            </w:r>
            <w:r w:rsidR="0030544C" w:rsidRPr="00770F9D">
              <w:rPr>
                <w:rFonts w:ascii="Garamond" w:eastAsia="Times New Roman" w:hAnsi="Garamond" w:cstheme="majorBidi"/>
                <w:b/>
                <w:color w:val="0D0D0D" w:themeColor="text1" w:themeTint="F2"/>
                <w:sz w:val="20"/>
                <w:szCs w:val="20"/>
              </w:rPr>
              <w:t>EUR</w:t>
            </w:r>
          </w:p>
        </w:tc>
        <w:tc>
          <w:tcPr>
            <w:tcW w:w="1296" w:type="dxa"/>
            <w:vAlign w:val="center"/>
          </w:tcPr>
          <w:p w14:paraId="178DC3E8" w14:textId="77777777" w:rsidR="0030544C" w:rsidRPr="00770F9D" w:rsidRDefault="0030544C" w:rsidP="002E2CC4">
            <w:pPr>
              <w:snapToGrid w:val="0"/>
              <w:jc w:val="center"/>
              <w:rPr>
                <w:rFonts w:ascii="Garamond" w:eastAsia="Times New Roman" w:hAnsi="Garamond" w:cstheme="majorBidi"/>
                <w:b/>
                <w:color w:val="0D0D0D" w:themeColor="text1" w:themeTint="F2"/>
                <w:sz w:val="20"/>
                <w:szCs w:val="20"/>
              </w:rPr>
            </w:pPr>
          </w:p>
        </w:tc>
        <w:tc>
          <w:tcPr>
            <w:tcW w:w="1296" w:type="dxa"/>
            <w:vAlign w:val="center"/>
          </w:tcPr>
          <w:p w14:paraId="34A16610" w14:textId="77777777" w:rsidR="0030544C" w:rsidRPr="00770F9D" w:rsidRDefault="0030544C" w:rsidP="002E2CC4">
            <w:pPr>
              <w:snapToGrid w:val="0"/>
              <w:jc w:val="center"/>
              <w:rPr>
                <w:rFonts w:ascii="Garamond" w:eastAsia="Times New Roman" w:hAnsi="Garamond" w:cstheme="majorBidi"/>
                <w:b/>
                <w:color w:val="0D0D0D" w:themeColor="text1" w:themeTint="F2"/>
                <w:sz w:val="20"/>
                <w:szCs w:val="20"/>
              </w:rPr>
            </w:pPr>
          </w:p>
        </w:tc>
      </w:tr>
      <w:tr w:rsidR="00B433CD" w:rsidRPr="00770F9D" w14:paraId="08849174" w14:textId="77777777" w:rsidTr="002E2CC4">
        <w:trPr>
          <w:trHeight w:val="20"/>
          <w:jc w:val="center"/>
        </w:trPr>
        <w:tc>
          <w:tcPr>
            <w:tcW w:w="3064" w:type="dxa"/>
            <w:hideMark/>
          </w:tcPr>
          <w:p w14:paraId="43E94131" w14:textId="77777777" w:rsidR="00B433CD" w:rsidRPr="00770F9D" w:rsidRDefault="00B433CD" w:rsidP="002E2CC4">
            <w:pPr>
              <w:snapToGrid w:val="0"/>
              <w:rPr>
                <w:rFonts w:ascii="Garamond" w:eastAsia="Times New Roman" w:hAnsi="Garamond" w:cstheme="majorBidi"/>
                <w:bCs/>
                <w:color w:val="0D0D0D" w:themeColor="text1" w:themeTint="F2"/>
                <w:sz w:val="20"/>
                <w:szCs w:val="20"/>
              </w:rPr>
            </w:pPr>
            <w:r w:rsidRPr="00770F9D">
              <w:rPr>
                <w:rFonts w:ascii="Garamond" w:hAnsi="Garamond" w:cstheme="majorBidi"/>
                <w:color w:val="0D0D0D" w:themeColor="text1" w:themeTint="F2"/>
                <w:sz w:val="20"/>
                <w:szCs w:val="20"/>
              </w:rPr>
              <w:t>Ndërmjetësimet e kryera nga Zyrat e Punësimit</w:t>
            </w:r>
          </w:p>
        </w:tc>
        <w:tc>
          <w:tcPr>
            <w:tcW w:w="1363" w:type="dxa"/>
            <w:vAlign w:val="center"/>
            <w:hideMark/>
          </w:tcPr>
          <w:p w14:paraId="6676C473"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2,149,976</w:t>
            </w:r>
          </w:p>
        </w:tc>
        <w:tc>
          <w:tcPr>
            <w:tcW w:w="1363" w:type="dxa"/>
            <w:vAlign w:val="center"/>
            <w:hideMark/>
          </w:tcPr>
          <w:p w14:paraId="755B4CD6"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1,795,963</w:t>
            </w:r>
          </w:p>
        </w:tc>
        <w:tc>
          <w:tcPr>
            <w:tcW w:w="1613" w:type="dxa"/>
            <w:vAlign w:val="center"/>
            <w:hideMark/>
          </w:tcPr>
          <w:p w14:paraId="4A9F9E82"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2,480,394.53</w:t>
            </w:r>
          </w:p>
        </w:tc>
        <w:tc>
          <w:tcPr>
            <w:tcW w:w="1296" w:type="dxa"/>
            <w:vAlign w:val="center"/>
          </w:tcPr>
          <w:p w14:paraId="6890C94D"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2,951,800</w:t>
            </w:r>
          </w:p>
        </w:tc>
        <w:tc>
          <w:tcPr>
            <w:tcW w:w="1296" w:type="dxa"/>
            <w:vAlign w:val="center"/>
          </w:tcPr>
          <w:p w14:paraId="15877447"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3,024,800</w:t>
            </w:r>
          </w:p>
        </w:tc>
      </w:tr>
      <w:tr w:rsidR="00B433CD" w:rsidRPr="00770F9D" w14:paraId="6878864D" w14:textId="77777777" w:rsidTr="002E2CC4">
        <w:trPr>
          <w:trHeight w:val="20"/>
          <w:jc w:val="center"/>
        </w:trPr>
        <w:tc>
          <w:tcPr>
            <w:tcW w:w="3064" w:type="dxa"/>
            <w:hideMark/>
          </w:tcPr>
          <w:p w14:paraId="60CCB175" w14:textId="77777777" w:rsidR="00B433CD" w:rsidRPr="00770F9D" w:rsidRDefault="00B433CD" w:rsidP="002E2CC4">
            <w:pPr>
              <w:snapToGrid w:val="0"/>
              <w:rPr>
                <w:rFonts w:ascii="Garamond" w:eastAsia="Times New Roman" w:hAnsi="Garamond" w:cstheme="majorBidi"/>
                <w:bCs/>
                <w:color w:val="0D0D0D" w:themeColor="text1" w:themeTint="F2"/>
                <w:sz w:val="20"/>
                <w:szCs w:val="20"/>
              </w:rPr>
            </w:pPr>
            <w:r w:rsidRPr="00770F9D">
              <w:rPr>
                <w:rFonts w:ascii="Garamond" w:hAnsi="Garamond" w:cstheme="majorBidi"/>
                <w:color w:val="0D0D0D" w:themeColor="text1" w:themeTint="F2"/>
                <w:sz w:val="20"/>
                <w:szCs w:val="20"/>
              </w:rPr>
              <w:t>Zbatimi i programeve të nxitjes së punësimit</w:t>
            </w:r>
          </w:p>
        </w:tc>
        <w:tc>
          <w:tcPr>
            <w:tcW w:w="1363" w:type="dxa"/>
            <w:vAlign w:val="center"/>
            <w:hideMark/>
          </w:tcPr>
          <w:p w14:paraId="27C0B6B0"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578,455</w:t>
            </w:r>
          </w:p>
        </w:tc>
        <w:tc>
          <w:tcPr>
            <w:tcW w:w="1363" w:type="dxa"/>
            <w:vAlign w:val="center"/>
            <w:hideMark/>
          </w:tcPr>
          <w:p w14:paraId="272D47F8"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3,071,948</w:t>
            </w:r>
          </w:p>
        </w:tc>
        <w:tc>
          <w:tcPr>
            <w:tcW w:w="1613" w:type="dxa"/>
            <w:vAlign w:val="center"/>
            <w:hideMark/>
          </w:tcPr>
          <w:p w14:paraId="0F2EBA42"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4,769,989.49</w:t>
            </w:r>
          </w:p>
        </w:tc>
        <w:tc>
          <w:tcPr>
            <w:tcW w:w="1296" w:type="dxa"/>
            <w:vAlign w:val="center"/>
          </w:tcPr>
          <w:p w14:paraId="0EAC1C31"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5,555,500</w:t>
            </w:r>
          </w:p>
        </w:tc>
        <w:tc>
          <w:tcPr>
            <w:tcW w:w="1296" w:type="dxa"/>
            <w:vAlign w:val="center"/>
          </w:tcPr>
          <w:p w14:paraId="7BC24FB3"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5,650,000</w:t>
            </w:r>
          </w:p>
        </w:tc>
      </w:tr>
      <w:tr w:rsidR="00B433CD" w:rsidRPr="00770F9D" w14:paraId="629D94D6" w14:textId="77777777" w:rsidTr="002E2CC4">
        <w:trPr>
          <w:trHeight w:val="20"/>
          <w:jc w:val="center"/>
        </w:trPr>
        <w:tc>
          <w:tcPr>
            <w:tcW w:w="3064" w:type="dxa"/>
            <w:hideMark/>
          </w:tcPr>
          <w:p w14:paraId="72C536F9" w14:textId="77777777" w:rsidR="00B433CD" w:rsidRPr="00770F9D" w:rsidRDefault="00B433CD" w:rsidP="002E2CC4">
            <w:pPr>
              <w:snapToGrid w:val="0"/>
              <w:rPr>
                <w:rFonts w:ascii="Garamond" w:eastAsia="Times New Roman" w:hAnsi="Garamond" w:cstheme="majorBidi"/>
                <w:bCs/>
                <w:color w:val="0D0D0D" w:themeColor="text1" w:themeTint="F2"/>
                <w:sz w:val="20"/>
                <w:szCs w:val="20"/>
              </w:rPr>
            </w:pPr>
            <w:r w:rsidRPr="00770F9D">
              <w:rPr>
                <w:rFonts w:ascii="Garamond" w:hAnsi="Garamond" w:cstheme="majorBidi"/>
                <w:color w:val="0D0D0D" w:themeColor="text1" w:themeTint="F2"/>
                <w:sz w:val="20"/>
                <w:szCs w:val="20"/>
              </w:rPr>
              <w:t>Trajnim në QAP</w:t>
            </w:r>
          </w:p>
        </w:tc>
        <w:tc>
          <w:tcPr>
            <w:tcW w:w="1363" w:type="dxa"/>
            <w:vAlign w:val="center"/>
            <w:hideMark/>
          </w:tcPr>
          <w:p w14:paraId="12DAEA18"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1,899,829</w:t>
            </w:r>
          </w:p>
        </w:tc>
        <w:tc>
          <w:tcPr>
            <w:tcW w:w="1363" w:type="dxa"/>
            <w:vAlign w:val="center"/>
            <w:hideMark/>
          </w:tcPr>
          <w:p w14:paraId="7353431A"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1,816,098</w:t>
            </w:r>
          </w:p>
        </w:tc>
        <w:tc>
          <w:tcPr>
            <w:tcW w:w="1613" w:type="dxa"/>
            <w:vAlign w:val="center"/>
            <w:hideMark/>
          </w:tcPr>
          <w:p w14:paraId="5C4238FA"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2,322,742.34</w:t>
            </w:r>
          </w:p>
        </w:tc>
        <w:tc>
          <w:tcPr>
            <w:tcW w:w="1296" w:type="dxa"/>
            <w:vAlign w:val="center"/>
          </w:tcPr>
          <w:p w14:paraId="7390A476"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2,195,500</w:t>
            </w:r>
          </w:p>
        </w:tc>
        <w:tc>
          <w:tcPr>
            <w:tcW w:w="1296" w:type="dxa"/>
            <w:vAlign w:val="center"/>
          </w:tcPr>
          <w:p w14:paraId="0F023450"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3,032,000</w:t>
            </w:r>
          </w:p>
        </w:tc>
      </w:tr>
      <w:tr w:rsidR="00B433CD" w:rsidRPr="00770F9D" w14:paraId="1CF2A66C" w14:textId="77777777" w:rsidTr="002E2CC4">
        <w:trPr>
          <w:trHeight w:val="20"/>
          <w:jc w:val="center"/>
        </w:trPr>
        <w:tc>
          <w:tcPr>
            <w:tcW w:w="3064" w:type="dxa"/>
          </w:tcPr>
          <w:p w14:paraId="5263C349" w14:textId="77777777" w:rsidR="00B433CD" w:rsidRPr="00770F9D" w:rsidRDefault="00B433CD" w:rsidP="002E2CC4">
            <w:pPr>
              <w:snapToGrid w:val="0"/>
              <w:rPr>
                <w:rFonts w:ascii="Garamond" w:hAnsi="Garamond" w:cstheme="majorBidi"/>
                <w:bCs/>
                <w:color w:val="0D0D0D" w:themeColor="text1" w:themeTint="F2"/>
                <w:sz w:val="20"/>
                <w:szCs w:val="20"/>
              </w:rPr>
            </w:pPr>
            <w:r w:rsidRPr="00770F9D">
              <w:rPr>
                <w:rFonts w:ascii="Garamond" w:hAnsi="Garamond" w:cstheme="majorBidi"/>
                <w:color w:val="0D0D0D" w:themeColor="text1" w:themeTint="F2"/>
                <w:sz w:val="20"/>
                <w:szCs w:val="20"/>
              </w:rPr>
              <w:t>Investimi</w:t>
            </w:r>
          </w:p>
        </w:tc>
        <w:tc>
          <w:tcPr>
            <w:tcW w:w="1363" w:type="dxa"/>
            <w:vAlign w:val="center"/>
          </w:tcPr>
          <w:p w14:paraId="5847B6C9"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281,474</w:t>
            </w:r>
          </w:p>
        </w:tc>
        <w:tc>
          <w:tcPr>
            <w:tcW w:w="1363" w:type="dxa"/>
            <w:vAlign w:val="center"/>
          </w:tcPr>
          <w:p w14:paraId="523C331B"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 xml:space="preserve">245,756 </w:t>
            </w:r>
          </w:p>
        </w:tc>
        <w:tc>
          <w:tcPr>
            <w:tcW w:w="1613" w:type="dxa"/>
            <w:vAlign w:val="center"/>
          </w:tcPr>
          <w:p w14:paraId="6A8176D6"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 xml:space="preserve">1,220,793.92 </w:t>
            </w:r>
          </w:p>
        </w:tc>
        <w:tc>
          <w:tcPr>
            <w:tcW w:w="1296" w:type="dxa"/>
            <w:vAlign w:val="center"/>
          </w:tcPr>
          <w:p w14:paraId="03B8DC64"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1,119,600</w:t>
            </w:r>
          </w:p>
        </w:tc>
        <w:tc>
          <w:tcPr>
            <w:tcW w:w="1296" w:type="dxa"/>
            <w:vAlign w:val="center"/>
          </w:tcPr>
          <w:p w14:paraId="65EBAA57"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1,290,600</w:t>
            </w:r>
          </w:p>
        </w:tc>
      </w:tr>
      <w:tr w:rsidR="00B433CD" w:rsidRPr="00770F9D" w14:paraId="68FE0609" w14:textId="77777777" w:rsidTr="002E2CC4">
        <w:trPr>
          <w:trHeight w:val="20"/>
          <w:jc w:val="center"/>
        </w:trPr>
        <w:tc>
          <w:tcPr>
            <w:tcW w:w="3064" w:type="dxa"/>
          </w:tcPr>
          <w:p w14:paraId="23E73668" w14:textId="77777777" w:rsidR="00B433CD" w:rsidRPr="00770F9D" w:rsidRDefault="00B433CD" w:rsidP="002E2CC4">
            <w:pPr>
              <w:snapToGrid w:val="0"/>
              <w:rPr>
                <w:rFonts w:ascii="Garamond" w:hAnsi="Garamond" w:cstheme="majorBidi"/>
                <w:bCs/>
                <w:color w:val="0D0D0D" w:themeColor="text1" w:themeTint="F2"/>
                <w:sz w:val="20"/>
                <w:szCs w:val="20"/>
              </w:rPr>
            </w:pPr>
            <w:r w:rsidRPr="00770F9D">
              <w:rPr>
                <w:rFonts w:ascii="Garamond" w:hAnsi="Garamond" w:cstheme="majorBidi"/>
                <w:color w:val="0D0D0D" w:themeColor="text1" w:themeTint="F2"/>
                <w:sz w:val="20"/>
                <w:szCs w:val="20"/>
              </w:rPr>
              <w:t>Shpenzime të tjera administrative administrata qendrore e AKPA</w:t>
            </w:r>
          </w:p>
        </w:tc>
        <w:tc>
          <w:tcPr>
            <w:tcW w:w="1363" w:type="dxa"/>
            <w:vAlign w:val="center"/>
          </w:tcPr>
          <w:p w14:paraId="781EFDF5"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409,869</w:t>
            </w:r>
          </w:p>
        </w:tc>
        <w:tc>
          <w:tcPr>
            <w:tcW w:w="1363" w:type="dxa"/>
            <w:vAlign w:val="center"/>
          </w:tcPr>
          <w:p w14:paraId="58019976"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 xml:space="preserve">680,477 </w:t>
            </w:r>
          </w:p>
        </w:tc>
        <w:tc>
          <w:tcPr>
            <w:tcW w:w="1613" w:type="dxa"/>
            <w:vAlign w:val="center"/>
          </w:tcPr>
          <w:p w14:paraId="50692EA4"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 xml:space="preserve">1,236,154.90 </w:t>
            </w:r>
          </w:p>
        </w:tc>
        <w:tc>
          <w:tcPr>
            <w:tcW w:w="1296" w:type="dxa"/>
            <w:vAlign w:val="center"/>
          </w:tcPr>
          <w:p w14:paraId="6E2F1D32"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1,220,200</w:t>
            </w:r>
          </w:p>
        </w:tc>
        <w:tc>
          <w:tcPr>
            <w:tcW w:w="1296" w:type="dxa"/>
            <w:vAlign w:val="center"/>
          </w:tcPr>
          <w:p w14:paraId="207FFC47"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1,220,200</w:t>
            </w:r>
          </w:p>
        </w:tc>
      </w:tr>
      <w:tr w:rsidR="00B433CD" w:rsidRPr="00770F9D" w14:paraId="15BCB0F6" w14:textId="77777777" w:rsidTr="002E2CC4">
        <w:trPr>
          <w:trHeight w:val="20"/>
          <w:jc w:val="center"/>
        </w:trPr>
        <w:tc>
          <w:tcPr>
            <w:tcW w:w="3064" w:type="dxa"/>
          </w:tcPr>
          <w:p w14:paraId="743A63BA" w14:textId="77777777" w:rsidR="00B433CD" w:rsidRPr="00770F9D" w:rsidRDefault="00B433CD" w:rsidP="002E2CC4">
            <w:pPr>
              <w:snapToGrid w:val="0"/>
              <w:rPr>
                <w:rFonts w:ascii="Garamond" w:eastAsia="Times New Roman" w:hAnsi="Garamond" w:cstheme="majorBidi"/>
                <w:bCs/>
                <w:color w:val="0D0D0D" w:themeColor="text1" w:themeTint="F2"/>
                <w:sz w:val="20"/>
                <w:szCs w:val="20"/>
              </w:rPr>
            </w:pPr>
            <w:r w:rsidRPr="00770F9D">
              <w:rPr>
                <w:rFonts w:ascii="Garamond" w:hAnsi="Garamond" w:cstheme="majorBidi"/>
                <w:color w:val="0D0D0D" w:themeColor="text1" w:themeTint="F2"/>
                <w:sz w:val="20"/>
                <w:szCs w:val="20"/>
              </w:rPr>
              <w:t>Totali (me shpenzimet administrative)</w:t>
            </w:r>
          </w:p>
        </w:tc>
        <w:tc>
          <w:tcPr>
            <w:tcW w:w="1363" w:type="dxa"/>
            <w:vAlign w:val="center"/>
          </w:tcPr>
          <w:p w14:paraId="7F10DC50"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12,505,979</w:t>
            </w:r>
          </w:p>
        </w:tc>
        <w:tc>
          <w:tcPr>
            <w:tcW w:w="1363" w:type="dxa"/>
            <w:vAlign w:val="center"/>
          </w:tcPr>
          <w:p w14:paraId="44E0F21B"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 xml:space="preserve">13,438,260 </w:t>
            </w:r>
          </w:p>
        </w:tc>
        <w:tc>
          <w:tcPr>
            <w:tcW w:w="1613" w:type="dxa"/>
            <w:vAlign w:val="center"/>
          </w:tcPr>
          <w:p w14:paraId="04B4D832"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 xml:space="preserve">17,689,384.75 </w:t>
            </w:r>
          </w:p>
        </w:tc>
        <w:tc>
          <w:tcPr>
            <w:tcW w:w="1296" w:type="dxa"/>
            <w:vAlign w:val="center"/>
          </w:tcPr>
          <w:p w14:paraId="28D6963C"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19,583,320</w:t>
            </w:r>
          </w:p>
        </w:tc>
        <w:tc>
          <w:tcPr>
            <w:tcW w:w="1296" w:type="dxa"/>
            <w:vAlign w:val="center"/>
          </w:tcPr>
          <w:p w14:paraId="4B4E4BBF"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21,010,570</w:t>
            </w:r>
          </w:p>
        </w:tc>
      </w:tr>
      <w:tr w:rsidR="00B433CD" w:rsidRPr="00770F9D" w14:paraId="7CE22320" w14:textId="77777777" w:rsidTr="002E2CC4">
        <w:trPr>
          <w:trHeight w:val="20"/>
          <w:jc w:val="center"/>
        </w:trPr>
        <w:tc>
          <w:tcPr>
            <w:tcW w:w="3064" w:type="dxa"/>
          </w:tcPr>
          <w:p w14:paraId="02DD874A" w14:textId="77777777" w:rsidR="00B433CD" w:rsidRPr="00770F9D" w:rsidRDefault="00B433CD" w:rsidP="002E2CC4">
            <w:pPr>
              <w:snapToGrid w:val="0"/>
              <w:rPr>
                <w:rFonts w:ascii="Garamond" w:eastAsia="Times New Roman" w:hAnsi="Garamond" w:cstheme="majorBidi"/>
                <w:bCs/>
                <w:color w:val="0D0D0D" w:themeColor="text1" w:themeTint="F2"/>
                <w:sz w:val="20"/>
                <w:szCs w:val="20"/>
              </w:rPr>
            </w:pPr>
            <w:r w:rsidRPr="00770F9D">
              <w:rPr>
                <w:rFonts w:ascii="Garamond" w:hAnsi="Garamond" w:cstheme="majorBidi"/>
                <w:color w:val="0D0D0D" w:themeColor="text1" w:themeTint="F2"/>
                <w:sz w:val="20"/>
                <w:szCs w:val="20"/>
              </w:rPr>
              <w:t>Totali (pa shpenzime administrative)</w:t>
            </w:r>
          </w:p>
        </w:tc>
        <w:tc>
          <w:tcPr>
            <w:tcW w:w="1363" w:type="dxa"/>
            <w:vAlign w:val="center"/>
          </w:tcPr>
          <w:p w14:paraId="079BE506"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12,096,110</w:t>
            </w:r>
          </w:p>
        </w:tc>
        <w:tc>
          <w:tcPr>
            <w:tcW w:w="1363" w:type="dxa"/>
            <w:vAlign w:val="center"/>
          </w:tcPr>
          <w:p w14:paraId="02ADC112" w14:textId="77777777" w:rsidR="00B433CD" w:rsidRPr="00770F9D" w:rsidRDefault="00B433CD" w:rsidP="002E2CC4">
            <w:pPr>
              <w:jc w:val="right"/>
              <w:rPr>
                <w:rFonts w:ascii="Garamond" w:eastAsia="Times New Roman"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12,757,783</w:t>
            </w:r>
          </w:p>
        </w:tc>
        <w:tc>
          <w:tcPr>
            <w:tcW w:w="1613" w:type="dxa"/>
            <w:vAlign w:val="center"/>
          </w:tcPr>
          <w:p w14:paraId="5ED48840"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 xml:space="preserve">16,453,229.85 </w:t>
            </w:r>
          </w:p>
        </w:tc>
        <w:tc>
          <w:tcPr>
            <w:tcW w:w="1296" w:type="dxa"/>
            <w:vAlign w:val="center"/>
          </w:tcPr>
          <w:p w14:paraId="1A7BDD18"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20,803,470</w:t>
            </w:r>
          </w:p>
        </w:tc>
        <w:tc>
          <w:tcPr>
            <w:tcW w:w="1296" w:type="dxa"/>
            <w:vAlign w:val="center"/>
          </w:tcPr>
          <w:p w14:paraId="1CDD9D24" w14:textId="77777777" w:rsidR="00B433CD" w:rsidRPr="00770F9D" w:rsidRDefault="00B433CD" w:rsidP="002E2CC4">
            <w:pPr>
              <w:snapToGrid w:val="0"/>
              <w:jc w:val="right"/>
              <w:rPr>
                <w:rFonts w:ascii="Garamond" w:hAnsi="Garamond" w:cstheme="majorBidi"/>
                <w:bCs/>
                <w:color w:val="0D0D0D" w:themeColor="text1" w:themeTint="F2"/>
                <w:sz w:val="20"/>
                <w:szCs w:val="20"/>
              </w:rPr>
            </w:pPr>
            <w:r w:rsidRPr="00770F9D">
              <w:rPr>
                <w:rFonts w:ascii="Garamond" w:hAnsi="Garamond" w:cstheme="majorBidi"/>
                <w:bCs/>
                <w:color w:val="0D0D0D" w:themeColor="text1" w:themeTint="F2"/>
                <w:sz w:val="20"/>
                <w:szCs w:val="20"/>
              </w:rPr>
              <w:t>22,230,770</w:t>
            </w:r>
          </w:p>
        </w:tc>
      </w:tr>
    </w:tbl>
    <w:p w14:paraId="30DF6B25" w14:textId="2906F86E" w:rsidR="00DB22AB" w:rsidRPr="00770F9D" w:rsidRDefault="00452AB0" w:rsidP="003F46E1">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5</w:t>
      </w:r>
      <w:r w:rsidR="009D37E3"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Ndikimi i pritshëm në përfundimet sociale si punësimi, ulja e varfërisë, barazia gjinore dhe aksesi në kujdesin shëndetësor</w:t>
      </w:r>
    </w:p>
    <w:p w14:paraId="061E4782" w14:textId="77777777" w:rsidR="002752DE" w:rsidRPr="00770F9D" w:rsidRDefault="002752DE" w:rsidP="003F46E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Ulja e papunësisë dhe pasiviteti i lartë, veçanërisht në grupin e të rinjve dhe grave. Rritja e kënaqësisë së grave dhe vajzave të përfshira në programe aktive të tregut të punës. Promovoni rritje ekonomike të qëndrueshme, gjithëpërfshirëse dhe të qëndrueshme, punësim të plotë dhe produktiv dhe punë të denjë për të gjithë (SDG 8 Puna e Denjë dhe Rritja Ekonomike dhe SDG #5: Barazia Gjinore).</w:t>
      </w:r>
    </w:p>
    <w:p w14:paraId="5B8D1AB4" w14:textId="30394338" w:rsidR="00DB22AB" w:rsidRPr="00770F9D" w:rsidRDefault="00452AB0" w:rsidP="003F46E1">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6</w:t>
      </w:r>
      <w:r w:rsidR="009D37E3"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Ndikimi i pritshëm në mjedis dhe ndryshimi i klimës</w:t>
      </w:r>
    </w:p>
    <w:p w14:paraId="4F4649BA" w14:textId="60CCF406" w:rsidR="006D2AFB" w:rsidRPr="00770F9D" w:rsidRDefault="002752DE" w:rsidP="00EB64CA">
      <w:pPr>
        <w:snapToGrid w:val="0"/>
        <w:ind w:firstLine="284"/>
        <w:rPr>
          <w:rFonts w:ascii="Garamond" w:hAnsi="Garamond" w:cstheme="majorBidi"/>
          <w:color w:val="0D0D0D" w:themeColor="text1" w:themeTint="F2"/>
        </w:rPr>
      </w:pPr>
      <w:r w:rsidRPr="00770F9D">
        <w:rPr>
          <w:rFonts w:ascii="Garamond" w:hAnsi="Garamond" w:cstheme="majorBidi"/>
          <w:color w:val="0D0D0D" w:themeColor="text1" w:themeTint="F2"/>
        </w:rPr>
        <w:t>Masa nuk pritet t</w:t>
      </w:r>
      <w:r w:rsidR="008C433D">
        <w:rPr>
          <w:rFonts w:ascii="Garamond" w:hAnsi="Garamond" w:cstheme="majorBidi"/>
          <w:color w:val="0D0D0D" w:themeColor="text1" w:themeTint="F2"/>
        </w:rPr>
        <w:t>ë</w:t>
      </w:r>
      <w:r w:rsidRPr="00770F9D">
        <w:rPr>
          <w:rFonts w:ascii="Garamond" w:hAnsi="Garamond" w:cstheme="majorBidi"/>
          <w:color w:val="0D0D0D" w:themeColor="text1" w:themeTint="F2"/>
        </w:rPr>
        <w:t xml:space="preserve"> ketë ndikim n</w:t>
      </w:r>
      <w:r w:rsidR="00EB64CA">
        <w:rPr>
          <w:rFonts w:ascii="Garamond" w:hAnsi="Garamond" w:cstheme="majorBidi"/>
          <w:color w:val="0D0D0D" w:themeColor="text1" w:themeTint="F2"/>
        </w:rPr>
        <w:t>ë</w:t>
      </w:r>
      <w:r w:rsidRPr="00770F9D">
        <w:rPr>
          <w:rFonts w:ascii="Garamond" w:hAnsi="Garamond" w:cstheme="majorBidi"/>
          <w:color w:val="0D0D0D" w:themeColor="text1" w:themeTint="F2"/>
        </w:rPr>
        <w:t xml:space="preserve"> mjedis.</w:t>
      </w:r>
    </w:p>
    <w:p w14:paraId="1BA348A4" w14:textId="3749D652" w:rsidR="00DB22AB" w:rsidRPr="00770F9D" w:rsidRDefault="00452AB0" w:rsidP="003F46E1">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7</w:t>
      </w:r>
      <w:r w:rsidR="009D37E3"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Rreziqet e mundshme</w:t>
      </w:r>
    </w:p>
    <w:tbl>
      <w:tblPr>
        <w:tblStyle w:val="TableGrid2"/>
        <w:tblW w:w="5000" w:type="pct"/>
        <w:jc w:val="center"/>
        <w:tblLook w:val="04A0" w:firstRow="1" w:lastRow="0" w:firstColumn="1" w:lastColumn="0" w:noHBand="0" w:noVBand="1"/>
      </w:tblPr>
      <w:tblGrid>
        <w:gridCol w:w="4068"/>
        <w:gridCol w:w="1146"/>
        <w:gridCol w:w="4073"/>
      </w:tblGrid>
      <w:tr w:rsidR="00FA29AB" w:rsidRPr="00770F9D" w14:paraId="5673C46C" w14:textId="77777777" w:rsidTr="002E2CC4">
        <w:trPr>
          <w:trHeight w:val="144"/>
          <w:jc w:val="center"/>
        </w:trPr>
        <w:tc>
          <w:tcPr>
            <w:tcW w:w="2190" w:type="pct"/>
            <w:vAlign w:val="center"/>
          </w:tcPr>
          <w:p w14:paraId="622679EB" w14:textId="77777777" w:rsidR="007F2542" w:rsidRPr="00770F9D" w:rsidRDefault="007F2542" w:rsidP="002E2CC4">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Risku</w:t>
            </w:r>
          </w:p>
        </w:tc>
        <w:tc>
          <w:tcPr>
            <w:tcW w:w="617" w:type="pct"/>
            <w:vAlign w:val="center"/>
          </w:tcPr>
          <w:p w14:paraId="79200B01" w14:textId="77777777" w:rsidR="007F2542" w:rsidRPr="00770F9D" w:rsidRDefault="007F2542" w:rsidP="002E2CC4">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Mundësia (e ulët, e lartë)</w:t>
            </w:r>
          </w:p>
        </w:tc>
        <w:tc>
          <w:tcPr>
            <w:tcW w:w="2193" w:type="pct"/>
            <w:vAlign w:val="center"/>
          </w:tcPr>
          <w:p w14:paraId="5D530F03" w14:textId="77777777" w:rsidR="007F2542" w:rsidRPr="00770F9D" w:rsidRDefault="007F2542" w:rsidP="002E2CC4">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Veprime zbutëse të planifikuara</w:t>
            </w:r>
          </w:p>
        </w:tc>
      </w:tr>
      <w:tr w:rsidR="002752DE" w:rsidRPr="00770F9D" w14:paraId="197F3C25" w14:textId="77777777" w:rsidTr="002E2CC4">
        <w:trPr>
          <w:trHeight w:val="144"/>
          <w:jc w:val="center"/>
        </w:trPr>
        <w:tc>
          <w:tcPr>
            <w:tcW w:w="2190" w:type="pct"/>
          </w:tcPr>
          <w:p w14:paraId="32435760" w14:textId="77777777" w:rsidR="002752DE" w:rsidRPr="00770F9D" w:rsidRDefault="002752DE" w:rsidP="00452AB0">
            <w:pPr>
              <w:snapToGrid w:val="0"/>
              <w:rPr>
                <w:rFonts w:ascii="Garamond" w:eastAsia="Arial Narrow" w:hAnsi="Garamond" w:cstheme="majorBidi"/>
                <w:color w:val="0D0D0D" w:themeColor="text1" w:themeTint="F2"/>
                <w:sz w:val="20"/>
                <w:szCs w:val="20"/>
              </w:rPr>
            </w:pPr>
            <w:r w:rsidRPr="00770F9D">
              <w:rPr>
                <w:rFonts w:ascii="Garamond" w:hAnsi="Garamond" w:cstheme="majorBidi"/>
                <w:color w:val="0D0D0D" w:themeColor="text1" w:themeTint="F2"/>
                <w:sz w:val="20"/>
                <w:szCs w:val="20"/>
              </w:rPr>
              <w:t>Mungesa e bashkëpunimit ndërmjet aktorëve të ndryshëm të përfshirë në këtë proces është një nga vështirësitë e identifikuara në këtë sektor.</w:t>
            </w:r>
          </w:p>
        </w:tc>
        <w:tc>
          <w:tcPr>
            <w:tcW w:w="617" w:type="pct"/>
          </w:tcPr>
          <w:p w14:paraId="5C7BC62E" w14:textId="5F20E96B" w:rsidR="002752DE" w:rsidRPr="00770F9D" w:rsidRDefault="002E2CC4" w:rsidP="00452AB0">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E ulët</w:t>
            </w:r>
          </w:p>
        </w:tc>
        <w:tc>
          <w:tcPr>
            <w:tcW w:w="2193" w:type="pct"/>
          </w:tcPr>
          <w:p w14:paraId="136EB76B" w14:textId="77777777" w:rsidR="002752DE" w:rsidRPr="00770F9D" w:rsidRDefault="002752DE" w:rsidP="00452AB0">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Duke pasur monitorim, raportim dhe bashkëpunim të ngushtë ndërmjet aktorëve përkatës (organizata e punëdhënësve, OSHC, pushteti vendor ministri të tjera etj.)</w:t>
            </w:r>
          </w:p>
        </w:tc>
      </w:tr>
      <w:tr w:rsidR="002752DE" w:rsidRPr="00770F9D" w14:paraId="384B24F9" w14:textId="77777777" w:rsidTr="002E2CC4">
        <w:trPr>
          <w:trHeight w:val="144"/>
          <w:jc w:val="center"/>
        </w:trPr>
        <w:tc>
          <w:tcPr>
            <w:tcW w:w="2190" w:type="pct"/>
          </w:tcPr>
          <w:p w14:paraId="41331ABA" w14:textId="77777777" w:rsidR="002752DE" w:rsidRPr="00770F9D" w:rsidRDefault="002752DE" w:rsidP="00452AB0">
            <w:pPr>
              <w:snapToGrid w:val="0"/>
              <w:rPr>
                <w:rFonts w:ascii="Garamond" w:eastAsia="Arial Narrow" w:hAnsi="Garamond" w:cstheme="majorBidi"/>
                <w:color w:val="0D0D0D" w:themeColor="text1" w:themeTint="F2"/>
                <w:sz w:val="20"/>
                <w:szCs w:val="20"/>
              </w:rPr>
            </w:pPr>
            <w:r w:rsidRPr="00770F9D">
              <w:rPr>
                <w:rFonts w:ascii="Garamond" w:hAnsi="Garamond" w:cstheme="majorBidi"/>
                <w:color w:val="0D0D0D" w:themeColor="text1" w:themeTint="F2"/>
                <w:sz w:val="20"/>
                <w:szCs w:val="20"/>
              </w:rPr>
              <w:t>Rritja e besimit të qytetarëve në shërbimet e ofruara nga zyrat e punësimit qendrat e VT.</w:t>
            </w:r>
          </w:p>
        </w:tc>
        <w:tc>
          <w:tcPr>
            <w:tcW w:w="617" w:type="pct"/>
          </w:tcPr>
          <w:p w14:paraId="60952FC1" w14:textId="11CEE5A3" w:rsidR="002752DE" w:rsidRPr="00770F9D" w:rsidRDefault="002E2CC4" w:rsidP="00452AB0">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E ulët</w:t>
            </w:r>
          </w:p>
        </w:tc>
        <w:tc>
          <w:tcPr>
            <w:tcW w:w="2193" w:type="pct"/>
          </w:tcPr>
          <w:p w14:paraId="5655E550" w14:textId="77777777" w:rsidR="002752DE" w:rsidRPr="00770F9D" w:rsidRDefault="002752DE" w:rsidP="00452AB0">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Publikime të programeve aktive, si dhe raste të suksesshme me të gjitha mjetet e mundshme elektronike dhe nëpërmjet medias</w:t>
            </w:r>
          </w:p>
        </w:tc>
      </w:tr>
      <w:tr w:rsidR="002752DE" w:rsidRPr="00770F9D" w14:paraId="69EA1E75" w14:textId="77777777" w:rsidTr="002E2CC4">
        <w:trPr>
          <w:trHeight w:val="144"/>
          <w:jc w:val="center"/>
        </w:trPr>
        <w:tc>
          <w:tcPr>
            <w:tcW w:w="2190" w:type="pct"/>
          </w:tcPr>
          <w:p w14:paraId="35D6486A" w14:textId="77777777" w:rsidR="002752DE" w:rsidRPr="00770F9D" w:rsidRDefault="002752DE" w:rsidP="00452AB0">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Mungesa e përmirësimit të cilësisë së shërbimeve në nivel rajonal dhe lokal, për shkak të trajnimit të pamjaftueshëm</w:t>
            </w:r>
          </w:p>
        </w:tc>
        <w:tc>
          <w:tcPr>
            <w:tcW w:w="617" w:type="pct"/>
          </w:tcPr>
          <w:p w14:paraId="78A4C9D2" w14:textId="11EC2DB2" w:rsidR="002752DE" w:rsidRPr="00770F9D" w:rsidRDefault="002E2CC4" w:rsidP="00452AB0">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E ulët</w:t>
            </w:r>
          </w:p>
        </w:tc>
        <w:tc>
          <w:tcPr>
            <w:tcW w:w="2193" w:type="pct"/>
          </w:tcPr>
          <w:p w14:paraId="64DF69C9" w14:textId="77777777" w:rsidR="002752DE" w:rsidRPr="00770F9D" w:rsidRDefault="002752DE" w:rsidP="00452AB0">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Monitorimi nga afër i aktiviteteve trajnuese dhe rritja e numrit të trajnerëve në dispozicion.</w:t>
            </w:r>
          </w:p>
        </w:tc>
      </w:tr>
    </w:tbl>
    <w:p w14:paraId="559F518F" w14:textId="77777777" w:rsidR="007F2542" w:rsidRPr="00770F9D" w:rsidRDefault="007F2542" w:rsidP="005674F2">
      <w:pPr>
        <w:snapToGrid w:val="0"/>
        <w:ind w:firstLine="284"/>
        <w:jc w:val="both"/>
        <w:rPr>
          <w:rFonts w:ascii="Garamond" w:eastAsia="Times New Roman" w:hAnsi="Garamond" w:cstheme="majorBidi"/>
          <w:color w:val="0D0D0D" w:themeColor="text1" w:themeTint="F2"/>
        </w:rPr>
      </w:pPr>
    </w:p>
    <w:p w14:paraId="55CA3285" w14:textId="77777777" w:rsidR="00DB22AB" w:rsidRPr="00770F9D" w:rsidRDefault="00B2062A" w:rsidP="00400806">
      <w:pPr>
        <w:pStyle w:val="Heading5"/>
        <w:snapToGrid w:val="0"/>
        <w:ind w:left="0" w:firstLine="284"/>
        <w:jc w:val="both"/>
        <w:rPr>
          <w:rFonts w:ascii="Garamond" w:hAnsi="Garamond" w:cstheme="majorBidi"/>
          <w:i w:val="0"/>
          <w:color w:val="0D0D0D" w:themeColor="text1" w:themeTint="F2"/>
          <w:sz w:val="24"/>
          <w:szCs w:val="24"/>
        </w:rPr>
      </w:pPr>
      <w:r w:rsidRPr="00770F9D">
        <w:rPr>
          <w:rFonts w:ascii="Garamond" w:hAnsi="Garamond" w:cstheme="majorBidi"/>
          <w:i w:val="0"/>
          <w:color w:val="0D0D0D" w:themeColor="text1" w:themeTint="F2"/>
          <w:sz w:val="24"/>
          <w:szCs w:val="24"/>
        </w:rPr>
        <w:t>Masa e reformës</w:t>
      </w:r>
      <w:r w:rsidR="005358F8" w:rsidRPr="00770F9D">
        <w:rPr>
          <w:rFonts w:ascii="Garamond" w:hAnsi="Garamond" w:cstheme="majorBidi"/>
          <w:i w:val="0"/>
          <w:color w:val="0D0D0D" w:themeColor="text1" w:themeTint="F2"/>
          <w:sz w:val="24"/>
          <w:szCs w:val="24"/>
        </w:rPr>
        <w:t xml:space="preserve"> 03</w:t>
      </w:r>
      <w:r w:rsidR="003276FB" w:rsidRPr="00770F9D">
        <w:rPr>
          <w:rFonts w:ascii="Garamond" w:hAnsi="Garamond" w:cstheme="majorBidi"/>
          <w:i w:val="0"/>
          <w:color w:val="0D0D0D" w:themeColor="text1" w:themeTint="F2"/>
          <w:sz w:val="24"/>
          <w:szCs w:val="24"/>
        </w:rPr>
        <w:t>: Përmirësimi i kapaciteteve institucionale, financiare dhe njerëzore për kërkim dhe inovacion</w:t>
      </w:r>
    </w:p>
    <w:p w14:paraId="4900EE42" w14:textId="7E984197" w:rsidR="00DB22AB" w:rsidRPr="00770F9D" w:rsidRDefault="009D37E3"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 xml:space="preserve">1. </w:t>
      </w:r>
      <w:r w:rsidR="00B2062A" w:rsidRPr="00770F9D">
        <w:rPr>
          <w:rFonts w:ascii="Garamond" w:hAnsi="Garamond" w:cstheme="majorBidi"/>
          <w:color w:val="0D0D0D" w:themeColor="text1" w:themeTint="F2"/>
          <w:u w:val="none"/>
        </w:rPr>
        <w:t>Përshkrimi i masës</w:t>
      </w:r>
    </w:p>
    <w:p w14:paraId="7E4D1EBE" w14:textId="7C38A59E" w:rsidR="00823E92" w:rsidRPr="00770F9D" w:rsidRDefault="00823E92" w:rsidP="00400806">
      <w:pPr>
        <w:ind w:firstLine="284"/>
        <w:jc w:val="both"/>
        <w:rPr>
          <w:rFonts w:ascii="Garamond" w:hAnsi="Garamond" w:cstheme="majorBidi"/>
          <w:i/>
          <w:iCs/>
        </w:rPr>
      </w:pPr>
      <w:r w:rsidRPr="00770F9D">
        <w:rPr>
          <w:rFonts w:ascii="Garamond" w:hAnsi="Garamond" w:cstheme="majorBidi"/>
        </w:rPr>
        <w:t xml:space="preserve">Masa e reformës, është në përputhje me Planin Kombëtar për Integrimin Evropian </w:t>
      </w:r>
      <w:r w:rsidR="003F4C96" w:rsidRPr="00770F9D">
        <w:rPr>
          <w:rFonts w:ascii="Garamond" w:hAnsi="Garamond" w:cstheme="majorBidi"/>
        </w:rPr>
        <w:t>2023–2025</w:t>
      </w:r>
      <w:r w:rsidRPr="00770F9D">
        <w:rPr>
          <w:rFonts w:ascii="Garamond" w:hAnsi="Garamond" w:cstheme="majorBidi"/>
        </w:rPr>
        <w:t>, “Kapitulli 25”</w:t>
      </w:r>
      <w:r w:rsidR="002E2CC4" w:rsidRPr="00770F9D">
        <w:rPr>
          <w:rFonts w:ascii="Garamond" w:hAnsi="Garamond" w:cstheme="majorBidi"/>
        </w:rPr>
        <w:t>,</w:t>
      </w:r>
      <w:r w:rsidRPr="00770F9D">
        <w:rPr>
          <w:rFonts w:ascii="Garamond" w:hAnsi="Garamond" w:cstheme="majorBidi"/>
        </w:rPr>
        <w:t xml:space="preserve"> Shkenca dhe Kërkimi Shkencor, si dhe me prioritetet e Zonës </w:t>
      </w:r>
      <w:r w:rsidR="002E2CC4" w:rsidRPr="00770F9D">
        <w:rPr>
          <w:rFonts w:ascii="Garamond" w:hAnsi="Garamond" w:cstheme="majorBidi"/>
        </w:rPr>
        <w:t>Evropiane</w:t>
      </w:r>
      <w:r w:rsidRPr="00770F9D">
        <w:rPr>
          <w:rFonts w:ascii="Garamond" w:hAnsi="Garamond" w:cstheme="majorBidi"/>
        </w:rPr>
        <w:t xml:space="preserve"> të Kërkimit </w:t>
      </w:r>
      <w:r w:rsidRPr="00770F9D">
        <w:rPr>
          <w:rFonts w:ascii="Garamond" w:hAnsi="Garamond" w:cstheme="majorBidi"/>
          <w:i/>
          <w:iCs/>
        </w:rPr>
        <w:t>(European Reseatch Area –ERA).</w:t>
      </w:r>
    </w:p>
    <w:p w14:paraId="6FA150B0" w14:textId="21E19140" w:rsidR="00823E92" w:rsidRPr="00770F9D" w:rsidRDefault="00823E92" w:rsidP="00400806">
      <w:pPr>
        <w:ind w:firstLine="284"/>
        <w:jc w:val="both"/>
        <w:rPr>
          <w:rFonts w:ascii="Garamond" w:hAnsi="Garamond" w:cstheme="majorBidi"/>
        </w:rPr>
      </w:pPr>
      <w:r w:rsidRPr="00770F9D">
        <w:rPr>
          <w:rFonts w:ascii="Garamond" w:hAnsi="Garamond" w:cstheme="majorBidi"/>
        </w:rPr>
        <w:t>Ministria e Arsimit dhe Sportit (MAS) aktualisht po punon për hartimin e strategjisë së re 2023</w:t>
      </w:r>
      <w:r w:rsidR="004A63FE" w:rsidRPr="00770F9D">
        <w:rPr>
          <w:rFonts w:ascii="Garamond" w:hAnsi="Garamond" w:cstheme="majorBidi"/>
        </w:rPr>
        <w:t>–</w:t>
      </w:r>
      <w:r w:rsidRPr="00770F9D">
        <w:rPr>
          <w:rFonts w:ascii="Garamond" w:hAnsi="Garamond" w:cstheme="majorBidi"/>
        </w:rPr>
        <w:t xml:space="preserve">2030. Paralelisht, MAS (përfshirë institucionet e varësisë) dhe Akademia e Shkencave po punojnë për </w:t>
      </w:r>
      <w:r w:rsidR="004A63FE" w:rsidRPr="00770F9D">
        <w:rPr>
          <w:rFonts w:ascii="Garamond" w:hAnsi="Garamond" w:cstheme="majorBidi"/>
        </w:rPr>
        <w:t xml:space="preserve">ligjin </w:t>
      </w:r>
      <w:r w:rsidRPr="00770F9D">
        <w:rPr>
          <w:rFonts w:ascii="Garamond" w:hAnsi="Garamond" w:cstheme="majorBidi"/>
        </w:rPr>
        <w:t xml:space="preserve">e ri të </w:t>
      </w:r>
      <w:r w:rsidR="004A63FE" w:rsidRPr="00770F9D">
        <w:rPr>
          <w:rFonts w:ascii="Garamond" w:hAnsi="Garamond" w:cstheme="majorBidi"/>
        </w:rPr>
        <w:t xml:space="preserve">shkencës </w:t>
      </w:r>
      <w:r w:rsidRPr="00770F9D">
        <w:rPr>
          <w:rFonts w:ascii="Garamond" w:hAnsi="Garamond" w:cstheme="majorBidi"/>
        </w:rPr>
        <w:t>në Republikën e Shqipërisë.</w:t>
      </w:r>
    </w:p>
    <w:p w14:paraId="1AA15EE9" w14:textId="24B5566A" w:rsidR="00823E92" w:rsidRPr="00770F9D" w:rsidRDefault="00823E92" w:rsidP="00400806">
      <w:pPr>
        <w:ind w:firstLine="284"/>
        <w:jc w:val="both"/>
        <w:rPr>
          <w:rFonts w:ascii="Garamond" w:hAnsi="Garamond" w:cstheme="majorBidi"/>
        </w:rPr>
      </w:pPr>
      <w:r w:rsidRPr="00770F9D">
        <w:rPr>
          <w:rFonts w:ascii="Garamond" w:hAnsi="Garamond" w:cstheme="majorBidi"/>
        </w:rPr>
        <w:t xml:space="preserve">Komisioni ka përzgjedhur </w:t>
      </w:r>
      <w:r w:rsidR="004A63FE" w:rsidRPr="00770F9D">
        <w:rPr>
          <w:rFonts w:ascii="Garamond" w:hAnsi="Garamond" w:cstheme="majorBidi"/>
        </w:rPr>
        <w:t xml:space="preserve">Bashkinë </w:t>
      </w:r>
      <w:r w:rsidRPr="00770F9D">
        <w:rPr>
          <w:rFonts w:ascii="Garamond" w:hAnsi="Garamond" w:cstheme="majorBidi"/>
        </w:rPr>
        <w:t xml:space="preserve">e Elbasanit për të marrë pjesë në </w:t>
      </w:r>
      <w:r w:rsidR="004A63FE" w:rsidRPr="00770F9D">
        <w:rPr>
          <w:rFonts w:ascii="Garamond" w:hAnsi="Garamond" w:cstheme="majorBidi"/>
        </w:rPr>
        <w:t xml:space="preserve">misionin </w:t>
      </w:r>
      <w:r w:rsidRPr="00770F9D">
        <w:rPr>
          <w:rFonts w:ascii="Garamond" w:hAnsi="Garamond" w:cstheme="majorBidi"/>
        </w:rPr>
        <w:t>e BE-së për 100 qytete neutrale ndaj klimës dhe inteligjente deri në vitin 2030, i ashtuquajturi Misioni i Qyteteve.</w:t>
      </w:r>
    </w:p>
    <w:p w14:paraId="3BC2C492" w14:textId="77777777" w:rsidR="00823E92" w:rsidRPr="00770F9D" w:rsidRDefault="00823E92" w:rsidP="00400806">
      <w:pPr>
        <w:ind w:firstLine="284"/>
        <w:jc w:val="both"/>
        <w:rPr>
          <w:rFonts w:ascii="Garamond" w:hAnsi="Garamond" w:cstheme="majorBidi"/>
        </w:rPr>
      </w:pPr>
      <w:r w:rsidRPr="00770F9D">
        <w:rPr>
          <w:rFonts w:ascii="Garamond" w:hAnsi="Garamond" w:cstheme="majorBidi"/>
        </w:rPr>
        <w:t>Për herë të parë në vitin 2022, Shqipëria përfshihet në Tabelën Evropiane të Inovacionit, e cila është tashmë një rezultat i prekshëm i përpjekjeve të bëra gjatë viteve të fundit.</w:t>
      </w:r>
    </w:p>
    <w:p w14:paraId="1052E790" w14:textId="61A2DB98" w:rsidR="00823E92" w:rsidRPr="00770F9D" w:rsidRDefault="00823E92" w:rsidP="00400806">
      <w:pPr>
        <w:ind w:firstLine="284"/>
        <w:jc w:val="both"/>
        <w:rPr>
          <w:rFonts w:ascii="Garamond" w:hAnsi="Garamond" w:cstheme="majorBidi"/>
        </w:rPr>
      </w:pPr>
      <w:r w:rsidRPr="00770F9D">
        <w:rPr>
          <w:rFonts w:ascii="Garamond" w:hAnsi="Garamond" w:cstheme="majorBidi"/>
        </w:rPr>
        <w:t xml:space="preserve">Kuadri ligjor i ekosistemit të </w:t>
      </w:r>
      <w:r w:rsidRPr="00770F9D">
        <w:rPr>
          <w:rFonts w:ascii="Garamond" w:hAnsi="Garamond" w:cstheme="majorBidi"/>
          <w:i/>
          <w:iCs/>
        </w:rPr>
        <w:t>start-up</w:t>
      </w:r>
      <w:r w:rsidRPr="00770F9D">
        <w:rPr>
          <w:rFonts w:ascii="Garamond" w:hAnsi="Garamond" w:cstheme="majorBidi"/>
        </w:rPr>
        <w:t>-eve në Shqipëri është përmirësuar për shkak të ligjit të ri 25/2022</w:t>
      </w:r>
      <w:r w:rsidR="00B04FC4" w:rsidRPr="00770F9D">
        <w:rPr>
          <w:rFonts w:ascii="Garamond" w:hAnsi="Garamond" w:cstheme="majorBidi"/>
        </w:rPr>
        <w:t>,</w:t>
      </w:r>
      <w:r w:rsidRPr="00770F9D">
        <w:rPr>
          <w:rFonts w:ascii="Garamond" w:hAnsi="Garamond" w:cstheme="majorBidi"/>
        </w:rPr>
        <w:t xml:space="preserve"> “Për </w:t>
      </w:r>
      <w:r w:rsidR="00B04FC4" w:rsidRPr="00770F9D">
        <w:rPr>
          <w:rFonts w:ascii="Garamond" w:hAnsi="Garamond" w:cstheme="majorBidi"/>
        </w:rPr>
        <w:t xml:space="preserve">mbështetjen dhe zhvillimin e </w:t>
      </w:r>
      <w:r w:rsidR="00B04FC4" w:rsidRPr="00770F9D">
        <w:rPr>
          <w:rFonts w:ascii="Garamond" w:hAnsi="Garamond" w:cstheme="majorBidi"/>
          <w:i/>
          <w:iCs/>
        </w:rPr>
        <w:t>start</w:t>
      </w:r>
      <w:r w:rsidRPr="00770F9D">
        <w:rPr>
          <w:rFonts w:ascii="Garamond" w:hAnsi="Garamond" w:cstheme="majorBidi"/>
          <w:i/>
          <w:iCs/>
        </w:rPr>
        <w:t>-up</w:t>
      </w:r>
      <w:r w:rsidRPr="00770F9D">
        <w:rPr>
          <w:rFonts w:ascii="Garamond" w:hAnsi="Garamond" w:cstheme="majorBidi"/>
        </w:rPr>
        <w:t xml:space="preserve">-ve” i hyrë në fuqi më 16 </w:t>
      </w:r>
      <w:r w:rsidR="00B04FC4" w:rsidRPr="00770F9D">
        <w:rPr>
          <w:rFonts w:ascii="Garamond" w:hAnsi="Garamond" w:cstheme="majorBidi"/>
        </w:rPr>
        <w:t xml:space="preserve">prill </w:t>
      </w:r>
      <w:r w:rsidRPr="00770F9D">
        <w:rPr>
          <w:rFonts w:ascii="Garamond" w:hAnsi="Garamond" w:cstheme="majorBidi"/>
        </w:rPr>
        <w:t xml:space="preserve">2022. Qëllimi i </w:t>
      </w:r>
      <w:r w:rsidR="00B04FC4" w:rsidRPr="00770F9D">
        <w:rPr>
          <w:rFonts w:ascii="Garamond" w:hAnsi="Garamond" w:cstheme="majorBidi"/>
        </w:rPr>
        <w:t xml:space="preserve">ligjit </w:t>
      </w:r>
      <w:r w:rsidRPr="00770F9D">
        <w:rPr>
          <w:rFonts w:ascii="Garamond" w:hAnsi="Garamond" w:cstheme="majorBidi"/>
        </w:rPr>
        <w:t xml:space="preserve">për </w:t>
      </w:r>
      <w:r w:rsidR="00B04FC4" w:rsidRPr="00770F9D">
        <w:rPr>
          <w:rFonts w:ascii="Garamond" w:hAnsi="Garamond" w:cstheme="majorBidi"/>
          <w:i/>
          <w:iCs/>
        </w:rPr>
        <w:t>start-up</w:t>
      </w:r>
      <w:r w:rsidR="00B04FC4" w:rsidRPr="00770F9D">
        <w:rPr>
          <w:rFonts w:ascii="Garamond" w:hAnsi="Garamond" w:cstheme="majorBidi"/>
        </w:rPr>
        <w:t xml:space="preserve"> </w:t>
      </w:r>
      <w:r w:rsidRPr="00770F9D">
        <w:rPr>
          <w:rFonts w:ascii="Garamond" w:hAnsi="Garamond" w:cstheme="majorBidi"/>
        </w:rPr>
        <w:t xml:space="preserve">është për të krijuar një kuadër të favorshëm rregullator dhe institucional për inkorporimin dhe zhvillimin e bizneseve të reja, mbështetjen e ekosistemit të tyre dhe promovimin e kërkimit, realizimit dhe zbatimit të ideve novatore, si dhe modeleve, produkteve dhe proceseve të reja, të cilat do të nxisnin zhvillimin e ekonomisë shqiptare. </w:t>
      </w:r>
    </w:p>
    <w:p w14:paraId="0242C6A3" w14:textId="563F522B" w:rsidR="00BA72A4" w:rsidRPr="00770F9D" w:rsidRDefault="00823E92" w:rsidP="00400806">
      <w:pPr>
        <w:ind w:firstLine="284"/>
        <w:jc w:val="both"/>
        <w:rPr>
          <w:rFonts w:ascii="Garamond" w:hAnsi="Garamond" w:cstheme="majorBidi"/>
          <w:color w:val="0D0D0D" w:themeColor="text1" w:themeTint="F2"/>
        </w:rPr>
      </w:pPr>
      <w:r w:rsidRPr="00770F9D">
        <w:rPr>
          <w:rFonts w:ascii="Garamond" w:hAnsi="Garamond" w:cstheme="majorBidi"/>
        </w:rPr>
        <w:t>Kuvendi i Shqipërisë miratoi ligjin nr. 43/2022, datë 21.4.2022</w:t>
      </w:r>
      <w:r w:rsidR="00C95CE1" w:rsidRPr="00770F9D">
        <w:rPr>
          <w:rFonts w:ascii="Garamond" w:hAnsi="Garamond" w:cstheme="majorBidi"/>
        </w:rPr>
        <w:t>,</w:t>
      </w:r>
      <w:r w:rsidRPr="00770F9D">
        <w:rPr>
          <w:rFonts w:ascii="Garamond" w:hAnsi="Garamond" w:cstheme="majorBidi"/>
        </w:rPr>
        <w:t xml:space="preserve"> “Për zhvillimin e sipërmarrjeve mikro, të vogla dhe të mesme (SMVM)”, që mundëson krijimin e një kuadri të plotë ligjor dhe institucional</w:t>
      </w:r>
      <w:r w:rsidR="00633E11" w:rsidRPr="00770F9D">
        <w:rPr>
          <w:rFonts w:ascii="Garamond" w:hAnsi="Garamond" w:cstheme="majorBidi"/>
        </w:rPr>
        <w:t>,</w:t>
      </w:r>
      <w:r w:rsidRPr="00770F9D">
        <w:rPr>
          <w:rFonts w:ascii="Garamond" w:hAnsi="Garamond" w:cstheme="majorBidi"/>
        </w:rPr>
        <w:t xml:space="preserve"> si dhe përcaktimin e politikave shtetërore për nxitjen e krijimit, mbështetjen dhe zhvillimin e ndërmarrjeve mikro, të vogla dhe të mesme. Ai përputhet pjesërisht me </w:t>
      </w:r>
      <w:r w:rsidR="00633E11" w:rsidRPr="00770F9D">
        <w:rPr>
          <w:rFonts w:ascii="Garamond" w:hAnsi="Garamond" w:cstheme="majorBidi"/>
        </w:rPr>
        <w:t xml:space="preserve">rekomandimin </w:t>
      </w:r>
      <w:r w:rsidRPr="00770F9D">
        <w:rPr>
          <w:rFonts w:ascii="Garamond" w:hAnsi="Garamond" w:cstheme="majorBidi"/>
        </w:rPr>
        <w:t>e Komisionit të datës 6 maj 2003</w:t>
      </w:r>
      <w:r w:rsidR="00633E11" w:rsidRPr="00770F9D">
        <w:rPr>
          <w:rFonts w:ascii="Garamond" w:hAnsi="Garamond" w:cstheme="majorBidi"/>
        </w:rPr>
        <w:t>,</w:t>
      </w:r>
      <w:r w:rsidRPr="00770F9D">
        <w:rPr>
          <w:rFonts w:ascii="Garamond" w:hAnsi="Garamond" w:cstheme="majorBidi"/>
        </w:rPr>
        <w:t xml:space="preserve"> në lidhje me përkufizimin e ndërmarrjeve mikro, të vogla dhe të mesme (njoftuar nën numrin e dokumentit C (2003) 1422) (2003/361/EC)</w:t>
      </w:r>
      <w:r w:rsidR="00BA72A4" w:rsidRPr="00770F9D">
        <w:rPr>
          <w:rFonts w:ascii="Garamond" w:hAnsi="Garamond" w:cstheme="majorBidi"/>
          <w:color w:val="0D0D0D" w:themeColor="text1" w:themeTint="F2"/>
        </w:rPr>
        <w:t>.</w:t>
      </w:r>
    </w:p>
    <w:p w14:paraId="56E7ECD2" w14:textId="77777777" w:rsidR="009D37E3" w:rsidRPr="00770F9D" w:rsidRDefault="009D37E3" w:rsidP="00400806">
      <w:pPr>
        <w:ind w:firstLine="284"/>
        <w:jc w:val="both"/>
        <w:rPr>
          <w:rFonts w:ascii="Garamond" w:hAnsi="Garamond" w:cs="Garamond"/>
        </w:rPr>
      </w:pPr>
      <w:r w:rsidRPr="00770F9D">
        <w:rPr>
          <w:rFonts w:ascii="Garamond" w:hAnsi="Garamond" w:cs="Garamond"/>
        </w:rPr>
        <w:t>Qëllimi i masës është:</w:t>
      </w:r>
    </w:p>
    <w:p w14:paraId="1A752908" w14:textId="564014B6" w:rsidR="009D37E3" w:rsidRPr="00770F9D" w:rsidRDefault="00452AB0" w:rsidP="00400806">
      <w:pPr>
        <w:tabs>
          <w:tab w:val="left" w:pos="0"/>
        </w:tabs>
        <w:ind w:firstLine="284"/>
        <w:jc w:val="both"/>
        <w:rPr>
          <w:rFonts w:ascii="Garamond" w:hAnsi="Garamond" w:cs="Garamond"/>
        </w:rPr>
      </w:pPr>
      <w:r w:rsidRPr="00770F9D">
        <w:rPr>
          <w:rFonts w:ascii="Garamond" w:hAnsi="Garamond" w:cs="Symbol"/>
        </w:rPr>
        <w:t>-</w:t>
      </w:r>
      <w:r w:rsidR="00BA4F1A" w:rsidRPr="00770F9D">
        <w:rPr>
          <w:rFonts w:ascii="Garamond" w:hAnsi="Garamond" w:cs="Symbol"/>
        </w:rPr>
        <w:t xml:space="preserve"> </w:t>
      </w:r>
      <w:r w:rsidR="009D37E3" w:rsidRPr="00770F9D">
        <w:rPr>
          <w:rFonts w:ascii="Garamond" w:hAnsi="Garamond" w:cs="Garamond"/>
        </w:rPr>
        <w:t>të mundësojë zhvillimin e mëtejshëm të infrastrukturës kërkimore në ekonomi</w:t>
      </w:r>
      <w:r w:rsidR="00633E11" w:rsidRPr="00770F9D">
        <w:rPr>
          <w:rFonts w:ascii="Garamond" w:hAnsi="Garamond" w:cs="Garamond"/>
        </w:rPr>
        <w:t>,</w:t>
      </w:r>
      <w:r w:rsidR="009D37E3" w:rsidRPr="00770F9D">
        <w:rPr>
          <w:rFonts w:ascii="Garamond" w:hAnsi="Garamond" w:cs="Garamond"/>
        </w:rPr>
        <w:t xml:space="preserve"> duke rritur nivelin e investimeve në infrastrukturën kërkimore;</w:t>
      </w:r>
    </w:p>
    <w:p w14:paraId="1BB3CB3C" w14:textId="026EB0C0" w:rsidR="009D37E3" w:rsidRPr="00770F9D" w:rsidRDefault="00452AB0" w:rsidP="00400806">
      <w:pPr>
        <w:tabs>
          <w:tab w:val="left" w:pos="0"/>
        </w:tabs>
        <w:ind w:firstLine="284"/>
        <w:jc w:val="both"/>
        <w:rPr>
          <w:rFonts w:ascii="Garamond" w:hAnsi="Garamond" w:cs="Garamond"/>
        </w:rPr>
      </w:pPr>
      <w:r w:rsidRPr="00770F9D">
        <w:rPr>
          <w:rFonts w:ascii="Garamond" w:hAnsi="Garamond" w:cs="Symbol"/>
        </w:rPr>
        <w:t>-</w:t>
      </w:r>
      <w:r w:rsidR="00BA4F1A" w:rsidRPr="00770F9D">
        <w:rPr>
          <w:rFonts w:ascii="Garamond" w:hAnsi="Garamond" w:cs="Symbol"/>
        </w:rPr>
        <w:t xml:space="preserve"> </w:t>
      </w:r>
      <w:r w:rsidR="009D37E3" w:rsidRPr="00770F9D">
        <w:rPr>
          <w:rFonts w:ascii="Garamond" w:hAnsi="Garamond" w:cs="Garamond"/>
        </w:rPr>
        <w:t>të rrisë mobilitetin dhe bashkëpunimin institucional ndërmjet studiuesve dhe komunitetit të biznesit;</w:t>
      </w:r>
    </w:p>
    <w:p w14:paraId="5B888088" w14:textId="10343BEC" w:rsidR="009D37E3" w:rsidRPr="00770F9D" w:rsidRDefault="00452AB0" w:rsidP="00400806">
      <w:pPr>
        <w:tabs>
          <w:tab w:val="left" w:pos="0"/>
        </w:tabs>
        <w:ind w:firstLine="284"/>
        <w:jc w:val="both"/>
        <w:rPr>
          <w:rFonts w:ascii="Garamond" w:hAnsi="Garamond" w:cs="Garamond"/>
        </w:rPr>
      </w:pPr>
      <w:r w:rsidRPr="00770F9D">
        <w:rPr>
          <w:rFonts w:ascii="Garamond" w:hAnsi="Garamond" w:cs="Symbol"/>
        </w:rPr>
        <w:t>-</w:t>
      </w:r>
      <w:r w:rsidR="00BA4F1A" w:rsidRPr="00770F9D">
        <w:rPr>
          <w:rFonts w:ascii="Garamond" w:hAnsi="Garamond" w:cs="Symbol"/>
        </w:rPr>
        <w:t xml:space="preserve"> </w:t>
      </w:r>
      <w:r w:rsidR="009D37E3" w:rsidRPr="00770F9D">
        <w:rPr>
          <w:rFonts w:ascii="Garamond" w:hAnsi="Garamond" w:cs="Garamond"/>
        </w:rPr>
        <w:t>rritja e pjesëmarrjes së institucionit kërkimor shqiptar në FP AL;</w:t>
      </w:r>
    </w:p>
    <w:p w14:paraId="1EB7C30A" w14:textId="6DA21244" w:rsidR="009D37E3" w:rsidRPr="00770F9D" w:rsidRDefault="00452AB0" w:rsidP="00400806">
      <w:pPr>
        <w:tabs>
          <w:tab w:val="left" w:pos="0"/>
        </w:tabs>
        <w:ind w:firstLine="284"/>
        <w:jc w:val="both"/>
        <w:rPr>
          <w:rFonts w:ascii="Garamond" w:hAnsi="Garamond" w:cs="Garamond"/>
        </w:rPr>
      </w:pPr>
      <w:r w:rsidRPr="00770F9D">
        <w:rPr>
          <w:rFonts w:ascii="Garamond" w:hAnsi="Garamond" w:cs="Symbol"/>
        </w:rPr>
        <w:t>-</w:t>
      </w:r>
      <w:r w:rsidR="00BA4F1A" w:rsidRPr="00770F9D">
        <w:rPr>
          <w:rFonts w:ascii="Garamond" w:hAnsi="Garamond" w:cs="Symbol"/>
        </w:rPr>
        <w:t xml:space="preserve"> </w:t>
      </w:r>
      <w:r w:rsidR="009D37E3" w:rsidRPr="00770F9D">
        <w:rPr>
          <w:rFonts w:ascii="Garamond" w:hAnsi="Garamond" w:cs="Garamond"/>
        </w:rPr>
        <w:t>të mbështesë ndryshimet në strukturën e sektorit dhe të ndërmarrjeve në ekonomi, duke përfshirë rolin e SME-ve.</w:t>
      </w:r>
    </w:p>
    <w:p w14:paraId="54F018F7" w14:textId="7DC9D04B" w:rsidR="009D37E3" w:rsidRPr="00770F9D" w:rsidRDefault="009D37E3" w:rsidP="00400806">
      <w:pPr>
        <w:pStyle w:val="ListParagraph"/>
        <w:ind w:left="0" w:firstLine="284"/>
        <w:jc w:val="both"/>
        <w:rPr>
          <w:rFonts w:ascii="Garamond" w:hAnsi="Garamond" w:cs="Garamond"/>
          <w:b/>
          <w:bCs/>
          <w:color w:val="0D0D0D"/>
          <w:sz w:val="24"/>
          <w:szCs w:val="24"/>
          <w:lang w:val="sq-AL"/>
        </w:rPr>
      </w:pPr>
      <w:r w:rsidRPr="00770F9D">
        <w:rPr>
          <w:rFonts w:ascii="Garamond" w:hAnsi="Garamond" w:cs="Garamond"/>
          <w:b/>
          <w:bCs/>
          <w:color w:val="0D0D0D"/>
          <w:sz w:val="24"/>
          <w:szCs w:val="24"/>
          <w:lang w:val="sq-AL"/>
        </w:rPr>
        <w:t>a</w:t>
      </w:r>
      <w:r w:rsidR="001E6C9B" w:rsidRPr="00770F9D">
        <w:rPr>
          <w:rFonts w:ascii="Garamond" w:hAnsi="Garamond" w:cs="Garamond"/>
          <w:b/>
          <w:bCs/>
          <w:color w:val="0D0D0D"/>
          <w:sz w:val="24"/>
          <w:szCs w:val="24"/>
          <w:lang w:val="sq-AL"/>
        </w:rPr>
        <w:t>)</w:t>
      </w:r>
      <w:r w:rsidR="00BA4F1A" w:rsidRPr="00770F9D">
        <w:rPr>
          <w:rFonts w:ascii="Garamond" w:hAnsi="Garamond" w:cs="Garamond"/>
          <w:b/>
          <w:bCs/>
          <w:color w:val="0D0D0D"/>
          <w:sz w:val="24"/>
          <w:szCs w:val="24"/>
          <w:lang w:val="sq-AL"/>
        </w:rPr>
        <w:t xml:space="preserve"> </w:t>
      </w:r>
      <w:r w:rsidRPr="00770F9D">
        <w:rPr>
          <w:rFonts w:ascii="Garamond" w:hAnsi="Garamond" w:cs="Garamond"/>
          <w:b/>
          <w:bCs/>
          <w:color w:val="0D0D0D"/>
          <w:sz w:val="24"/>
          <w:szCs w:val="24"/>
          <w:lang w:val="sq-AL"/>
        </w:rPr>
        <w:t>Aktivitete të planifikuara në 2023</w:t>
      </w:r>
      <w:r w:rsidR="00DC685C" w:rsidRPr="00770F9D">
        <w:rPr>
          <w:rFonts w:ascii="Garamond" w:hAnsi="Garamond" w:cs="Garamond"/>
          <w:b/>
          <w:bCs/>
          <w:color w:val="0D0D0D"/>
          <w:sz w:val="24"/>
          <w:szCs w:val="24"/>
          <w:lang w:val="sq-AL"/>
        </w:rPr>
        <w:t>-shi</w:t>
      </w:r>
    </w:p>
    <w:p w14:paraId="19FAB0EC" w14:textId="7C40FA7E" w:rsidR="009D37E3" w:rsidRPr="00770F9D" w:rsidRDefault="009D37E3" w:rsidP="00400806">
      <w:pPr>
        <w:pStyle w:val="ListParagraph"/>
        <w:tabs>
          <w:tab w:val="left" w:pos="0"/>
        </w:tabs>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Hartimi i kuadrit strategjik dhe ligjor në fushën e shkencës, inovacionit dhe teknologjisë</w:t>
      </w:r>
      <w:r w:rsidR="00DC685C" w:rsidRPr="00770F9D">
        <w:rPr>
          <w:rFonts w:ascii="Garamond" w:hAnsi="Garamond" w:cs="Garamond"/>
          <w:color w:val="0D0D0D"/>
          <w:sz w:val="24"/>
          <w:szCs w:val="24"/>
          <w:lang w:val="sq-AL"/>
        </w:rPr>
        <w:t>;</w:t>
      </w:r>
    </w:p>
    <w:p w14:paraId="41620482" w14:textId="63D6A61D" w:rsidR="009D37E3" w:rsidRPr="00770F9D" w:rsidRDefault="009D37E3" w:rsidP="00400806">
      <w:pPr>
        <w:pStyle w:val="ListParagraph"/>
        <w:tabs>
          <w:tab w:val="left" w:pos="0"/>
        </w:tabs>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Zhvillimi i një metodologjie të qartë për krijimin e fondeve për transferimin e Kërkimit, Inovacionit dhe Teknologjisë</w:t>
      </w:r>
      <w:r w:rsidR="00DC685C" w:rsidRPr="00770F9D">
        <w:rPr>
          <w:rFonts w:ascii="Garamond" w:hAnsi="Garamond" w:cs="Garamond"/>
          <w:color w:val="0D0D0D"/>
          <w:sz w:val="24"/>
          <w:szCs w:val="24"/>
          <w:lang w:val="sq-AL"/>
        </w:rPr>
        <w:t>;</w:t>
      </w:r>
    </w:p>
    <w:p w14:paraId="6853C099" w14:textId="2DA3D0F1" w:rsidR="009D37E3" w:rsidRPr="00770F9D" w:rsidRDefault="009D37E3" w:rsidP="00400806">
      <w:pPr>
        <w:pStyle w:val="ListParagraph"/>
        <w:tabs>
          <w:tab w:val="left" w:pos="0"/>
        </w:tabs>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 xml:space="preserve">Rritja dhe forcimi i kapaciteteve njerëzore dhe </w:t>
      </w:r>
      <w:r w:rsidR="00DC685C" w:rsidRPr="00770F9D">
        <w:rPr>
          <w:rFonts w:ascii="Garamond" w:hAnsi="Garamond" w:cs="Garamond"/>
          <w:color w:val="0D0D0D"/>
          <w:sz w:val="24"/>
          <w:szCs w:val="24"/>
          <w:lang w:val="sq-AL"/>
        </w:rPr>
        <w:t>infrastrukturore</w:t>
      </w:r>
      <w:r w:rsidRPr="00770F9D">
        <w:rPr>
          <w:rFonts w:ascii="Garamond" w:hAnsi="Garamond" w:cs="Garamond"/>
          <w:color w:val="0D0D0D"/>
          <w:sz w:val="24"/>
          <w:szCs w:val="24"/>
          <w:lang w:val="sq-AL"/>
        </w:rPr>
        <w:t xml:space="preserve"> të</w:t>
      </w:r>
      <w:r w:rsidR="00263132"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kërkimit shkencor dhe inovacionit përmes mbështetjes dhe financimit, duke promovuar modelin e heliksit të katërfishtë dhe parimin e shkencës së hapur</w:t>
      </w:r>
      <w:r w:rsidR="00DC685C" w:rsidRPr="00770F9D">
        <w:rPr>
          <w:rFonts w:ascii="Garamond" w:hAnsi="Garamond" w:cs="Garamond"/>
          <w:color w:val="0D0D0D"/>
          <w:sz w:val="24"/>
          <w:szCs w:val="24"/>
          <w:lang w:val="sq-AL"/>
        </w:rPr>
        <w:t>;</w:t>
      </w:r>
    </w:p>
    <w:p w14:paraId="70109175" w14:textId="6F009728" w:rsidR="009D37E3" w:rsidRPr="00770F9D" w:rsidRDefault="009D37E3" w:rsidP="00400806">
      <w:pPr>
        <w:pStyle w:val="ListParagraph"/>
        <w:tabs>
          <w:tab w:val="left" w:pos="0"/>
        </w:tabs>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 xml:space="preserve">Prodhimi i statistikave dhe të dhënave të besueshme për shkencën dhe teknologjinë, duke përfshirë treguesin mbi shpenzimet e brendshme bruto për </w:t>
      </w:r>
      <w:r w:rsidR="00BF58CC" w:rsidRPr="00770F9D">
        <w:rPr>
          <w:rFonts w:ascii="Garamond" w:hAnsi="Garamond" w:cs="Garamond"/>
          <w:color w:val="0D0D0D"/>
          <w:sz w:val="24"/>
          <w:szCs w:val="24"/>
          <w:lang w:val="sq-AL"/>
        </w:rPr>
        <w:t xml:space="preserve">kërkimin dhe inovacionin </w:t>
      </w:r>
      <w:r w:rsidRPr="00770F9D">
        <w:rPr>
          <w:rFonts w:ascii="Garamond" w:hAnsi="Garamond" w:cs="Garamond"/>
          <w:color w:val="0D0D0D"/>
          <w:sz w:val="24"/>
          <w:szCs w:val="24"/>
          <w:lang w:val="sq-AL"/>
        </w:rPr>
        <w:t>(NASRI dhe Instituti i Statistikave).</w:t>
      </w:r>
    </w:p>
    <w:p w14:paraId="46A93A94" w14:textId="36C8B64A" w:rsidR="009D37E3" w:rsidRPr="00770F9D" w:rsidRDefault="009D37E3" w:rsidP="00400806">
      <w:pPr>
        <w:pStyle w:val="ListParagraph"/>
        <w:ind w:left="0" w:firstLine="284"/>
        <w:jc w:val="both"/>
        <w:rPr>
          <w:rFonts w:ascii="Garamond" w:hAnsi="Garamond" w:cs="Garamond"/>
          <w:b/>
          <w:bCs/>
          <w:color w:val="0D0D0D"/>
          <w:sz w:val="24"/>
          <w:szCs w:val="24"/>
          <w:lang w:val="sq-AL"/>
        </w:rPr>
      </w:pPr>
      <w:r w:rsidRPr="00770F9D">
        <w:rPr>
          <w:rFonts w:ascii="Garamond" w:hAnsi="Garamond" w:cs="Garamond"/>
          <w:b/>
          <w:bCs/>
          <w:color w:val="0D0D0D"/>
          <w:sz w:val="24"/>
          <w:szCs w:val="24"/>
          <w:lang w:val="sq-AL"/>
        </w:rPr>
        <w:t>b</w:t>
      </w:r>
      <w:r w:rsidR="001E6C9B" w:rsidRPr="00770F9D">
        <w:rPr>
          <w:rFonts w:ascii="Garamond" w:hAnsi="Garamond" w:cs="Garamond"/>
          <w:b/>
          <w:bCs/>
          <w:color w:val="0D0D0D"/>
          <w:sz w:val="24"/>
          <w:szCs w:val="24"/>
          <w:lang w:val="sq-AL"/>
        </w:rPr>
        <w:t>)</w:t>
      </w:r>
      <w:r w:rsidR="00BA4F1A" w:rsidRPr="00770F9D">
        <w:rPr>
          <w:rFonts w:ascii="Garamond" w:hAnsi="Garamond" w:cs="Garamond"/>
          <w:b/>
          <w:bCs/>
          <w:color w:val="0D0D0D"/>
          <w:sz w:val="24"/>
          <w:szCs w:val="24"/>
          <w:lang w:val="sq-AL"/>
        </w:rPr>
        <w:t xml:space="preserve"> </w:t>
      </w:r>
      <w:r w:rsidRPr="00770F9D">
        <w:rPr>
          <w:rFonts w:ascii="Garamond" w:hAnsi="Garamond" w:cs="Garamond"/>
          <w:b/>
          <w:bCs/>
          <w:color w:val="0D0D0D"/>
          <w:sz w:val="24"/>
          <w:szCs w:val="24"/>
          <w:lang w:val="sq-AL"/>
        </w:rPr>
        <w:t>Aktivitete të planifikuara në 2024</w:t>
      </w:r>
      <w:r w:rsidR="00BF58CC" w:rsidRPr="00770F9D">
        <w:rPr>
          <w:rFonts w:ascii="Garamond" w:hAnsi="Garamond" w:cs="Garamond"/>
          <w:b/>
          <w:bCs/>
          <w:color w:val="0D0D0D"/>
          <w:sz w:val="24"/>
          <w:szCs w:val="24"/>
          <w:lang w:val="sq-AL"/>
        </w:rPr>
        <w:t>-n</w:t>
      </w:r>
    </w:p>
    <w:p w14:paraId="65390A05" w14:textId="79B2406E" w:rsidR="009D37E3" w:rsidRPr="00770F9D" w:rsidRDefault="009D37E3" w:rsidP="00400806">
      <w:pPr>
        <w:ind w:firstLine="284"/>
        <w:jc w:val="both"/>
        <w:rPr>
          <w:rFonts w:ascii="Garamond" w:hAnsi="Garamond" w:cs="Garamond"/>
          <w:color w:val="0D0D0D"/>
        </w:rPr>
      </w:pPr>
      <w:r w:rsidRPr="00770F9D">
        <w:rPr>
          <w:rFonts w:ascii="Garamond" w:hAnsi="Garamond"/>
          <w:color w:val="0D0D0D"/>
        </w:rPr>
        <w:t>-</w:t>
      </w:r>
      <w:r w:rsidR="00BA4F1A" w:rsidRPr="00770F9D">
        <w:rPr>
          <w:rFonts w:ascii="Garamond" w:hAnsi="Garamond"/>
          <w:color w:val="0D0D0D"/>
        </w:rPr>
        <w:t xml:space="preserve"> </w:t>
      </w:r>
      <w:r w:rsidRPr="00770F9D">
        <w:rPr>
          <w:rFonts w:ascii="Garamond" w:hAnsi="Garamond" w:cs="Garamond"/>
          <w:color w:val="0D0D0D"/>
        </w:rPr>
        <w:t>Finalizmi dhe plotësimi i kuadrit strategjik, ligjor dhe nënligjor në fushën e shkencës, inovacionit dhe teknologjisë</w:t>
      </w:r>
      <w:r w:rsidR="00BF58CC" w:rsidRPr="00770F9D">
        <w:rPr>
          <w:rFonts w:ascii="Garamond" w:hAnsi="Garamond" w:cs="Garamond"/>
          <w:color w:val="0D0D0D"/>
        </w:rPr>
        <w:t>;</w:t>
      </w:r>
    </w:p>
    <w:p w14:paraId="58423BE1" w14:textId="032A7FB8" w:rsidR="009D37E3" w:rsidRPr="00770F9D" w:rsidRDefault="009D37E3" w:rsidP="00400806">
      <w:pPr>
        <w:ind w:firstLine="284"/>
        <w:jc w:val="both"/>
        <w:rPr>
          <w:rFonts w:ascii="Garamond" w:hAnsi="Garamond" w:cs="Garamond"/>
          <w:color w:val="0D0D0D"/>
        </w:rPr>
      </w:pPr>
      <w:r w:rsidRPr="00770F9D">
        <w:rPr>
          <w:rFonts w:ascii="Garamond" w:hAnsi="Garamond"/>
          <w:color w:val="0D0D0D"/>
        </w:rPr>
        <w:t>-</w:t>
      </w:r>
      <w:r w:rsidR="00BA4F1A" w:rsidRPr="00770F9D">
        <w:rPr>
          <w:rFonts w:ascii="Garamond" w:hAnsi="Garamond"/>
          <w:color w:val="0D0D0D"/>
        </w:rPr>
        <w:t xml:space="preserve"> </w:t>
      </w:r>
      <w:r w:rsidRPr="00770F9D">
        <w:rPr>
          <w:rFonts w:ascii="Garamond" w:hAnsi="Garamond" w:cs="Garamond"/>
          <w:color w:val="0D0D0D"/>
        </w:rPr>
        <w:t xml:space="preserve">Institucionalizimi i “Shkencës së </w:t>
      </w:r>
      <w:r w:rsidR="00BF58CC" w:rsidRPr="00770F9D">
        <w:rPr>
          <w:rFonts w:ascii="Garamond" w:hAnsi="Garamond" w:cs="Garamond"/>
          <w:color w:val="0D0D0D"/>
        </w:rPr>
        <w:t>hapur</w:t>
      </w:r>
      <w:r w:rsidRPr="00770F9D">
        <w:rPr>
          <w:rFonts w:ascii="Garamond" w:hAnsi="Garamond" w:cs="Garamond"/>
          <w:color w:val="0D0D0D"/>
        </w:rPr>
        <w:t>” si prioritet i ERA-s, i cili do të përqafohet nga institucionet shqiptare të arsimit të lartë dhe kërkimit</w:t>
      </w:r>
      <w:r w:rsidR="00BF58CC" w:rsidRPr="00770F9D">
        <w:rPr>
          <w:rFonts w:ascii="Garamond" w:hAnsi="Garamond" w:cs="Garamond"/>
          <w:color w:val="0D0D0D"/>
        </w:rPr>
        <w:t>;</w:t>
      </w:r>
    </w:p>
    <w:p w14:paraId="00000D52" w14:textId="7493F109" w:rsidR="009D37E3" w:rsidRPr="00770F9D" w:rsidRDefault="009D37E3" w:rsidP="00400806">
      <w:pPr>
        <w:ind w:firstLine="284"/>
        <w:jc w:val="both"/>
        <w:rPr>
          <w:rFonts w:ascii="Garamond" w:hAnsi="Garamond" w:cs="Garamond"/>
          <w:i/>
          <w:iCs/>
          <w:color w:val="0D0D0D"/>
        </w:rPr>
      </w:pPr>
      <w:r w:rsidRPr="00770F9D">
        <w:rPr>
          <w:rFonts w:ascii="Garamond" w:hAnsi="Garamond"/>
          <w:color w:val="0D0D0D"/>
        </w:rPr>
        <w:t>-</w:t>
      </w:r>
      <w:r w:rsidR="00BA4F1A" w:rsidRPr="00770F9D">
        <w:rPr>
          <w:rFonts w:ascii="Garamond" w:hAnsi="Garamond"/>
          <w:color w:val="0D0D0D"/>
        </w:rPr>
        <w:t xml:space="preserve"> </w:t>
      </w:r>
      <w:r w:rsidRPr="00770F9D">
        <w:rPr>
          <w:rFonts w:ascii="Garamond" w:hAnsi="Garamond" w:cs="Garamond"/>
          <w:color w:val="0D0D0D"/>
        </w:rPr>
        <w:t xml:space="preserve">Përgatitja dhe zbatimi i </w:t>
      </w:r>
      <w:r w:rsidR="00BF58CC" w:rsidRPr="00770F9D">
        <w:rPr>
          <w:rFonts w:ascii="Garamond" w:hAnsi="Garamond" w:cs="Garamond"/>
          <w:color w:val="0D0D0D"/>
        </w:rPr>
        <w:t xml:space="preserve">Udhërrëfyesit </w:t>
      </w:r>
      <w:r w:rsidRPr="00770F9D">
        <w:rPr>
          <w:rFonts w:ascii="Garamond" w:hAnsi="Garamond" w:cs="Garamond"/>
          <w:color w:val="0D0D0D"/>
        </w:rPr>
        <w:t xml:space="preserve">të Infrastrukturës Kërkimore </w:t>
      </w:r>
      <w:r w:rsidRPr="00770F9D">
        <w:rPr>
          <w:rFonts w:ascii="Garamond" w:hAnsi="Garamond" w:cs="Garamond"/>
          <w:i/>
          <w:iCs/>
          <w:color w:val="0D0D0D"/>
        </w:rPr>
        <w:t>(Research Infrastructure Roadmap);</w:t>
      </w:r>
    </w:p>
    <w:p w14:paraId="1D0BA974" w14:textId="08F6CAB9" w:rsidR="009D37E3" w:rsidRPr="00770F9D" w:rsidRDefault="009D37E3" w:rsidP="00400806">
      <w:pPr>
        <w:ind w:firstLine="284"/>
        <w:jc w:val="both"/>
        <w:rPr>
          <w:rFonts w:ascii="Garamond" w:hAnsi="Garamond" w:cs="Garamond"/>
          <w:color w:val="0D0D0D"/>
        </w:rPr>
      </w:pPr>
      <w:r w:rsidRPr="00770F9D">
        <w:rPr>
          <w:rFonts w:ascii="Garamond" w:hAnsi="Garamond"/>
          <w:color w:val="0D0D0D"/>
        </w:rPr>
        <w:t>-</w:t>
      </w:r>
      <w:r w:rsidR="00BA4F1A" w:rsidRPr="00770F9D">
        <w:rPr>
          <w:rFonts w:ascii="Garamond" w:hAnsi="Garamond"/>
          <w:color w:val="0D0D0D"/>
        </w:rPr>
        <w:t xml:space="preserve"> </w:t>
      </w:r>
      <w:r w:rsidRPr="00770F9D">
        <w:rPr>
          <w:rFonts w:ascii="Garamond" w:hAnsi="Garamond" w:cs="Garamond"/>
          <w:color w:val="0D0D0D"/>
        </w:rPr>
        <w:t xml:space="preserve">Rritja e ndërkombëtarizimit të kërkimit shkencor në institucionet e arsimit të lartë përmes pjesëmarrjes në </w:t>
      </w:r>
      <w:r w:rsidRPr="00770F9D">
        <w:rPr>
          <w:rFonts w:ascii="Garamond" w:hAnsi="Garamond" w:cs="Garamond"/>
          <w:i/>
          <w:iCs/>
          <w:color w:val="0D0D0D"/>
        </w:rPr>
        <w:t>Eureka Program</w:t>
      </w:r>
      <w:r w:rsidR="00045DC5" w:rsidRPr="00770F9D">
        <w:rPr>
          <w:rFonts w:ascii="Garamond" w:hAnsi="Garamond" w:cs="Garamond"/>
          <w:color w:val="0D0D0D"/>
        </w:rPr>
        <w:t>,</w:t>
      </w:r>
      <w:r w:rsidRPr="00770F9D">
        <w:rPr>
          <w:rFonts w:ascii="Garamond" w:hAnsi="Garamond" w:cs="Garamond"/>
          <w:color w:val="0D0D0D"/>
        </w:rPr>
        <w:t xml:space="preserve"> si dhe përmes zbatimit të Kartës Evropiane të Kërkuesit Shkencor dhe të Kodit të Sjelljes për Rekrutimin e Kërkuesve Shkencorë.</w:t>
      </w:r>
    </w:p>
    <w:p w14:paraId="6370967D" w14:textId="163E11C8" w:rsidR="009D37E3" w:rsidRPr="00770F9D" w:rsidRDefault="009D37E3" w:rsidP="00400806">
      <w:pPr>
        <w:pStyle w:val="ListParagraph"/>
        <w:ind w:left="0" w:firstLine="284"/>
        <w:jc w:val="both"/>
        <w:rPr>
          <w:rFonts w:ascii="Garamond" w:hAnsi="Garamond" w:cs="Garamond"/>
          <w:b/>
          <w:bCs/>
          <w:color w:val="0D0D0D"/>
          <w:sz w:val="24"/>
          <w:szCs w:val="24"/>
          <w:lang w:val="sq-AL"/>
        </w:rPr>
      </w:pPr>
      <w:r w:rsidRPr="00770F9D">
        <w:rPr>
          <w:rFonts w:ascii="Garamond" w:hAnsi="Garamond" w:cs="Garamond"/>
          <w:b/>
          <w:bCs/>
          <w:color w:val="0D0D0D"/>
          <w:sz w:val="24"/>
          <w:szCs w:val="24"/>
          <w:lang w:val="sq-AL"/>
        </w:rPr>
        <w:t>c</w:t>
      </w:r>
      <w:r w:rsidR="001E6C9B" w:rsidRPr="00770F9D">
        <w:rPr>
          <w:rFonts w:ascii="Garamond" w:hAnsi="Garamond" w:cs="Garamond"/>
          <w:b/>
          <w:bCs/>
          <w:color w:val="0D0D0D"/>
          <w:sz w:val="24"/>
          <w:szCs w:val="24"/>
          <w:lang w:val="sq-AL"/>
        </w:rPr>
        <w:t>)</w:t>
      </w:r>
      <w:r w:rsidR="00BA4F1A" w:rsidRPr="00770F9D">
        <w:rPr>
          <w:rFonts w:ascii="Garamond" w:hAnsi="Garamond" w:cs="Garamond"/>
          <w:b/>
          <w:bCs/>
          <w:color w:val="0D0D0D"/>
          <w:sz w:val="24"/>
          <w:szCs w:val="24"/>
          <w:lang w:val="sq-AL"/>
        </w:rPr>
        <w:t xml:space="preserve"> </w:t>
      </w:r>
      <w:r w:rsidRPr="00770F9D">
        <w:rPr>
          <w:rFonts w:ascii="Garamond" w:hAnsi="Garamond" w:cs="Garamond"/>
          <w:b/>
          <w:bCs/>
          <w:color w:val="0D0D0D"/>
          <w:sz w:val="24"/>
          <w:szCs w:val="24"/>
          <w:lang w:val="sq-AL"/>
        </w:rPr>
        <w:t>Aktivitete të planifikuara në</w:t>
      </w:r>
      <w:r w:rsidR="00045DC5" w:rsidRPr="00770F9D">
        <w:rPr>
          <w:rFonts w:ascii="Garamond" w:hAnsi="Garamond" w:cs="Garamond"/>
          <w:b/>
          <w:bCs/>
          <w:color w:val="0D0D0D"/>
          <w:sz w:val="24"/>
          <w:szCs w:val="24"/>
          <w:lang w:val="sq-AL"/>
        </w:rPr>
        <w:t xml:space="preserve"> </w:t>
      </w:r>
      <w:r w:rsidRPr="00770F9D">
        <w:rPr>
          <w:rFonts w:ascii="Garamond" w:hAnsi="Garamond" w:cs="Garamond"/>
          <w:b/>
          <w:bCs/>
          <w:color w:val="0D0D0D"/>
          <w:sz w:val="24"/>
          <w:szCs w:val="24"/>
          <w:lang w:val="sq-AL"/>
        </w:rPr>
        <w:t>2025</w:t>
      </w:r>
      <w:r w:rsidR="00045DC5" w:rsidRPr="00770F9D">
        <w:rPr>
          <w:rFonts w:ascii="Garamond" w:hAnsi="Garamond" w:cs="Garamond"/>
          <w:b/>
          <w:bCs/>
          <w:color w:val="0D0D0D"/>
          <w:sz w:val="24"/>
          <w:szCs w:val="24"/>
          <w:lang w:val="sq-AL"/>
        </w:rPr>
        <w:t>-n</w:t>
      </w:r>
    </w:p>
    <w:p w14:paraId="714A2EBF" w14:textId="24D885D0" w:rsidR="009D37E3" w:rsidRPr="00770F9D" w:rsidRDefault="009D37E3" w:rsidP="00400806">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Krijimi i një parku të ri teknologjik;</w:t>
      </w:r>
    </w:p>
    <w:p w14:paraId="45F04076" w14:textId="6A9FA452" w:rsidR="009D37E3" w:rsidRPr="00770F9D" w:rsidRDefault="009D37E3" w:rsidP="00400806">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 xml:space="preserve">Ofrimi i mbështetje për Bashkinë e Elbasanit për të përgatitur dhe dorëzuar të paktën një projekt në kuadër të </w:t>
      </w:r>
      <w:r w:rsidR="00AA5D73" w:rsidRPr="00770F9D">
        <w:rPr>
          <w:rFonts w:ascii="Garamond" w:hAnsi="Garamond" w:cs="Garamond"/>
          <w:color w:val="0D0D0D"/>
          <w:sz w:val="24"/>
          <w:szCs w:val="24"/>
          <w:lang w:val="sq-AL"/>
        </w:rPr>
        <w:t>misionit të qyteteve</w:t>
      </w:r>
      <w:r w:rsidRPr="00770F9D">
        <w:rPr>
          <w:rFonts w:ascii="Garamond" w:hAnsi="Garamond" w:cs="Garamond"/>
          <w:color w:val="0D0D0D"/>
          <w:sz w:val="24"/>
          <w:szCs w:val="24"/>
          <w:lang w:val="sq-AL"/>
        </w:rPr>
        <w:t>;</w:t>
      </w:r>
    </w:p>
    <w:p w14:paraId="2CE5B813" w14:textId="22A7A11C" w:rsidR="009D37E3" w:rsidRPr="00770F9D" w:rsidRDefault="009D37E3" w:rsidP="00400806">
      <w:pPr>
        <w:pStyle w:val="ListParagraph"/>
        <w:ind w:left="0" w:firstLine="284"/>
        <w:jc w:val="both"/>
        <w:rPr>
          <w:rFonts w:ascii="Garamond" w:hAnsi="Garamond" w:cs="Garamond"/>
          <w:b/>
          <w:bCs/>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Ndërtimi i qendrës Nano-Alb, e cila do të krijojë një mundësi për përqendrim të njerëzve, akumulim njohurish në nanoteknologji.</w:t>
      </w:r>
    </w:p>
    <w:p w14:paraId="6267F042" w14:textId="0C82B0D3" w:rsidR="009D37E3" w:rsidRPr="00770F9D" w:rsidRDefault="00452AB0" w:rsidP="00400806">
      <w:pPr>
        <w:pStyle w:val="Heading6"/>
        <w:numPr>
          <w:ilvl w:val="0"/>
          <w:numId w:val="0"/>
        </w:numPr>
        <w:ind w:firstLine="284"/>
        <w:rPr>
          <w:rFonts w:ascii="Garamond" w:hAnsi="Garamond" w:cs="Garamond"/>
          <w:color w:val="0D0D0D"/>
          <w:u w:val="none"/>
        </w:rPr>
      </w:pPr>
      <w:r w:rsidRPr="00770F9D">
        <w:rPr>
          <w:rFonts w:ascii="Garamond" w:hAnsi="Garamond" w:cs="Garamond"/>
          <w:color w:val="0D0D0D"/>
          <w:u w:val="none"/>
        </w:rPr>
        <w:t>2</w:t>
      </w:r>
      <w:r w:rsidR="009D37E3" w:rsidRPr="00770F9D">
        <w:rPr>
          <w:rFonts w:ascii="Garamond" w:hAnsi="Garamond" w:cs="Garamond"/>
          <w:color w:val="0D0D0D"/>
          <w:u w:val="none"/>
        </w:rPr>
        <w:t>.</w:t>
      </w:r>
      <w:r w:rsidR="00BA4F1A" w:rsidRPr="00770F9D">
        <w:rPr>
          <w:rFonts w:ascii="Garamond" w:hAnsi="Garamond" w:cs="Garamond"/>
          <w:color w:val="0D0D0D"/>
          <w:u w:val="none"/>
        </w:rPr>
        <w:t xml:space="preserve"> </w:t>
      </w:r>
      <w:r w:rsidR="009D37E3" w:rsidRPr="00770F9D">
        <w:rPr>
          <w:rFonts w:ascii="Garamond" w:hAnsi="Garamond" w:cs="Garamond"/>
          <w:color w:val="0D0D0D"/>
          <w:u w:val="none"/>
        </w:rPr>
        <w:t>Treguesit e rezultateve</w:t>
      </w:r>
    </w:p>
    <w:tbl>
      <w:tblPr>
        <w:tblStyle w:val="TableGrid"/>
        <w:tblW w:w="5000" w:type="pct"/>
        <w:tblLook w:val="04A0" w:firstRow="1" w:lastRow="0" w:firstColumn="1" w:lastColumn="0" w:noHBand="0" w:noVBand="1"/>
      </w:tblPr>
      <w:tblGrid>
        <w:gridCol w:w="4957"/>
        <w:gridCol w:w="1226"/>
        <w:gridCol w:w="1627"/>
        <w:gridCol w:w="1477"/>
      </w:tblGrid>
      <w:tr w:rsidR="009C65E6" w:rsidRPr="00770F9D" w14:paraId="594E570B" w14:textId="77777777" w:rsidTr="001E6C9B">
        <w:trPr>
          <w:trHeight w:val="144"/>
        </w:trPr>
        <w:tc>
          <w:tcPr>
            <w:tcW w:w="2669" w:type="pct"/>
            <w:vAlign w:val="center"/>
          </w:tcPr>
          <w:p w14:paraId="443D20F5" w14:textId="77777777" w:rsidR="009C65E6" w:rsidRPr="00770F9D" w:rsidRDefault="009C65E6" w:rsidP="001E6C9B">
            <w:pPr>
              <w:jc w:val="center"/>
              <w:rPr>
                <w:rFonts w:ascii="Garamond" w:hAnsi="Garamond" w:cstheme="majorBidi"/>
                <w:b/>
                <w:bCs/>
                <w:sz w:val="20"/>
                <w:szCs w:val="20"/>
              </w:rPr>
            </w:pPr>
            <w:r w:rsidRPr="00770F9D">
              <w:rPr>
                <w:rFonts w:ascii="Garamond" w:hAnsi="Garamond" w:cstheme="majorBidi"/>
                <w:b/>
                <w:bCs/>
                <w:sz w:val="20"/>
                <w:szCs w:val="20"/>
              </w:rPr>
              <w:t>Tregues</w:t>
            </w:r>
          </w:p>
        </w:tc>
        <w:tc>
          <w:tcPr>
            <w:tcW w:w="660" w:type="pct"/>
            <w:vAlign w:val="center"/>
          </w:tcPr>
          <w:p w14:paraId="78262D9E" w14:textId="77777777" w:rsidR="009C65E6" w:rsidRPr="00770F9D" w:rsidRDefault="009C65E6" w:rsidP="001E6C9B">
            <w:pPr>
              <w:jc w:val="center"/>
              <w:rPr>
                <w:rFonts w:ascii="Garamond" w:hAnsi="Garamond" w:cstheme="majorBidi"/>
                <w:b/>
                <w:bCs/>
                <w:sz w:val="20"/>
                <w:szCs w:val="20"/>
              </w:rPr>
            </w:pPr>
            <w:r w:rsidRPr="00770F9D">
              <w:rPr>
                <w:rFonts w:ascii="Garamond" w:hAnsi="Garamond" w:cstheme="majorBidi"/>
                <w:b/>
                <w:bCs/>
                <w:sz w:val="20"/>
                <w:szCs w:val="20"/>
              </w:rPr>
              <w:t>Bazë (2023)</w:t>
            </w:r>
          </w:p>
        </w:tc>
        <w:tc>
          <w:tcPr>
            <w:tcW w:w="876" w:type="pct"/>
            <w:vAlign w:val="center"/>
          </w:tcPr>
          <w:p w14:paraId="6BB105B3" w14:textId="77777777" w:rsidR="009C65E6" w:rsidRPr="00770F9D" w:rsidRDefault="009C65E6" w:rsidP="001E6C9B">
            <w:pPr>
              <w:jc w:val="center"/>
              <w:rPr>
                <w:rFonts w:ascii="Garamond" w:hAnsi="Garamond" w:cstheme="majorBidi"/>
                <w:b/>
                <w:bCs/>
                <w:sz w:val="20"/>
                <w:szCs w:val="20"/>
              </w:rPr>
            </w:pPr>
            <w:r w:rsidRPr="00770F9D">
              <w:rPr>
                <w:rFonts w:ascii="Garamond" w:hAnsi="Garamond" w:cstheme="majorBidi"/>
                <w:b/>
                <w:bCs/>
                <w:sz w:val="20"/>
                <w:szCs w:val="20"/>
              </w:rPr>
              <w:t>I ndërmjetëm (2024)</w:t>
            </w:r>
          </w:p>
        </w:tc>
        <w:tc>
          <w:tcPr>
            <w:tcW w:w="795" w:type="pct"/>
            <w:vAlign w:val="center"/>
          </w:tcPr>
          <w:p w14:paraId="01349540" w14:textId="77777777" w:rsidR="009C65E6" w:rsidRPr="00770F9D" w:rsidRDefault="009C65E6" w:rsidP="001E6C9B">
            <w:pPr>
              <w:jc w:val="center"/>
              <w:rPr>
                <w:rFonts w:ascii="Garamond" w:hAnsi="Garamond" w:cstheme="majorBidi"/>
                <w:b/>
                <w:bCs/>
                <w:sz w:val="20"/>
                <w:szCs w:val="20"/>
              </w:rPr>
            </w:pPr>
            <w:r w:rsidRPr="00770F9D">
              <w:rPr>
                <w:rFonts w:ascii="Garamond" w:hAnsi="Garamond" w:cstheme="majorBidi"/>
                <w:b/>
                <w:bCs/>
                <w:sz w:val="20"/>
                <w:szCs w:val="20"/>
              </w:rPr>
              <w:t>Final (2025)</w:t>
            </w:r>
          </w:p>
        </w:tc>
      </w:tr>
      <w:tr w:rsidR="009C65E6" w:rsidRPr="00770F9D" w14:paraId="7EDCF4EA" w14:textId="77777777" w:rsidTr="001E6C9B">
        <w:trPr>
          <w:trHeight w:val="144"/>
        </w:trPr>
        <w:tc>
          <w:tcPr>
            <w:tcW w:w="2669" w:type="pct"/>
          </w:tcPr>
          <w:p w14:paraId="2D6E33F0" w14:textId="1F1ADF32" w:rsidR="009C65E6" w:rsidRPr="00770F9D" w:rsidRDefault="009C65E6" w:rsidP="00452AB0">
            <w:pPr>
              <w:jc w:val="both"/>
              <w:rPr>
                <w:rFonts w:ascii="Garamond" w:hAnsi="Garamond" w:cstheme="majorBidi"/>
                <w:sz w:val="20"/>
                <w:szCs w:val="20"/>
              </w:rPr>
            </w:pPr>
            <w:r w:rsidRPr="00770F9D">
              <w:rPr>
                <w:rFonts w:ascii="Garamond" w:hAnsi="Garamond" w:cstheme="majorBidi"/>
                <w:sz w:val="20"/>
                <w:szCs w:val="20"/>
              </w:rPr>
              <w:t>Numri i projekteve R&amp;D dhe RI të financuara nga MAS</w:t>
            </w:r>
            <w:r w:rsidR="00AA5D73" w:rsidRPr="00770F9D">
              <w:rPr>
                <w:rFonts w:ascii="Garamond" w:hAnsi="Garamond" w:cstheme="majorBidi"/>
                <w:sz w:val="20"/>
                <w:szCs w:val="20"/>
              </w:rPr>
              <w:t>-i</w:t>
            </w:r>
            <w:r w:rsidRPr="00770F9D">
              <w:rPr>
                <w:rFonts w:ascii="Garamond" w:hAnsi="Garamond" w:cstheme="majorBidi"/>
                <w:sz w:val="20"/>
                <w:szCs w:val="20"/>
              </w:rPr>
              <w:t xml:space="preserve"> nëpërmjet NASRI</w:t>
            </w:r>
          </w:p>
        </w:tc>
        <w:tc>
          <w:tcPr>
            <w:tcW w:w="660" w:type="pct"/>
            <w:vAlign w:val="center"/>
          </w:tcPr>
          <w:p w14:paraId="77CB558D" w14:textId="77777777" w:rsidR="009C65E6" w:rsidRPr="00770F9D" w:rsidRDefault="009C65E6" w:rsidP="001E6C9B">
            <w:pPr>
              <w:jc w:val="right"/>
              <w:rPr>
                <w:rFonts w:ascii="Garamond" w:hAnsi="Garamond" w:cstheme="majorBidi"/>
                <w:sz w:val="20"/>
                <w:szCs w:val="20"/>
              </w:rPr>
            </w:pPr>
            <w:r w:rsidRPr="00770F9D">
              <w:rPr>
                <w:rFonts w:ascii="Garamond" w:hAnsi="Garamond" w:cstheme="majorBidi"/>
                <w:sz w:val="20"/>
                <w:szCs w:val="20"/>
              </w:rPr>
              <w:t>40</w:t>
            </w:r>
          </w:p>
        </w:tc>
        <w:tc>
          <w:tcPr>
            <w:tcW w:w="876" w:type="pct"/>
            <w:vAlign w:val="center"/>
          </w:tcPr>
          <w:p w14:paraId="4E9DFA7B" w14:textId="77777777" w:rsidR="009C65E6" w:rsidRPr="00770F9D" w:rsidRDefault="009C65E6" w:rsidP="001E6C9B">
            <w:pPr>
              <w:jc w:val="right"/>
              <w:rPr>
                <w:rFonts w:ascii="Garamond" w:hAnsi="Garamond" w:cstheme="majorBidi"/>
                <w:sz w:val="20"/>
                <w:szCs w:val="20"/>
              </w:rPr>
            </w:pPr>
            <w:r w:rsidRPr="00770F9D">
              <w:rPr>
                <w:rFonts w:ascii="Garamond" w:hAnsi="Garamond" w:cstheme="majorBidi"/>
                <w:sz w:val="20"/>
                <w:szCs w:val="20"/>
              </w:rPr>
              <w:t>50</w:t>
            </w:r>
          </w:p>
        </w:tc>
        <w:tc>
          <w:tcPr>
            <w:tcW w:w="795" w:type="pct"/>
            <w:vAlign w:val="center"/>
          </w:tcPr>
          <w:p w14:paraId="1D9F2F0E" w14:textId="77777777" w:rsidR="009C65E6" w:rsidRPr="00770F9D" w:rsidRDefault="009C65E6" w:rsidP="001E6C9B">
            <w:pPr>
              <w:jc w:val="right"/>
              <w:rPr>
                <w:rFonts w:ascii="Garamond" w:hAnsi="Garamond" w:cstheme="majorBidi"/>
                <w:sz w:val="20"/>
                <w:szCs w:val="20"/>
              </w:rPr>
            </w:pPr>
            <w:r w:rsidRPr="00770F9D">
              <w:rPr>
                <w:rFonts w:ascii="Garamond" w:hAnsi="Garamond" w:cstheme="majorBidi"/>
                <w:sz w:val="20"/>
                <w:szCs w:val="20"/>
              </w:rPr>
              <w:t>60</w:t>
            </w:r>
          </w:p>
        </w:tc>
      </w:tr>
      <w:tr w:rsidR="009C65E6" w:rsidRPr="00770F9D" w14:paraId="134FE3C0" w14:textId="77777777" w:rsidTr="001E6C9B">
        <w:trPr>
          <w:trHeight w:val="144"/>
        </w:trPr>
        <w:tc>
          <w:tcPr>
            <w:tcW w:w="2669" w:type="pct"/>
          </w:tcPr>
          <w:p w14:paraId="7DACA41F" w14:textId="77777777" w:rsidR="009C65E6" w:rsidRPr="00770F9D" w:rsidRDefault="009C65E6" w:rsidP="00452AB0">
            <w:pPr>
              <w:jc w:val="both"/>
              <w:rPr>
                <w:rFonts w:ascii="Garamond" w:hAnsi="Garamond" w:cstheme="majorBidi"/>
                <w:sz w:val="20"/>
                <w:szCs w:val="20"/>
              </w:rPr>
            </w:pPr>
            <w:r w:rsidRPr="00770F9D">
              <w:rPr>
                <w:rFonts w:ascii="Garamond" w:hAnsi="Garamond" w:cstheme="majorBidi"/>
                <w:sz w:val="20"/>
                <w:szCs w:val="20"/>
              </w:rPr>
              <w:t>Numri i dyanshëm dhe shumëpalësh</w:t>
            </w:r>
          </w:p>
        </w:tc>
        <w:tc>
          <w:tcPr>
            <w:tcW w:w="660" w:type="pct"/>
            <w:vAlign w:val="center"/>
          </w:tcPr>
          <w:p w14:paraId="632147D9" w14:textId="77777777" w:rsidR="009C65E6" w:rsidRPr="00770F9D" w:rsidRDefault="009C65E6" w:rsidP="001E6C9B">
            <w:pPr>
              <w:jc w:val="right"/>
              <w:rPr>
                <w:rFonts w:ascii="Garamond" w:hAnsi="Garamond" w:cstheme="majorBidi"/>
                <w:sz w:val="20"/>
                <w:szCs w:val="20"/>
              </w:rPr>
            </w:pPr>
            <w:r w:rsidRPr="00770F9D">
              <w:rPr>
                <w:rFonts w:ascii="Garamond" w:hAnsi="Garamond" w:cstheme="majorBidi"/>
                <w:sz w:val="20"/>
                <w:szCs w:val="20"/>
              </w:rPr>
              <w:t>10+</w:t>
            </w:r>
          </w:p>
        </w:tc>
        <w:tc>
          <w:tcPr>
            <w:tcW w:w="876" w:type="pct"/>
            <w:vAlign w:val="center"/>
          </w:tcPr>
          <w:p w14:paraId="0ECE4326" w14:textId="77777777" w:rsidR="009C65E6" w:rsidRPr="00770F9D" w:rsidRDefault="009C65E6" w:rsidP="001E6C9B">
            <w:pPr>
              <w:jc w:val="right"/>
              <w:rPr>
                <w:rFonts w:ascii="Garamond" w:hAnsi="Garamond" w:cstheme="majorBidi"/>
                <w:sz w:val="20"/>
                <w:szCs w:val="20"/>
              </w:rPr>
            </w:pPr>
            <w:r w:rsidRPr="00770F9D">
              <w:rPr>
                <w:rFonts w:ascii="Garamond" w:hAnsi="Garamond" w:cstheme="majorBidi"/>
                <w:sz w:val="20"/>
                <w:szCs w:val="20"/>
              </w:rPr>
              <w:t>10+</w:t>
            </w:r>
          </w:p>
        </w:tc>
        <w:tc>
          <w:tcPr>
            <w:tcW w:w="795" w:type="pct"/>
            <w:vAlign w:val="center"/>
          </w:tcPr>
          <w:p w14:paraId="19F2D130" w14:textId="77777777" w:rsidR="009C65E6" w:rsidRPr="00770F9D" w:rsidRDefault="009C65E6" w:rsidP="001E6C9B">
            <w:pPr>
              <w:jc w:val="right"/>
              <w:rPr>
                <w:rFonts w:ascii="Garamond" w:hAnsi="Garamond" w:cstheme="majorBidi"/>
                <w:sz w:val="20"/>
                <w:szCs w:val="20"/>
              </w:rPr>
            </w:pPr>
            <w:r w:rsidRPr="00770F9D">
              <w:rPr>
                <w:rFonts w:ascii="Garamond" w:hAnsi="Garamond" w:cstheme="majorBidi"/>
                <w:sz w:val="20"/>
                <w:szCs w:val="20"/>
              </w:rPr>
              <w:t>10+</w:t>
            </w:r>
          </w:p>
        </w:tc>
      </w:tr>
      <w:tr w:rsidR="009C65E6" w:rsidRPr="00770F9D" w14:paraId="30CDC043" w14:textId="77777777" w:rsidTr="001E6C9B">
        <w:trPr>
          <w:trHeight w:val="144"/>
        </w:trPr>
        <w:tc>
          <w:tcPr>
            <w:tcW w:w="2669" w:type="pct"/>
          </w:tcPr>
          <w:p w14:paraId="7AE0F0E6" w14:textId="60356AF3" w:rsidR="009C65E6" w:rsidRPr="00770F9D" w:rsidRDefault="009C65E6" w:rsidP="00452AB0">
            <w:pPr>
              <w:jc w:val="both"/>
              <w:rPr>
                <w:rFonts w:ascii="Garamond" w:hAnsi="Garamond" w:cstheme="majorBidi"/>
                <w:sz w:val="20"/>
                <w:szCs w:val="20"/>
              </w:rPr>
            </w:pPr>
            <w:r w:rsidRPr="00770F9D">
              <w:rPr>
                <w:rFonts w:ascii="Garamond" w:hAnsi="Garamond" w:cstheme="majorBidi"/>
                <w:sz w:val="20"/>
                <w:szCs w:val="20"/>
              </w:rPr>
              <w:t>i marrëveshjeve/projekteve financuar nga MAS</w:t>
            </w:r>
            <w:r w:rsidR="00AA5D73" w:rsidRPr="00770F9D">
              <w:rPr>
                <w:rFonts w:ascii="Garamond" w:hAnsi="Garamond" w:cstheme="majorBidi"/>
                <w:sz w:val="20"/>
                <w:szCs w:val="20"/>
              </w:rPr>
              <w:t>-i</w:t>
            </w:r>
            <w:r w:rsidRPr="00770F9D">
              <w:rPr>
                <w:rFonts w:ascii="Garamond" w:hAnsi="Garamond" w:cstheme="majorBidi"/>
                <w:sz w:val="20"/>
                <w:szCs w:val="20"/>
              </w:rPr>
              <w:t xml:space="preserve"> nëpërmjet NASRI</w:t>
            </w:r>
            <w:r w:rsidR="00AA5D73" w:rsidRPr="00770F9D">
              <w:rPr>
                <w:rFonts w:ascii="Garamond" w:hAnsi="Garamond" w:cstheme="majorBidi"/>
                <w:sz w:val="20"/>
                <w:szCs w:val="20"/>
              </w:rPr>
              <w:t>-t</w:t>
            </w:r>
          </w:p>
        </w:tc>
        <w:tc>
          <w:tcPr>
            <w:tcW w:w="660" w:type="pct"/>
            <w:vAlign w:val="center"/>
          </w:tcPr>
          <w:p w14:paraId="22869195" w14:textId="77777777" w:rsidR="009C65E6" w:rsidRPr="00770F9D" w:rsidRDefault="009C65E6" w:rsidP="001E6C9B">
            <w:pPr>
              <w:jc w:val="right"/>
              <w:rPr>
                <w:rFonts w:ascii="Garamond" w:hAnsi="Garamond" w:cstheme="majorBidi"/>
                <w:sz w:val="20"/>
                <w:szCs w:val="20"/>
              </w:rPr>
            </w:pPr>
            <w:r w:rsidRPr="00770F9D">
              <w:rPr>
                <w:rFonts w:ascii="Garamond" w:hAnsi="Garamond" w:cstheme="majorBidi"/>
                <w:sz w:val="20"/>
                <w:szCs w:val="20"/>
              </w:rPr>
              <w:t>5</w:t>
            </w:r>
          </w:p>
        </w:tc>
        <w:tc>
          <w:tcPr>
            <w:tcW w:w="876" w:type="pct"/>
            <w:vAlign w:val="center"/>
          </w:tcPr>
          <w:p w14:paraId="1F8BB582" w14:textId="77777777" w:rsidR="009C65E6" w:rsidRPr="00770F9D" w:rsidRDefault="009C65E6" w:rsidP="001E6C9B">
            <w:pPr>
              <w:jc w:val="right"/>
              <w:rPr>
                <w:rFonts w:ascii="Garamond" w:hAnsi="Garamond" w:cstheme="majorBidi"/>
                <w:sz w:val="20"/>
                <w:szCs w:val="20"/>
              </w:rPr>
            </w:pPr>
            <w:r w:rsidRPr="00770F9D">
              <w:rPr>
                <w:rFonts w:ascii="Garamond" w:hAnsi="Garamond" w:cstheme="majorBidi"/>
                <w:sz w:val="20"/>
                <w:szCs w:val="20"/>
              </w:rPr>
              <w:t>5</w:t>
            </w:r>
          </w:p>
        </w:tc>
        <w:tc>
          <w:tcPr>
            <w:tcW w:w="795" w:type="pct"/>
            <w:vAlign w:val="center"/>
          </w:tcPr>
          <w:p w14:paraId="4DBEEE6E" w14:textId="77777777" w:rsidR="009C65E6" w:rsidRPr="00770F9D" w:rsidRDefault="009C65E6" w:rsidP="001E6C9B">
            <w:pPr>
              <w:jc w:val="right"/>
              <w:rPr>
                <w:rFonts w:ascii="Garamond" w:hAnsi="Garamond" w:cstheme="majorBidi"/>
                <w:sz w:val="20"/>
                <w:szCs w:val="20"/>
              </w:rPr>
            </w:pPr>
            <w:r w:rsidRPr="00770F9D">
              <w:rPr>
                <w:rFonts w:ascii="Garamond" w:hAnsi="Garamond" w:cstheme="majorBidi"/>
                <w:sz w:val="20"/>
                <w:szCs w:val="20"/>
              </w:rPr>
              <w:t>5</w:t>
            </w:r>
          </w:p>
        </w:tc>
      </w:tr>
      <w:tr w:rsidR="009C65E6" w:rsidRPr="00770F9D" w14:paraId="325DEE33" w14:textId="77777777" w:rsidTr="001E6C9B">
        <w:trPr>
          <w:trHeight w:val="144"/>
        </w:trPr>
        <w:tc>
          <w:tcPr>
            <w:tcW w:w="2669" w:type="pct"/>
          </w:tcPr>
          <w:p w14:paraId="60559D0F" w14:textId="3BB639C8" w:rsidR="009C65E6" w:rsidRPr="00770F9D" w:rsidRDefault="009C65E6" w:rsidP="00452AB0">
            <w:pPr>
              <w:jc w:val="both"/>
              <w:rPr>
                <w:rFonts w:ascii="Garamond" w:hAnsi="Garamond" w:cstheme="majorBidi"/>
                <w:sz w:val="20"/>
                <w:szCs w:val="20"/>
              </w:rPr>
            </w:pPr>
            <w:r w:rsidRPr="00770F9D">
              <w:rPr>
                <w:rFonts w:ascii="Garamond" w:hAnsi="Garamond" w:cstheme="majorBidi"/>
                <w:sz w:val="20"/>
                <w:szCs w:val="20"/>
              </w:rPr>
              <w:t>Numri i projekteve inovative, që promovojnë modelin e katërfishtë Heliks, financuar nga MAS</w:t>
            </w:r>
            <w:r w:rsidR="00AA5D73" w:rsidRPr="00770F9D">
              <w:rPr>
                <w:rFonts w:ascii="Garamond" w:hAnsi="Garamond" w:cstheme="majorBidi"/>
                <w:sz w:val="20"/>
                <w:szCs w:val="20"/>
              </w:rPr>
              <w:t>-i</w:t>
            </w:r>
            <w:r w:rsidRPr="00770F9D">
              <w:rPr>
                <w:rFonts w:ascii="Garamond" w:hAnsi="Garamond" w:cstheme="majorBidi"/>
                <w:sz w:val="20"/>
                <w:szCs w:val="20"/>
              </w:rPr>
              <w:t xml:space="preserve"> nëpërmjet NASRI</w:t>
            </w:r>
            <w:r w:rsidR="00AA5D73" w:rsidRPr="00770F9D">
              <w:rPr>
                <w:rFonts w:ascii="Garamond" w:hAnsi="Garamond" w:cstheme="majorBidi"/>
                <w:sz w:val="20"/>
                <w:szCs w:val="20"/>
              </w:rPr>
              <w:t>-t</w:t>
            </w:r>
          </w:p>
        </w:tc>
        <w:tc>
          <w:tcPr>
            <w:tcW w:w="660" w:type="pct"/>
            <w:vAlign w:val="center"/>
          </w:tcPr>
          <w:p w14:paraId="4F7736AB" w14:textId="77777777" w:rsidR="009C65E6" w:rsidRPr="00770F9D" w:rsidRDefault="009C65E6" w:rsidP="001E6C9B">
            <w:pPr>
              <w:jc w:val="right"/>
              <w:rPr>
                <w:rFonts w:ascii="Garamond" w:hAnsi="Garamond" w:cstheme="majorBidi"/>
                <w:sz w:val="20"/>
                <w:szCs w:val="20"/>
              </w:rPr>
            </w:pPr>
            <w:r w:rsidRPr="00770F9D">
              <w:rPr>
                <w:rFonts w:ascii="Garamond" w:hAnsi="Garamond" w:cstheme="majorBidi"/>
                <w:sz w:val="20"/>
                <w:szCs w:val="20"/>
              </w:rPr>
              <w:t>15</w:t>
            </w:r>
          </w:p>
        </w:tc>
        <w:tc>
          <w:tcPr>
            <w:tcW w:w="876" w:type="pct"/>
            <w:vAlign w:val="center"/>
          </w:tcPr>
          <w:p w14:paraId="2B791F61" w14:textId="77777777" w:rsidR="009C65E6" w:rsidRPr="00770F9D" w:rsidRDefault="009C65E6" w:rsidP="001E6C9B">
            <w:pPr>
              <w:jc w:val="right"/>
              <w:rPr>
                <w:rFonts w:ascii="Garamond" w:hAnsi="Garamond" w:cstheme="majorBidi"/>
                <w:sz w:val="20"/>
                <w:szCs w:val="20"/>
              </w:rPr>
            </w:pPr>
            <w:r w:rsidRPr="00770F9D">
              <w:rPr>
                <w:rFonts w:ascii="Garamond" w:hAnsi="Garamond" w:cstheme="majorBidi"/>
                <w:sz w:val="20"/>
                <w:szCs w:val="20"/>
              </w:rPr>
              <w:t>20</w:t>
            </w:r>
          </w:p>
        </w:tc>
        <w:tc>
          <w:tcPr>
            <w:tcW w:w="795" w:type="pct"/>
            <w:vAlign w:val="center"/>
          </w:tcPr>
          <w:p w14:paraId="60B59D3C" w14:textId="77777777" w:rsidR="009C65E6" w:rsidRPr="00770F9D" w:rsidRDefault="009C65E6" w:rsidP="001E6C9B">
            <w:pPr>
              <w:jc w:val="right"/>
              <w:rPr>
                <w:rFonts w:ascii="Garamond" w:hAnsi="Garamond" w:cstheme="majorBidi"/>
                <w:sz w:val="20"/>
                <w:szCs w:val="20"/>
              </w:rPr>
            </w:pPr>
            <w:r w:rsidRPr="00770F9D">
              <w:rPr>
                <w:rFonts w:ascii="Garamond" w:hAnsi="Garamond" w:cstheme="majorBidi"/>
                <w:sz w:val="20"/>
                <w:szCs w:val="20"/>
              </w:rPr>
              <w:t>25</w:t>
            </w:r>
          </w:p>
        </w:tc>
      </w:tr>
      <w:tr w:rsidR="009C65E6" w:rsidRPr="00770F9D" w14:paraId="6A23AE02" w14:textId="77777777" w:rsidTr="001E6C9B">
        <w:trPr>
          <w:trHeight w:val="144"/>
        </w:trPr>
        <w:tc>
          <w:tcPr>
            <w:tcW w:w="2669" w:type="pct"/>
          </w:tcPr>
          <w:p w14:paraId="5887E77A" w14:textId="77777777" w:rsidR="009C65E6" w:rsidRPr="00770F9D" w:rsidRDefault="009C65E6" w:rsidP="00452AB0">
            <w:pPr>
              <w:jc w:val="both"/>
              <w:rPr>
                <w:rFonts w:ascii="Garamond" w:hAnsi="Garamond" w:cstheme="majorBidi"/>
                <w:sz w:val="20"/>
                <w:szCs w:val="20"/>
              </w:rPr>
            </w:pPr>
            <w:r w:rsidRPr="00770F9D">
              <w:rPr>
                <w:rFonts w:ascii="Garamond" w:hAnsi="Garamond" w:cstheme="majorBidi"/>
                <w:sz w:val="20"/>
                <w:szCs w:val="20"/>
              </w:rPr>
              <w:t>Numri i projekteve K&amp;I të financuara nga</w:t>
            </w:r>
          </w:p>
          <w:p w14:paraId="70C82210" w14:textId="58D37E0E" w:rsidR="009C65E6" w:rsidRPr="00770F9D" w:rsidRDefault="009C65E6" w:rsidP="00452AB0">
            <w:pPr>
              <w:jc w:val="both"/>
              <w:rPr>
                <w:rFonts w:ascii="Garamond" w:hAnsi="Garamond" w:cstheme="majorBidi"/>
                <w:sz w:val="20"/>
                <w:szCs w:val="20"/>
              </w:rPr>
            </w:pPr>
            <w:r w:rsidRPr="00770F9D">
              <w:rPr>
                <w:rFonts w:ascii="Garamond" w:hAnsi="Garamond" w:cstheme="majorBidi"/>
                <w:sz w:val="20"/>
                <w:szCs w:val="20"/>
              </w:rPr>
              <w:t>ministritë e linjës</w:t>
            </w:r>
            <w:r w:rsidR="00AA5D73" w:rsidRPr="00770F9D">
              <w:rPr>
                <w:rFonts w:ascii="Garamond" w:hAnsi="Garamond" w:cstheme="majorBidi"/>
                <w:sz w:val="20"/>
                <w:szCs w:val="20"/>
              </w:rPr>
              <w:t>,</w:t>
            </w:r>
            <w:r w:rsidRPr="00770F9D">
              <w:rPr>
                <w:rFonts w:ascii="Garamond" w:hAnsi="Garamond" w:cstheme="majorBidi"/>
                <w:sz w:val="20"/>
                <w:szCs w:val="20"/>
              </w:rPr>
              <w:t xml:space="preserve"> sipas fushës së tyre të kompetencës</w:t>
            </w:r>
          </w:p>
        </w:tc>
        <w:tc>
          <w:tcPr>
            <w:tcW w:w="660" w:type="pct"/>
            <w:vAlign w:val="center"/>
          </w:tcPr>
          <w:p w14:paraId="48CFAB7C" w14:textId="77777777" w:rsidR="009C65E6" w:rsidRPr="00770F9D" w:rsidRDefault="009C65E6" w:rsidP="001E6C9B">
            <w:pPr>
              <w:jc w:val="right"/>
              <w:rPr>
                <w:rFonts w:ascii="Garamond" w:hAnsi="Garamond" w:cstheme="majorBidi"/>
                <w:sz w:val="20"/>
                <w:szCs w:val="20"/>
              </w:rPr>
            </w:pPr>
            <w:r w:rsidRPr="00770F9D">
              <w:rPr>
                <w:rFonts w:ascii="Garamond" w:hAnsi="Garamond" w:cstheme="majorBidi"/>
                <w:sz w:val="20"/>
                <w:szCs w:val="20"/>
              </w:rPr>
              <w:t>15</w:t>
            </w:r>
          </w:p>
        </w:tc>
        <w:tc>
          <w:tcPr>
            <w:tcW w:w="876" w:type="pct"/>
            <w:vAlign w:val="center"/>
          </w:tcPr>
          <w:p w14:paraId="61F28EA2" w14:textId="77777777" w:rsidR="009C65E6" w:rsidRPr="00770F9D" w:rsidRDefault="009C65E6" w:rsidP="001E6C9B">
            <w:pPr>
              <w:jc w:val="right"/>
              <w:rPr>
                <w:rFonts w:ascii="Garamond" w:hAnsi="Garamond" w:cstheme="majorBidi"/>
                <w:sz w:val="20"/>
                <w:szCs w:val="20"/>
              </w:rPr>
            </w:pPr>
            <w:r w:rsidRPr="00770F9D">
              <w:rPr>
                <w:rFonts w:ascii="Garamond" w:hAnsi="Garamond" w:cstheme="majorBidi"/>
                <w:sz w:val="20"/>
                <w:szCs w:val="20"/>
              </w:rPr>
              <w:t>20</w:t>
            </w:r>
          </w:p>
        </w:tc>
        <w:tc>
          <w:tcPr>
            <w:tcW w:w="795" w:type="pct"/>
            <w:vAlign w:val="center"/>
          </w:tcPr>
          <w:p w14:paraId="3156CDD8" w14:textId="77777777" w:rsidR="009C65E6" w:rsidRPr="00770F9D" w:rsidRDefault="009C65E6" w:rsidP="001E6C9B">
            <w:pPr>
              <w:jc w:val="right"/>
              <w:rPr>
                <w:rFonts w:ascii="Garamond" w:hAnsi="Garamond" w:cstheme="majorBidi"/>
                <w:sz w:val="20"/>
                <w:szCs w:val="20"/>
              </w:rPr>
            </w:pPr>
            <w:r w:rsidRPr="00770F9D">
              <w:rPr>
                <w:rFonts w:ascii="Garamond" w:hAnsi="Garamond" w:cstheme="majorBidi"/>
                <w:sz w:val="20"/>
                <w:szCs w:val="20"/>
              </w:rPr>
              <w:t>25</w:t>
            </w:r>
          </w:p>
        </w:tc>
      </w:tr>
      <w:tr w:rsidR="009C65E6" w:rsidRPr="00770F9D" w14:paraId="7725D25D" w14:textId="77777777" w:rsidTr="001E6C9B">
        <w:trPr>
          <w:trHeight w:val="144"/>
        </w:trPr>
        <w:tc>
          <w:tcPr>
            <w:tcW w:w="2669" w:type="pct"/>
          </w:tcPr>
          <w:p w14:paraId="75D77B0F" w14:textId="77777777" w:rsidR="009C65E6" w:rsidRPr="00770F9D" w:rsidRDefault="009C65E6" w:rsidP="00452AB0">
            <w:pPr>
              <w:jc w:val="both"/>
              <w:rPr>
                <w:rFonts w:ascii="Garamond" w:hAnsi="Garamond" w:cstheme="majorBidi"/>
                <w:i/>
                <w:iCs/>
                <w:sz w:val="20"/>
                <w:szCs w:val="20"/>
              </w:rPr>
            </w:pPr>
            <w:r w:rsidRPr="00770F9D">
              <w:rPr>
                <w:rFonts w:ascii="Garamond" w:hAnsi="Garamond" w:cstheme="majorBidi"/>
                <w:i/>
                <w:iCs/>
                <w:sz w:val="20"/>
                <w:szCs w:val="20"/>
              </w:rPr>
              <w:t>% of research and innovation fund versus</w:t>
            </w:r>
          </w:p>
          <w:p w14:paraId="6698E3B6" w14:textId="0B0B945E" w:rsidR="009C65E6" w:rsidRPr="00770F9D" w:rsidRDefault="009C65E6" w:rsidP="00452AB0">
            <w:pPr>
              <w:jc w:val="both"/>
              <w:rPr>
                <w:rFonts w:ascii="Garamond" w:hAnsi="Garamond" w:cstheme="majorBidi"/>
                <w:sz w:val="20"/>
                <w:szCs w:val="20"/>
              </w:rPr>
            </w:pPr>
            <w:r w:rsidRPr="00770F9D">
              <w:rPr>
                <w:rFonts w:ascii="Garamond" w:hAnsi="Garamond" w:cstheme="majorBidi"/>
                <w:i/>
                <w:iCs/>
                <w:sz w:val="20"/>
                <w:szCs w:val="20"/>
              </w:rPr>
              <w:t>GDP (GERD)</w:t>
            </w:r>
          </w:p>
        </w:tc>
        <w:tc>
          <w:tcPr>
            <w:tcW w:w="660" w:type="pct"/>
            <w:vAlign w:val="center"/>
          </w:tcPr>
          <w:p w14:paraId="1264A14D" w14:textId="77777777" w:rsidR="009C65E6" w:rsidRPr="00770F9D" w:rsidRDefault="009C65E6" w:rsidP="001E6C9B">
            <w:pPr>
              <w:jc w:val="right"/>
              <w:rPr>
                <w:rFonts w:ascii="Garamond" w:hAnsi="Garamond" w:cstheme="majorBidi"/>
                <w:sz w:val="20"/>
                <w:szCs w:val="20"/>
              </w:rPr>
            </w:pPr>
            <w:r w:rsidRPr="00770F9D">
              <w:rPr>
                <w:rFonts w:ascii="Garamond" w:hAnsi="Garamond" w:cstheme="majorBidi"/>
                <w:sz w:val="20"/>
                <w:szCs w:val="20"/>
              </w:rPr>
              <w:t>0.1</w:t>
            </w:r>
          </w:p>
        </w:tc>
        <w:tc>
          <w:tcPr>
            <w:tcW w:w="876" w:type="pct"/>
            <w:vAlign w:val="center"/>
          </w:tcPr>
          <w:p w14:paraId="398CB4D4" w14:textId="77777777" w:rsidR="009C65E6" w:rsidRPr="00770F9D" w:rsidRDefault="009C65E6" w:rsidP="001E6C9B">
            <w:pPr>
              <w:jc w:val="right"/>
              <w:rPr>
                <w:rFonts w:ascii="Garamond" w:hAnsi="Garamond" w:cstheme="majorBidi"/>
                <w:sz w:val="20"/>
                <w:szCs w:val="20"/>
              </w:rPr>
            </w:pPr>
            <w:r w:rsidRPr="00770F9D">
              <w:rPr>
                <w:rFonts w:ascii="Garamond" w:hAnsi="Garamond" w:cstheme="majorBidi"/>
                <w:sz w:val="20"/>
                <w:szCs w:val="20"/>
              </w:rPr>
              <w:t>0.15</w:t>
            </w:r>
          </w:p>
        </w:tc>
        <w:tc>
          <w:tcPr>
            <w:tcW w:w="795" w:type="pct"/>
            <w:vAlign w:val="center"/>
          </w:tcPr>
          <w:p w14:paraId="66020926" w14:textId="77777777" w:rsidR="009C65E6" w:rsidRPr="00770F9D" w:rsidRDefault="009C65E6" w:rsidP="001E6C9B">
            <w:pPr>
              <w:jc w:val="right"/>
              <w:rPr>
                <w:rFonts w:ascii="Garamond" w:hAnsi="Garamond" w:cstheme="majorBidi"/>
                <w:sz w:val="20"/>
                <w:szCs w:val="20"/>
              </w:rPr>
            </w:pPr>
            <w:r w:rsidRPr="00770F9D">
              <w:rPr>
                <w:rFonts w:ascii="Garamond" w:hAnsi="Garamond" w:cstheme="majorBidi"/>
                <w:sz w:val="20"/>
                <w:szCs w:val="20"/>
              </w:rPr>
              <w:t>0.2</w:t>
            </w:r>
          </w:p>
        </w:tc>
      </w:tr>
    </w:tbl>
    <w:p w14:paraId="64C71352" w14:textId="77777777" w:rsidR="009C65E6" w:rsidRPr="00770F9D" w:rsidRDefault="009C65E6" w:rsidP="005674F2">
      <w:pPr>
        <w:snapToGrid w:val="0"/>
        <w:ind w:firstLine="284"/>
        <w:rPr>
          <w:rFonts w:ascii="Garamond" w:hAnsi="Garamond" w:cstheme="majorBidi"/>
          <w:color w:val="0D0D0D" w:themeColor="text1" w:themeTint="F2"/>
        </w:rPr>
      </w:pPr>
    </w:p>
    <w:p w14:paraId="328B8AC1" w14:textId="1E5D2EBB" w:rsidR="009D37E3" w:rsidRPr="00770F9D" w:rsidRDefault="00452AB0"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3</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Ndikimi i pritshëm në konkurrueshmëri</w:t>
      </w:r>
    </w:p>
    <w:p w14:paraId="570A6D71" w14:textId="77777777" w:rsidR="009D37E3" w:rsidRPr="00770F9D" w:rsidRDefault="009D37E3" w:rsidP="00400806">
      <w:pPr>
        <w:ind w:firstLine="284"/>
        <w:jc w:val="both"/>
        <w:rPr>
          <w:rFonts w:ascii="Garamond" w:hAnsi="Garamond"/>
          <w:color w:val="0D0D0D"/>
        </w:rPr>
      </w:pPr>
      <w:r w:rsidRPr="00770F9D">
        <w:rPr>
          <w:rFonts w:ascii="Garamond" w:hAnsi="Garamond"/>
          <w:color w:val="0D0D0D"/>
        </w:rPr>
        <w:t>Rritja e investimeve në infrastrukturën kërkimore mundëson zhvillimin e mëtejshëm të infrastrukturës kërkimore në ekonomi. Përveç kësaj, financimi i qendrave të ekselencës në fushat prioritare të kërkimit dhe krijimi i një parku shkencor dhe teknologjik duhet të krijojë kushte për aktivitete kërkimore dhe inovative dhe të ndërmarrë një hap shtesë drejt një bashkëpunimi më të mirë midis sektorit të shkencës dhe biznesit.</w:t>
      </w:r>
    </w:p>
    <w:p w14:paraId="3DE6132A" w14:textId="1FD53E8E" w:rsidR="009D37E3" w:rsidRPr="00770F9D" w:rsidRDefault="00452AB0"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4</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Kosto</w:t>
      </w:r>
      <w:r w:rsidR="00CF561A" w:rsidRPr="00770F9D">
        <w:rPr>
          <w:rFonts w:ascii="Garamond" w:hAnsi="Garamond"/>
          <w:color w:val="0D0D0D"/>
          <w:u w:val="none"/>
        </w:rPr>
        <w:t>ja</w:t>
      </w:r>
      <w:r w:rsidR="009D37E3" w:rsidRPr="00770F9D">
        <w:rPr>
          <w:rFonts w:ascii="Garamond" w:hAnsi="Garamond"/>
          <w:color w:val="0D0D0D"/>
          <w:u w:val="none"/>
        </w:rPr>
        <w:t xml:space="preserve"> e parashikuar e aktiviteteve dhe burimi i financimit</w:t>
      </w:r>
    </w:p>
    <w:p w14:paraId="3E7A0188" w14:textId="77777777" w:rsidR="009D37E3" w:rsidRPr="00770F9D" w:rsidRDefault="009D37E3" w:rsidP="00400806">
      <w:pPr>
        <w:ind w:firstLine="284"/>
        <w:rPr>
          <w:rFonts w:ascii="Garamond" w:hAnsi="Garamond"/>
          <w:color w:val="0D0D0D"/>
        </w:rPr>
      </w:pPr>
      <w:r w:rsidRPr="00770F9D">
        <w:rPr>
          <w:rFonts w:ascii="Garamond" w:hAnsi="Garamond"/>
        </w:rPr>
        <w:t>Buxheti total i programit kërkimor sipas planifikimit në draft buxhetin afatmesëm të Ministrisë së Arsimit dhe Sportit dhe ministrive të linjës</w:t>
      </w:r>
      <w:r w:rsidRPr="00770F9D">
        <w:rPr>
          <w:rFonts w:ascii="Garamond" w:hAnsi="Garamond"/>
          <w:color w:val="0D0D0D"/>
        </w:rPr>
        <w:t>.</w:t>
      </w:r>
    </w:p>
    <w:p w14:paraId="45752EEB" w14:textId="72E9CBD3" w:rsidR="009D37E3" w:rsidRPr="00770F9D" w:rsidRDefault="00452AB0"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5</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Ndikimi i pritshëm në përfundimet sociale</w:t>
      </w:r>
      <w:r w:rsidR="005B10DC" w:rsidRPr="00770F9D">
        <w:rPr>
          <w:rFonts w:ascii="Garamond" w:hAnsi="Garamond"/>
          <w:color w:val="0D0D0D"/>
          <w:u w:val="none"/>
        </w:rPr>
        <w:t>,</w:t>
      </w:r>
      <w:r w:rsidR="009D37E3" w:rsidRPr="00770F9D">
        <w:rPr>
          <w:rFonts w:ascii="Garamond" w:hAnsi="Garamond"/>
          <w:color w:val="0D0D0D"/>
          <w:u w:val="none"/>
        </w:rPr>
        <w:t xml:space="preserve"> si punësimi, ulja e varfërisë, barazia gjinore dhe aksesi në kujdesin shëndetësor</w:t>
      </w:r>
    </w:p>
    <w:p w14:paraId="3B95D380" w14:textId="052B02AE" w:rsidR="009D37E3" w:rsidRPr="00770F9D" w:rsidRDefault="009D37E3" w:rsidP="00400806">
      <w:pPr>
        <w:ind w:firstLine="284"/>
        <w:jc w:val="both"/>
        <w:rPr>
          <w:rFonts w:ascii="Garamond" w:hAnsi="Garamond"/>
          <w:color w:val="0D0D0D"/>
        </w:rPr>
      </w:pPr>
      <w:r w:rsidRPr="00770F9D">
        <w:rPr>
          <w:rFonts w:ascii="Garamond" w:hAnsi="Garamond"/>
        </w:rPr>
        <w:t>Ndikimi pozitiv në punësim reflektohet në krijimin e një qëndrueshmërie afatgjatë për personelin e kualifikuar. Fondet e siguruara nga MAS</w:t>
      </w:r>
      <w:r w:rsidR="005B10DC" w:rsidRPr="00770F9D">
        <w:rPr>
          <w:rFonts w:ascii="Garamond" w:hAnsi="Garamond"/>
        </w:rPr>
        <w:t>-i</w:t>
      </w:r>
      <w:r w:rsidRPr="00770F9D">
        <w:rPr>
          <w:rFonts w:ascii="Garamond" w:hAnsi="Garamond"/>
        </w:rPr>
        <w:t xml:space="preserve"> nëpërmjet instrumenteve “Projekte për </w:t>
      </w:r>
      <w:r w:rsidR="005B10DC" w:rsidRPr="00770F9D">
        <w:rPr>
          <w:rFonts w:ascii="Garamond" w:hAnsi="Garamond"/>
        </w:rPr>
        <w:t>përmirësimin e infrastrukturës</w:t>
      </w:r>
      <w:r w:rsidRPr="00770F9D">
        <w:rPr>
          <w:rFonts w:ascii="Garamond" w:hAnsi="Garamond"/>
        </w:rPr>
        <w:t>”</w:t>
      </w:r>
      <w:r w:rsidR="005B10DC" w:rsidRPr="00770F9D">
        <w:rPr>
          <w:rFonts w:ascii="Garamond" w:hAnsi="Garamond"/>
        </w:rPr>
        <w:t>,</w:t>
      </w:r>
      <w:r w:rsidRPr="00770F9D">
        <w:rPr>
          <w:rFonts w:ascii="Garamond" w:hAnsi="Garamond"/>
        </w:rPr>
        <w:t xml:space="preserve"> “Projektet dypalëshe” dhe “Projektet e kërkimit dhe zhvillimit”, dhe nga burime të tjera, mbështesin krijimin e vendeve të punës. Mbështetja, inkurajimi dhe promovimi i grave sipërmarrëse dhe tejkalimi i hendekut gjinor synohet në të gjithë kuadrin e kërkimit shkencor dhe inovacionit</w:t>
      </w:r>
      <w:r w:rsidRPr="00770F9D">
        <w:rPr>
          <w:rFonts w:ascii="Garamond" w:hAnsi="Garamond"/>
          <w:color w:val="0D0D0D"/>
        </w:rPr>
        <w:t>.</w:t>
      </w:r>
    </w:p>
    <w:p w14:paraId="06E6AA58" w14:textId="3D52904C" w:rsidR="009D37E3" w:rsidRPr="00770F9D" w:rsidRDefault="00452AB0"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6</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Ndikimi i pritshëm në mjedis dhe ndryshimi i klimës</w:t>
      </w:r>
    </w:p>
    <w:p w14:paraId="5A21B0FB" w14:textId="77777777" w:rsidR="009D37E3" w:rsidRPr="00770F9D" w:rsidRDefault="009D37E3" w:rsidP="00400806">
      <w:pPr>
        <w:ind w:firstLine="284"/>
        <w:jc w:val="both"/>
        <w:rPr>
          <w:rFonts w:ascii="Garamond" w:hAnsi="Garamond"/>
          <w:color w:val="0D0D0D"/>
        </w:rPr>
      </w:pPr>
      <w:r w:rsidRPr="00770F9D">
        <w:rPr>
          <w:rFonts w:ascii="Garamond" w:hAnsi="Garamond"/>
          <w:color w:val="0D0D0D"/>
        </w:rPr>
        <w:t>Aktualisht vlerësohet se kjo masë nuk ka ndikim negativ në mjedis.</w:t>
      </w:r>
    </w:p>
    <w:p w14:paraId="71CE508B" w14:textId="1365BCC1" w:rsidR="009D37E3" w:rsidRPr="00770F9D" w:rsidRDefault="00452AB0"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7</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Rreziqet e mundshme</w:t>
      </w:r>
    </w:p>
    <w:tbl>
      <w:tblPr>
        <w:tblStyle w:val="TableGrid"/>
        <w:tblW w:w="5000" w:type="pct"/>
        <w:jc w:val="center"/>
        <w:tblLook w:val="04A0" w:firstRow="1" w:lastRow="0" w:firstColumn="1" w:lastColumn="0" w:noHBand="0" w:noVBand="1"/>
      </w:tblPr>
      <w:tblGrid>
        <w:gridCol w:w="3636"/>
        <w:gridCol w:w="1256"/>
        <w:gridCol w:w="4395"/>
      </w:tblGrid>
      <w:tr w:rsidR="009C65E6" w:rsidRPr="00770F9D" w14:paraId="47229553" w14:textId="77777777" w:rsidTr="005B10DC">
        <w:trPr>
          <w:trHeight w:val="20"/>
          <w:jc w:val="center"/>
        </w:trPr>
        <w:tc>
          <w:tcPr>
            <w:tcW w:w="1958" w:type="pct"/>
            <w:vAlign w:val="center"/>
          </w:tcPr>
          <w:p w14:paraId="7E484409" w14:textId="77777777" w:rsidR="009C65E6" w:rsidRPr="00770F9D" w:rsidRDefault="009C65E6" w:rsidP="005B10DC">
            <w:pPr>
              <w:jc w:val="center"/>
              <w:rPr>
                <w:rFonts w:ascii="Garamond" w:hAnsi="Garamond" w:cstheme="majorBidi"/>
                <w:b/>
                <w:bCs/>
                <w:sz w:val="20"/>
                <w:szCs w:val="20"/>
              </w:rPr>
            </w:pPr>
            <w:r w:rsidRPr="00770F9D">
              <w:rPr>
                <w:rFonts w:ascii="Garamond" w:hAnsi="Garamond" w:cstheme="majorBidi"/>
                <w:b/>
                <w:bCs/>
                <w:sz w:val="20"/>
                <w:szCs w:val="20"/>
              </w:rPr>
              <w:t>Rreziku</w:t>
            </w:r>
          </w:p>
        </w:tc>
        <w:tc>
          <w:tcPr>
            <w:tcW w:w="676" w:type="pct"/>
            <w:vAlign w:val="center"/>
          </w:tcPr>
          <w:p w14:paraId="35670442" w14:textId="77777777" w:rsidR="009C65E6" w:rsidRPr="00770F9D" w:rsidRDefault="009C65E6" w:rsidP="005B10DC">
            <w:pPr>
              <w:jc w:val="center"/>
              <w:rPr>
                <w:rFonts w:ascii="Garamond" w:hAnsi="Garamond" w:cstheme="majorBidi"/>
                <w:b/>
                <w:bCs/>
                <w:sz w:val="20"/>
                <w:szCs w:val="20"/>
              </w:rPr>
            </w:pPr>
            <w:r w:rsidRPr="00770F9D">
              <w:rPr>
                <w:rFonts w:ascii="Garamond" w:hAnsi="Garamond" w:cstheme="majorBidi"/>
                <w:b/>
                <w:bCs/>
                <w:sz w:val="20"/>
                <w:szCs w:val="20"/>
              </w:rPr>
              <w:t>Mundësia (e ulët, e lartë)</w:t>
            </w:r>
          </w:p>
        </w:tc>
        <w:tc>
          <w:tcPr>
            <w:tcW w:w="2366" w:type="pct"/>
            <w:vAlign w:val="center"/>
          </w:tcPr>
          <w:p w14:paraId="4C1B1C89" w14:textId="77777777" w:rsidR="009C65E6" w:rsidRPr="00770F9D" w:rsidRDefault="009C65E6" w:rsidP="005B10DC">
            <w:pPr>
              <w:jc w:val="center"/>
              <w:rPr>
                <w:rFonts w:ascii="Garamond" w:hAnsi="Garamond" w:cstheme="majorBidi"/>
                <w:b/>
                <w:bCs/>
                <w:sz w:val="20"/>
                <w:szCs w:val="20"/>
              </w:rPr>
            </w:pPr>
            <w:r w:rsidRPr="00770F9D">
              <w:rPr>
                <w:rFonts w:ascii="Garamond" w:hAnsi="Garamond" w:cstheme="majorBidi"/>
                <w:b/>
                <w:bCs/>
                <w:sz w:val="20"/>
                <w:szCs w:val="20"/>
              </w:rPr>
              <w:t>Veprimi zbutës i parashikuar</w:t>
            </w:r>
          </w:p>
        </w:tc>
      </w:tr>
      <w:tr w:rsidR="009C65E6" w:rsidRPr="00770F9D" w14:paraId="66BA5610" w14:textId="77777777" w:rsidTr="005B10DC">
        <w:trPr>
          <w:trHeight w:val="20"/>
          <w:jc w:val="center"/>
        </w:trPr>
        <w:tc>
          <w:tcPr>
            <w:tcW w:w="1958" w:type="pct"/>
          </w:tcPr>
          <w:p w14:paraId="14C77E07" w14:textId="77777777" w:rsidR="009C65E6" w:rsidRPr="00770F9D" w:rsidRDefault="009C65E6" w:rsidP="00413679">
            <w:pPr>
              <w:jc w:val="both"/>
              <w:rPr>
                <w:rFonts w:ascii="Garamond" w:hAnsi="Garamond" w:cstheme="majorBidi"/>
                <w:sz w:val="20"/>
                <w:szCs w:val="20"/>
              </w:rPr>
            </w:pPr>
            <w:r w:rsidRPr="00770F9D">
              <w:rPr>
                <w:rFonts w:ascii="Garamond" w:hAnsi="Garamond" w:cstheme="majorBidi"/>
                <w:sz w:val="20"/>
                <w:szCs w:val="20"/>
              </w:rPr>
              <w:t>Vonesa në afatet e planifikuara për miratimin e legjislacionit primar që po hartohet</w:t>
            </w:r>
          </w:p>
        </w:tc>
        <w:tc>
          <w:tcPr>
            <w:tcW w:w="676" w:type="pct"/>
          </w:tcPr>
          <w:p w14:paraId="443A8319" w14:textId="77777777" w:rsidR="009C65E6" w:rsidRPr="00770F9D" w:rsidRDefault="009C65E6" w:rsidP="00413679">
            <w:pPr>
              <w:jc w:val="both"/>
              <w:rPr>
                <w:rFonts w:ascii="Garamond" w:hAnsi="Garamond" w:cstheme="majorBidi"/>
                <w:sz w:val="20"/>
                <w:szCs w:val="20"/>
              </w:rPr>
            </w:pPr>
            <w:r w:rsidRPr="00770F9D">
              <w:rPr>
                <w:rFonts w:ascii="Garamond" w:hAnsi="Garamond" w:cstheme="majorBidi"/>
                <w:sz w:val="20"/>
                <w:szCs w:val="20"/>
              </w:rPr>
              <w:t>E ulët</w:t>
            </w:r>
          </w:p>
        </w:tc>
        <w:tc>
          <w:tcPr>
            <w:tcW w:w="2366" w:type="pct"/>
          </w:tcPr>
          <w:p w14:paraId="13C42489" w14:textId="55E015B1" w:rsidR="009C65E6" w:rsidRPr="00770F9D" w:rsidRDefault="009C65E6" w:rsidP="00413679">
            <w:pPr>
              <w:jc w:val="both"/>
              <w:rPr>
                <w:rFonts w:ascii="Garamond" w:hAnsi="Garamond" w:cstheme="majorBidi"/>
                <w:sz w:val="20"/>
                <w:szCs w:val="20"/>
              </w:rPr>
            </w:pPr>
            <w:r w:rsidRPr="00770F9D">
              <w:rPr>
                <w:rFonts w:ascii="Garamond" w:hAnsi="Garamond" w:cstheme="majorBidi"/>
                <w:sz w:val="20"/>
                <w:szCs w:val="20"/>
              </w:rPr>
              <w:t>Ky proces është nën kujdesin e veçantë të kryeministrisë dhe ka një angazhim të fortë nga grupet e punës për respektimin e afateve</w:t>
            </w:r>
            <w:r w:rsidR="005B10DC" w:rsidRPr="00770F9D">
              <w:rPr>
                <w:rFonts w:ascii="Garamond" w:hAnsi="Garamond" w:cstheme="majorBidi"/>
                <w:sz w:val="20"/>
                <w:szCs w:val="20"/>
              </w:rPr>
              <w:t>.</w:t>
            </w:r>
          </w:p>
        </w:tc>
      </w:tr>
      <w:tr w:rsidR="009C65E6" w:rsidRPr="00770F9D" w14:paraId="3EDDE8B6" w14:textId="77777777" w:rsidTr="005B10DC">
        <w:trPr>
          <w:trHeight w:val="20"/>
          <w:jc w:val="center"/>
        </w:trPr>
        <w:tc>
          <w:tcPr>
            <w:tcW w:w="1958" w:type="pct"/>
          </w:tcPr>
          <w:p w14:paraId="158489CB" w14:textId="77777777" w:rsidR="009C65E6" w:rsidRPr="00770F9D" w:rsidRDefault="009C65E6" w:rsidP="00413679">
            <w:pPr>
              <w:jc w:val="both"/>
              <w:rPr>
                <w:rFonts w:ascii="Garamond" w:hAnsi="Garamond" w:cstheme="majorBidi"/>
                <w:sz w:val="20"/>
                <w:szCs w:val="20"/>
              </w:rPr>
            </w:pPr>
            <w:r w:rsidRPr="00770F9D">
              <w:rPr>
                <w:rFonts w:ascii="Garamond" w:hAnsi="Garamond" w:cstheme="majorBidi"/>
                <w:sz w:val="20"/>
                <w:szCs w:val="20"/>
              </w:rPr>
              <w:t>Vonesa në miratimin dhe miratimin e akteve nënligjore, pas miratimit dhe hyrjes në fuqi të legjislacionit parësor</w:t>
            </w:r>
          </w:p>
        </w:tc>
        <w:tc>
          <w:tcPr>
            <w:tcW w:w="676" w:type="pct"/>
          </w:tcPr>
          <w:p w14:paraId="18A6EC64" w14:textId="77777777" w:rsidR="009C65E6" w:rsidRPr="00770F9D" w:rsidRDefault="009C65E6" w:rsidP="00413679">
            <w:pPr>
              <w:jc w:val="both"/>
              <w:rPr>
                <w:rFonts w:ascii="Garamond" w:hAnsi="Garamond" w:cstheme="majorBidi"/>
                <w:sz w:val="20"/>
                <w:szCs w:val="20"/>
              </w:rPr>
            </w:pPr>
            <w:r w:rsidRPr="00770F9D">
              <w:rPr>
                <w:rFonts w:ascii="Garamond" w:hAnsi="Garamond" w:cstheme="majorBidi"/>
                <w:sz w:val="20"/>
                <w:szCs w:val="20"/>
              </w:rPr>
              <w:t>E mesme</w:t>
            </w:r>
          </w:p>
        </w:tc>
        <w:tc>
          <w:tcPr>
            <w:tcW w:w="2366" w:type="pct"/>
          </w:tcPr>
          <w:p w14:paraId="56C78248" w14:textId="10AD0557" w:rsidR="009C65E6" w:rsidRPr="00770F9D" w:rsidRDefault="009C65E6" w:rsidP="00413679">
            <w:pPr>
              <w:jc w:val="both"/>
              <w:rPr>
                <w:rFonts w:ascii="Garamond" w:hAnsi="Garamond" w:cstheme="majorBidi"/>
                <w:sz w:val="20"/>
                <w:szCs w:val="20"/>
              </w:rPr>
            </w:pPr>
            <w:r w:rsidRPr="00770F9D">
              <w:rPr>
                <w:rFonts w:ascii="Garamond" w:hAnsi="Garamond" w:cstheme="majorBidi"/>
                <w:sz w:val="20"/>
                <w:szCs w:val="20"/>
              </w:rPr>
              <w:t xml:space="preserve">Do të identifikohen burimet që ofrojnë asistencë teknike në përgatitjen e të gjitha akteve nënligjore. Për këtë do të jetë e nevojshme ekspertiza e ekspertëve të huaj dhe </w:t>
            </w:r>
            <w:r w:rsidR="002A4878" w:rsidRPr="00770F9D">
              <w:rPr>
                <w:rFonts w:ascii="Garamond" w:hAnsi="Garamond" w:cstheme="majorBidi"/>
                <w:sz w:val="20"/>
                <w:szCs w:val="20"/>
              </w:rPr>
              <w:t>vendës</w:t>
            </w:r>
            <w:r w:rsidR="005B10DC" w:rsidRPr="00770F9D">
              <w:rPr>
                <w:rFonts w:ascii="Garamond" w:hAnsi="Garamond" w:cstheme="majorBidi"/>
                <w:sz w:val="20"/>
                <w:szCs w:val="20"/>
              </w:rPr>
              <w:t>.</w:t>
            </w:r>
          </w:p>
        </w:tc>
      </w:tr>
      <w:tr w:rsidR="009C65E6" w:rsidRPr="00770F9D" w14:paraId="130072A7" w14:textId="77777777" w:rsidTr="005B10DC">
        <w:trPr>
          <w:trHeight w:val="20"/>
          <w:jc w:val="center"/>
        </w:trPr>
        <w:tc>
          <w:tcPr>
            <w:tcW w:w="1958" w:type="pct"/>
          </w:tcPr>
          <w:p w14:paraId="62355ED0" w14:textId="77777777" w:rsidR="009C65E6" w:rsidRPr="00770F9D" w:rsidRDefault="009C65E6" w:rsidP="00413679">
            <w:pPr>
              <w:jc w:val="both"/>
              <w:rPr>
                <w:rFonts w:ascii="Garamond" w:hAnsi="Garamond" w:cstheme="majorBidi"/>
                <w:sz w:val="20"/>
                <w:szCs w:val="20"/>
              </w:rPr>
            </w:pPr>
            <w:r w:rsidRPr="00770F9D">
              <w:rPr>
                <w:rFonts w:ascii="Garamond" w:hAnsi="Garamond" w:cstheme="majorBidi"/>
                <w:sz w:val="20"/>
                <w:szCs w:val="20"/>
              </w:rPr>
              <w:t>Mungesa e koordinimit ndërmjet institucioneve të ndryshme që financojnë projekte kërkimore dhe inovative</w:t>
            </w:r>
          </w:p>
        </w:tc>
        <w:tc>
          <w:tcPr>
            <w:tcW w:w="676" w:type="pct"/>
          </w:tcPr>
          <w:p w14:paraId="34834374" w14:textId="77777777" w:rsidR="009C65E6" w:rsidRPr="00770F9D" w:rsidRDefault="009C65E6" w:rsidP="00413679">
            <w:pPr>
              <w:jc w:val="both"/>
              <w:rPr>
                <w:rFonts w:ascii="Garamond" w:hAnsi="Garamond" w:cstheme="majorBidi"/>
                <w:sz w:val="20"/>
                <w:szCs w:val="20"/>
              </w:rPr>
            </w:pPr>
            <w:r w:rsidRPr="00770F9D">
              <w:rPr>
                <w:rFonts w:ascii="Garamond" w:hAnsi="Garamond" w:cstheme="majorBidi"/>
                <w:sz w:val="20"/>
                <w:szCs w:val="20"/>
              </w:rPr>
              <w:t>E mesme</w:t>
            </w:r>
          </w:p>
        </w:tc>
        <w:tc>
          <w:tcPr>
            <w:tcW w:w="2366" w:type="pct"/>
          </w:tcPr>
          <w:p w14:paraId="2ABF9694" w14:textId="77777777" w:rsidR="009C65E6" w:rsidRPr="00770F9D" w:rsidRDefault="009C65E6" w:rsidP="00413679">
            <w:pPr>
              <w:jc w:val="both"/>
              <w:rPr>
                <w:rFonts w:ascii="Garamond" w:hAnsi="Garamond" w:cstheme="majorBidi"/>
                <w:sz w:val="20"/>
                <w:szCs w:val="20"/>
              </w:rPr>
            </w:pPr>
            <w:r w:rsidRPr="00770F9D">
              <w:rPr>
                <w:rFonts w:ascii="Garamond" w:hAnsi="Garamond" w:cstheme="majorBidi"/>
                <w:sz w:val="20"/>
                <w:szCs w:val="20"/>
              </w:rPr>
              <w:t>Rritja e nivelit të bashkëpunimit ndërmjet aktorëve përkatës (qeverisja vendore, ministritë e tjera, Akademia e Shkencave, organizatat jofitimprurëse etj.) duke pasur monitorim, raportim dhe bashkëpunim të ngushtë përmes tryezave të përbashkëta, grupeve të punës etj.</w:t>
            </w:r>
          </w:p>
        </w:tc>
      </w:tr>
      <w:tr w:rsidR="009C65E6" w:rsidRPr="00770F9D" w14:paraId="556DE6E2" w14:textId="77777777" w:rsidTr="005B10DC">
        <w:trPr>
          <w:trHeight w:val="20"/>
          <w:jc w:val="center"/>
        </w:trPr>
        <w:tc>
          <w:tcPr>
            <w:tcW w:w="1958" w:type="pct"/>
          </w:tcPr>
          <w:p w14:paraId="133B1DB4" w14:textId="5E127752" w:rsidR="009C65E6" w:rsidRPr="00770F9D" w:rsidRDefault="009C65E6" w:rsidP="00413679">
            <w:pPr>
              <w:jc w:val="both"/>
              <w:rPr>
                <w:rFonts w:ascii="Garamond" w:hAnsi="Garamond" w:cstheme="majorBidi"/>
                <w:sz w:val="20"/>
                <w:szCs w:val="20"/>
              </w:rPr>
            </w:pPr>
            <w:r w:rsidRPr="00770F9D">
              <w:rPr>
                <w:rFonts w:ascii="Garamond" w:hAnsi="Garamond" w:cstheme="majorBidi"/>
                <w:sz w:val="20"/>
                <w:szCs w:val="20"/>
              </w:rPr>
              <w:t>Niveli i ulët i përthithjes dhe përdorimit të fondeve nga IAL-të, për shkak të mungesës së kompetencës së stafit akademik në shkrimin dhe menaxhimin financiar të projekteve me financime kombëtare dhe ndërkombëtare</w:t>
            </w:r>
          </w:p>
        </w:tc>
        <w:tc>
          <w:tcPr>
            <w:tcW w:w="676" w:type="pct"/>
          </w:tcPr>
          <w:p w14:paraId="5DEF3C3C" w14:textId="77777777" w:rsidR="009C65E6" w:rsidRPr="00770F9D" w:rsidRDefault="009C65E6" w:rsidP="00413679">
            <w:pPr>
              <w:jc w:val="both"/>
              <w:rPr>
                <w:rFonts w:ascii="Garamond" w:hAnsi="Garamond" w:cstheme="majorBidi"/>
                <w:sz w:val="20"/>
                <w:szCs w:val="20"/>
              </w:rPr>
            </w:pPr>
            <w:r w:rsidRPr="00770F9D">
              <w:rPr>
                <w:rFonts w:ascii="Garamond" w:hAnsi="Garamond" w:cstheme="majorBidi"/>
                <w:sz w:val="20"/>
                <w:szCs w:val="20"/>
              </w:rPr>
              <w:t>E mesme</w:t>
            </w:r>
          </w:p>
        </w:tc>
        <w:tc>
          <w:tcPr>
            <w:tcW w:w="2366" w:type="pct"/>
          </w:tcPr>
          <w:p w14:paraId="3DE6AC54" w14:textId="58B28C82" w:rsidR="009C65E6" w:rsidRPr="00770F9D" w:rsidRDefault="009C65E6" w:rsidP="00413679">
            <w:pPr>
              <w:jc w:val="both"/>
              <w:rPr>
                <w:rFonts w:ascii="Garamond" w:hAnsi="Garamond" w:cstheme="majorBidi"/>
                <w:sz w:val="20"/>
                <w:szCs w:val="20"/>
              </w:rPr>
            </w:pPr>
            <w:r w:rsidRPr="00770F9D">
              <w:rPr>
                <w:rFonts w:ascii="Garamond" w:hAnsi="Garamond" w:cstheme="majorBidi"/>
                <w:sz w:val="20"/>
                <w:szCs w:val="20"/>
              </w:rPr>
              <w:t xml:space="preserve">Trajnimi i vazhdueshëm i stafit akademik në shkrim dhe menaxhim financiar të projekteve në kuadër të financimit të projekteve kombëtare dhe ndërkombëtare. Nevojitet ekspertiza e ekspertëve të huaj dhe </w:t>
            </w:r>
            <w:r w:rsidR="002A4878" w:rsidRPr="00770F9D">
              <w:rPr>
                <w:rFonts w:ascii="Garamond" w:hAnsi="Garamond" w:cstheme="majorBidi"/>
                <w:sz w:val="20"/>
                <w:szCs w:val="20"/>
              </w:rPr>
              <w:t>vendës</w:t>
            </w:r>
            <w:r w:rsidR="005B10DC" w:rsidRPr="00770F9D">
              <w:rPr>
                <w:rFonts w:ascii="Garamond" w:hAnsi="Garamond" w:cstheme="majorBidi"/>
                <w:sz w:val="20"/>
                <w:szCs w:val="20"/>
              </w:rPr>
              <w:t>.</w:t>
            </w:r>
          </w:p>
        </w:tc>
      </w:tr>
    </w:tbl>
    <w:p w14:paraId="36127CBE" w14:textId="77777777" w:rsidR="009C65E6" w:rsidRPr="00770F9D" w:rsidRDefault="009C65E6" w:rsidP="005674F2">
      <w:pPr>
        <w:snapToGrid w:val="0"/>
        <w:ind w:firstLine="284"/>
        <w:jc w:val="both"/>
        <w:rPr>
          <w:rFonts w:ascii="Garamond" w:eastAsia="Times New Roman" w:hAnsi="Garamond" w:cstheme="majorBidi"/>
          <w:color w:val="0D0D0D" w:themeColor="text1" w:themeTint="F2"/>
        </w:rPr>
      </w:pPr>
    </w:p>
    <w:p w14:paraId="5F93C163" w14:textId="5CE9350D" w:rsidR="00106240" w:rsidRPr="00770F9D" w:rsidRDefault="00B2062A" w:rsidP="00400806">
      <w:pPr>
        <w:pStyle w:val="Heading3"/>
        <w:ind w:left="0" w:firstLine="284"/>
        <w:jc w:val="both"/>
        <w:rPr>
          <w:rFonts w:ascii="Garamond" w:hAnsi="Garamond" w:cstheme="majorBidi"/>
          <w:b/>
          <w:bCs/>
          <w:color w:val="0D0D0D" w:themeColor="text1" w:themeTint="F2"/>
          <w:sz w:val="24"/>
          <w:szCs w:val="24"/>
        </w:rPr>
      </w:pPr>
      <w:bookmarkStart w:id="47" w:name="_Toc126050958"/>
      <w:r w:rsidRPr="00770F9D">
        <w:rPr>
          <w:rFonts w:ascii="Garamond" w:hAnsi="Garamond" w:cstheme="majorBidi"/>
          <w:b/>
          <w:bCs/>
          <w:color w:val="0D0D0D" w:themeColor="text1" w:themeTint="F2"/>
          <w:sz w:val="24"/>
          <w:szCs w:val="24"/>
        </w:rPr>
        <w:t xml:space="preserve">Sfida </w:t>
      </w:r>
      <w:r w:rsidR="005B10DC" w:rsidRPr="00770F9D">
        <w:rPr>
          <w:rFonts w:ascii="Garamond" w:hAnsi="Garamond" w:cstheme="majorBidi"/>
          <w:b/>
          <w:bCs/>
          <w:color w:val="0D0D0D" w:themeColor="text1" w:themeTint="F2"/>
          <w:sz w:val="24"/>
          <w:szCs w:val="24"/>
        </w:rPr>
        <w:t xml:space="preserve">kyçe </w:t>
      </w:r>
      <w:r w:rsidR="00106240" w:rsidRPr="00770F9D">
        <w:rPr>
          <w:rFonts w:ascii="Garamond" w:hAnsi="Garamond" w:cstheme="majorBidi"/>
          <w:b/>
          <w:bCs/>
          <w:color w:val="0D0D0D" w:themeColor="text1" w:themeTint="F2"/>
          <w:sz w:val="24"/>
          <w:szCs w:val="24"/>
        </w:rPr>
        <w:t>#2</w:t>
      </w:r>
      <w:bookmarkEnd w:id="47"/>
    </w:p>
    <w:p w14:paraId="426ED5A5" w14:textId="60F706FB" w:rsidR="0089011F" w:rsidRPr="00770F9D" w:rsidRDefault="0089011F" w:rsidP="00EB64CA">
      <w:pPr>
        <w:ind w:firstLine="284"/>
        <w:jc w:val="both"/>
        <w:rPr>
          <w:rFonts w:ascii="Garamond" w:hAnsi="Garamond" w:cstheme="majorBidi"/>
          <w:b/>
          <w:bCs/>
          <w:color w:val="0D0D0D" w:themeColor="text1" w:themeTint="F2"/>
        </w:rPr>
      </w:pPr>
      <w:r w:rsidRPr="00770F9D">
        <w:rPr>
          <w:rFonts w:ascii="Garamond" w:hAnsi="Garamond" w:cstheme="majorBidi"/>
          <w:b/>
          <w:bCs/>
          <w:color w:val="0D0D0D" w:themeColor="text1" w:themeTint="F2"/>
        </w:rPr>
        <w:t xml:space="preserve">Rritja e mbulimit dhe </w:t>
      </w:r>
      <w:r w:rsidR="005C391A" w:rsidRPr="00770F9D">
        <w:rPr>
          <w:rFonts w:ascii="Garamond" w:hAnsi="Garamond" w:cstheme="majorBidi"/>
          <w:b/>
          <w:bCs/>
          <w:color w:val="0D0D0D" w:themeColor="text1" w:themeTint="F2"/>
        </w:rPr>
        <w:t xml:space="preserve">përshtatshmërisë </w:t>
      </w:r>
      <w:r w:rsidRPr="00770F9D">
        <w:rPr>
          <w:rFonts w:ascii="Garamond" w:hAnsi="Garamond" w:cstheme="majorBidi"/>
          <w:b/>
          <w:bCs/>
          <w:color w:val="0D0D0D" w:themeColor="text1" w:themeTint="F2"/>
        </w:rPr>
        <w:t xml:space="preserve">së mbrojtjes sociale dhe </w:t>
      </w:r>
      <w:r w:rsidR="00686651" w:rsidRPr="00770F9D">
        <w:rPr>
          <w:rFonts w:ascii="Garamond" w:hAnsi="Garamond" w:cstheme="majorBidi"/>
          <w:b/>
          <w:bCs/>
          <w:color w:val="0D0D0D" w:themeColor="text1" w:themeTint="F2"/>
        </w:rPr>
        <w:t xml:space="preserve">e </w:t>
      </w:r>
      <w:r w:rsidRPr="00770F9D">
        <w:rPr>
          <w:rFonts w:ascii="Garamond" w:hAnsi="Garamond" w:cstheme="majorBidi"/>
          <w:b/>
          <w:bCs/>
          <w:color w:val="0D0D0D" w:themeColor="text1" w:themeTint="F2"/>
        </w:rPr>
        <w:t>sigurim</w:t>
      </w:r>
      <w:r w:rsidR="005C391A" w:rsidRPr="00770F9D">
        <w:rPr>
          <w:rFonts w:ascii="Garamond" w:hAnsi="Garamond" w:cstheme="majorBidi"/>
          <w:b/>
          <w:bCs/>
          <w:color w:val="0D0D0D" w:themeColor="text1" w:themeTint="F2"/>
        </w:rPr>
        <w:t>eve</w:t>
      </w:r>
      <w:r w:rsidRPr="00770F9D">
        <w:rPr>
          <w:rFonts w:ascii="Garamond" w:hAnsi="Garamond" w:cstheme="majorBidi"/>
          <w:b/>
          <w:bCs/>
          <w:color w:val="0D0D0D" w:themeColor="text1" w:themeTint="F2"/>
        </w:rPr>
        <w:t xml:space="preserve"> shëndetësor</w:t>
      </w:r>
      <w:r w:rsidR="005C391A" w:rsidRPr="00770F9D">
        <w:rPr>
          <w:rFonts w:ascii="Garamond" w:hAnsi="Garamond" w:cstheme="majorBidi"/>
          <w:b/>
          <w:bCs/>
          <w:color w:val="0D0D0D" w:themeColor="text1" w:themeTint="F2"/>
        </w:rPr>
        <w:t>e</w:t>
      </w:r>
      <w:r w:rsidRPr="00770F9D">
        <w:rPr>
          <w:rFonts w:ascii="Garamond" w:hAnsi="Garamond" w:cstheme="majorBidi"/>
          <w:b/>
          <w:bCs/>
          <w:color w:val="0D0D0D" w:themeColor="text1" w:themeTint="F2"/>
        </w:rPr>
        <w:t xml:space="preserve"> për të </w:t>
      </w:r>
      <w:r w:rsidR="005C391A" w:rsidRPr="00770F9D">
        <w:rPr>
          <w:rFonts w:ascii="Garamond" w:hAnsi="Garamond" w:cstheme="majorBidi"/>
          <w:b/>
          <w:bCs/>
          <w:color w:val="0D0D0D" w:themeColor="text1" w:themeTint="F2"/>
        </w:rPr>
        <w:t xml:space="preserve">ulur </w:t>
      </w:r>
      <w:r w:rsidR="00623F19" w:rsidRPr="00770F9D">
        <w:rPr>
          <w:rFonts w:ascii="Garamond" w:hAnsi="Garamond" w:cstheme="majorBidi"/>
          <w:b/>
          <w:bCs/>
          <w:color w:val="0D0D0D" w:themeColor="text1" w:themeTint="F2"/>
        </w:rPr>
        <w:t>përqind</w:t>
      </w:r>
      <w:r w:rsidR="005C391A" w:rsidRPr="00770F9D">
        <w:rPr>
          <w:rFonts w:ascii="Garamond" w:hAnsi="Garamond" w:cstheme="majorBidi"/>
          <w:b/>
          <w:bCs/>
          <w:color w:val="0D0D0D" w:themeColor="text1" w:themeTint="F2"/>
        </w:rPr>
        <w:t>jen e</w:t>
      </w:r>
      <w:r w:rsidRPr="00770F9D">
        <w:rPr>
          <w:rFonts w:ascii="Garamond" w:hAnsi="Garamond" w:cstheme="majorBidi"/>
          <w:b/>
          <w:bCs/>
          <w:color w:val="0D0D0D" w:themeColor="text1" w:themeTint="F2"/>
        </w:rPr>
        <w:t xml:space="preserve"> popullsisë </w:t>
      </w:r>
      <w:r w:rsidR="005C391A" w:rsidRPr="00770F9D">
        <w:rPr>
          <w:rFonts w:ascii="Garamond" w:hAnsi="Garamond" w:cstheme="majorBidi"/>
          <w:b/>
          <w:bCs/>
          <w:color w:val="0D0D0D" w:themeColor="text1" w:themeTint="F2"/>
        </w:rPr>
        <w:t>n</w:t>
      </w:r>
      <w:r w:rsidR="00EB64CA">
        <w:rPr>
          <w:rFonts w:ascii="Garamond" w:hAnsi="Garamond" w:cstheme="majorBidi"/>
          <w:b/>
          <w:bCs/>
          <w:color w:val="0D0D0D" w:themeColor="text1" w:themeTint="F2"/>
        </w:rPr>
        <w:t xml:space="preserve">ë </w:t>
      </w:r>
      <w:r w:rsidR="005C391A" w:rsidRPr="00770F9D">
        <w:rPr>
          <w:rFonts w:ascii="Garamond" w:hAnsi="Garamond" w:cstheme="majorBidi"/>
          <w:b/>
          <w:bCs/>
          <w:color w:val="0D0D0D" w:themeColor="text1" w:themeTint="F2"/>
        </w:rPr>
        <w:t>rrezik për të qenë të varfër</w:t>
      </w:r>
    </w:p>
    <w:p w14:paraId="3106FD40" w14:textId="75334FC3" w:rsidR="004F312A" w:rsidRPr="00770F9D" w:rsidRDefault="009D37E3" w:rsidP="00400806">
      <w:pPr>
        <w:pStyle w:val="Heading4"/>
        <w:snapToGrid w:val="0"/>
        <w:ind w:left="0" w:firstLine="284"/>
        <w:jc w:val="both"/>
        <w:rPr>
          <w:rFonts w:ascii="Garamond" w:hAnsi="Garamond" w:cstheme="majorBidi"/>
          <w:b w:val="0"/>
          <w:i/>
          <w:color w:val="0D0D0D" w:themeColor="text1" w:themeTint="F2"/>
          <w:sz w:val="24"/>
          <w:szCs w:val="24"/>
        </w:rPr>
      </w:pPr>
      <w:r w:rsidRPr="00770F9D">
        <w:rPr>
          <w:rFonts w:ascii="Garamond" w:hAnsi="Garamond" w:cstheme="majorBidi"/>
          <w:b w:val="0"/>
          <w:i/>
          <w:color w:val="0D0D0D" w:themeColor="text1" w:themeTint="F2"/>
          <w:sz w:val="24"/>
          <w:szCs w:val="24"/>
        </w:rPr>
        <w:t>a</w:t>
      </w:r>
      <w:r w:rsidR="009078E8" w:rsidRPr="00770F9D">
        <w:rPr>
          <w:rFonts w:ascii="Garamond" w:hAnsi="Garamond" w:cstheme="majorBidi"/>
          <w:b w:val="0"/>
          <w:i/>
          <w:color w:val="0D0D0D" w:themeColor="text1" w:themeTint="F2"/>
          <w:sz w:val="24"/>
          <w:szCs w:val="24"/>
        </w:rPr>
        <w:t>)</w:t>
      </w:r>
      <w:r w:rsidRPr="00770F9D">
        <w:rPr>
          <w:rFonts w:ascii="Garamond" w:hAnsi="Garamond" w:cstheme="majorBidi"/>
          <w:b w:val="0"/>
          <w:i/>
          <w:color w:val="0D0D0D" w:themeColor="text1" w:themeTint="F2"/>
          <w:sz w:val="24"/>
          <w:szCs w:val="24"/>
        </w:rPr>
        <w:t xml:space="preserve"> </w:t>
      </w:r>
      <w:r w:rsidR="00B2062A" w:rsidRPr="00770F9D">
        <w:rPr>
          <w:rFonts w:ascii="Garamond" w:hAnsi="Garamond" w:cstheme="majorBidi"/>
          <w:b w:val="0"/>
          <w:i/>
          <w:color w:val="0D0D0D" w:themeColor="text1" w:themeTint="F2"/>
          <w:sz w:val="24"/>
          <w:szCs w:val="24"/>
        </w:rPr>
        <w:t>Analiza e pengesave kryesore</w:t>
      </w:r>
    </w:p>
    <w:p w14:paraId="674B677A" w14:textId="4BECCCF3" w:rsidR="00F26BAE" w:rsidRPr="00770F9D" w:rsidRDefault="00F26BAE" w:rsidP="00400806">
      <w:pPr>
        <w:ind w:firstLine="284"/>
        <w:jc w:val="both"/>
        <w:rPr>
          <w:rFonts w:ascii="Garamond" w:hAnsi="Garamond" w:cstheme="majorBidi"/>
        </w:rPr>
      </w:pPr>
      <w:r w:rsidRPr="00770F9D">
        <w:rPr>
          <w:rFonts w:ascii="Garamond" w:hAnsi="Garamond" w:cstheme="majorBidi"/>
        </w:rPr>
        <w:t>Strategjia Kombëtare e Shëndetësisë 2021</w:t>
      </w:r>
      <w:r w:rsidR="00DD0C84" w:rsidRPr="00770F9D">
        <w:rPr>
          <w:rFonts w:ascii="Garamond" w:hAnsi="Garamond" w:cstheme="majorBidi"/>
        </w:rPr>
        <w:t>–</w:t>
      </w:r>
      <w:r w:rsidRPr="00770F9D">
        <w:rPr>
          <w:rFonts w:ascii="Garamond" w:hAnsi="Garamond" w:cstheme="majorBidi"/>
        </w:rPr>
        <w:t>2030 pasqyron programin e qeverisë “Shqipëria 2030”, që vlerëson shëndetin si pjesë e politikave ndërsektoriale dhe synon mbrojtjen dhe ruajtjen e shëndetit të qytetarëve, si dhe ofron trajtim efektiv për të gjitha problemet e hasura gjatë gjithë jetës. Gjatë viteve të fundit, janë bërë hapa përpara në rritjen e vazhdueshme të financimit publik për shëndetin dhe përmirësimin e cilësisë së shërbimit shëndetësor. Programet e mbrojtjes së shëndetit publik janë zgjeruar përmes vaksinimit të sigurt dhe efektiv kundër sëmundjeve ngjitëse dhe zbatimit të programeve të suksesshme të depistimit të bazuar në popullatë për sëmundjet jo të transmetueshme, duke synuar diagnostikimin e hershëm dhe trajtimin në kohë. Investimet në kujdesin parësor shëndetësor kanë përfshirë rehabilitimin e mbi 400 qendrave shëndetësore parësore deri në vitin 2025. Për më tepër, është investuar në modernizimin e rrjetit të spitalit obstetriko-gjinekolog, duke filluar me punimet civile dhe pajisje të reja mjekësore në 6 spitale, e më pas me investime të mëdha edhe në 4 spitale pediatrike.</w:t>
      </w:r>
      <w:r w:rsidRPr="00770F9D">
        <w:rPr>
          <w:rFonts w:ascii="Garamond" w:eastAsia="Times New Roman" w:hAnsi="Garamond" w:cstheme="majorBidi"/>
        </w:rPr>
        <w:t xml:space="preserve"> </w:t>
      </w:r>
      <w:r w:rsidRPr="00770F9D">
        <w:rPr>
          <w:rFonts w:ascii="Garamond" w:hAnsi="Garamond" w:cstheme="majorBidi"/>
        </w:rPr>
        <w:t>Mbështetja për profesionistët shëndetësorë ishte dhe është ende një prioritet në kuadër të krijimit të kushteve më të mira të punës, edukimit në vazhdim dhe trajnimeve specifike për përdorimin e pajisjeve mjekësore që</w:t>
      </w:r>
      <w:r w:rsidR="00263132" w:rsidRPr="00770F9D">
        <w:rPr>
          <w:rFonts w:ascii="Garamond" w:hAnsi="Garamond" w:cstheme="majorBidi"/>
        </w:rPr>
        <w:t xml:space="preserve"> </w:t>
      </w:r>
      <w:r w:rsidRPr="00770F9D">
        <w:rPr>
          <w:rFonts w:ascii="Garamond" w:hAnsi="Garamond" w:cstheme="majorBidi"/>
        </w:rPr>
        <w:t xml:space="preserve">kryhen nga inxhinierët biomjekësorë. </w:t>
      </w:r>
    </w:p>
    <w:p w14:paraId="52CDA73C" w14:textId="653B5194" w:rsidR="00F26BAE" w:rsidRPr="00770F9D" w:rsidRDefault="00F26BAE" w:rsidP="00400806">
      <w:pPr>
        <w:ind w:firstLine="284"/>
        <w:jc w:val="both"/>
        <w:rPr>
          <w:rFonts w:ascii="Garamond" w:hAnsi="Garamond" w:cstheme="majorBidi"/>
        </w:rPr>
      </w:pPr>
      <w:r w:rsidRPr="00770F9D">
        <w:rPr>
          <w:rFonts w:ascii="Garamond" w:hAnsi="Garamond" w:cstheme="majorBidi"/>
        </w:rPr>
        <w:t xml:space="preserve">Mbulimi </w:t>
      </w:r>
      <w:r w:rsidR="00800D6D" w:rsidRPr="00770F9D">
        <w:rPr>
          <w:rFonts w:ascii="Garamond" w:hAnsi="Garamond" w:cstheme="majorBidi"/>
        </w:rPr>
        <w:t xml:space="preserve">universal shëndetësor </w:t>
      </w:r>
      <w:r w:rsidRPr="00770F9D">
        <w:rPr>
          <w:rFonts w:ascii="Garamond" w:hAnsi="Garamond" w:cstheme="majorBidi"/>
        </w:rPr>
        <w:t xml:space="preserve">mbetet qëllimi ynë kryesor dhe drejton punën tonë për të forcuar sistemin e integruar shëndetësor, për të forcuar gatishmërinë dhe reagimin ndaj emergjencave dhe për të përmirësuar dhe zgjeruar sistemet </w:t>
      </w:r>
      <w:r w:rsidR="00A93FA9" w:rsidRPr="00770F9D">
        <w:rPr>
          <w:rFonts w:ascii="Garamond" w:hAnsi="Garamond" w:cstheme="majorBidi"/>
        </w:rPr>
        <w:t>elektronike</w:t>
      </w:r>
      <w:r w:rsidRPr="00770F9D">
        <w:rPr>
          <w:rFonts w:ascii="Garamond" w:hAnsi="Garamond" w:cstheme="majorBidi"/>
        </w:rPr>
        <w:t xml:space="preserve"> në shëndetësi. Për të arritur këtë qëllim sfida e vazhdueshme mbetet zhvillimi i politikave të qëndrueshme shëndetësore që kanë ndikim të drejtpërdrejtë në rritjen e mbulimit shëndetësor për qytetarët, përmirësimin e shëndetit dhe mirëqenies së popullatës duke përmbushur të drejtat e tyre për shëndet të mirë. Në këtë mënyrë puna jonë është fokusuar në objektivat e mëposhtëm: përmirësimi i cilësisë së kujdesit shëndetësor duke siguruar akses të plotë për të gjithë qytetarët shqiptarë bazuar në një sistem financiar të qëndrueshëm, rritjen e numrit të viteve të jetës së shëndetshme të popullsisë shqiptare; modernizimi i infrastrukturës dhe rritja e sigurisë dhe cilësisë së kujdesit spitalor; përmirësimi i cilësisë dhe sigurisë së ilaçeve në përputhje me standardet e BE-së; zhvillimi, integrimi dhe koordinimi më i mirë i qasjes ndaj kujdesit shëndetësor dhe rritja e transparencës dhe llogaridhënies dhe rivendosja e besimit të publikut në sistemin e kujdesit shëndetësor.</w:t>
      </w:r>
    </w:p>
    <w:p w14:paraId="36958290" w14:textId="5AEDD1F2" w:rsidR="00F26BAE" w:rsidRPr="00770F9D" w:rsidRDefault="00F26BAE" w:rsidP="00400806">
      <w:pPr>
        <w:ind w:firstLine="284"/>
        <w:jc w:val="both"/>
        <w:rPr>
          <w:rFonts w:ascii="Garamond" w:hAnsi="Garamond" w:cstheme="majorBidi"/>
        </w:rPr>
      </w:pPr>
      <w:r w:rsidRPr="00770F9D">
        <w:rPr>
          <w:rFonts w:ascii="Garamond" w:hAnsi="Garamond" w:cstheme="majorBidi"/>
        </w:rPr>
        <w:t>Gjatë viteve 2020</w:t>
      </w:r>
      <w:r w:rsidR="00E85C33" w:rsidRPr="00770F9D">
        <w:rPr>
          <w:rFonts w:ascii="Garamond" w:hAnsi="Garamond" w:cstheme="majorBidi"/>
        </w:rPr>
        <w:t>–</w:t>
      </w:r>
      <w:r w:rsidRPr="00770F9D">
        <w:rPr>
          <w:rFonts w:ascii="Garamond" w:hAnsi="Garamond" w:cstheme="majorBidi"/>
        </w:rPr>
        <w:t>2022 ndodhën një sërë ndryshimesh në akte ligjore dhe rregullative të miratuara nga Këshilli i Ministrave dhe Kuvendi i Shqipërisë në fushën e shëndetësisë. Miratimi i kë</w:t>
      </w:r>
      <w:r w:rsidR="004521B5" w:rsidRPr="00770F9D">
        <w:rPr>
          <w:rFonts w:ascii="Garamond" w:hAnsi="Garamond" w:cstheme="majorBidi"/>
        </w:rPr>
        <w:t>t</w:t>
      </w:r>
      <w:r w:rsidRPr="00770F9D">
        <w:rPr>
          <w:rFonts w:ascii="Garamond" w:hAnsi="Garamond" w:cstheme="majorBidi"/>
        </w:rPr>
        <w:t>yre akteve i përgjigjet nevojave të sektorit të shëndetësisë dhe i shprehur në dokumente të ndryshme strategjike që u hartuan si pasojë e ndryshimeve dhe zhvillimeve të reja në Shqipëri në kuadër të përafrimit të legjislacionit shqiptar me legjislacionin e Bashkimit E</w:t>
      </w:r>
      <w:r w:rsidR="006D6E8D" w:rsidRPr="00770F9D">
        <w:rPr>
          <w:rFonts w:ascii="Garamond" w:hAnsi="Garamond" w:cstheme="majorBidi"/>
        </w:rPr>
        <w:t>v</w:t>
      </w:r>
      <w:r w:rsidRPr="00770F9D">
        <w:rPr>
          <w:rFonts w:ascii="Garamond" w:hAnsi="Garamond" w:cstheme="majorBidi"/>
        </w:rPr>
        <w:t>ropian.</w:t>
      </w:r>
    </w:p>
    <w:p w14:paraId="545256A3" w14:textId="77777777" w:rsidR="009D37E3" w:rsidRPr="00770F9D" w:rsidRDefault="009D37E3" w:rsidP="00400806">
      <w:pPr>
        <w:autoSpaceDE w:val="0"/>
        <w:autoSpaceDN w:val="0"/>
        <w:adjustRightInd w:val="0"/>
        <w:ind w:firstLine="284"/>
        <w:jc w:val="both"/>
        <w:rPr>
          <w:rFonts w:ascii="Garamond" w:hAnsi="Garamond" w:cs="Garamond"/>
          <w:color w:val="000000"/>
          <w:lang w:eastAsia="sq-AL"/>
        </w:rPr>
      </w:pPr>
      <w:r w:rsidRPr="00770F9D">
        <w:rPr>
          <w:rFonts w:ascii="Garamond" w:hAnsi="Garamond" w:cs="Garamond"/>
          <w:color w:val="000000"/>
          <w:lang w:eastAsia="sq-AL"/>
        </w:rPr>
        <w:t>Zhvillimet e fundit në këtë fushë</w:t>
      </w:r>
    </w:p>
    <w:p w14:paraId="75D29D07" w14:textId="77910464" w:rsidR="009D37E3" w:rsidRPr="00770F9D" w:rsidRDefault="009D37E3" w:rsidP="00400806">
      <w:pPr>
        <w:autoSpaceDE w:val="0"/>
        <w:autoSpaceDN w:val="0"/>
        <w:adjustRightInd w:val="0"/>
        <w:ind w:firstLine="284"/>
        <w:jc w:val="both"/>
        <w:rPr>
          <w:rFonts w:ascii="Garamond" w:hAnsi="Garamond" w:cs="Garamond"/>
          <w:color w:val="000000"/>
          <w:lang w:eastAsia="sq-AL"/>
        </w:rPr>
      </w:pPr>
      <w:r w:rsidRPr="00770F9D">
        <w:rPr>
          <w:rFonts w:ascii="Garamond" w:hAnsi="Garamond" w:cs="Calibri"/>
          <w:color w:val="000000"/>
          <w:lang w:eastAsia="sq-AL"/>
        </w:rPr>
        <w:t>-</w:t>
      </w:r>
      <w:r w:rsidR="00BA4F1A" w:rsidRPr="00770F9D">
        <w:rPr>
          <w:rFonts w:ascii="Garamond" w:hAnsi="Garamond" w:cs="Calibri"/>
          <w:color w:val="000000"/>
          <w:lang w:eastAsia="sq-AL"/>
        </w:rPr>
        <w:t xml:space="preserve"> </w:t>
      </w:r>
      <w:r w:rsidRPr="00770F9D">
        <w:rPr>
          <w:rFonts w:ascii="Garamond" w:hAnsi="Garamond" w:cs="Garamond"/>
          <w:color w:val="000000"/>
          <w:lang w:eastAsia="sq-AL"/>
        </w:rPr>
        <w:t xml:space="preserve">Strategjia Kombëtare Shqiptare e Shëndetësisë 2021–2030 miratuar në </w:t>
      </w:r>
      <w:r w:rsidR="00484DCF" w:rsidRPr="00770F9D">
        <w:rPr>
          <w:rFonts w:ascii="Garamond" w:hAnsi="Garamond" w:cs="Garamond"/>
          <w:color w:val="000000"/>
          <w:lang w:eastAsia="sq-AL"/>
        </w:rPr>
        <w:t xml:space="preserve">prill </w:t>
      </w:r>
      <w:r w:rsidRPr="00770F9D">
        <w:rPr>
          <w:rFonts w:ascii="Garamond" w:hAnsi="Garamond" w:cs="Garamond"/>
          <w:color w:val="000000"/>
          <w:lang w:eastAsia="sq-AL"/>
        </w:rPr>
        <w:t>2022</w:t>
      </w:r>
    </w:p>
    <w:p w14:paraId="2BDF1260" w14:textId="5F029C9E" w:rsidR="009D37E3" w:rsidRPr="00770F9D" w:rsidRDefault="009D37E3" w:rsidP="00400806">
      <w:pPr>
        <w:autoSpaceDE w:val="0"/>
        <w:autoSpaceDN w:val="0"/>
        <w:adjustRightInd w:val="0"/>
        <w:ind w:firstLine="284"/>
        <w:jc w:val="both"/>
        <w:rPr>
          <w:rFonts w:ascii="Garamond" w:hAnsi="Garamond" w:cs="Garamond"/>
          <w:color w:val="000000"/>
          <w:lang w:eastAsia="sq-AL"/>
        </w:rPr>
      </w:pPr>
      <w:r w:rsidRPr="00770F9D">
        <w:rPr>
          <w:rFonts w:ascii="Garamond" w:hAnsi="Garamond" w:cs="Calibri"/>
          <w:color w:val="000000"/>
          <w:lang w:eastAsia="sq-AL"/>
        </w:rPr>
        <w:t>-</w:t>
      </w:r>
      <w:r w:rsidR="00BA4F1A" w:rsidRPr="00770F9D">
        <w:rPr>
          <w:rFonts w:ascii="Garamond" w:hAnsi="Garamond" w:cs="Calibri"/>
          <w:color w:val="000000"/>
          <w:lang w:eastAsia="sq-AL"/>
        </w:rPr>
        <w:t xml:space="preserve"> </w:t>
      </w:r>
      <w:r w:rsidRPr="00770F9D">
        <w:rPr>
          <w:rFonts w:ascii="Garamond" w:hAnsi="Garamond" w:cs="Garamond"/>
          <w:color w:val="000000"/>
          <w:lang w:eastAsia="sq-AL"/>
        </w:rPr>
        <w:t>Krijimi i Agjencisë Kombëtare të Cilësisë dhe Sigurisë së Shërbimeve Shëndetësore dhe Sociale në 2021</w:t>
      </w:r>
      <w:r w:rsidR="00484DCF" w:rsidRPr="00770F9D">
        <w:rPr>
          <w:rFonts w:ascii="Garamond" w:hAnsi="Garamond" w:cs="Garamond"/>
          <w:color w:val="000000"/>
          <w:lang w:eastAsia="sq-AL"/>
        </w:rPr>
        <w:t>-shin</w:t>
      </w:r>
      <w:r w:rsidR="001F264D" w:rsidRPr="00770F9D">
        <w:rPr>
          <w:rFonts w:ascii="Garamond" w:hAnsi="Garamond" w:cs="Garamond"/>
          <w:color w:val="000000"/>
          <w:lang w:eastAsia="sq-AL"/>
        </w:rPr>
        <w:t>,</w:t>
      </w:r>
      <w:r w:rsidRPr="00770F9D">
        <w:rPr>
          <w:rFonts w:ascii="Garamond" w:hAnsi="Garamond" w:cs="Garamond"/>
          <w:color w:val="000000"/>
          <w:lang w:eastAsia="sq-AL"/>
        </w:rPr>
        <w:t xml:space="preserve"> si institucioni përgjegjës për procesin e akreditimit të institucioneve të kujdesit shëndetësor (spitale, objekte të kujdesit parësor publik dhe jopublik), edukimit në vazhdim, certifikimin e profesionistëve të kujdesit shëndetësor dhe matjen e Indeksit të Kënaqshmërisë të Pacientëve</w:t>
      </w:r>
    </w:p>
    <w:p w14:paraId="27D0B808" w14:textId="3968F46F" w:rsidR="009D37E3" w:rsidRPr="00770F9D" w:rsidRDefault="009D37E3" w:rsidP="00400806">
      <w:pPr>
        <w:autoSpaceDE w:val="0"/>
        <w:autoSpaceDN w:val="0"/>
        <w:adjustRightInd w:val="0"/>
        <w:ind w:firstLine="284"/>
        <w:jc w:val="both"/>
        <w:rPr>
          <w:rFonts w:ascii="Garamond" w:hAnsi="Garamond" w:cs="Garamond"/>
          <w:color w:val="000000"/>
          <w:lang w:eastAsia="sq-AL"/>
        </w:rPr>
      </w:pPr>
      <w:r w:rsidRPr="00770F9D">
        <w:rPr>
          <w:rFonts w:ascii="Garamond" w:hAnsi="Garamond" w:cs="Calibri"/>
          <w:color w:val="000000"/>
          <w:lang w:eastAsia="sq-AL"/>
        </w:rPr>
        <w:t>-</w:t>
      </w:r>
      <w:r w:rsidR="00BA4F1A" w:rsidRPr="00770F9D">
        <w:rPr>
          <w:rFonts w:ascii="Garamond" w:hAnsi="Garamond" w:cs="Calibri"/>
          <w:color w:val="000000"/>
          <w:lang w:eastAsia="sq-AL"/>
        </w:rPr>
        <w:t xml:space="preserve"> </w:t>
      </w:r>
      <w:r w:rsidRPr="00770F9D">
        <w:rPr>
          <w:rFonts w:ascii="Garamond" w:hAnsi="Garamond" w:cs="Garamond"/>
          <w:color w:val="000000"/>
          <w:lang w:eastAsia="sq-AL"/>
        </w:rPr>
        <w:t>Ligji për pajisjet mjekësore, i ndryshuar</w:t>
      </w:r>
      <w:r w:rsidR="00BD4885" w:rsidRPr="00770F9D">
        <w:rPr>
          <w:rFonts w:ascii="Garamond" w:hAnsi="Garamond" w:cs="Garamond"/>
          <w:color w:val="000000"/>
          <w:lang w:eastAsia="sq-AL"/>
        </w:rPr>
        <w:t>,</w:t>
      </w:r>
      <w:r w:rsidRPr="00770F9D">
        <w:rPr>
          <w:rFonts w:ascii="Garamond" w:hAnsi="Garamond" w:cs="Garamond"/>
          <w:color w:val="000000"/>
          <w:lang w:eastAsia="sq-AL"/>
        </w:rPr>
        <w:t xml:space="preserve"> është miratuar në vitin 2020</w:t>
      </w:r>
      <w:r w:rsidR="00BD4885" w:rsidRPr="00770F9D">
        <w:rPr>
          <w:rFonts w:ascii="Garamond" w:hAnsi="Garamond" w:cs="Garamond"/>
          <w:color w:val="000000"/>
          <w:lang w:eastAsia="sq-AL"/>
        </w:rPr>
        <w:t>;</w:t>
      </w:r>
    </w:p>
    <w:p w14:paraId="0D30C581" w14:textId="1B0C1406" w:rsidR="009D37E3" w:rsidRPr="00770F9D" w:rsidRDefault="009D37E3" w:rsidP="00400806">
      <w:pPr>
        <w:autoSpaceDE w:val="0"/>
        <w:autoSpaceDN w:val="0"/>
        <w:adjustRightInd w:val="0"/>
        <w:ind w:firstLine="284"/>
        <w:jc w:val="both"/>
        <w:rPr>
          <w:rFonts w:ascii="Garamond" w:hAnsi="Garamond" w:cs="Garamond"/>
          <w:color w:val="000000"/>
          <w:lang w:eastAsia="sq-AL"/>
        </w:rPr>
      </w:pPr>
      <w:r w:rsidRPr="00770F9D">
        <w:rPr>
          <w:rFonts w:ascii="Garamond" w:hAnsi="Garamond" w:cs="Calibri"/>
          <w:color w:val="000000"/>
          <w:lang w:eastAsia="sq-AL"/>
        </w:rPr>
        <w:t>-</w:t>
      </w:r>
      <w:r w:rsidR="00BA4F1A" w:rsidRPr="00770F9D">
        <w:rPr>
          <w:rFonts w:ascii="Garamond" w:hAnsi="Garamond" w:cs="Calibri"/>
          <w:color w:val="000000"/>
          <w:lang w:eastAsia="sq-AL"/>
        </w:rPr>
        <w:t xml:space="preserve"> </w:t>
      </w:r>
      <w:r w:rsidRPr="00770F9D">
        <w:rPr>
          <w:rFonts w:ascii="Garamond" w:hAnsi="Garamond" w:cs="Garamond"/>
          <w:color w:val="000000"/>
          <w:lang w:eastAsia="sq-AL"/>
        </w:rPr>
        <w:t xml:space="preserve">Ligji i ri për </w:t>
      </w:r>
      <w:r w:rsidR="00BD4885" w:rsidRPr="00770F9D">
        <w:rPr>
          <w:rFonts w:ascii="Garamond" w:hAnsi="Garamond" w:cs="Garamond"/>
          <w:color w:val="000000"/>
          <w:lang w:eastAsia="sq-AL"/>
        </w:rPr>
        <w:t xml:space="preserve">spitalet </w:t>
      </w:r>
      <w:r w:rsidRPr="00770F9D">
        <w:rPr>
          <w:rFonts w:ascii="Garamond" w:hAnsi="Garamond" w:cs="Garamond"/>
          <w:color w:val="000000"/>
          <w:lang w:eastAsia="sq-AL"/>
        </w:rPr>
        <w:t>miratuar në korrik 2022</w:t>
      </w:r>
      <w:r w:rsidR="00BD4885" w:rsidRPr="00770F9D">
        <w:rPr>
          <w:rFonts w:ascii="Garamond" w:hAnsi="Garamond" w:cs="Garamond"/>
          <w:color w:val="000000"/>
          <w:lang w:eastAsia="sq-AL"/>
        </w:rPr>
        <w:t>;</w:t>
      </w:r>
    </w:p>
    <w:p w14:paraId="23159AFD" w14:textId="6ABE5EB3" w:rsidR="009D37E3" w:rsidRPr="00770F9D" w:rsidRDefault="009D37E3" w:rsidP="00400806">
      <w:pPr>
        <w:autoSpaceDE w:val="0"/>
        <w:autoSpaceDN w:val="0"/>
        <w:adjustRightInd w:val="0"/>
        <w:ind w:firstLine="284"/>
        <w:jc w:val="both"/>
        <w:rPr>
          <w:rFonts w:ascii="Garamond" w:hAnsi="Garamond" w:cs="Garamond"/>
          <w:color w:val="000000"/>
          <w:lang w:eastAsia="sq-AL"/>
        </w:rPr>
      </w:pPr>
      <w:r w:rsidRPr="00770F9D">
        <w:rPr>
          <w:rFonts w:ascii="Garamond" w:hAnsi="Garamond" w:cs="Calibri"/>
          <w:color w:val="000000"/>
          <w:lang w:eastAsia="sq-AL"/>
        </w:rPr>
        <w:t>-</w:t>
      </w:r>
      <w:r w:rsidR="00BA4F1A" w:rsidRPr="00770F9D">
        <w:rPr>
          <w:rFonts w:ascii="Garamond" w:hAnsi="Garamond" w:cs="Calibri"/>
          <w:color w:val="000000"/>
          <w:lang w:eastAsia="sq-AL"/>
        </w:rPr>
        <w:t xml:space="preserve"> </w:t>
      </w:r>
      <w:r w:rsidRPr="00770F9D">
        <w:rPr>
          <w:rFonts w:ascii="Garamond" w:hAnsi="Garamond" w:cs="Garamond"/>
          <w:color w:val="000000"/>
          <w:lang w:eastAsia="sq-AL"/>
        </w:rPr>
        <w:t>Strategjia Kombëtare për Kujdesin Parësor 2021</w:t>
      </w:r>
      <w:r w:rsidR="00BD4885" w:rsidRPr="00770F9D">
        <w:rPr>
          <w:rFonts w:ascii="Garamond" w:hAnsi="Garamond" w:cs="Garamond"/>
          <w:color w:val="000000"/>
          <w:lang w:eastAsia="sq-AL"/>
        </w:rPr>
        <w:t>–</w:t>
      </w:r>
      <w:r w:rsidRPr="00770F9D">
        <w:rPr>
          <w:rFonts w:ascii="Garamond" w:hAnsi="Garamond" w:cs="Garamond"/>
          <w:color w:val="000000"/>
          <w:lang w:eastAsia="sq-AL"/>
        </w:rPr>
        <w:t>2025</w:t>
      </w:r>
      <w:r w:rsidR="00BD4885" w:rsidRPr="00770F9D">
        <w:rPr>
          <w:rFonts w:ascii="Garamond" w:hAnsi="Garamond" w:cs="Garamond"/>
          <w:color w:val="000000"/>
          <w:lang w:eastAsia="sq-AL"/>
        </w:rPr>
        <w:t>;</w:t>
      </w:r>
    </w:p>
    <w:p w14:paraId="0EE7AD6F" w14:textId="4D84AAA2" w:rsidR="009D37E3" w:rsidRPr="00770F9D" w:rsidRDefault="009D37E3" w:rsidP="00400806">
      <w:pPr>
        <w:autoSpaceDE w:val="0"/>
        <w:autoSpaceDN w:val="0"/>
        <w:adjustRightInd w:val="0"/>
        <w:ind w:firstLine="284"/>
        <w:jc w:val="both"/>
        <w:rPr>
          <w:rFonts w:ascii="Garamond" w:hAnsi="Garamond" w:cs="Garamond"/>
          <w:color w:val="000000"/>
          <w:lang w:eastAsia="sq-AL"/>
        </w:rPr>
      </w:pPr>
      <w:r w:rsidRPr="00770F9D">
        <w:rPr>
          <w:rFonts w:ascii="Garamond" w:hAnsi="Garamond" w:cs="Calibri"/>
          <w:color w:val="000000"/>
          <w:lang w:eastAsia="sq-AL"/>
        </w:rPr>
        <w:t>-</w:t>
      </w:r>
      <w:r w:rsidR="00BA4F1A" w:rsidRPr="00770F9D">
        <w:rPr>
          <w:rFonts w:ascii="Garamond" w:hAnsi="Garamond" w:cs="Calibri"/>
          <w:color w:val="000000"/>
          <w:lang w:eastAsia="sq-AL"/>
        </w:rPr>
        <w:t xml:space="preserve"> </w:t>
      </w:r>
      <w:r w:rsidRPr="00770F9D">
        <w:rPr>
          <w:rFonts w:ascii="Garamond" w:hAnsi="Garamond" w:cs="Garamond"/>
          <w:color w:val="000000"/>
          <w:lang w:eastAsia="sq-AL"/>
        </w:rPr>
        <w:t>Plani Kombëtar i Veprimit për Sëmundjet jo të transmetueshme 2022–2030</w:t>
      </w:r>
      <w:r w:rsidR="00BD4885" w:rsidRPr="00770F9D">
        <w:rPr>
          <w:rFonts w:ascii="Garamond" w:hAnsi="Garamond" w:cs="Garamond"/>
          <w:color w:val="000000"/>
          <w:lang w:eastAsia="sq-AL"/>
        </w:rPr>
        <w:t>;</w:t>
      </w:r>
    </w:p>
    <w:p w14:paraId="68F546C6" w14:textId="060961BE" w:rsidR="009D37E3" w:rsidRPr="00770F9D" w:rsidRDefault="009D37E3" w:rsidP="00400806">
      <w:pPr>
        <w:autoSpaceDE w:val="0"/>
        <w:autoSpaceDN w:val="0"/>
        <w:adjustRightInd w:val="0"/>
        <w:ind w:firstLine="284"/>
        <w:jc w:val="both"/>
        <w:rPr>
          <w:rFonts w:ascii="Garamond" w:hAnsi="Garamond" w:cs="Garamond"/>
          <w:color w:val="000000"/>
          <w:lang w:eastAsia="sq-AL"/>
        </w:rPr>
      </w:pPr>
      <w:r w:rsidRPr="00770F9D">
        <w:rPr>
          <w:rFonts w:ascii="Garamond" w:hAnsi="Garamond" w:cs="Calibri"/>
          <w:color w:val="000000"/>
          <w:lang w:eastAsia="sq-AL"/>
        </w:rPr>
        <w:t>-</w:t>
      </w:r>
      <w:r w:rsidR="00BA4F1A" w:rsidRPr="00770F9D">
        <w:rPr>
          <w:rFonts w:ascii="Garamond" w:hAnsi="Garamond" w:cs="Calibri"/>
          <w:color w:val="000000"/>
          <w:lang w:eastAsia="sq-AL"/>
        </w:rPr>
        <w:t xml:space="preserve"> </w:t>
      </w:r>
      <w:r w:rsidRPr="00770F9D">
        <w:rPr>
          <w:rFonts w:ascii="Garamond" w:hAnsi="Garamond" w:cs="Garamond"/>
          <w:color w:val="000000"/>
          <w:lang w:eastAsia="sq-AL"/>
        </w:rPr>
        <w:t>Plani Kombëtar i Veprimit për Promocionin Shëndetësor 2022</w:t>
      </w:r>
      <w:r w:rsidR="00BD4885" w:rsidRPr="00770F9D">
        <w:rPr>
          <w:rFonts w:ascii="Garamond" w:hAnsi="Garamond" w:cs="Garamond"/>
          <w:color w:val="000000"/>
          <w:lang w:eastAsia="sq-AL"/>
        </w:rPr>
        <w:t>–</w:t>
      </w:r>
      <w:r w:rsidRPr="00770F9D">
        <w:rPr>
          <w:rFonts w:ascii="Garamond" w:hAnsi="Garamond" w:cs="Garamond"/>
          <w:color w:val="000000"/>
          <w:lang w:eastAsia="sq-AL"/>
        </w:rPr>
        <w:t>2030</w:t>
      </w:r>
      <w:r w:rsidR="00BD4885" w:rsidRPr="00770F9D">
        <w:rPr>
          <w:rFonts w:ascii="Garamond" w:hAnsi="Garamond" w:cs="Garamond"/>
          <w:color w:val="000000"/>
          <w:lang w:eastAsia="sq-AL"/>
        </w:rPr>
        <w:t>;</w:t>
      </w:r>
    </w:p>
    <w:p w14:paraId="24A916C3" w14:textId="5E7C0D85" w:rsidR="009D37E3" w:rsidRPr="00770F9D" w:rsidRDefault="009D37E3" w:rsidP="00400806">
      <w:pPr>
        <w:autoSpaceDE w:val="0"/>
        <w:autoSpaceDN w:val="0"/>
        <w:adjustRightInd w:val="0"/>
        <w:ind w:firstLine="284"/>
        <w:jc w:val="both"/>
        <w:rPr>
          <w:rFonts w:ascii="Garamond" w:hAnsi="Garamond" w:cs="Garamond"/>
          <w:color w:val="000000"/>
          <w:lang w:eastAsia="sq-AL"/>
        </w:rPr>
      </w:pPr>
      <w:r w:rsidRPr="00770F9D">
        <w:rPr>
          <w:rFonts w:ascii="Garamond" w:hAnsi="Garamond" w:cs="Calibri"/>
          <w:color w:val="000000"/>
          <w:lang w:eastAsia="sq-AL"/>
        </w:rPr>
        <w:t>-</w:t>
      </w:r>
      <w:r w:rsidR="00BA4F1A" w:rsidRPr="00770F9D">
        <w:rPr>
          <w:rFonts w:ascii="Garamond" w:hAnsi="Garamond" w:cs="Calibri"/>
          <w:color w:val="000000"/>
          <w:lang w:eastAsia="sq-AL"/>
        </w:rPr>
        <w:t xml:space="preserve"> </w:t>
      </w:r>
      <w:r w:rsidRPr="00770F9D">
        <w:rPr>
          <w:rFonts w:ascii="Garamond" w:hAnsi="Garamond" w:cs="Garamond"/>
          <w:color w:val="000000"/>
          <w:lang w:eastAsia="sq-AL"/>
        </w:rPr>
        <w:t>Plani Kombëtar i Veprimit për Kancerin 2022–2030</w:t>
      </w:r>
      <w:r w:rsidR="00BD4885" w:rsidRPr="00770F9D">
        <w:rPr>
          <w:rFonts w:ascii="Garamond" w:hAnsi="Garamond" w:cs="Garamond"/>
          <w:color w:val="000000"/>
          <w:lang w:eastAsia="sq-AL"/>
        </w:rPr>
        <w:t>;</w:t>
      </w:r>
    </w:p>
    <w:p w14:paraId="05DB01D9" w14:textId="59BCCD9F" w:rsidR="009D37E3" w:rsidRPr="00770F9D" w:rsidRDefault="009D37E3" w:rsidP="00400806">
      <w:pPr>
        <w:autoSpaceDE w:val="0"/>
        <w:autoSpaceDN w:val="0"/>
        <w:adjustRightInd w:val="0"/>
        <w:ind w:firstLine="284"/>
        <w:jc w:val="both"/>
        <w:rPr>
          <w:rFonts w:ascii="Garamond" w:hAnsi="Garamond" w:cs="Garamond"/>
          <w:color w:val="000000"/>
          <w:lang w:eastAsia="sq-AL"/>
        </w:rPr>
      </w:pPr>
      <w:r w:rsidRPr="00770F9D">
        <w:rPr>
          <w:rFonts w:ascii="Garamond" w:hAnsi="Garamond" w:cs="Calibri"/>
          <w:color w:val="000000"/>
          <w:lang w:eastAsia="sq-AL"/>
        </w:rPr>
        <w:t>-</w:t>
      </w:r>
      <w:r w:rsidR="00BA4F1A" w:rsidRPr="00770F9D">
        <w:rPr>
          <w:rFonts w:ascii="Garamond" w:hAnsi="Garamond" w:cs="Calibri"/>
          <w:color w:val="000000"/>
          <w:lang w:eastAsia="sq-AL"/>
        </w:rPr>
        <w:t xml:space="preserve"> </w:t>
      </w:r>
      <w:r w:rsidRPr="00770F9D">
        <w:rPr>
          <w:rFonts w:ascii="Garamond" w:hAnsi="Garamond" w:cs="Garamond"/>
          <w:color w:val="000000"/>
          <w:lang w:eastAsia="sq-AL"/>
        </w:rPr>
        <w:t xml:space="preserve">Programi Kombëtar i Kontrollit Shëndetësor </w:t>
      </w:r>
      <w:r w:rsidRPr="00770F9D">
        <w:rPr>
          <w:rFonts w:ascii="Garamond" w:hAnsi="Garamond" w:cs="Garamond"/>
          <w:i/>
          <w:iCs/>
          <w:color w:val="000000"/>
          <w:lang w:eastAsia="sq-AL"/>
        </w:rPr>
        <w:t>(Check up)</w:t>
      </w:r>
      <w:r w:rsidRPr="00770F9D">
        <w:rPr>
          <w:rFonts w:ascii="Garamond" w:hAnsi="Garamond" w:cs="Garamond"/>
          <w:color w:val="000000"/>
          <w:lang w:eastAsia="sq-AL"/>
        </w:rPr>
        <w:t xml:space="preserve"> (2015)</w:t>
      </w:r>
      <w:r w:rsidR="00BD4885" w:rsidRPr="00770F9D">
        <w:rPr>
          <w:rFonts w:ascii="Garamond" w:hAnsi="Garamond" w:cs="Garamond"/>
          <w:color w:val="000000"/>
          <w:lang w:eastAsia="sq-AL"/>
        </w:rPr>
        <w:t>;</w:t>
      </w:r>
    </w:p>
    <w:p w14:paraId="3DE28E7D" w14:textId="3B29203C" w:rsidR="009D37E3" w:rsidRPr="00770F9D" w:rsidRDefault="009D37E3" w:rsidP="00400806">
      <w:pPr>
        <w:autoSpaceDE w:val="0"/>
        <w:autoSpaceDN w:val="0"/>
        <w:adjustRightInd w:val="0"/>
        <w:ind w:firstLine="284"/>
        <w:jc w:val="both"/>
        <w:rPr>
          <w:rFonts w:ascii="Garamond" w:hAnsi="Garamond" w:cs="Garamond"/>
          <w:color w:val="000000"/>
          <w:lang w:eastAsia="sq-AL"/>
        </w:rPr>
      </w:pPr>
      <w:r w:rsidRPr="00770F9D">
        <w:rPr>
          <w:rFonts w:ascii="Garamond" w:hAnsi="Garamond" w:cs="Calibri"/>
          <w:color w:val="000000"/>
          <w:lang w:eastAsia="sq-AL"/>
        </w:rPr>
        <w:t>-</w:t>
      </w:r>
      <w:r w:rsidR="00BA4F1A" w:rsidRPr="00770F9D">
        <w:rPr>
          <w:rFonts w:ascii="Garamond" w:hAnsi="Garamond" w:cs="Calibri"/>
          <w:color w:val="000000"/>
          <w:lang w:eastAsia="sq-AL"/>
        </w:rPr>
        <w:t xml:space="preserve"> </w:t>
      </w:r>
      <w:r w:rsidRPr="00770F9D">
        <w:rPr>
          <w:rFonts w:ascii="Garamond" w:hAnsi="Garamond" w:cs="Garamond"/>
          <w:color w:val="000000"/>
          <w:lang w:eastAsia="sq-AL"/>
        </w:rPr>
        <w:t>Programi Kombëtar i Depistimit, Diagnostikimit dhe Trajtimit të Kancerit të Gjirit (2018)</w:t>
      </w:r>
      <w:r w:rsidR="00BD4885" w:rsidRPr="00770F9D">
        <w:rPr>
          <w:rFonts w:ascii="Garamond" w:hAnsi="Garamond" w:cs="Garamond"/>
          <w:color w:val="000000"/>
          <w:lang w:eastAsia="sq-AL"/>
        </w:rPr>
        <w:t>;</w:t>
      </w:r>
    </w:p>
    <w:p w14:paraId="37813524" w14:textId="33C65E9C" w:rsidR="009D37E3" w:rsidRPr="00770F9D" w:rsidRDefault="009D37E3" w:rsidP="00400806">
      <w:pPr>
        <w:autoSpaceDE w:val="0"/>
        <w:autoSpaceDN w:val="0"/>
        <w:adjustRightInd w:val="0"/>
        <w:ind w:firstLine="284"/>
        <w:jc w:val="both"/>
        <w:rPr>
          <w:rFonts w:ascii="Garamond" w:hAnsi="Garamond" w:cs="Garamond"/>
          <w:color w:val="000000"/>
          <w:lang w:eastAsia="sq-AL"/>
        </w:rPr>
      </w:pPr>
      <w:r w:rsidRPr="00770F9D">
        <w:rPr>
          <w:rFonts w:ascii="Garamond" w:hAnsi="Garamond" w:cs="Calibri"/>
          <w:color w:val="000000"/>
          <w:lang w:eastAsia="sq-AL"/>
        </w:rPr>
        <w:t>-</w:t>
      </w:r>
      <w:r w:rsidR="00BA4F1A" w:rsidRPr="00770F9D">
        <w:rPr>
          <w:rFonts w:ascii="Garamond" w:hAnsi="Garamond" w:cs="Calibri"/>
          <w:color w:val="000000"/>
          <w:lang w:eastAsia="sq-AL"/>
        </w:rPr>
        <w:t xml:space="preserve"> </w:t>
      </w:r>
      <w:r w:rsidRPr="00770F9D">
        <w:rPr>
          <w:rFonts w:ascii="Garamond" w:hAnsi="Garamond" w:cs="Garamond"/>
          <w:color w:val="000000"/>
          <w:lang w:eastAsia="sq-AL"/>
        </w:rPr>
        <w:t>Programi Kombëtar i Depstimit të Kancerit të Qafës së Mitrës (2019)</w:t>
      </w:r>
      <w:r w:rsidR="00BD4885" w:rsidRPr="00770F9D">
        <w:rPr>
          <w:rFonts w:ascii="Garamond" w:hAnsi="Garamond" w:cs="Garamond"/>
          <w:color w:val="000000"/>
          <w:lang w:eastAsia="sq-AL"/>
        </w:rPr>
        <w:t>;</w:t>
      </w:r>
    </w:p>
    <w:p w14:paraId="72E076D9" w14:textId="5C286515" w:rsidR="009D37E3" w:rsidRPr="00770F9D" w:rsidRDefault="009D37E3" w:rsidP="00400806">
      <w:pPr>
        <w:autoSpaceDE w:val="0"/>
        <w:autoSpaceDN w:val="0"/>
        <w:adjustRightInd w:val="0"/>
        <w:ind w:firstLine="284"/>
        <w:jc w:val="both"/>
        <w:rPr>
          <w:rFonts w:ascii="Garamond" w:hAnsi="Garamond" w:cs="Garamond"/>
          <w:color w:val="000000"/>
          <w:lang w:eastAsia="sq-AL"/>
        </w:rPr>
      </w:pPr>
      <w:r w:rsidRPr="00770F9D">
        <w:rPr>
          <w:rFonts w:ascii="Garamond" w:hAnsi="Garamond" w:cs="Calibri"/>
          <w:color w:val="000000"/>
          <w:lang w:eastAsia="sq-AL"/>
        </w:rPr>
        <w:t>-</w:t>
      </w:r>
      <w:r w:rsidR="00BA4F1A" w:rsidRPr="00770F9D">
        <w:rPr>
          <w:rFonts w:ascii="Garamond" w:hAnsi="Garamond" w:cs="Calibri"/>
          <w:color w:val="000000"/>
          <w:lang w:eastAsia="sq-AL"/>
        </w:rPr>
        <w:t xml:space="preserve"> </w:t>
      </w:r>
      <w:r w:rsidRPr="00770F9D">
        <w:rPr>
          <w:rFonts w:ascii="Garamond" w:hAnsi="Garamond" w:cs="Garamond"/>
          <w:color w:val="000000"/>
          <w:lang w:eastAsia="sq-AL"/>
        </w:rPr>
        <w:t>Programi Kombëtar i Depistimit të Shikimit për Fëmijët  –14 vjeç</w:t>
      </w:r>
      <w:r w:rsidR="00BD4885" w:rsidRPr="00770F9D">
        <w:rPr>
          <w:rFonts w:ascii="Garamond" w:hAnsi="Garamond" w:cs="Garamond"/>
          <w:color w:val="000000"/>
          <w:lang w:eastAsia="sq-AL"/>
        </w:rPr>
        <w:t>;</w:t>
      </w:r>
    </w:p>
    <w:p w14:paraId="283C5BB1" w14:textId="27859288" w:rsidR="009D37E3" w:rsidRPr="00770F9D" w:rsidRDefault="009D37E3" w:rsidP="00400806">
      <w:pPr>
        <w:autoSpaceDE w:val="0"/>
        <w:autoSpaceDN w:val="0"/>
        <w:adjustRightInd w:val="0"/>
        <w:ind w:firstLine="284"/>
        <w:jc w:val="both"/>
        <w:rPr>
          <w:rFonts w:ascii="Garamond" w:hAnsi="Garamond" w:cs="Garamond"/>
          <w:color w:val="000000"/>
          <w:lang w:eastAsia="sq-AL"/>
        </w:rPr>
      </w:pPr>
      <w:r w:rsidRPr="00770F9D">
        <w:rPr>
          <w:rFonts w:ascii="Garamond" w:hAnsi="Garamond" w:cs="Calibri"/>
          <w:color w:val="000000"/>
          <w:lang w:eastAsia="sq-AL"/>
        </w:rPr>
        <w:t>-</w:t>
      </w:r>
      <w:r w:rsidR="00BA4F1A" w:rsidRPr="00770F9D">
        <w:rPr>
          <w:rFonts w:ascii="Garamond" w:hAnsi="Garamond" w:cs="Calibri"/>
          <w:color w:val="000000"/>
          <w:lang w:eastAsia="sq-AL"/>
        </w:rPr>
        <w:t xml:space="preserve"> </w:t>
      </w:r>
      <w:r w:rsidRPr="00770F9D">
        <w:rPr>
          <w:rFonts w:ascii="Garamond" w:hAnsi="Garamond" w:cs="Garamond"/>
          <w:color w:val="000000"/>
          <w:lang w:eastAsia="sq-AL"/>
        </w:rPr>
        <w:t>Programi Kombëtar i Kujdesit Dentar për Fëmijët 6–14 vjeç</w:t>
      </w:r>
      <w:r w:rsidR="00BD4885" w:rsidRPr="00770F9D">
        <w:rPr>
          <w:rFonts w:ascii="Garamond" w:hAnsi="Garamond" w:cs="Garamond"/>
          <w:color w:val="000000"/>
          <w:lang w:eastAsia="sq-AL"/>
        </w:rPr>
        <w:t>.</w:t>
      </w:r>
    </w:p>
    <w:p w14:paraId="7B075C68" w14:textId="278424BB" w:rsidR="00F26BAE" w:rsidRPr="00770F9D" w:rsidRDefault="00F26BAE" w:rsidP="00400806">
      <w:pPr>
        <w:ind w:firstLine="284"/>
        <w:jc w:val="both"/>
        <w:rPr>
          <w:rFonts w:ascii="Garamond" w:hAnsi="Garamond" w:cstheme="majorBidi"/>
        </w:rPr>
      </w:pPr>
      <w:r w:rsidRPr="00770F9D">
        <w:rPr>
          <w:rFonts w:ascii="Garamond" w:hAnsi="Garamond" w:cstheme="majorBidi"/>
        </w:rPr>
        <w:t>Gjithashtu</w:t>
      </w:r>
      <w:r w:rsidR="00F51133" w:rsidRPr="00770F9D">
        <w:rPr>
          <w:rFonts w:ascii="Garamond" w:hAnsi="Garamond" w:cstheme="majorBidi"/>
        </w:rPr>
        <w:t>,</w:t>
      </w:r>
      <w:r w:rsidRPr="00770F9D">
        <w:rPr>
          <w:rFonts w:ascii="Garamond" w:hAnsi="Garamond" w:cstheme="majorBidi"/>
        </w:rPr>
        <w:t xml:space="preserve"> në fushën e barnave dhe shërbimeve farmaceutike Ministria e Shëndetësisë dhe Mbrojtjes Sociale është në proceset përfundimtare ligjore për dërgimin për miratim në Këshillin e Ministrave të ligjit të rishikuar për barnat dhe shërbimet farmaceutike, ndryshimet e reja në ligjin ekzistues që u miratuan në vitin 2014 synojnë një përafrim të mëtejshëm të aktit ligjor ekzistues me Direktivën e BE-së.</w:t>
      </w:r>
    </w:p>
    <w:p w14:paraId="64710654" w14:textId="5C4989EA" w:rsidR="00F26BAE" w:rsidRPr="00770F9D" w:rsidRDefault="00F26BAE" w:rsidP="00400806">
      <w:pPr>
        <w:ind w:firstLine="284"/>
        <w:jc w:val="both"/>
        <w:rPr>
          <w:rFonts w:ascii="Garamond" w:hAnsi="Garamond" w:cstheme="majorBidi"/>
        </w:rPr>
      </w:pPr>
      <w:r w:rsidRPr="00770F9D">
        <w:rPr>
          <w:rFonts w:ascii="Garamond" w:hAnsi="Garamond" w:cstheme="majorBidi"/>
        </w:rPr>
        <w:t>Gjithashtu ministria ka përmbyllur draftin përfundimtar të ligjit të rishikuar për drogat narkotike dhe substancat psikotrope</w:t>
      </w:r>
      <w:r w:rsidR="00F51133" w:rsidRPr="00770F9D">
        <w:rPr>
          <w:rFonts w:ascii="Garamond" w:hAnsi="Garamond" w:cstheme="majorBidi"/>
        </w:rPr>
        <w:t>,</w:t>
      </w:r>
      <w:r w:rsidRPr="00770F9D">
        <w:rPr>
          <w:rFonts w:ascii="Garamond" w:hAnsi="Garamond" w:cstheme="majorBidi"/>
        </w:rPr>
        <w:t xml:space="preserve"> sipas rekomandimeve të takimit të 13-të të </w:t>
      </w:r>
      <w:r w:rsidR="00F51133" w:rsidRPr="00770F9D">
        <w:rPr>
          <w:rFonts w:ascii="Garamond" w:hAnsi="Garamond" w:cstheme="majorBidi"/>
        </w:rPr>
        <w:t xml:space="preserve">nënkomitetit </w:t>
      </w:r>
      <w:r w:rsidRPr="00770F9D">
        <w:rPr>
          <w:rFonts w:ascii="Garamond" w:hAnsi="Garamond" w:cstheme="majorBidi"/>
        </w:rPr>
        <w:t xml:space="preserve">të BE-së nën </w:t>
      </w:r>
      <w:r w:rsidR="00F51133" w:rsidRPr="00770F9D">
        <w:rPr>
          <w:rFonts w:ascii="Garamond" w:hAnsi="Garamond" w:cstheme="majorBidi"/>
        </w:rPr>
        <w:t xml:space="preserve">kapitullin </w:t>
      </w:r>
      <w:r w:rsidRPr="00770F9D">
        <w:rPr>
          <w:rFonts w:ascii="Garamond" w:hAnsi="Garamond" w:cstheme="majorBidi"/>
        </w:rPr>
        <w:t>24</w:t>
      </w:r>
      <w:r w:rsidR="00F51133" w:rsidRPr="00770F9D">
        <w:rPr>
          <w:rFonts w:ascii="Garamond" w:hAnsi="Garamond" w:cstheme="majorBidi"/>
        </w:rPr>
        <w:t>,</w:t>
      </w:r>
      <w:r w:rsidRPr="00770F9D">
        <w:rPr>
          <w:rFonts w:ascii="Garamond" w:hAnsi="Garamond" w:cstheme="majorBidi"/>
        </w:rPr>
        <w:t xml:space="preserve"> </w:t>
      </w:r>
      <w:r w:rsidR="00F51133" w:rsidRPr="00770F9D">
        <w:rPr>
          <w:rFonts w:ascii="Garamond" w:hAnsi="Garamond" w:cstheme="majorBidi"/>
        </w:rPr>
        <w:t>“</w:t>
      </w:r>
      <w:r w:rsidRPr="00770F9D">
        <w:rPr>
          <w:rFonts w:ascii="Garamond" w:hAnsi="Garamond" w:cstheme="majorBidi"/>
        </w:rPr>
        <w:t xml:space="preserve">Drejtësi, </w:t>
      </w:r>
      <w:r w:rsidR="00F51133" w:rsidRPr="00770F9D">
        <w:rPr>
          <w:rFonts w:ascii="Garamond" w:hAnsi="Garamond" w:cstheme="majorBidi"/>
        </w:rPr>
        <w:t>liri dhe siguri”</w:t>
      </w:r>
      <w:r w:rsidRPr="00770F9D">
        <w:rPr>
          <w:rFonts w:ascii="Garamond" w:hAnsi="Garamond" w:cstheme="majorBidi"/>
        </w:rPr>
        <w:t>. Ligji i rishikuar do të publikohet për konsultime dhe brenda këtij viti do të dërgohet për miratim në Këshillin e Ministrave.</w:t>
      </w:r>
    </w:p>
    <w:p w14:paraId="5F0CAACB" w14:textId="310CF9B8" w:rsidR="00F26BAE" w:rsidRPr="00770F9D" w:rsidRDefault="00F26BAE" w:rsidP="00400806">
      <w:pPr>
        <w:ind w:firstLine="284"/>
        <w:jc w:val="both"/>
        <w:rPr>
          <w:rFonts w:ascii="Garamond" w:hAnsi="Garamond" w:cstheme="majorBidi"/>
        </w:rPr>
      </w:pPr>
      <w:r w:rsidRPr="00770F9D">
        <w:rPr>
          <w:rFonts w:ascii="Garamond" w:hAnsi="Garamond" w:cstheme="majorBidi"/>
        </w:rPr>
        <w:t xml:space="preserve">Sistemi i mbrojtjes sociale në Shqipëri dominohet si nga skemat e sigurimeve shoqërore (pensionet, përfitimet e papunësisë) ashtu edhe nga programet jokontributive në para (ndihma ekonomike dhe transfertat e aftësisë së kufizuar). Pjesa më e madhe e shpenzimeve për mbrojtjen sociale është për pensionet (82.4%), e ndjekur nga programet e asistencës në para jokontributive për personat me aftësi të kufizuara dhe njerëzit në rrezik të varfërisë dhe nga skema e </w:t>
      </w:r>
      <w:r w:rsidR="00994C7D" w:rsidRPr="00770F9D">
        <w:rPr>
          <w:rFonts w:ascii="Garamond" w:hAnsi="Garamond" w:cstheme="majorBidi"/>
        </w:rPr>
        <w:t>mbështetjes</w:t>
      </w:r>
      <w:r w:rsidRPr="00770F9D">
        <w:rPr>
          <w:rFonts w:ascii="Garamond" w:hAnsi="Garamond" w:cstheme="majorBidi"/>
        </w:rPr>
        <w:t xml:space="preserve"> financiare për foshnjat e porsalindura </w:t>
      </w:r>
      <w:r w:rsidRPr="00770F9D">
        <w:rPr>
          <w:rFonts w:ascii="Garamond" w:hAnsi="Garamond" w:cstheme="majorBidi"/>
          <w:i/>
          <w:iCs/>
        </w:rPr>
        <w:t xml:space="preserve">(baby bonus). </w:t>
      </w:r>
    </w:p>
    <w:p w14:paraId="04010544" w14:textId="22F1F531" w:rsidR="00F26BAE" w:rsidRPr="00770F9D" w:rsidRDefault="00F26BAE" w:rsidP="00400806">
      <w:pPr>
        <w:ind w:firstLine="284"/>
        <w:jc w:val="both"/>
        <w:rPr>
          <w:rFonts w:ascii="Garamond" w:hAnsi="Garamond" w:cstheme="majorBidi"/>
        </w:rPr>
      </w:pPr>
      <w:r w:rsidRPr="00770F9D">
        <w:rPr>
          <w:rFonts w:ascii="Garamond" w:hAnsi="Garamond" w:cstheme="majorBidi"/>
        </w:rPr>
        <w:t>Treguesi i rrezikut për të qenë i varfër në Shqipëri</w:t>
      </w:r>
      <w:r w:rsidR="00C9096C" w:rsidRPr="00770F9D">
        <w:rPr>
          <w:rFonts w:ascii="Garamond" w:hAnsi="Garamond" w:cstheme="majorBidi"/>
        </w:rPr>
        <w:t xml:space="preserve"> </w:t>
      </w:r>
      <w:r w:rsidRPr="00770F9D">
        <w:rPr>
          <w:rFonts w:ascii="Garamond" w:hAnsi="Garamond" w:cstheme="majorBidi"/>
        </w:rPr>
        <w:t>në vitin 2020</w:t>
      </w:r>
      <w:r w:rsidR="00C9096C" w:rsidRPr="00770F9D">
        <w:rPr>
          <w:rFonts w:ascii="Garamond" w:hAnsi="Garamond" w:cstheme="majorBidi"/>
        </w:rPr>
        <w:t>-n</w:t>
      </w:r>
      <w:r w:rsidRPr="00770F9D">
        <w:rPr>
          <w:rFonts w:ascii="Garamond" w:hAnsi="Garamond" w:cstheme="majorBidi"/>
        </w:rPr>
        <w:t xml:space="preserve"> është 21.8 %, duke pësuar një rënie prej 1.2 </w:t>
      </w:r>
      <w:r w:rsidR="00EE365D" w:rsidRPr="00770F9D">
        <w:rPr>
          <w:rFonts w:ascii="Garamond" w:hAnsi="Garamond" w:cstheme="majorBidi"/>
        </w:rPr>
        <w:t>pikë përqindjeje</w:t>
      </w:r>
      <w:r w:rsidRPr="00770F9D">
        <w:rPr>
          <w:rFonts w:ascii="Garamond" w:hAnsi="Garamond" w:cstheme="majorBidi"/>
        </w:rPr>
        <w:t xml:space="preserve"> krahasuar me vitin 2019, 1.6 </w:t>
      </w:r>
      <w:r w:rsidR="00EE365D" w:rsidRPr="00770F9D">
        <w:rPr>
          <w:rFonts w:ascii="Garamond" w:hAnsi="Garamond" w:cstheme="majorBidi"/>
        </w:rPr>
        <w:t>pikë përqindjeje</w:t>
      </w:r>
      <w:r w:rsidRPr="00770F9D">
        <w:rPr>
          <w:rFonts w:ascii="Garamond" w:hAnsi="Garamond" w:cstheme="majorBidi"/>
        </w:rPr>
        <w:t xml:space="preserve">, krahasuar me vitin 2018 dhe 1.9 </w:t>
      </w:r>
      <w:r w:rsidR="00EE365D" w:rsidRPr="00770F9D">
        <w:rPr>
          <w:rFonts w:ascii="Garamond" w:hAnsi="Garamond" w:cstheme="majorBidi"/>
        </w:rPr>
        <w:t>pikë përqindjeje</w:t>
      </w:r>
      <w:r w:rsidRPr="00770F9D">
        <w:rPr>
          <w:rFonts w:ascii="Garamond" w:hAnsi="Garamond" w:cstheme="majorBidi"/>
        </w:rPr>
        <w:t>, krahasuar me vitin 2017</w:t>
      </w:r>
      <w:r w:rsidRPr="00770F9D">
        <w:rPr>
          <w:rFonts w:ascii="Garamond" w:hAnsi="Garamond" w:cstheme="majorBidi"/>
          <w:vertAlign w:val="superscript"/>
        </w:rPr>
        <w:footnoteReference w:id="14"/>
      </w:r>
      <w:r w:rsidRPr="00770F9D">
        <w:rPr>
          <w:rFonts w:ascii="Garamond" w:hAnsi="Garamond" w:cstheme="majorBidi"/>
        </w:rPr>
        <w:t>.</w:t>
      </w:r>
    </w:p>
    <w:p w14:paraId="3633BB2D" w14:textId="77777777" w:rsidR="00F26BAE" w:rsidRPr="00770F9D" w:rsidRDefault="00F26BAE" w:rsidP="00400806">
      <w:pPr>
        <w:ind w:firstLine="284"/>
        <w:jc w:val="both"/>
        <w:rPr>
          <w:rFonts w:ascii="Garamond" w:hAnsi="Garamond" w:cstheme="majorBidi"/>
        </w:rPr>
      </w:pPr>
      <w:r w:rsidRPr="00770F9D">
        <w:rPr>
          <w:rFonts w:ascii="Garamond" w:hAnsi="Garamond" w:cstheme="majorBidi"/>
          <w:b/>
          <w:bCs/>
        </w:rPr>
        <w:t>Përfitimet sociale</w:t>
      </w:r>
      <w:r w:rsidRPr="00770F9D">
        <w:rPr>
          <w:rFonts w:ascii="Garamond" w:hAnsi="Garamond" w:cstheme="majorBidi"/>
        </w:rPr>
        <w:t xml:space="preserve">, si pensionet e pleqërisë dhe ato familjare, të përfshirë në të ardhurat familjare të disponueshme, ndikojnë në uljen e rrezikut për të qenë i varfër. Nëse në nivelin e të ardhurave nuk do të përfshiheshin të gjitha llojet e përfitimeve sociale, rreziku për të qenë i varfër në vitin 2020 është vlerësuar 37,9 %, kundrejt 24,8 % që është vlerësuar nëse do të përfshiheshin në nivelin e të ardhurave përfitimet sociale vetëm nga pensionet e pleqërisë dhe ato familjare </w:t>
      </w:r>
    </w:p>
    <w:p w14:paraId="79A06D09" w14:textId="7DC806CC" w:rsidR="00F26BAE" w:rsidRPr="00770F9D" w:rsidRDefault="00F26BAE" w:rsidP="00400806">
      <w:pPr>
        <w:ind w:firstLine="284"/>
        <w:jc w:val="both"/>
        <w:rPr>
          <w:rFonts w:ascii="Garamond" w:hAnsi="Garamond" w:cstheme="majorBidi"/>
        </w:rPr>
      </w:pPr>
      <w:r w:rsidRPr="00770F9D">
        <w:rPr>
          <w:rFonts w:ascii="Garamond" w:hAnsi="Garamond" w:cstheme="majorBidi"/>
        </w:rPr>
        <w:t>Ministria e Shëndetësisë dhe Mbrojtjes Sociale ka vazhduar të fokusojë përpjekjet e saj në tr</w:t>
      </w:r>
      <w:r w:rsidR="000862CF" w:rsidRPr="00770F9D">
        <w:rPr>
          <w:rFonts w:ascii="Garamond" w:hAnsi="Garamond" w:cstheme="majorBidi"/>
        </w:rPr>
        <w:t>i</w:t>
      </w:r>
      <w:r w:rsidRPr="00770F9D">
        <w:rPr>
          <w:rFonts w:ascii="Garamond" w:hAnsi="Garamond" w:cstheme="majorBidi"/>
        </w:rPr>
        <w:t xml:space="preserve"> reformat e Programit të Mbrojtjes Sociale: i</w:t>
      </w:r>
      <w:r w:rsidR="000862CF" w:rsidRPr="00770F9D">
        <w:rPr>
          <w:rFonts w:ascii="Garamond" w:hAnsi="Garamond" w:cstheme="majorBidi"/>
        </w:rPr>
        <w:t>.</w:t>
      </w:r>
      <w:r w:rsidRPr="00770F9D">
        <w:rPr>
          <w:rFonts w:ascii="Garamond" w:hAnsi="Garamond" w:cstheme="majorBidi"/>
        </w:rPr>
        <w:t xml:space="preserve"> konsolidimi i skemës së ndihmës ekonomike</w:t>
      </w:r>
      <w:r w:rsidR="000862CF" w:rsidRPr="00770F9D">
        <w:rPr>
          <w:rFonts w:ascii="Garamond" w:hAnsi="Garamond" w:cstheme="majorBidi"/>
        </w:rPr>
        <w:t>;</w:t>
      </w:r>
      <w:r w:rsidRPr="00770F9D">
        <w:rPr>
          <w:rFonts w:ascii="Garamond" w:hAnsi="Garamond" w:cstheme="majorBidi"/>
        </w:rPr>
        <w:t xml:space="preserve"> ii</w:t>
      </w:r>
      <w:r w:rsidR="000862CF" w:rsidRPr="00770F9D">
        <w:rPr>
          <w:rFonts w:ascii="Garamond" w:hAnsi="Garamond" w:cstheme="majorBidi"/>
        </w:rPr>
        <w:t>.</w:t>
      </w:r>
      <w:r w:rsidRPr="00770F9D">
        <w:rPr>
          <w:rFonts w:ascii="Garamond" w:hAnsi="Garamond" w:cstheme="majorBidi"/>
        </w:rPr>
        <w:t xml:space="preserve"> zbatimi i sistemit të ri të vlerësimit biopsikosocial për personat me aftësi të kufizuar</w:t>
      </w:r>
      <w:r w:rsidR="000862CF" w:rsidRPr="00770F9D">
        <w:rPr>
          <w:rFonts w:ascii="Garamond" w:hAnsi="Garamond" w:cstheme="majorBidi"/>
        </w:rPr>
        <w:t>a;</w:t>
      </w:r>
      <w:r w:rsidRPr="00770F9D">
        <w:rPr>
          <w:rFonts w:ascii="Garamond" w:hAnsi="Garamond" w:cstheme="majorBidi"/>
        </w:rPr>
        <w:t xml:space="preserve"> iii</w:t>
      </w:r>
      <w:r w:rsidR="000862CF" w:rsidRPr="00770F9D">
        <w:rPr>
          <w:rFonts w:ascii="Garamond" w:hAnsi="Garamond" w:cstheme="majorBidi"/>
        </w:rPr>
        <w:t>.</w:t>
      </w:r>
      <w:r w:rsidRPr="00770F9D">
        <w:rPr>
          <w:rFonts w:ascii="Garamond" w:hAnsi="Garamond" w:cstheme="majorBidi"/>
        </w:rPr>
        <w:t xml:space="preserve"> shërbimi i kujdesit social; reforma; tashmë pjesë e Strategjisë së Mbrojtjes Sociale 2020</w:t>
      </w:r>
      <w:r w:rsidR="000862CF" w:rsidRPr="00770F9D">
        <w:rPr>
          <w:rFonts w:ascii="Garamond" w:hAnsi="Garamond" w:cstheme="majorBidi"/>
        </w:rPr>
        <w:t>–</w:t>
      </w:r>
      <w:r w:rsidRPr="00770F9D">
        <w:rPr>
          <w:rFonts w:ascii="Garamond" w:hAnsi="Garamond" w:cstheme="majorBidi"/>
        </w:rPr>
        <w:t xml:space="preserve">2023. </w:t>
      </w:r>
    </w:p>
    <w:p w14:paraId="1A83DB3F" w14:textId="0D6C2B7E" w:rsidR="00F26BAE" w:rsidRPr="00770F9D" w:rsidRDefault="00F26BAE" w:rsidP="00400806">
      <w:pPr>
        <w:ind w:firstLine="284"/>
        <w:jc w:val="both"/>
        <w:rPr>
          <w:rFonts w:ascii="Garamond" w:hAnsi="Garamond" w:cstheme="majorBidi"/>
        </w:rPr>
      </w:pPr>
      <w:r w:rsidRPr="00770F9D">
        <w:rPr>
          <w:rFonts w:ascii="Garamond" w:hAnsi="Garamond" w:cstheme="majorBidi"/>
        </w:rPr>
        <w:t>Në kuadër të zbatimit të tij, procesi i zhvillimit institucional u bazua në një rishikim të plotë të funksioneve ekzistuese të programeve të bazuara në para (NE</w:t>
      </w:r>
      <w:r w:rsidR="00593257" w:rsidRPr="00770F9D">
        <w:rPr>
          <w:rFonts w:ascii="Garamond" w:hAnsi="Garamond" w:cstheme="majorBidi"/>
        </w:rPr>
        <w:t>-së</w:t>
      </w:r>
      <w:r w:rsidRPr="00770F9D">
        <w:rPr>
          <w:rFonts w:ascii="Garamond" w:hAnsi="Garamond" w:cstheme="majorBidi"/>
        </w:rPr>
        <w:t xml:space="preserve"> dhe aftësisë së kufizuar), si dhe funksioneve të menaxhimit të shërbimeve të kujdesit social në nivel ministrie. Njësitë e </w:t>
      </w:r>
      <w:r w:rsidR="00593257" w:rsidRPr="00770F9D">
        <w:rPr>
          <w:rFonts w:ascii="Garamond" w:hAnsi="Garamond" w:cstheme="majorBidi"/>
        </w:rPr>
        <w:t>qeverisjes ven</w:t>
      </w:r>
      <w:r w:rsidRPr="00770F9D">
        <w:rPr>
          <w:rFonts w:ascii="Garamond" w:hAnsi="Garamond" w:cstheme="majorBidi"/>
        </w:rPr>
        <w:t>dore kanë një rol parësor në ngritjen dhe menaxhimin e shërbimeve të përkujdes</w:t>
      </w:r>
      <w:r w:rsidR="00593257" w:rsidRPr="00770F9D">
        <w:rPr>
          <w:rFonts w:ascii="Garamond" w:hAnsi="Garamond" w:cstheme="majorBidi"/>
        </w:rPr>
        <w:t>jes</w:t>
      </w:r>
      <w:r w:rsidRPr="00770F9D">
        <w:rPr>
          <w:rFonts w:ascii="Garamond" w:hAnsi="Garamond" w:cstheme="majorBidi"/>
        </w:rPr>
        <w:t xml:space="preserve"> social</w:t>
      </w:r>
      <w:r w:rsidR="00593257" w:rsidRPr="00770F9D">
        <w:rPr>
          <w:rFonts w:ascii="Garamond" w:hAnsi="Garamond" w:cstheme="majorBidi"/>
        </w:rPr>
        <w:t>ë</w:t>
      </w:r>
      <w:r w:rsidRPr="00770F9D">
        <w:rPr>
          <w:rFonts w:ascii="Garamond" w:hAnsi="Garamond" w:cstheme="majorBidi"/>
        </w:rPr>
        <w:t xml:space="preserve"> për personat vulnerabël, në përputhje me parimin e decentralizimit dhe deinstitucionalizimit</w:t>
      </w:r>
      <w:r w:rsidR="00593257" w:rsidRPr="00770F9D">
        <w:rPr>
          <w:rFonts w:ascii="Garamond" w:hAnsi="Garamond" w:cstheme="majorBidi"/>
        </w:rPr>
        <w:t>.</w:t>
      </w:r>
    </w:p>
    <w:p w14:paraId="4F7EC5CB" w14:textId="7E3779B2" w:rsidR="00F26BAE" w:rsidRPr="00770F9D" w:rsidRDefault="00F26BAE" w:rsidP="00400806">
      <w:pPr>
        <w:ind w:firstLine="284"/>
        <w:jc w:val="both"/>
        <w:rPr>
          <w:rFonts w:ascii="Garamond" w:hAnsi="Garamond" w:cstheme="majorBidi"/>
        </w:rPr>
      </w:pPr>
      <w:r w:rsidRPr="00770F9D">
        <w:rPr>
          <w:rFonts w:ascii="Garamond" w:hAnsi="Garamond" w:cstheme="majorBidi"/>
        </w:rPr>
        <w:t>Programi i Ndihmës Ekonomike (Ndihma Ekonomike) është programi kryesor i pagesave në para për të varfrit në Shqipëri. Nëpërmjet një reforme gjithëpërfshirëse dhe investimeve shoqëruese në sistemet e mbrojtjes sociale, Ndihma Ekonomike (NE) është përmirësuar gjatë dhjetë v</w:t>
      </w:r>
      <w:r w:rsidR="006A30BB" w:rsidRPr="00770F9D">
        <w:rPr>
          <w:rFonts w:ascii="Garamond" w:hAnsi="Garamond" w:cstheme="majorBidi"/>
        </w:rPr>
        <w:t>jetëve</w:t>
      </w:r>
      <w:r w:rsidRPr="00770F9D">
        <w:rPr>
          <w:rFonts w:ascii="Garamond" w:hAnsi="Garamond" w:cstheme="majorBidi"/>
        </w:rPr>
        <w:t xml:space="preserve"> të fundit, duke treguar tashmë që kjo skemë është më efektive në shënjestrimin e familjeve jashtëzakonisht të varfra se përpara reformës.</w:t>
      </w:r>
    </w:p>
    <w:p w14:paraId="4D76E8A4" w14:textId="6BC048D9" w:rsidR="00F26BAE" w:rsidRPr="00770F9D" w:rsidRDefault="00F26BAE" w:rsidP="00400806">
      <w:pPr>
        <w:ind w:firstLine="284"/>
        <w:jc w:val="both"/>
        <w:rPr>
          <w:rFonts w:ascii="Garamond" w:hAnsi="Garamond" w:cstheme="majorBidi"/>
        </w:rPr>
      </w:pPr>
      <w:r w:rsidRPr="00770F9D">
        <w:rPr>
          <w:rFonts w:ascii="Garamond" w:hAnsi="Garamond" w:cstheme="majorBidi"/>
        </w:rPr>
        <w:t>Reforma e ndihmës ekonomike vijon në konsolidimin e saj, nëpërmjet masave të marra për rritjen e masës së përfitimit dhe vendosjes së mekanizmit për referimin për punësim dhe integrimit social të anëtarëve në moshë aktive pune të familjeve përfituese të skemës së ndihmës ekonomike. Sipas të dhënave nga Anketa e të Ardhurave dhe Nivelit të Jetesës 2020 për shpërndarjen e të ardhurave (sa</w:t>
      </w:r>
      <w:r w:rsidR="00EB7228" w:rsidRPr="00770F9D">
        <w:rPr>
          <w:rFonts w:ascii="Garamond" w:hAnsi="Garamond" w:cstheme="majorBidi"/>
        </w:rPr>
        <w:t>k</w:t>
      </w:r>
      <w:r w:rsidRPr="00770F9D">
        <w:rPr>
          <w:rFonts w:ascii="Garamond" w:hAnsi="Garamond" w:cstheme="majorBidi"/>
        </w:rPr>
        <w:t>tësia e targetimit), skema e ndihmës ekonomike mbulon 81.6% të kuintilit të parë dhe të dytë (përkatësisht 61.6% nga kuintili i parë dhe 20.1% nga kuintili i dytë). Gjatë vitit 2022 dinamika e skemës ka qenë e q</w:t>
      </w:r>
      <w:r w:rsidR="000A7B21" w:rsidRPr="00770F9D">
        <w:rPr>
          <w:rFonts w:ascii="Garamond" w:hAnsi="Garamond" w:cstheme="majorBidi"/>
        </w:rPr>
        <w:t>ë</w:t>
      </w:r>
      <w:r w:rsidRPr="00770F9D">
        <w:rPr>
          <w:rFonts w:ascii="Garamond" w:hAnsi="Garamond" w:cstheme="majorBidi"/>
        </w:rPr>
        <w:t xml:space="preserve">ndrueshme. Aktualisht 95% e aplikuesve të kësaj skeme janë përfitues. 64,000 familje janë përfitues të skemës së ndihmës ekonomike. Që nga muaji </w:t>
      </w:r>
      <w:r w:rsidR="005F253F" w:rsidRPr="00770F9D">
        <w:rPr>
          <w:rFonts w:ascii="Garamond" w:hAnsi="Garamond" w:cstheme="majorBidi"/>
        </w:rPr>
        <w:t xml:space="preserve">janar </w:t>
      </w:r>
      <w:r w:rsidRPr="00770F9D">
        <w:rPr>
          <w:rFonts w:ascii="Garamond" w:hAnsi="Garamond" w:cstheme="majorBidi"/>
        </w:rPr>
        <w:t>është rritur masa e përfitimit me 20% për familjet përfituese të skemës së ndihmës ekonomike.</w:t>
      </w:r>
      <w:r w:rsidR="00263132" w:rsidRPr="00770F9D">
        <w:rPr>
          <w:rFonts w:ascii="Garamond" w:hAnsi="Garamond" w:cstheme="majorBidi"/>
        </w:rPr>
        <w:t xml:space="preserve"> </w:t>
      </w:r>
      <w:r w:rsidRPr="00770F9D">
        <w:rPr>
          <w:rFonts w:ascii="Garamond" w:hAnsi="Garamond" w:cstheme="majorBidi"/>
        </w:rPr>
        <w:t>Është dyfishuar masa e përfitimit për familje që kanë në përbërje tre dhe më shumë fëmijë, për gratë kryefamiljare me deri në dy fëmijë dhe për individët të moshës mbi 65 vjeç që janë të vetmuar dhe nuk përfitojnë pension pleqërie apo pension social. Gjithashtu</w:t>
      </w:r>
      <w:r w:rsidR="005F253F" w:rsidRPr="00770F9D">
        <w:rPr>
          <w:rFonts w:ascii="Garamond" w:hAnsi="Garamond" w:cstheme="majorBidi"/>
        </w:rPr>
        <w:t>,</w:t>
      </w:r>
      <w:r w:rsidRPr="00770F9D">
        <w:rPr>
          <w:rFonts w:ascii="Garamond" w:hAnsi="Garamond" w:cstheme="majorBidi"/>
        </w:rPr>
        <w:t xml:space="preserve"> është trefishuar masa e përfitimit për kategoritë e jetimëve, viktimave të dhunës dhe të trafikimit</w:t>
      </w:r>
    </w:p>
    <w:p w14:paraId="65C7CAFF" w14:textId="51D1011A" w:rsidR="00F26BAE" w:rsidRPr="00770F9D" w:rsidRDefault="00F26BAE" w:rsidP="00400806">
      <w:pPr>
        <w:ind w:firstLine="284"/>
        <w:jc w:val="both"/>
        <w:rPr>
          <w:rFonts w:ascii="Garamond" w:hAnsi="Garamond" w:cstheme="majorBidi"/>
        </w:rPr>
      </w:pPr>
      <w:r w:rsidRPr="00770F9D">
        <w:rPr>
          <w:rFonts w:ascii="Garamond" w:hAnsi="Garamond" w:cstheme="majorBidi"/>
          <w:iCs/>
        </w:rPr>
        <w:t>Për zbutjen e efekteve të ndikuara nga lufta në Ukrainë</w:t>
      </w:r>
      <w:r w:rsidRPr="00770F9D">
        <w:rPr>
          <w:rFonts w:ascii="Garamond" w:hAnsi="Garamond" w:cstheme="majorBidi"/>
        </w:rPr>
        <w:t>, familjet përfituese të skemës së ndihmës ekonomike dhe personat me aftësi të kufizuar</w:t>
      </w:r>
      <w:r w:rsidR="005F253F" w:rsidRPr="00770F9D">
        <w:rPr>
          <w:rFonts w:ascii="Garamond" w:hAnsi="Garamond" w:cstheme="majorBidi"/>
        </w:rPr>
        <w:t>a</w:t>
      </w:r>
      <w:r w:rsidRPr="00770F9D">
        <w:rPr>
          <w:rFonts w:ascii="Garamond" w:hAnsi="Garamond" w:cstheme="majorBidi"/>
        </w:rPr>
        <w:t xml:space="preserve"> përfituan një mbështe</w:t>
      </w:r>
      <w:r w:rsidR="005F253F" w:rsidRPr="00770F9D">
        <w:rPr>
          <w:rFonts w:ascii="Garamond" w:hAnsi="Garamond" w:cstheme="majorBidi"/>
        </w:rPr>
        <w:t>t</w:t>
      </w:r>
      <w:r w:rsidRPr="00770F9D">
        <w:rPr>
          <w:rFonts w:ascii="Garamond" w:hAnsi="Garamond" w:cstheme="majorBidi"/>
        </w:rPr>
        <w:t xml:space="preserve">je financiare në vlerën 9,000 lekë nga muaji </w:t>
      </w:r>
      <w:r w:rsidR="005F253F" w:rsidRPr="00770F9D">
        <w:rPr>
          <w:rFonts w:ascii="Garamond" w:hAnsi="Garamond" w:cstheme="majorBidi"/>
        </w:rPr>
        <w:t>prill deri në qershor</w:t>
      </w:r>
      <w:r w:rsidRPr="00770F9D">
        <w:rPr>
          <w:rFonts w:ascii="Garamond" w:hAnsi="Garamond" w:cstheme="majorBidi"/>
        </w:rPr>
        <w:t>. Nga kjo masë përfituan 64,000 familje përfituese të skemës së ndihmës ekonomike dhe 69,636 persona me aftësi të kufizuar</w:t>
      </w:r>
      <w:r w:rsidR="005F253F" w:rsidRPr="00770F9D">
        <w:rPr>
          <w:rFonts w:ascii="Garamond" w:hAnsi="Garamond" w:cstheme="majorBidi"/>
        </w:rPr>
        <w:t>a</w:t>
      </w:r>
      <w:r w:rsidRPr="00770F9D">
        <w:rPr>
          <w:rFonts w:ascii="Garamond" w:hAnsi="Garamond" w:cstheme="majorBidi"/>
        </w:rPr>
        <w:t>.</w:t>
      </w:r>
    </w:p>
    <w:p w14:paraId="3CC3764C" w14:textId="2DFB7AB8" w:rsidR="00F26BAE" w:rsidRPr="00770F9D" w:rsidRDefault="00F26BAE" w:rsidP="00400806">
      <w:pPr>
        <w:ind w:firstLine="284"/>
        <w:jc w:val="both"/>
        <w:rPr>
          <w:rFonts w:ascii="Garamond" w:hAnsi="Garamond" w:cstheme="majorBidi"/>
        </w:rPr>
      </w:pPr>
      <w:r w:rsidRPr="00770F9D">
        <w:rPr>
          <w:rFonts w:ascii="Garamond" w:hAnsi="Garamond" w:cstheme="majorBidi"/>
          <w:bCs/>
        </w:rPr>
        <w:t>Për personat me aftësi të kufizuar</w:t>
      </w:r>
      <w:r w:rsidR="007D22A4" w:rsidRPr="00770F9D">
        <w:rPr>
          <w:rFonts w:ascii="Garamond" w:hAnsi="Garamond" w:cstheme="majorBidi"/>
          <w:bCs/>
        </w:rPr>
        <w:t>a</w:t>
      </w:r>
      <w:r w:rsidRPr="00770F9D">
        <w:rPr>
          <w:rFonts w:ascii="Garamond" w:hAnsi="Garamond" w:cstheme="majorBidi"/>
          <w:bCs/>
        </w:rPr>
        <w:t xml:space="preserve"> u indeksuan pagesat me 7.5%. Gjithashtu</w:t>
      </w:r>
      <w:r w:rsidR="007D22A4" w:rsidRPr="00770F9D">
        <w:rPr>
          <w:rFonts w:ascii="Garamond" w:hAnsi="Garamond" w:cstheme="majorBidi"/>
          <w:bCs/>
        </w:rPr>
        <w:t>,</w:t>
      </w:r>
      <w:r w:rsidRPr="00770F9D">
        <w:rPr>
          <w:rFonts w:ascii="Garamond" w:hAnsi="Garamond" w:cstheme="majorBidi"/>
          <w:bCs/>
        </w:rPr>
        <w:t xml:space="preserve"> një rritje prej 1000 lekësh është bërë si një mbështetje shtesë për energjinë për kategoritë para</w:t>
      </w:r>
      <w:r w:rsidR="007D22A4" w:rsidRPr="00770F9D">
        <w:rPr>
          <w:rFonts w:ascii="Garamond" w:hAnsi="Garamond" w:cstheme="majorBidi"/>
          <w:bCs/>
        </w:rPr>
        <w:t>- dhe</w:t>
      </w:r>
      <w:r w:rsidRPr="00770F9D">
        <w:rPr>
          <w:rFonts w:ascii="Garamond" w:hAnsi="Garamond" w:cstheme="majorBidi"/>
          <w:bCs/>
        </w:rPr>
        <w:t xml:space="preserve"> tetraplegjikë dhe të verbrit. Nga kjo rritje përfituan 11,411 individë</w:t>
      </w:r>
      <w:r w:rsidRPr="00770F9D">
        <w:rPr>
          <w:rFonts w:ascii="Garamond" w:hAnsi="Garamond" w:cstheme="majorBidi"/>
        </w:rPr>
        <w:t xml:space="preserve">. </w:t>
      </w:r>
    </w:p>
    <w:p w14:paraId="319E1D66" w14:textId="09C32619" w:rsidR="00F26BAE" w:rsidRPr="00770F9D" w:rsidRDefault="00F26BAE" w:rsidP="00400806">
      <w:pPr>
        <w:ind w:firstLine="284"/>
        <w:jc w:val="both"/>
        <w:rPr>
          <w:rFonts w:ascii="Garamond" w:hAnsi="Garamond" w:cstheme="majorBidi"/>
        </w:rPr>
      </w:pPr>
      <w:r w:rsidRPr="00770F9D">
        <w:rPr>
          <w:rFonts w:ascii="Garamond" w:hAnsi="Garamond" w:cstheme="majorBidi"/>
        </w:rPr>
        <w:t>Qeveria ka reformuar vlerësimin e aftësisë së kufizuar</w:t>
      </w:r>
      <w:r w:rsidR="006055EB" w:rsidRPr="00770F9D">
        <w:rPr>
          <w:rFonts w:ascii="Garamond" w:hAnsi="Garamond" w:cstheme="majorBidi"/>
        </w:rPr>
        <w:t>,</w:t>
      </w:r>
      <w:r w:rsidRPr="00770F9D">
        <w:rPr>
          <w:rFonts w:ascii="Garamond" w:hAnsi="Garamond" w:cstheme="majorBidi"/>
        </w:rPr>
        <w:t xml:space="preserve"> duke futur një sistem të ri të vlerësimit bazuar në modelin biopsikosocial dhe duke ndryshuar nivelet e përfitimeve; megjithatë, kjo reformë kërkon konsolidim dhe harmonizim me paketën e mbështetjes sociale në nivel kombëtar. Reforma e vlerësimit të aftësisë së kufizuar është e nevojshme për të pasur një vizion afatgjatë të Ministrisë dhe strategjinë</w:t>
      </w:r>
      <w:r w:rsidR="002629DD" w:rsidRPr="00770F9D">
        <w:rPr>
          <w:rFonts w:ascii="Garamond" w:hAnsi="Garamond" w:cstheme="majorBidi"/>
        </w:rPr>
        <w:t>,</w:t>
      </w:r>
      <w:r w:rsidRPr="00770F9D">
        <w:rPr>
          <w:rFonts w:ascii="Garamond" w:hAnsi="Garamond" w:cstheme="majorBidi"/>
        </w:rPr>
        <w:t xml:space="preserve"> në lidhje me mbështetjen që duhet t</w:t>
      </w:r>
      <w:r w:rsidR="002629DD" w:rsidRPr="00770F9D">
        <w:rPr>
          <w:rFonts w:ascii="Garamond" w:hAnsi="Garamond" w:cstheme="majorBidi"/>
        </w:rPr>
        <w:t>’</w:t>
      </w:r>
      <w:r w:rsidRPr="00770F9D">
        <w:rPr>
          <w:rFonts w:ascii="Garamond" w:hAnsi="Garamond" w:cstheme="majorBidi"/>
        </w:rPr>
        <w:t>u ofrohet personave me aftësi të kufizuara.</w:t>
      </w:r>
    </w:p>
    <w:p w14:paraId="19DA9917" w14:textId="1F572958" w:rsidR="00F26BAE" w:rsidRPr="00770F9D" w:rsidRDefault="00F26BAE" w:rsidP="00400806">
      <w:pPr>
        <w:ind w:firstLine="284"/>
        <w:jc w:val="both"/>
        <w:rPr>
          <w:rFonts w:ascii="Garamond" w:hAnsi="Garamond" w:cstheme="majorBidi"/>
        </w:rPr>
      </w:pPr>
      <w:r w:rsidRPr="00770F9D">
        <w:rPr>
          <w:rFonts w:ascii="Garamond" w:hAnsi="Garamond" w:cstheme="majorBidi"/>
        </w:rPr>
        <w:t xml:space="preserve">Shërbimet sociale luajnë një rol kyç në mbështetjen </w:t>
      </w:r>
      <w:r w:rsidRPr="00F52E05">
        <w:rPr>
          <w:rFonts w:ascii="Garamond" w:hAnsi="Garamond" w:cstheme="majorBidi"/>
        </w:rPr>
        <w:t>e kapitalit njerëzor</w:t>
      </w:r>
      <w:r w:rsidR="002629DD" w:rsidRPr="00F52E05">
        <w:rPr>
          <w:rFonts w:ascii="Garamond" w:hAnsi="Garamond" w:cstheme="majorBidi"/>
        </w:rPr>
        <w:t>,</w:t>
      </w:r>
      <w:r w:rsidRPr="00770F9D">
        <w:rPr>
          <w:rFonts w:ascii="Garamond" w:hAnsi="Garamond" w:cstheme="majorBidi"/>
        </w:rPr>
        <w:t xml:space="preserve"> duke ndihmuar individët dhe familjet të kapërcejnë rreziqet, duke synuar përmirësimin e mirëqenies së tyre. Megjithatë, mbulimi i shërbimeve sociale në Shqipëri është mjaft i shpërndarë në mënyrë të pabarabartë, me boshllëqe në mbulim gjeografik.</w:t>
      </w:r>
    </w:p>
    <w:p w14:paraId="722FC252" w14:textId="1B347717" w:rsidR="00F26BAE" w:rsidRPr="00770F9D" w:rsidRDefault="00F26BAE" w:rsidP="00400806">
      <w:pPr>
        <w:ind w:firstLine="284"/>
        <w:jc w:val="both"/>
        <w:rPr>
          <w:rFonts w:ascii="Garamond" w:hAnsi="Garamond" w:cstheme="majorBidi"/>
        </w:rPr>
      </w:pPr>
      <w:r w:rsidRPr="00770F9D">
        <w:rPr>
          <w:rFonts w:ascii="Garamond" w:hAnsi="Garamond" w:cstheme="majorBidi"/>
        </w:rPr>
        <w:t xml:space="preserve">Qeveria ka ndërmarrë hapa për rritjen e financimit të shërbimeve sociale, me ngritjen e mekanizmit të financimit (Fondi </w:t>
      </w:r>
      <w:r w:rsidR="000E67B5" w:rsidRPr="00770F9D">
        <w:rPr>
          <w:rFonts w:ascii="Garamond" w:hAnsi="Garamond" w:cstheme="majorBidi"/>
        </w:rPr>
        <w:t>Social</w:t>
      </w:r>
      <w:r w:rsidRPr="00770F9D">
        <w:rPr>
          <w:rFonts w:ascii="Garamond" w:hAnsi="Garamond" w:cstheme="majorBidi"/>
        </w:rPr>
        <w:t>), i cili pritet të mbështesë bashkit</w:t>
      </w:r>
      <w:r w:rsidR="008021C3" w:rsidRPr="00770F9D">
        <w:rPr>
          <w:rFonts w:ascii="Garamond" w:hAnsi="Garamond" w:cstheme="majorBidi"/>
        </w:rPr>
        <w:t>ë</w:t>
      </w:r>
      <w:r w:rsidRPr="00770F9D">
        <w:rPr>
          <w:rFonts w:ascii="Garamond" w:hAnsi="Garamond" w:cstheme="majorBidi"/>
        </w:rPr>
        <w:t xml:space="preserve">, për të zgjeruar dhe përmirësuar ofrimin e shërbimeve të kujdesit social, për të përmbushur më mirë nevojat e komuniteteve në nevojë. Të gjitha bashkitë kanë, hartuar, kostuar dhe buxhetuar </w:t>
      </w:r>
      <w:r w:rsidR="008021C3" w:rsidRPr="00770F9D">
        <w:rPr>
          <w:rFonts w:ascii="Garamond" w:hAnsi="Garamond" w:cstheme="majorBidi"/>
        </w:rPr>
        <w:t>planet sociale vendor</w:t>
      </w:r>
      <w:r w:rsidRPr="00770F9D">
        <w:rPr>
          <w:rFonts w:ascii="Garamond" w:hAnsi="Garamond" w:cstheme="majorBidi"/>
        </w:rPr>
        <w:t>e. Fondi total i disbursuar për pushtetin vendor nga Fondi Social gjatë viteve 2019</w:t>
      </w:r>
      <w:r w:rsidR="000E67B5" w:rsidRPr="00770F9D">
        <w:rPr>
          <w:rFonts w:ascii="Garamond" w:hAnsi="Garamond" w:cstheme="majorBidi"/>
        </w:rPr>
        <w:t>–</w:t>
      </w:r>
      <w:r w:rsidRPr="00770F9D">
        <w:rPr>
          <w:rFonts w:ascii="Garamond" w:hAnsi="Garamond" w:cstheme="majorBidi"/>
        </w:rPr>
        <w:t>2022 është 539 milionë lekë. Ky fond ka mbështetur nivelin vendor për ngritjen e 40 shërbimeve të kujdesit social (27 shërbime sociale në nivel bashkie dhe 13 shërbime të specializuara në 6 qarqe), në partneritet me OJF-t</w:t>
      </w:r>
      <w:r w:rsidR="00F17D5F" w:rsidRPr="00770F9D">
        <w:rPr>
          <w:rFonts w:ascii="Garamond" w:hAnsi="Garamond" w:cstheme="majorBidi"/>
        </w:rPr>
        <w:t>ë</w:t>
      </w:r>
      <w:r w:rsidRPr="00770F9D">
        <w:rPr>
          <w:rFonts w:ascii="Garamond" w:hAnsi="Garamond" w:cstheme="majorBidi"/>
        </w:rPr>
        <w:t xml:space="preserve"> </w:t>
      </w:r>
      <w:r w:rsidR="002A4878" w:rsidRPr="00770F9D">
        <w:rPr>
          <w:rFonts w:ascii="Garamond" w:hAnsi="Garamond" w:cstheme="majorBidi"/>
        </w:rPr>
        <w:t>vendës</w:t>
      </w:r>
      <w:r w:rsidRPr="00770F9D">
        <w:rPr>
          <w:rFonts w:ascii="Garamond" w:hAnsi="Garamond" w:cstheme="majorBidi"/>
        </w:rPr>
        <w:t>e dhe ndërkombëtare</w:t>
      </w:r>
      <w:r w:rsidR="002B1301" w:rsidRPr="00770F9D">
        <w:rPr>
          <w:rFonts w:ascii="Garamond" w:hAnsi="Garamond" w:cstheme="majorBidi"/>
        </w:rPr>
        <w:t>,</w:t>
      </w:r>
      <w:r w:rsidRPr="00770F9D">
        <w:rPr>
          <w:rFonts w:ascii="Garamond" w:hAnsi="Garamond" w:cstheme="majorBidi"/>
        </w:rPr>
        <w:t xml:space="preserve"> u ofruan shërbime për 10,744 përfitues, duke përfshirë: fëmijë në situatë rreziku, persona me aftësi të kufizuara, të moshuar, viktima trafikimi, viktima dhe dhunë në familje, familje në nevojë, </w:t>
      </w:r>
      <w:r w:rsidR="002B1301" w:rsidRPr="00770F9D">
        <w:rPr>
          <w:rFonts w:ascii="Garamond" w:hAnsi="Garamond" w:cstheme="majorBidi"/>
        </w:rPr>
        <w:t>romë dhe egjiptianë</w:t>
      </w:r>
      <w:r w:rsidRPr="00770F9D">
        <w:rPr>
          <w:rFonts w:ascii="Garamond" w:hAnsi="Garamond" w:cstheme="majorBidi"/>
        </w:rPr>
        <w:t>, LGBTI+.</w:t>
      </w:r>
    </w:p>
    <w:p w14:paraId="2D3EC21F" w14:textId="0F27F20A" w:rsidR="00F26BAE" w:rsidRPr="00770F9D" w:rsidRDefault="00F26BAE" w:rsidP="00400806">
      <w:pPr>
        <w:ind w:firstLine="284"/>
        <w:jc w:val="both"/>
        <w:rPr>
          <w:rFonts w:ascii="Garamond" w:hAnsi="Garamond" w:cstheme="majorBidi"/>
        </w:rPr>
      </w:pPr>
      <w:r w:rsidRPr="00770F9D">
        <w:rPr>
          <w:rFonts w:ascii="Garamond" w:hAnsi="Garamond" w:cstheme="majorBidi"/>
        </w:rPr>
        <w:t>Pavarësisht funksionimit të fondit social, në tre v</w:t>
      </w:r>
      <w:r w:rsidR="00E021B7" w:rsidRPr="00770F9D">
        <w:rPr>
          <w:rFonts w:ascii="Garamond" w:hAnsi="Garamond" w:cstheme="majorBidi"/>
        </w:rPr>
        <w:t xml:space="preserve">jetët </w:t>
      </w:r>
      <w:r w:rsidRPr="00770F9D">
        <w:rPr>
          <w:rFonts w:ascii="Garamond" w:hAnsi="Garamond" w:cstheme="majorBidi"/>
        </w:rPr>
        <w:t xml:space="preserve">e fundit ka edhe një sërë vështirësish të tjera strukturore, si burimet e kufizuara financiare dhe njerëzore, kapacitetet e ulëta të kualifikimit në nivel vendor për të bërë vlerësimin e nevojave, planifikimin dhe zhvillimin e “projekteve” të shërbimit social, të integruara në planet sociale lokale. </w:t>
      </w:r>
    </w:p>
    <w:p w14:paraId="5BA9DC54" w14:textId="40A949B5" w:rsidR="00F26BAE" w:rsidRPr="00770F9D" w:rsidRDefault="00F26BAE" w:rsidP="00400806">
      <w:pPr>
        <w:ind w:firstLine="284"/>
        <w:jc w:val="both"/>
        <w:rPr>
          <w:rFonts w:ascii="Garamond" w:hAnsi="Garamond" w:cstheme="majorBidi"/>
        </w:rPr>
      </w:pPr>
      <w:r w:rsidRPr="00770F9D">
        <w:rPr>
          <w:rFonts w:ascii="Garamond" w:hAnsi="Garamond" w:cstheme="majorBidi"/>
        </w:rPr>
        <w:t xml:space="preserve">Ministria e Shëndetësisë dhe Mbrojtjes Sociale, në kuadër të reformës së kujdesit social, ka përfshirë si reformë prioritare edhe programin e </w:t>
      </w:r>
      <w:r w:rsidR="003F4C96" w:rsidRPr="00770F9D">
        <w:rPr>
          <w:rFonts w:ascii="Garamond" w:hAnsi="Garamond" w:cstheme="majorBidi"/>
        </w:rPr>
        <w:t>digjital</w:t>
      </w:r>
      <w:r w:rsidRPr="00770F9D">
        <w:rPr>
          <w:rFonts w:ascii="Garamond" w:hAnsi="Garamond" w:cstheme="majorBidi"/>
        </w:rPr>
        <w:t>izimit të shërbimeve të kujdesit social, me përfshirjen e të gjithë aktorëve në nivel qendror dhe vendor. Regjistri Elektronik Kombëtar i Shërbimeve të Kujdesit Social (në tekstin e mëtejmë MIS-SHKSH) është një sistem informacioni i integruar për administrimin (identifikimin, referimin, ndërhyrjen dhe monitorimin) e shërbimeve të kujdesit social</w:t>
      </w:r>
      <w:r w:rsidR="00DC0000" w:rsidRPr="00770F9D">
        <w:rPr>
          <w:rFonts w:ascii="Garamond" w:hAnsi="Garamond" w:cstheme="majorBidi"/>
        </w:rPr>
        <w:t>,</w:t>
      </w:r>
      <w:r w:rsidRPr="00770F9D">
        <w:rPr>
          <w:rFonts w:ascii="Garamond" w:hAnsi="Garamond" w:cstheme="majorBidi"/>
        </w:rPr>
        <w:t xml:space="preserve"> duke përdorur një mekanizëm unik identifikimi me një logim të vet</w:t>
      </w:r>
      <w:r w:rsidR="00DC0000" w:rsidRPr="00770F9D">
        <w:rPr>
          <w:rFonts w:ascii="Garamond" w:hAnsi="Garamond" w:cstheme="majorBidi"/>
        </w:rPr>
        <w:t>ë</w:t>
      </w:r>
      <w:r w:rsidRPr="00770F9D">
        <w:rPr>
          <w:rFonts w:ascii="Garamond" w:hAnsi="Garamond" w:cstheme="majorBidi"/>
        </w:rPr>
        <w:t>m, për të tr</w:t>
      </w:r>
      <w:r w:rsidR="00DC0000" w:rsidRPr="00770F9D">
        <w:rPr>
          <w:rFonts w:ascii="Garamond" w:hAnsi="Garamond" w:cstheme="majorBidi"/>
        </w:rPr>
        <w:t>ia</w:t>
      </w:r>
      <w:r w:rsidRPr="00770F9D">
        <w:rPr>
          <w:rFonts w:ascii="Garamond" w:hAnsi="Garamond" w:cstheme="majorBidi"/>
        </w:rPr>
        <w:t xml:space="preserve"> sistemet e informacionit. Ndihma </w:t>
      </w:r>
      <w:r w:rsidR="00E4266E" w:rsidRPr="00770F9D">
        <w:rPr>
          <w:rFonts w:ascii="Garamond" w:hAnsi="Garamond" w:cstheme="majorBidi"/>
        </w:rPr>
        <w:t xml:space="preserve">ekonomike; personat me aftësi të kufizuara </w:t>
      </w:r>
      <w:r w:rsidRPr="00770F9D">
        <w:rPr>
          <w:rFonts w:ascii="Garamond" w:hAnsi="Garamond" w:cstheme="majorBidi"/>
        </w:rPr>
        <w:t>dhe SHKSH.</w:t>
      </w:r>
    </w:p>
    <w:p w14:paraId="1E765DC8" w14:textId="5FFB4700" w:rsidR="00F26BAE" w:rsidRPr="00770F9D" w:rsidRDefault="00F26BAE" w:rsidP="00400806">
      <w:pPr>
        <w:ind w:firstLine="284"/>
        <w:jc w:val="both"/>
        <w:rPr>
          <w:rFonts w:ascii="Garamond" w:hAnsi="Garamond" w:cstheme="majorBidi"/>
        </w:rPr>
      </w:pPr>
      <w:r w:rsidRPr="00770F9D">
        <w:rPr>
          <w:rFonts w:ascii="Garamond" w:hAnsi="Garamond" w:cstheme="majorBidi"/>
        </w:rPr>
        <w:t>Një nga prioritetet kryesore të MSHMS</w:t>
      </w:r>
      <w:r w:rsidR="00E4266E" w:rsidRPr="00770F9D">
        <w:rPr>
          <w:rFonts w:ascii="Garamond" w:hAnsi="Garamond" w:cstheme="majorBidi"/>
        </w:rPr>
        <w:t>-së</w:t>
      </w:r>
      <w:r w:rsidRPr="00770F9D">
        <w:rPr>
          <w:rFonts w:ascii="Garamond" w:hAnsi="Garamond" w:cstheme="majorBidi"/>
        </w:rPr>
        <w:t xml:space="preserve"> është ngritja e kapaciteteve, në nivel qendror dhe vendor, në përdorimin e sistemit elektronik të shërbimeve sociale, i cili mundëson informacion në kohë reale për referimin dhe menaxhimin e rasteve. Qëllimi i funksionimit i MIS-SHKSH është: i</w:t>
      </w:r>
      <w:r w:rsidR="00E4266E" w:rsidRPr="00770F9D">
        <w:rPr>
          <w:rFonts w:ascii="Garamond" w:hAnsi="Garamond" w:cstheme="majorBidi"/>
        </w:rPr>
        <w:t>.</w:t>
      </w:r>
      <w:r w:rsidRPr="00770F9D">
        <w:rPr>
          <w:rFonts w:ascii="Garamond" w:hAnsi="Garamond" w:cstheme="majorBidi"/>
        </w:rPr>
        <w:t xml:space="preserve"> lehtësimi i procedurave për aplikantët dhe shmangia e burokracive</w:t>
      </w:r>
      <w:r w:rsidR="00E4266E" w:rsidRPr="00770F9D">
        <w:rPr>
          <w:rFonts w:ascii="Garamond" w:hAnsi="Garamond" w:cstheme="majorBidi"/>
        </w:rPr>
        <w:t>;</w:t>
      </w:r>
      <w:r w:rsidRPr="00770F9D">
        <w:rPr>
          <w:rFonts w:ascii="Garamond" w:hAnsi="Garamond" w:cstheme="majorBidi"/>
        </w:rPr>
        <w:t xml:space="preserve"> ii</w:t>
      </w:r>
      <w:r w:rsidR="00E4266E" w:rsidRPr="00770F9D">
        <w:rPr>
          <w:rFonts w:ascii="Garamond" w:hAnsi="Garamond" w:cstheme="majorBidi"/>
        </w:rPr>
        <w:t>.</w:t>
      </w:r>
      <w:r w:rsidRPr="00770F9D">
        <w:rPr>
          <w:rFonts w:ascii="Garamond" w:hAnsi="Garamond" w:cstheme="majorBidi"/>
        </w:rPr>
        <w:t xml:space="preserve"> marrja e informacionit për çdo qytetar aplikues në kohë reale; iii</w:t>
      </w:r>
      <w:r w:rsidR="00E4266E" w:rsidRPr="00770F9D">
        <w:rPr>
          <w:rFonts w:ascii="Garamond" w:hAnsi="Garamond" w:cstheme="majorBidi"/>
        </w:rPr>
        <w:t>.</w:t>
      </w:r>
      <w:r w:rsidRPr="00770F9D">
        <w:rPr>
          <w:rFonts w:ascii="Garamond" w:hAnsi="Garamond" w:cstheme="majorBidi"/>
        </w:rPr>
        <w:t xml:space="preserve"> menaxhimi dhe ndjekja e rasteve </w:t>
      </w:r>
      <w:r w:rsidR="00E4266E" w:rsidRPr="00770F9D">
        <w:rPr>
          <w:rFonts w:ascii="Garamond" w:hAnsi="Garamond" w:cstheme="majorBidi"/>
        </w:rPr>
        <w:t>nëpërmjet regjistrit elektronik ko</w:t>
      </w:r>
      <w:r w:rsidRPr="00770F9D">
        <w:rPr>
          <w:rFonts w:ascii="Garamond" w:hAnsi="Garamond" w:cstheme="majorBidi"/>
        </w:rPr>
        <w:t>mbëtar</w:t>
      </w:r>
      <w:r w:rsidR="00E4266E" w:rsidRPr="00770F9D">
        <w:rPr>
          <w:rFonts w:ascii="Garamond" w:hAnsi="Garamond" w:cstheme="majorBidi"/>
        </w:rPr>
        <w:t>,</w:t>
      </w:r>
      <w:r w:rsidRPr="00770F9D">
        <w:rPr>
          <w:rFonts w:ascii="Garamond" w:hAnsi="Garamond" w:cstheme="majorBidi"/>
        </w:rPr>
        <w:t xml:space="preserve"> duke ndërvepruar me çdo nivel lokal ose qendror; iv</w:t>
      </w:r>
      <w:r w:rsidR="00E4266E" w:rsidRPr="00770F9D">
        <w:rPr>
          <w:rFonts w:ascii="Garamond" w:hAnsi="Garamond" w:cstheme="majorBidi"/>
        </w:rPr>
        <w:t>.</w:t>
      </w:r>
      <w:r w:rsidRPr="00770F9D">
        <w:rPr>
          <w:rFonts w:ascii="Garamond" w:hAnsi="Garamond" w:cstheme="majorBidi"/>
        </w:rPr>
        <w:t xml:space="preserve"> të rrisë cilësinë dhe transparencën e shërbimeve të ofruara</w:t>
      </w:r>
      <w:r w:rsidR="00E4266E" w:rsidRPr="00770F9D">
        <w:rPr>
          <w:rFonts w:ascii="Garamond" w:hAnsi="Garamond" w:cstheme="majorBidi"/>
        </w:rPr>
        <w:t>;</w:t>
      </w:r>
      <w:r w:rsidRPr="00770F9D">
        <w:rPr>
          <w:rFonts w:ascii="Garamond" w:hAnsi="Garamond" w:cstheme="majorBidi"/>
        </w:rPr>
        <w:t xml:space="preserve"> v</w:t>
      </w:r>
      <w:r w:rsidR="00E4266E" w:rsidRPr="00770F9D">
        <w:rPr>
          <w:rFonts w:ascii="Garamond" w:hAnsi="Garamond" w:cstheme="majorBidi"/>
        </w:rPr>
        <w:t>.</w:t>
      </w:r>
      <w:r w:rsidRPr="00770F9D">
        <w:rPr>
          <w:rFonts w:ascii="Garamond" w:hAnsi="Garamond" w:cstheme="majorBidi"/>
        </w:rPr>
        <w:t xml:space="preserve"> të mbledhë dhe përpunojë të dhëna të unifikuara cilësore dhe në kohë reale. Bashkitë po popullojnë </w:t>
      </w:r>
      <w:r w:rsidR="000C159B" w:rsidRPr="00770F9D">
        <w:rPr>
          <w:rFonts w:ascii="Garamond" w:hAnsi="Garamond" w:cstheme="majorBidi"/>
        </w:rPr>
        <w:t xml:space="preserve">regjistrin </w:t>
      </w:r>
      <w:r w:rsidRPr="00770F9D">
        <w:rPr>
          <w:rFonts w:ascii="Garamond" w:hAnsi="Garamond" w:cstheme="majorBidi"/>
        </w:rPr>
        <w:t>MIS-SHKSH. Deri tani, jan</w:t>
      </w:r>
      <w:r w:rsidR="000C159B" w:rsidRPr="00770F9D">
        <w:rPr>
          <w:rFonts w:ascii="Garamond" w:hAnsi="Garamond" w:cstheme="majorBidi"/>
        </w:rPr>
        <w:t>ë</w:t>
      </w:r>
      <w:r w:rsidRPr="00770F9D">
        <w:rPr>
          <w:rFonts w:ascii="Garamond" w:hAnsi="Garamond" w:cstheme="majorBidi"/>
        </w:rPr>
        <w:t xml:space="preserve"> regjistruar 1587 përdorues, 1552 raste t</w:t>
      </w:r>
      <w:r w:rsidR="000C159B" w:rsidRPr="00770F9D">
        <w:rPr>
          <w:rFonts w:ascii="Garamond" w:hAnsi="Garamond" w:cstheme="majorBidi"/>
        </w:rPr>
        <w:t>ë</w:t>
      </w:r>
      <w:r w:rsidRPr="00770F9D">
        <w:rPr>
          <w:rFonts w:ascii="Garamond" w:hAnsi="Garamond" w:cstheme="majorBidi"/>
        </w:rPr>
        <w:t xml:space="preserve"> hedhura në të gjitha </w:t>
      </w:r>
      <w:r w:rsidR="000C159B" w:rsidRPr="00770F9D">
        <w:rPr>
          <w:rFonts w:ascii="Garamond" w:hAnsi="Garamond" w:cstheme="majorBidi"/>
        </w:rPr>
        <w:t>bashkitë</w:t>
      </w:r>
      <w:r w:rsidRPr="00770F9D">
        <w:rPr>
          <w:rFonts w:ascii="Garamond" w:hAnsi="Garamond" w:cstheme="majorBidi"/>
        </w:rPr>
        <w:t xml:space="preserve">, informacioni historik dhe ditor (ose stoku dhe </w:t>
      </w:r>
      <w:r w:rsidRPr="00770F9D">
        <w:rPr>
          <w:rFonts w:ascii="Garamond" w:hAnsi="Garamond" w:cstheme="majorBidi"/>
          <w:i/>
          <w:iCs/>
        </w:rPr>
        <w:t>flo</w:t>
      </w:r>
      <w:r w:rsidR="000C159B" w:rsidRPr="00770F9D">
        <w:rPr>
          <w:rFonts w:ascii="Garamond" w:hAnsi="Garamond" w:cstheme="majorBidi"/>
          <w:i/>
          <w:iCs/>
        </w:rPr>
        <w:t>w</w:t>
      </w:r>
      <w:r w:rsidRPr="00770F9D">
        <w:rPr>
          <w:rFonts w:ascii="Garamond" w:hAnsi="Garamond" w:cstheme="majorBidi"/>
          <w:i/>
          <w:iCs/>
        </w:rPr>
        <w:t>)</w:t>
      </w:r>
      <w:r w:rsidRPr="00770F9D">
        <w:rPr>
          <w:rFonts w:ascii="Garamond" w:hAnsi="Garamond" w:cstheme="majorBidi"/>
        </w:rPr>
        <w:t xml:space="preserve"> e përfituesve të shërbimeve të kujdesit social.</w:t>
      </w:r>
    </w:p>
    <w:p w14:paraId="3DF87E46" w14:textId="363322F0" w:rsidR="00F26BAE" w:rsidRPr="00770F9D" w:rsidRDefault="00F26BAE" w:rsidP="00400806">
      <w:pPr>
        <w:ind w:firstLine="284"/>
        <w:jc w:val="both"/>
        <w:rPr>
          <w:rFonts w:ascii="Garamond" w:hAnsi="Garamond" w:cstheme="majorBidi"/>
        </w:rPr>
      </w:pPr>
      <w:r w:rsidRPr="00770F9D">
        <w:rPr>
          <w:rFonts w:ascii="Garamond" w:hAnsi="Garamond" w:cstheme="majorBidi"/>
        </w:rPr>
        <w:t>Seminari i politikave BE</w:t>
      </w:r>
      <w:r w:rsidR="00315A34" w:rsidRPr="00770F9D">
        <w:rPr>
          <w:rFonts w:ascii="Garamond" w:hAnsi="Garamond" w:cstheme="majorBidi"/>
        </w:rPr>
        <w:t xml:space="preserve">–shqipëri </w:t>
      </w:r>
      <w:r w:rsidRPr="00770F9D">
        <w:rPr>
          <w:rFonts w:ascii="Garamond" w:hAnsi="Garamond" w:cstheme="majorBidi"/>
        </w:rPr>
        <w:t>për Romët (prill 2022) siguron rekomandime për t</w:t>
      </w:r>
      <w:r w:rsidR="00315A34" w:rsidRPr="00770F9D">
        <w:rPr>
          <w:rFonts w:ascii="Garamond" w:hAnsi="Garamond" w:cstheme="majorBidi"/>
        </w:rPr>
        <w:t>’</w:t>
      </w:r>
      <w:r w:rsidRPr="00770F9D">
        <w:rPr>
          <w:rFonts w:ascii="Garamond" w:hAnsi="Garamond" w:cstheme="majorBidi"/>
        </w:rPr>
        <w:t>u ndjekur për përfshirjen e romëve, së bashku me Planin Kombëtar të Veprimit për Romët dhe Egjiptianët 2021</w:t>
      </w:r>
      <w:r w:rsidR="00315A34" w:rsidRPr="00770F9D">
        <w:rPr>
          <w:rFonts w:ascii="Garamond" w:hAnsi="Garamond" w:cstheme="majorBidi"/>
        </w:rPr>
        <w:t>–</w:t>
      </w:r>
      <w:r w:rsidRPr="00770F9D">
        <w:rPr>
          <w:rFonts w:ascii="Garamond" w:hAnsi="Garamond" w:cstheme="majorBidi"/>
        </w:rPr>
        <w:t>2025. Seminari mori në konsideratë të gjitha fushat e përfshirjes së romëve në bashkëpunim me të gjithë aktorët. Plani Kombëtar i Veprimit për Personat me Aftësi të Kufizuara 2021</w:t>
      </w:r>
      <w:r w:rsidR="000F6E00" w:rsidRPr="00770F9D">
        <w:rPr>
          <w:rFonts w:ascii="Garamond" w:hAnsi="Garamond" w:cstheme="majorBidi"/>
        </w:rPr>
        <w:t>–</w:t>
      </w:r>
      <w:r w:rsidRPr="00770F9D">
        <w:rPr>
          <w:rFonts w:ascii="Garamond" w:hAnsi="Garamond" w:cstheme="majorBidi"/>
        </w:rPr>
        <w:t>2025 dhe Dokumenti i Politikës për Moshimin 2020</w:t>
      </w:r>
      <w:r w:rsidR="000F6E00" w:rsidRPr="00770F9D">
        <w:rPr>
          <w:rFonts w:ascii="Garamond" w:hAnsi="Garamond" w:cstheme="majorBidi"/>
        </w:rPr>
        <w:t>–</w:t>
      </w:r>
      <w:r w:rsidRPr="00770F9D">
        <w:rPr>
          <w:rFonts w:ascii="Garamond" w:hAnsi="Garamond" w:cstheme="majorBidi"/>
        </w:rPr>
        <w:t xml:space="preserve">2024, monitorimi dhe zbatimi në të gjithë sektorët duhet të përfshijë </w:t>
      </w:r>
      <w:r w:rsidR="000F6E00" w:rsidRPr="00770F9D">
        <w:rPr>
          <w:rFonts w:ascii="Garamond" w:hAnsi="Garamond" w:cstheme="majorBidi"/>
        </w:rPr>
        <w:t>pasaportë</w:t>
      </w:r>
      <w:r w:rsidRPr="00770F9D">
        <w:rPr>
          <w:rFonts w:ascii="Garamond" w:hAnsi="Garamond" w:cstheme="majorBidi"/>
        </w:rPr>
        <w:t xml:space="preserve"> treguesish.</w:t>
      </w:r>
    </w:p>
    <w:p w14:paraId="1E8DFEE5" w14:textId="01111B40" w:rsidR="005C391A" w:rsidRPr="00770F9D" w:rsidRDefault="00F26BAE" w:rsidP="00400806">
      <w:pPr>
        <w:snapToGrid w:val="0"/>
        <w:ind w:firstLine="284"/>
        <w:jc w:val="both"/>
        <w:rPr>
          <w:rFonts w:ascii="Garamond" w:hAnsi="Garamond" w:cstheme="majorBidi"/>
          <w:color w:val="0D0D0D" w:themeColor="text1" w:themeTint="F2"/>
        </w:rPr>
      </w:pPr>
      <w:r w:rsidRPr="00770F9D">
        <w:rPr>
          <w:rFonts w:ascii="Garamond" w:hAnsi="Garamond" w:cstheme="majorBidi"/>
        </w:rPr>
        <w:t>Planet e sipërpërmendura kombëtare të veprimit (NAP) kanë trajtuar fusha të strategjive dhe standardeve përkatëse të BE-së. Përmirësimi i zbatimit të strategjive dhe planeve të veprimit që adresojnë përfshirjen sociale në fushat e mirëqenies, përfshirjes dhe shërbimeve për fëmijët</w:t>
      </w:r>
      <w:r w:rsidR="005C391A" w:rsidRPr="00770F9D">
        <w:rPr>
          <w:rFonts w:ascii="Garamond" w:hAnsi="Garamond" w:cstheme="majorBidi"/>
          <w:color w:val="0D0D0D" w:themeColor="text1" w:themeTint="F2"/>
        </w:rPr>
        <w:t>.</w:t>
      </w:r>
    </w:p>
    <w:p w14:paraId="4DC086A8" w14:textId="70E78867" w:rsidR="004F312A" w:rsidRPr="00770F9D" w:rsidRDefault="009D37E3" w:rsidP="00400806">
      <w:pPr>
        <w:pStyle w:val="Heading4"/>
        <w:snapToGrid w:val="0"/>
        <w:ind w:left="0" w:firstLine="284"/>
        <w:jc w:val="both"/>
        <w:rPr>
          <w:rFonts w:ascii="Garamond" w:hAnsi="Garamond" w:cstheme="majorBidi"/>
          <w:b w:val="0"/>
          <w:i/>
          <w:color w:val="0D0D0D" w:themeColor="text1" w:themeTint="F2"/>
          <w:sz w:val="24"/>
          <w:szCs w:val="24"/>
        </w:rPr>
      </w:pPr>
      <w:r w:rsidRPr="00770F9D">
        <w:rPr>
          <w:rFonts w:ascii="Garamond" w:hAnsi="Garamond" w:cstheme="majorBidi"/>
          <w:b w:val="0"/>
          <w:i/>
          <w:color w:val="0D0D0D" w:themeColor="text1" w:themeTint="F2"/>
          <w:sz w:val="24"/>
          <w:szCs w:val="24"/>
        </w:rPr>
        <w:t>b</w:t>
      </w:r>
      <w:r w:rsidR="002A5B1B" w:rsidRPr="00770F9D">
        <w:rPr>
          <w:rFonts w:ascii="Garamond" w:hAnsi="Garamond" w:cstheme="majorBidi"/>
          <w:b w:val="0"/>
          <w:i/>
          <w:color w:val="0D0D0D" w:themeColor="text1" w:themeTint="F2"/>
          <w:sz w:val="24"/>
          <w:szCs w:val="24"/>
        </w:rPr>
        <w:t>)</w:t>
      </w:r>
      <w:r w:rsidRPr="00770F9D">
        <w:rPr>
          <w:rFonts w:ascii="Garamond" w:hAnsi="Garamond" w:cstheme="majorBidi"/>
          <w:b w:val="0"/>
          <w:i/>
          <w:color w:val="0D0D0D" w:themeColor="text1" w:themeTint="F2"/>
          <w:sz w:val="24"/>
          <w:szCs w:val="24"/>
        </w:rPr>
        <w:t xml:space="preserve"> </w:t>
      </w:r>
      <w:r w:rsidR="00B2062A" w:rsidRPr="00770F9D">
        <w:rPr>
          <w:rFonts w:ascii="Garamond" w:hAnsi="Garamond" w:cstheme="majorBidi"/>
          <w:b w:val="0"/>
          <w:i/>
          <w:color w:val="0D0D0D" w:themeColor="text1" w:themeTint="F2"/>
          <w:sz w:val="24"/>
          <w:szCs w:val="24"/>
        </w:rPr>
        <w:t>Masat e reformës</w:t>
      </w:r>
    </w:p>
    <w:p w14:paraId="6DFAC7F9" w14:textId="4220A195" w:rsidR="004F312A" w:rsidRPr="00770F9D" w:rsidRDefault="00B2062A" w:rsidP="00400806">
      <w:pPr>
        <w:pStyle w:val="Heading5"/>
        <w:snapToGrid w:val="0"/>
        <w:ind w:left="0" w:firstLine="284"/>
        <w:jc w:val="both"/>
        <w:rPr>
          <w:rFonts w:ascii="Garamond" w:hAnsi="Garamond" w:cstheme="majorBidi"/>
          <w:i w:val="0"/>
          <w:color w:val="0D0D0D" w:themeColor="text1" w:themeTint="F2"/>
          <w:sz w:val="24"/>
          <w:szCs w:val="24"/>
        </w:rPr>
      </w:pPr>
      <w:r w:rsidRPr="00770F9D">
        <w:rPr>
          <w:rFonts w:ascii="Garamond" w:hAnsi="Garamond" w:cstheme="majorBidi"/>
          <w:i w:val="0"/>
          <w:color w:val="0D0D0D" w:themeColor="text1" w:themeTint="F2"/>
          <w:sz w:val="24"/>
          <w:szCs w:val="24"/>
        </w:rPr>
        <w:t>Masa e reformës</w:t>
      </w:r>
      <w:r w:rsidR="005358F8" w:rsidRPr="00770F9D">
        <w:rPr>
          <w:rFonts w:ascii="Garamond" w:hAnsi="Garamond" w:cstheme="majorBidi"/>
          <w:i w:val="0"/>
          <w:color w:val="0D0D0D" w:themeColor="text1" w:themeTint="F2"/>
          <w:sz w:val="24"/>
          <w:szCs w:val="24"/>
        </w:rPr>
        <w:t xml:space="preserve"> 04</w:t>
      </w:r>
      <w:r w:rsidR="004F312A" w:rsidRPr="00770F9D">
        <w:rPr>
          <w:rFonts w:ascii="Garamond" w:hAnsi="Garamond" w:cstheme="majorBidi"/>
          <w:i w:val="0"/>
          <w:color w:val="0D0D0D" w:themeColor="text1" w:themeTint="F2"/>
          <w:sz w:val="24"/>
          <w:szCs w:val="24"/>
        </w:rPr>
        <w:t xml:space="preserve">: </w:t>
      </w:r>
      <w:r w:rsidR="005C391A" w:rsidRPr="00770F9D">
        <w:rPr>
          <w:rFonts w:ascii="Garamond" w:hAnsi="Garamond" w:cstheme="majorBidi"/>
          <w:i w:val="0"/>
          <w:color w:val="0D0D0D" w:themeColor="text1" w:themeTint="F2"/>
          <w:sz w:val="24"/>
          <w:szCs w:val="24"/>
        </w:rPr>
        <w:t xml:space="preserve">Rritja e mbulimit dhe përshtatshmërisë së sistemit të integruar të kujdesit social për të ulur </w:t>
      </w:r>
      <w:r w:rsidR="00623F19" w:rsidRPr="00770F9D">
        <w:rPr>
          <w:rFonts w:ascii="Garamond" w:hAnsi="Garamond" w:cstheme="majorBidi"/>
          <w:i w:val="0"/>
          <w:color w:val="0D0D0D" w:themeColor="text1" w:themeTint="F2"/>
          <w:sz w:val="24"/>
          <w:szCs w:val="24"/>
        </w:rPr>
        <w:t>përqind</w:t>
      </w:r>
      <w:r w:rsidR="005C391A" w:rsidRPr="00770F9D">
        <w:rPr>
          <w:rFonts w:ascii="Garamond" w:hAnsi="Garamond" w:cstheme="majorBidi"/>
          <w:i w:val="0"/>
          <w:color w:val="0D0D0D" w:themeColor="text1" w:themeTint="F2"/>
          <w:sz w:val="24"/>
          <w:szCs w:val="24"/>
        </w:rPr>
        <w:t>jen e popullsisë në rrezik të varfërisë</w:t>
      </w:r>
    </w:p>
    <w:p w14:paraId="48D69FB5" w14:textId="7451B7F7" w:rsidR="004F312A" w:rsidRPr="00770F9D" w:rsidRDefault="009D37E3"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 xml:space="preserve">1. </w:t>
      </w:r>
      <w:r w:rsidR="00B2062A" w:rsidRPr="00770F9D">
        <w:rPr>
          <w:rFonts w:ascii="Garamond" w:hAnsi="Garamond" w:cstheme="majorBidi"/>
          <w:color w:val="0D0D0D" w:themeColor="text1" w:themeTint="F2"/>
          <w:u w:val="none"/>
        </w:rPr>
        <w:t>Përshkrimi i masës</w:t>
      </w:r>
    </w:p>
    <w:p w14:paraId="1A7947C6" w14:textId="36FEDDFE" w:rsidR="00F26BAE" w:rsidRPr="00770F9D" w:rsidRDefault="00F26BAE" w:rsidP="00400806">
      <w:pPr>
        <w:ind w:firstLine="284"/>
        <w:jc w:val="both"/>
        <w:rPr>
          <w:rFonts w:ascii="Garamond" w:hAnsi="Garamond" w:cstheme="majorBidi"/>
        </w:rPr>
      </w:pPr>
      <w:r w:rsidRPr="00770F9D">
        <w:rPr>
          <w:rFonts w:ascii="Garamond" w:hAnsi="Garamond" w:cstheme="majorBidi"/>
        </w:rPr>
        <w:t>Qëllimi i përgjithshëm i kësaj mase është të zgjerojë mbulimin, gjithëpërfshirjen, efektivitetin dhe targetimin më të mirë të njerëzve në nevojë përmes shërbimeve të integruara sociale dhe mekanizmave financiarë. Vëmendje e veçantë do t</w:t>
      </w:r>
      <w:r w:rsidR="008E2AE1" w:rsidRPr="00770F9D">
        <w:rPr>
          <w:rFonts w:ascii="Garamond" w:hAnsi="Garamond" w:cstheme="majorBidi"/>
        </w:rPr>
        <w:t>’u</w:t>
      </w:r>
      <w:r w:rsidRPr="00770F9D">
        <w:rPr>
          <w:rFonts w:ascii="Garamond" w:hAnsi="Garamond" w:cstheme="majorBidi"/>
        </w:rPr>
        <w:t xml:space="preserve"> kushtohet: i</w:t>
      </w:r>
      <w:r w:rsidR="008E2AE1" w:rsidRPr="00770F9D">
        <w:rPr>
          <w:rFonts w:ascii="Garamond" w:hAnsi="Garamond" w:cstheme="majorBidi"/>
        </w:rPr>
        <w:t>.</w:t>
      </w:r>
      <w:r w:rsidRPr="00770F9D">
        <w:rPr>
          <w:rFonts w:ascii="Garamond" w:hAnsi="Garamond" w:cstheme="majorBidi"/>
        </w:rPr>
        <w:t xml:space="preserve"> zhvillimit të modelit të ri të shërbimeve të integruara të kujdesit social; ii</w:t>
      </w:r>
      <w:r w:rsidR="008E2AE1" w:rsidRPr="00770F9D">
        <w:rPr>
          <w:rFonts w:ascii="Garamond" w:hAnsi="Garamond" w:cstheme="majorBidi"/>
        </w:rPr>
        <w:t>.</w:t>
      </w:r>
      <w:r w:rsidRPr="00770F9D">
        <w:rPr>
          <w:rFonts w:ascii="Garamond" w:hAnsi="Garamond" w:cstheme="majorBidi"/>
        </w:rPr>
        <w:t xml:space="preserve"> fuqizimit t</w:t>
      </w:r>
      <w:r w:rsidR="008E2AE1" w:rsidRPr="00770F9D">
        <w:rPr>
          <w:rFonts w:ascii="Garamond" w:hAnsi="Garamond" w:cstheme="majorBidi"/>
        </w:rPr>
        <w:t>ë</w:t>
      </w:r>
      <w:r w:rsidRPr="00770F9D">
        <w:rPr>
          <w:rFonts w:ascii="Garamond" w:hAnsi="Garamond" w:cstheme="majorBidi"/>
        </w:rPr>
        <w:t xml:space="preserve"> njësive të qeverisjes vendore për të përfshirë shërbimet e duhura të kujdesit social dhe mekanizmat financiarë në planet e tyre të politikave sociale; iii</w:t>
      </w:r>
      <w:r w:rsidR="008E2AE1" w:rsidRPr="00770F9D">
        <w:rPr>
          <w:rFonts w:ascii="Garamond" w:hAnsi="Garamond" w:cstheme="majorBidi"/>
        </w:rPr>
        <w:t>.</w:t>
      </w:r>
      <w:r w:rsidRPr="00770F9D">
        <w:rPr>
          <w:rFonts w:ascii="Garamond" w:hAnsi="Garamond" w:cstheme="majorBidi"/>
        </w:rPr>
        <w:t xml:space="preserve"> vazhdimi i zbatimit të planit kombëtar të veprimit për deinstitucionalizimin; iv</w:t>
      </w:r>
      <w:r w:rsidR="008E2AE1" w:rsidRPr="00770F9D">
        <w:rPr>
          <w:rFonts w:ascii="Garamond" w:hAnsi="Garamond" w:cstheme="majorBidi"/>
        </w:rPr>
        <w:t>.</w:t>
      </w:r>
      <w:r w:rsidRPr="00770F9D">
        <w:rPr>
          <w:rFonts w:ascii="Garamond" w:hAnsi="Garamond" w:cstheme="majorBidi"/>
        </w:rPr>
        <w:t xml:space="preserve"> rishikimi i standardeve minimale ekzistuese për 21 shërbime të kujdesit social dhe identifikimi i standardeve të reja funksionale dhe strukturore sipas rastit; v</w:t>
      </w:r>
      <w:r w:rsidR="008E2AE1" w:rsidRPr="00770F9D">
        <w:rPr>
          <w:rFonts w:ascii="Garamond" w:hAnsi="Garamond" w:cstheme="majorBidi"/>
        </w:rPr>
        <w:t>.</w:t>
      </w:r>
      <w:r w:rsidRPr="00770F9D">
        <w:rPr>
          <w:rFonts w:ascii="Garamond" w:hAnsi="Garamond" w:cstheme="majorBidi"/>
        </w:rPr>
        <w:t xml:space="preserve"> hartimit t</w:t>
      </w:r>
      <w:r w:rsidR="008E2AE1" w:rsidRPr="00770F9D">
        <w:rPr>
          <w:rFonts w:ascii="Garamond" w:hAnsi="Garamond" w:cstheme="majorBidi"/>
        </w:rPr>
        <w:t>ë</w:t>
      </w:r>
      <w:r w:rsidRPr="00770F9D">
        <w:rPr>
          <w:rFonts w:ascii="Garamond" w:hAnsi="Garamond" w:cstheme="majorBidi"/>
        </w:rPr>
        <w:t xml:space="preserve"> një metodologjie dhe përcaktimit të kostos për njësi për shërbimet e kujdesit social</w:t>
      </w:r>
      <w:r w:rsidR="008E2AE1" w:rsidRPr="00770F9D">
        <w:rPr>
          <w:rFonts w:ascii="Garamond" w:hAnsi="Garamond" w:cstheme="majorBidi"/>
        </w:rPr>
        <w:t>,</w:t>
      </w:r>
      <w:r w:rsidRPr="00770F9D">
        <w:rPr>
          <w:rFonts w:ascii="Garamond" w:hAnsi="Garamond" w:cstheme="majorBidi"/>
        </w:rPr>
        <w:t xml:space="preserve"> bazuar në standardet minimale strukturore dhe standardet minimale funksionale; vi</w:t>
      </w:r>
      <w:r w:rsidR="008E2AE1" w:rsidRPr="00770F9D">
        <w:rPr>
          <w:rFonts w:ascii="Garamond" w:hAnsi="Garamond" w:cstheme="majorBidi"/>
        </w:rPr>
        <w:t>.</w:t>
      </w:r>
      <w:r w:rsidRPr="00770F9D">
        <w:rPr>
          <w:rFonts w:ascii="Garamond" w:hAnsi="Garamond" w:cstheme="majorBidi"/>
        </w:rPr>
        <w:t xml:space="preserve"> rishikimit të metodologjisë</w:t>
      </w:r>
      <w:r w:rsidR="00AB7F40" w:rsidRPr="00770F9D">
        <w:rPr>
          <w:rFonts w:ascii="Garamond" w:hAnsi="Garamond" w:cstheme="majorBidi"/>
        </w:rPr>
        <w:t>,</w:t>
      </w:r>
      <w:r w:rsidRPr="00770F9D">
        <w:rPr>
          <w:rFonts w:ascii="Garamond" w:hAnsi="Garamond" w:cstheme="majorBidi"/>
        </w:rPr>
        <w:t xml:space="preserve"> në lidhje me vlerësimin dhe shpërndarjen e Fondit Social bazuar n</w:t>
      </w:r>
      <w:r w:rsidR="00F17D5F" w:rsidRPr="00770F9D">
        <w:rPr>
          <w:rFonts w:ascii="Garamond" w:hAnsi="Garamond" w:cstheme="majorBidi"/>
        </w:rPr>
        <w:t>ë</w:t>
      </w:r>
      <w:r w:rsidRPr="00770F9D">
        <w:rPr>
          <w:rFonts w:ascii="Garamond" w:hAnsi="Garamond" w:cstheme="majorBidi"/>
        </w:rPr>
        <w:t xml:space="preserve"> masat për përmirësimin e transparencës dhe barazisë vertikale dhe horizontale.</w:t>
      </w:r>
    </w:p>
    <w:p w14:paraId="39C32C21" w14:textId="68BD1A3E" w:rsidR="00F26BAE" w:rsidRPr="00770F9D" w:rsidRDefault="00F26BAE" w:rsidP="00400806">
      <w:pPr>
        <w:ind w:firstLine="284"/>
        <w:jc w:val="both"/>
        <w:rPr>
          <w:rFonts w:ascii="Garamond" w:hAnsi="Garamond" w:cstheme="majorBidi"/>
        </w:rPr>
      </w:pPr>
      <w:r w:rsidRPr="00770F9D">
        <w:rPr>
          <w:rFonts w:ascii="Garamond" w:hAnsi="Garamond" w:cstheme="majorBidi"/>
        </w:rPr>
        <w:t>Këto masa do të merren parasysh në hartimin e Strategjisë së re të Mbrojtjes Sociale 2023</w:t>
      </w:r>
      <w:r w:rsidR="00F17D5F" w:rsidRPr="00770F9D">
        <w:rPr>
          <w:rFonts w:ascii="Garamond" w:hAnsi="Garamond" w:cstheme="majorBidi"/>
        </w:rPr>
        <w:t>–</w:t>
      </w:r>
      <w:r w:rsidRPr="00770F9D">
        <w:rPr>
          <w:rFonts w:ascii="Garamond" w:hAnsi="Garamond" w:cstheme="majorBidi"/>
        </w:rPr>
        <w:t>2030</w:t>
      </w:r>
    </w:p>
    <w:p w14:paraId="0F80C67B" w14:textId="33A775BB" w:rsidR="00F26BAE" w:rsidRPr="00770F9D" w:rsidRDefault="00F26BAE" w:rsidP="00400806">
      <w:pPr>
        <w:ind w:firstLine="284"/>
        <w:jc w:val="both"/>
        <w:rPr>
          <w:rFonts w:ascii="Garamond" w:hAnsi="Garamond" w:cstheme="majorBidi"/>
        </w:rPr>
      </w:pPr>
      <w:r w:rsidRPr="00770F9D">
        <w:rPr>
          <w:rFonts w:ascii="Garamond" w:hAnsi="Garamond" w:cstheme="majorBidi"/>
        </w:rPr>
        <w:t xml:space="preserve">Udhërrëfyesi me hapat dhe afatet kohore për përshtatjen e përfitimeve të ndihmës ekonomike dhe vendosjen e një mekanizmi transparent për rishikimin e rregullt vjetor të tyre, në përputhje me kushtin e </w:t>
      </w:r>
      <w:r w:rsidR="00E0471A" w:rsidRPr="00770F9D">
        <w:rPr>
          <w:rFonts w:ascii="Garamond" w:hAnsi="Garamond" w:cstheme="majorBidi"/>
        </w:rPr>
        <w:t xml:space="preserve">asistencës makrofinanciare </w:t>
      </w:r>
      <w:r w:rsidRPr="00770F9D">
        <w:rPr>
          <w:rFonts w:ascii="Garamond" w:hAnsi="Garamond" w:cstheme="majorBidi"/>
        </w:rPr>
        <w:t>të BE-së për Shqipërinë, është përgatitur tashmë në vitin 2021.</w:t>
      </w:r>
      <w:r w:rsidRPr="00770F9D">
        <w:rPr>
          <w:rFonts w:ascii="Garamond" w:eastAsia="Times New Roman" w:hAnsi="Garamond" w:cstheme="majorBidi"/>
        </w:rPr>
        <w:t xml:space="preserve"> </w:t>
      </w:r>
      <w:r w:rsidRPr="00770F9D">
        <w:rPr>
          <w:rFonts w:ascii="Garamond" w:hAnsi="Garamond" w:cstheme="majorBidi"/>
        </w:rPr>
        <w:t xml:space="preserve">Hapat e udhërrëfyesit do të realizohen deri në fund të vitit 2024. Hapat përfshijnë analizën e performancës së përfitimit të ndihmës ekonomike duke përdorur të dhënat më të fundit të </w:t>
      </w:r>
      <w:r w:rsidR="00E0471A" w:rsidRPr="00770F9D">
        <w:rPr>
          <w:rFonts w:ascii="Garamond" w:hAnsi="Garamond" w:cstheme="majorBidi"/>
        </w:rPr>
        <w:t>anketës së buxhetit të familjes d</w:t>
      </w:r>
      <w:r w:rsidRPr="00770F9D">
        <w:rPr>
          <w:rFonts w:ascii="Garamond" w:hAnsi="Garamond" w:cstheme="majorBidi"/>
        </w:rPr>
        <w:t>he EU-SILC, modifikimin e akteve nënligjore, ndryshimet në Sistemin e Menaxhimit të Informacionit.</w:t>
      </w:r>
    </w:p>
    <w:p w14:paraId="5A4B2404" w14:textId="77777777" w:rsidR="00F26BAE" w:rsidRPr="00770F9D" w:rsidRDefault="00F26BAE" w:rsidP="00400806">
      <w:pPr>
        <w:ind w:firstLine="284"/>
        <w:jc w:val="both"/>
        <w:rPr>
          <w:rFonts w:ascii="Garamond" w:hAnsi="Garamond" w:cstheme="majorBidi"/>
        </w:rPr>
      </w:pPr>
      <w:r w:rsidRPr="00770F9D">
        <w:rPr>
          <w:rFonts w:ascii="Garamond" w:hAnsi="Garamond" w:cstheme="majorBidi"/>
        </w:rPr>
        <w:t>Buxheti i përgjithshëm për programin e mbrojtjes sociale për vitin 2023 do të rritet me 5% krahasuar me 2022.</w:t>
      </w:r>
    </w:p>
    <w:p w14:paraId="0FB1844C" w14:textId="661C2369" w:rsidR="00F26BAE" w:rsidRPr="00770F9D" w:rsidRDefault="00F26BAE" w:rsidP="00400806">
      <w:pPr>
        <w:ind w:firstLine="284"/>
        <w:jc w:val="both"/>
        <w:rPr>
          <w:rFonts w:ascii="Garamond" w:hAnsi="Garamond" w:cstheme="majorBidi"/>
        </w:rPr>
      </w:pPr>
      <w:r w:rsidRPr="00770F9D">
        <w:rPr>
          <w:rFonts w:ascii="Garamond" w:hAnsi="Garamond" w:cstheme="majorBidi"/>
        </w:rPr>
        <w:t xml:space="preserve">Për të mbështetur </w:t>
      </w:r>
      <w:r w:rsidR="00E0471A" w:rsidRPr="00770F9D">
        <w:rPr>
          <w:rFonts w:ascii="Garamond" w:hAnsi="Garamond" w:cstheme="majorBidi"/>
        </w:rPr>
        <w:t xml:space="preserve">strategjinë e daljes </w:t>
      </w:r>
      <w:r w:rsidRPr="00770F9D">
        <w:rPr>
          <w:rFonts w:ascii="Garamond" w:hAnsi="Garamond" w:cstheme="majorBidi"/>
        </w:rPr>
        <w:t xml:space="preserve">nga skema e ndihmës ekonomike në janar 2022 u nënshkrua një urdhër i përbashkët ndërmjet </w:t>
      </w:r>
      <w:r w:rsidR="00E0471A" w:rsidRPr="00770F9D">
        <w:rPr>
          <w:rFonts w:ascii="Garamond" w:hAnsi="Garamond" w:cstheme="majorBidi"/>
        </w:rPr>
        <w:t>ministrit të shëndetësisë dhe mbrojtjes sociale dhe i mi</w:t>
      </w:r>
      <w:r w:rsidRPr="00770F9D">
        <w:rPr>
          <w:rFonts w:ascii="Garamond" w:hAnsi="Garamond" w:cstheme="majorBidi"/>
        </w:rPr>
        <w:t xml:space="preserve">nistrit të Financave dhe Ekonomisë për mekanizmin e referimit për punësimin dhe integrimin social të anëtarëve në moshë aktive pune të familjeve përfituese të ndihmës ekonomike. Konkretisht, përmes këtij mekanizmi synohet të arrihet punësimi i anëtarëve të familjes në ndihmë ekonomike që janë në moshë aktive pune. Janë ngritur 12 </w:t>
      </w:r>
      <w:r w:rsidR="00E0471A" w:rsidRPr="00770F9D">
        <w:rPr>
          <w:rFonts w:ascii="Garamond" w:hAnsi="Garamond" w:cstheme="majorBidi"/>
        </w:rPr>
        <w:t xml:space="preserve">komisione rajonale </w:t>
      </w:r>
      <w:r w:rsidRPr="00770F9D">
        <w:rPr>
          <w:rFonts w:ascii="Garamond" w:hAnsi="Garamond" w:cstheme="majorBidi"/>
        </w:rPr>
        <w:t>tr</w:t>
      </w:r>
      <w:r w:rsidR="00E0471A" w:rsidRPr="00770F9D">
        <w:rPr>
          <w:rFonts w:ascii="Garamond" w:hAnsi="Garamond" w:cstheme="majorBidi"/>
        </w:rPr>
        <w:t>e</w:t>
      </w:r>
      <w:r w:rsidRPr="00770F9D">
        <w:rPr>
          <w:rFonts w:ascii="Garamond" w:hAnsi="Garamond" w:cstheme="majorBidi"/>
        </w:rPr>
        <w:t xml:space="preserve">palëshe me anëtarë nga Shërbimi Social Shtetëror, </w:t>
      </w:r>
      <w:r w:rsidR="00D16F5D" w:rsidRPr="00770F9D">
        <w:rPr>
          <w:rFonts w:ascii="Garamond" w:hAnsi="Garamond" w:cstheme="majorBidi"/>
        </w:rPr>
        <w:t>zyrat e punësimit dhe drejtoritë e shërbimeve sociale në bashki</w:t>
      </w:r>
      <w:r w:rsidRPr="00770F9D">
        <w:rPr>
          <w:rFonts w:ascii="Garamond" w:hAnsi="Garamond" w:cstheme="majorBidi"/>
        </w:rPr>
        <w:t xml:space="preserve">. Në zbatim të këtij mekanizmi janë punësuar e </w:t>
      </w:r>
      <w:r w:rsidR="00D16F5D" w:rsidRPr="00770F9D">
        <w:rPr>
          <w:rFonts w:ascii="Garamond" w:hAnsi="Garamond" w:cstheme="majorBidi"/>
        </w:rPr>
        <w:t>regjistruar</w:t>
      </w:r>
      <w:r w:rsidRPr="00770F9D">
        <w:rPr>
          <w:rFonts w:ascii="Garamond" w:hAnsi="Garamond" w:cstheme="majorBidi"/>
        </w:rPr>
        <w:t xml:space="preserve"> në kurse të formimit profesional rreth 2,700 individë.</w:t>
      </w:r>
    </w:p>
    <w:p w14:paraId="70D55712" w14:textId="2481172D" w:rsidR="005C391A" w:rsidRPr="00770F9D" w:rsidRDefault="00F26BAE" w:rsidP="00400806">
      <w:pPr>
        <w:ind w:firstLine="284"/>
        <w:jc w:val="both"/>
        <w:rPr>
          <w:rFonts w:ascii="Garamond" w:hAnsi="Garamond" w:cstheme="majorBidi"/>
          <w:color w:val="0D0D0D" w:themeColor="text1" w:themeTint="F2"/>
        </w:rPr>
      </w:pPr>
      <w:r w:rsidRPr="00770F9D">
        <w:rPr>
          <w:rFonts w:ascii="Garamond" w:hAnsi="Garamond" w:cstheme="majorBidi"/>
        </w:rPr>
        <w:t>Ndërhyrjet konkrete synojnë: i</w:t>
      </w:r>
      <w:r w:rsidR="00D16F5D" w:rsidRPr="00770F9D">
        <w:rPr>
          <w:rFonts w:ascii="Garamond" w:hAnsi="Garamond" w:cstheme="majorBidi"/>
        </w:rPr>
        <w:t>.</w:t>
      </w:r>
      <w:r w:rsidRPr="00770F9D">
        <w:rPr>
          <w:rFonts w:ascii="Garamond" w:hAnsi="Garamond" w:cstheme="majorBidi"/>
        </w:rPr>
        <w:t xml:space="preserve"> punësimin dhe riintegrimin e përfituesve të NE-s</w:t>
      </w:r>
      <w:r w:rsidR="00F17D5F" w:rsidRPr="00770F9D">
        <w:rPr>
          <w:rFonts w:ascii="Garamond" w:hAnsi="Garamond" w:cstheme="majorBidi"/>
        </w:rPr>
        <w:t>ë</w:t>
      </w:r>
      <w:r w:rsidRPr="00770F9D">
        <w:rPr>
          <w:rFonts w:ascii="Garamond" w:hAnsi="Garamond" w:cstheme="majorBidi"/>
        </w:rPr>
        <w:t>; ii</w:t>
      </w:r>
      <w:r w:rsidR="00D16F5D" w:rsidRPr="00770F9D">
        <w:rPr>
          <w:rFonts w:ascii="Garamond" w:hAnsi="Garamond" w:cstheme="majorBidi"/>
        </w:rPr>
        <w:t>.</w:t>
      </w:r>
      <w:r w:rsidRPr="00770F9D">
        <w:rPr>
          <w:rFonts w:ascii="Garamond" w:hAnsi="Garamond" w:cstheme="majorBidi"/>
        </w:rPr>
        <w:t xml:space="preserve"> përmirësimin e aksesit në shërbimet sociale dhe mbështetjen e punësimit; iii</w:t>
      </w:r>
      <w:r w:rsidR="00D16F5D" w:rsidRPr="00770F9D">
        <w:rPr>
          <w:rFonts w:ascii="Garamond" w:hAnsi="Garamond" w:cstheme="majorBidi"/>
        </w:rPr>
        <w:t>.</w:t>
      </w:r>
      <w:r w:rsidRPr="00770F9D">
        <w:rPr>
          <w:rFonts w:ascii="Garamond" w:hAnsi="Garamond" w:cstheme="majorBidi"/>
        </w:rPr>
        <w:t xml:space="preserve"> promovimin e elasticitetit dhe parashikimit t</w:t>
      </w:r>
      <w:r w:rsidR="00F17D5F" w:rsidRPr="00770F9D">
        <w:rPr>
          <w:rFonts w:ascii="Garamond" w:hAnsi="Garamond" w:cstheme="majorBidi"/>
        </w:rPr>
        <w:t>ë</w:t>
      </w:r>
      <w:r w:rsidRPr="00770F9D">
        <w:rPr>
          <w:rFonts w:ascii="Garamond" w:hAnsi="Garamond" w:cstheme="majorBidi"/>
        </w:rPr>
        <w:t xml:space="preserve"> dispozitave ligjore që do të lejojnë NE</w:t>
      </w:r>
      <w:r w:rsidR="00D16F5D" w:rsidRPr="00770F9D">
        <w:rPr>
          <w:rFonts w:ascii="Garamond" w:hAnsi="Garamond" w:cstheme="majorBidi"/>
        </w:rPr>
        <w:t>-në</w:t>
      </w:r>
      <w:r w:rsidRPr="00770F9D">
        <w:rPr>
          <w:rFonts w:ascii="Garamond" w:hAnsi="Garamond" w:cstheme="majorBidi"/>
        </w:rPr>
        <w:t xml:space="preserve"> të zgjerohet me shpejtësi në përgjigje të goditjeve/emergjencave të ardhshme, duke mësuar nga tërmeti dhe pandemia COVID-19</w:t>
      </w:r>
      <w:r w:rsidR="003E419F" w:rsidRPr="00770F9D">
        <w:rPr>
          <w:rFonts w:ascii="Garamond" w:hAnsi="Garamond" w:cstheme="majorBidi"/>
        </w:rPr>
        <w:t>;</w:t>
      </w:r>
      <w:r w:rsidRPr="00770F9D">
        <w:rPr>
          <w:rFonts w:ascii="Garamond" w:hAnsi="Garamond" w:cstheme="majorBidi"/>
        </w:rPr>
        <w:t xml:space="preserve"> iv</w:t>
      </w:r>
      <w:r w:rsidR="003E419F" w:rsidRPr="00770F9D">
        <w:rPr>
          <w:rFonts w:ascii="Garamond" w:hAnsi="Garamond" w:cstheme="majorBidi"/>
        </w:rPr>
        <w:t>.</w:t>
      </w:r>
      <w:r w:rsidRPr="00770F9D">
        <w:rPr>
          <w:rFonts w:ascii="Garamond" w:hAnsi="Garamond" w:cstheme="majorBidi"/>
        </w:rPr>
        <w:t xml:space="preserve"> forcimin e drejtimit t</w:t>
      </w:r>
      <w:r w:rsidR="00F17D5F" w:rsidRPr="00770F9D">
        <w:rPr>
          <w:rFonts w:ascii="Garamond" w:hAnsi="Garamond" w:cstheme="majorBidi"/>
        </w:rPr>
        <w:t>ë</w:t>
      </w:r>
      <w:r w:rsidRPr="00770F9D">
        <w:rPr>
          <w:rFonts w:ascii="Garamond" w:hAnsi="Garamond" w:cstheme="majorBidi"/>
        </w:rPr>
        <w:t xml:space="preserve"> sektorit social dhe kapaciteteve administrative t</w:t>
      </w:r>
      <w:r w:rsidR="00F17D5F" w:rsidRPr="00770F9D">
        <w:rPr>
          <w:rFonts w:ascii="Garamond" w:hAnsi="Garamond" w:cstheme="majorBidi"/>
        </w:rPr>
        <w:t>ë</w:t>
      </w:r>
      <w:r w:rsidRPr="00770F9D">
        <w:rPr>
          <w:rFonts w:ascii="Garamond" w:hAnsi="Garamond" w:cstheme="majorBidi"/>
        </w:rPr>
        <w:t xml:space="preserve"> pushtetit vendor, veçanërisht lidhur me aplikimin për mbështetje nga </w:t>
      </w:r>
      <w:r w:rsidR="003E419F" w:rsidRPr="00770F9D">
        <w:rPr>
          <w:rFonts w:ascii="Garamond" w:hAnsi="Garamond" w:cstheme="majorBidi"/>
        </w:rPr>
        <w:t>fondi social</w:t>
      </w:r>
      <w:r w:rsidRPr="00770F9D">
        <w:rPr>
          <w:rFonts w:ascii="Garamond" w:hAnsi="Garamond" w:cstheme="majorBidi"/>
        </w:rPr>
        <w:t>, planifikimin, menaxhimin dhe ofrimin e shërbime të reja të kujdesit social. Bazuar në një metodologji të re p</w:t>
      </w:r>
      <w:r w:rsidR="00F17D5F" w:rsidRPr="00770F9D">
        <w:rPr>
          <w:rFonts w:ascii="Garamond" w:hAnsi="Garamond" w:cstheme="majorBidi"/>
        </w:rPr>
        <w:t>ë</w:t>
      </w:r>
      <w:r w:rsidRPr="00770F9D">
        <w:rPr>
          <w:rFonts w:ascii="Garamond" w:hAnsi="Garamond" w:cstheme="majorBidi"/>
        </w:rPr>
        <w:t>r vlerësimin dhe shpërndarjen e Fondit Social Kombëtar, shërbimet sociale në territor duhet t</w:t>
      </w:r>
      <w:r w:rsidR="003E419F" w:rsidRPr="00770F9D">
        <w:rPr>
          <w:rFonts w:ascii="Garamond" w:hAnsi="Garamond" w:cstheme="majorBidi"/>
        </w:rPr>
        <w:t>’</w:t>
      </w:r>
      <w:r w:rsidRPr="00770F9D">
        <w:rPr>
          <w:rFonts w:ascii="Garamond" w:hAnsi="Garamond" w:cstheme="majorBidi"/>
        </w:rPr>
        <w:t xml:space="preserve">i përgjigjen më mirë nevojave të grupeve </w:t>
      </w:r>
      <w:r w:rsidR="003E419F" w:rsidRPr="00770F9D">
        <w:rPr>
          <w:rFonts w:ascii="Garamond" w:hAnsi="Garamond" w:cstheme="majorBidi"/>
        </w:rPr>
        <w:t>vulnerabil;</w:t>
      </w:r>
      <w:r w:rsidRPr="00770F9D">
        <w:rPr>
          <w:rFonts w:ascii="Garamond" w:hAnsi="Garamond" w:cstheme="majorBidi"/>
        </w:rPr>
        <w:t xml:space="preserve"> v</w:t>
      </w:r>
      <w:r w:rsidR="003E419F" w:rsidRPr="00770F9D">
        <w:rPr>
          <w:rFonts w:ascii="Garamond" w:hAnsi="Garamond" w:cstheme="majorBidi"/>
        </w:rPr>
        <w:t>.</w:t>
      </w:r>
      <w:r w:rsidRPr="00770F9D">
        <w:rPr>
          <w:rFonts w:ascii="Garamond" w:hAnsi="Garamond" w:cstheme="majorBidi"/>
        </w:rPr>
        <w:t xml:space="preserve"> Zbatimin e skemës së vlerësimit biopsikosocial dhe mbështetjen e personave nga grupet e pafavorizuara përmes punësimit në ndërmarrjet sociale bazuar n</w:t>
      </w:r>
      <w:r w:rsidR="00F17D5F" w:rsidRPr="00770F9D">
        <w:rPr>
          <w:rFonts w:ascii="Garamond" w:hAnsi="Garamond" w:cstheme="majorBidi"/>
        </w:rPr>
        <w:t>ë</w:t>
      </w:r>
      <w:r w:rsidRPr="00770F9D">
        <w:rPr>
          <w:rFonts w:ascii="Garamond" w:hAnsi="Garamond" w:cstheme="majorBidi"/>
        </w:rPr>
        <w:t xml:space="preserve"> legjislacionin për ndërmarrjet sociale dhe akteve nënligjore, si mjet për riintegrimin e personave nga grupet vulnerabël; iv</w:t>
      </w:r>
      <w:r w:rsidR="003E419F" w:rsidRPr="00770F9D">
        <w:rPr>
          <w:rFonts w:ascii="Garamond" w:hAnsi="Garamond" w:cstheme="majorBidi"/>
        </w:rPr>
        <w:t>.</w:t>
      </w:r>
      <w:r w:rsidRPr="00770F9D">
        <w:rPr>
          <w:rFonts w:ascii="Garamond" w:hAnsi="Garamond" w:cstheme="majorBidi"/>
        </w:rPr>
        <w:t xml:space="preserve"> </w:t>
      </w:r>
      <w:r w:rsidR="003E419F" w:rsidRPr="00770F9D">
        <w:rPr>
          <w:rFonts w:ascii="Garamond" w:hAnsi="Garamond" w:cstheme="majorBidi"/>
        </w:rPr>
        <w:t>mbështetjen</w:t>
      </w:r>
      <w:r w:rsidRPr="00770F9D">
        <w:rPr>
          <w:rFonts w:ascii="Garamond" w:hAnsi="Garamond" w:cstheme="majorBidi"/>
        </w:rPr>
        <w:t xml:space="preserve"> për të vazhduar aksesin në shërbimet e mbështetjes sociale për gratë, burrat, vajzat, djemtë dhe fëmijët që rrezikojnë të mbeten pas</w:t>
      </w:r>
      <w:r w:rsidR="005C391A" w:rsidRPr="00770F9D">
        <w:rPr>
          <w:rFonts w:ascii="Garamond" w:hAnsi="Garamond" w:cstheme="majorBidi"/>
          <w:color w:val="0D0D0D" w:themeColor="text1" w:themeTint="F2"/>
        </w:rPr>
        <w:t>.</w:t>
      </w:r>
    </w:p>
    <w:p w14:paraId="1A78BB12" w14:textId="3E536187" w:rsidR="009D37E3" w:rsidRPr="00770F9D" w:rsidRDefault="009D37E3" w:rsidP="000F6F7A">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a</w:t>
      </w:r>
      <w:r w:rsidR="003E419F" w:rsidRPr="00770F9D">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 xml:space="preserve">Aktivitete të planifikuara </w:t>
      </w:r>
      <w:r w:rsidR="000F6F7A">
        <w:rPr>
          <w:rFonts w:ascii="Garamond" w:hAnsi="Garamond"/>
          <w:b/>
          <w:bCs/>
          <w:color w:val="0D0D0D"/>
          <w:sz w:val="24"/>
          <w:szCs w:val="24"/>
          <w:lang w:val="sq-AL"/>
        </w:rPr>
        <w:t>m</w:t>
      </w:r>
      <w:r w:rsidRPr="00770F9D">
        <w:rPr>
          <w:rFonts w:ascii="Garamond" w:hAnsi="Garamond"/>
          <w:b/>
          <w:bCs/>
          <w:color w:val="0D0D0D"/>
          <w:sz w:val="24"/>
          <w:szCs w:val="24"/>
          <w:lang w:val="sq-AL"/>
        </w:rPr>
        <w:t>ë 2023</w:t>
      </w:r>
      <w:r w:rsidR="003E419F" w:rsidRPr="00770F9D">
        <w:rPr>
          <w:rFonts w:ascii="Garamond" w:hAnsi="Garamond"/>
          <w:b/>
          <w:bCs/>
          <w:color w:val="0D0D0D"/>
          <w:sz w:val="24"/>
          <w:szCs w:val="24"/>
          <w:lang w:val="sq-AL"/>
        </w:rPr>
        <w:t>-shin</w:t>
      </w:r>
    </w:p>
    <w:p w14:paraId="24AD6A85" w14:textId="6C4DBEFB"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a</w:t>
      </w:r>
      <w:r w:rsidR="003E419F"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Hartimi i Strategjisë së re të Mbrojtjes Sociale</w:t>
      </w:r>
      <w:r w:rsidR="003E419F" w:rsidRPr="00770F9D">
        <w:rPr>
          <w:rFonts w:ascii="Garamond" w:hAnsi="Garamond"/>
          <w:color w:val="0D0D0D"/>
          <w:sz w:val="24"/>
          <w:szCs w:val="24"/>
          <w:lang w:val="sq-AL"/>
        </w:rPr>
        <w:t>;</w:t>
      </w:r>
    </w:p>
    <w:p w14:paraId="2BDC4703" w14:textId="15FA3C8B" w:rsidR="009D37E3" w:rsidRPr="00770F9D" w:rsidRDefault="009D37E3" w:rsidP="00400806">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b</w:t>
      </w:r>
      <w:r w:rsidR="003E419F"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Mbështetja e punësimit dhe riintegrimit social të përfituesve të NE</w:t>
      </w:r>
      <w:r w:rsidR="003E419F" w:rsidRPr="00770F9D">
        <w:rPr>
          <w:rFonts w:ascii="Garamond" w:hAnsi="Garamond"/>
          <w:color w:val="0D0D0D"/>
          <w:sz w:val="24"/>
          <w:szCs w:val="24"/>
          <w:lang w:val="sq-AL"/>
        </w:rPr>
        <w:t>-së;</w:t>
      </w:r>
    </w:p>
    <w:p w14:paraId="3C9CF7A3" w14:textId="357CBA21" w:rsidR="009D37E3" w:rsidRPr="00770F9D" w:rsidRDefault="009D37E3" w:rsidP="00400806">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c</w:t>
      </w:r>
      <w:r w:rsidR="003E419F"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Mbështetja e grupeve t</w:t>
      </w:r>
      <w:r w:rsidR="00F17D5F" w:rsidRPr="00770F9D">
        <w:rPr>
          <w:rFonts w:ascii="Garamond" w:hAnsi="Garamond"/>
          <w:color w:val="0D0D0D"/>
          <w:sz w:val="24"/>
          <w:szCs w:val="24"/>
          <w:lang w:val="sq-AL"/>
        </w:rPr>
        <w:t>ë</w:t>
      </w:r>
      <w:r w:rsidRPr="00770F9D">
        <w:rPr>
          <w:rFonts w:ascii="Garamond" w:hAnsi="Garamond"/>
          <w:color w:val="0D0D0D"/>
          <w:sz w:val="24"/>
          <w:szCs w:val="24"/>
          <w:lang w:val="sq-AL"/>
        </w:rPr>
        <w:t xml:space="preserve"> pafavorizuara, veçanërisht përfituesve të ndihmës ekonomike dhe personave me aftësi të kufizuara për punësim në ndërmarrjet sociale</w:t>
      </w:r>
      <w:r w:rsidR="003E419F" w:rsidRPr="00770F9D">
        <w:rPr>
          <w:rFonts w:ascii="Garamond" w:hAnsi="Garamond"/>
          <w:color w:val="0D0D0D"/>
          <w:sz w:val="24"/>
          <w:szCs w:val="24"/>
          <w:lang w:val="sq-AL"/>
        </w:rPr>
        <w:t>;</w:t>
      </w:r>
    </w:p>
    <w:p w14:paraId="6CD4EEDF" w14:textId="6CD391D8" w:rsidR="009D37E3" w:rsidRPr="00770F9D" w:rsidRDefault="009D37E3" w:rsidP="00400806">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d</w:t>
      </w:r>
      <w:r w:rsidR="003E419F"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Vazhdimi i mbështetjes së shërbimeve sociale ekzistuese dhe ngritja e 10 shërbimeve të reja sociale të integruara me bazë komunitare, në partneritet me OJF-të, me fokus shërbimin e asistenc</w:t>
      </w:r>
      <w:r w:rsidR="00F17D5F" w:rsidRPr="00770F9D">
        <w:rPr>
          <w:rFonts w:ascii="Garamond" w:hAnsi="Garamond"/>
          <w:color w:val="0D0D0D"/>
          <w:sz w:val="24"/>
          <w:szCs w:val="24"/>
          <w:lang w:val="sq-AL"/>
        </w:rPr>
        <w:t>ë</w:t>
      </w:r>
      <w:r w:rsidRPr="00770F9D">
        <w:rPr>
          <w:rFonts w:ascii="Garamond" w:hAnsi="Garamond"/>
          <w:color w:val="0D0D0D"/>
          <w:sz w:val="24"/>
          <w:szCs w:val="24"/>
          <w:lang w:val="sq-AL"/>
        </w:rPr>
        <w:t xml:space="preserve">s në shtëpi në kuadër të </w:t>
      </w:r>
      <w:r w:rsidR="003E419F" w:rsidRPr="00770F9D">
        <w:rPr>
          <w:rFonts w:ascii="Garamond" w:hAnsi="Garamond"/>
          <w:color w:val="0D0D0D"/>
          <w:sz w:val="24"/>
          <w:szCs w:val="24"/>
          <w:lang w:val="sq-AL"/>
        </w:rPr>
        <w:t>fondit s</w:t>
      </w:r>
      <w:r w:rsidRPr="00770F9D">
        <w:rPr>
          <w:rFonts w:ascii="Garamond" w:hAnsi="Garamond"/>
          <w:color w:val="0D0D0D"/>
          <w:sz w:val="24"/>
          <w:szCs w:val="24"/>
          <w:lang w:val="sq-AL"/>
        </w:rPr>
        <w:t>ocial</w:t>
      </w:r>
      <w:r w:rsidR="003E419F" w:rsidRPr="00770F9D">
        <w:rPr>
          <w:rFonts w:ascii="Garamond" w:hAnsi="Garamond"/>
          <w:color w:val="0D0D0D"/>
          <w:sz w:val="24"/>
          <w:szCs w:val="24"/>
          <w:lang w:val="sq-AL"/>
        </w:rPr>
        <w:t>;</w:t>
      </w:r>
    </w:p>
    <w:p w14:paraId="3FDCC5DE" w14:textId="4B04C073" w:rsidR="009D37E3" w:rsidRPr="00770F9D" w:rsidRDefault="009D37E3" w:rsidP="00400806">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e</w:t>
      </w:r>
      <w:r w:rsidR="003E419F"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Transformimi i 2 institucioneve rezidenciale publike për fëmijë në kujdesin alternativ “Sh</w:t>
      </w:r>
      <w:r w:rsidR="00F17D5F" w:rsidRPr="00770F9D">
        <w:rPr>
          <w:rFonts w:ascii="Garamond" w:hAnsi="Garamond"/>
          <w:color w:val="0D0D0D"/>
          <w:sz w:val="24"/>
          <w:szCs w:val="24"/>
          <w:lang w:val="sq-AL"/>
        </w:rPr>
        <w:t>ë</w:t>
      </w:r>
      <w:r w:rsidRPr="00770F9D">
        <w:rPr>
          <w:rFonts w:ascii="Garamond" w:hAnsi="Garamond"/>
          <w:color w:val="0D0D0D"/>
          <w:sz w:val="24"/>
          <w:szCs w:val="24"/>
          <w:lang w:val="sq-AL"/>
        </w:rPr>
        <w:t>rbimi p</w:t>
      </w:r>
      <w:r w:rsidR="00F17D5F" w:rsidRPr="00770F9D">
        <w:rPr>
          <w:rFonts w:ascii="Garamond" w:hAnsi="Garamond"/>
          <w:color w:val="0D0D0D"/>
          <w:sz w:val="24"/>
          <w:szCs w:val="24"/>
          <w:lang w:val="sq-AL"/>
        </w:rPr>
        <w:t>ë</w:t>
      </w:r>
      <w:r w:rsidRPr="00770F9D">
        <w:rPr>
          <w:rFonts w:ascii="Garamond" w:hAnsi="Garamond"/>
          <w:color w:val="0D0D0D"/>
          <w:sz w:val="24"/>
          <w:szCs w:val="24"/>
          <w:lang w:val="sq-AL"/>
        </w:rPr>
        <w:t xml:space="preserve">r </w:t>
      </w:r>
      <w:r w:rsidR="003E419F" w:rsidRPr="00770F9D">
        <w:rPr>
          <w:rFonts w:ascii="Garamond" w:hAnsi="Garamond"/>
          <w:color w:val="0D0D0D"/>
          <w:sz w:val="24"/>
          <w:szCs w:val="24"/>
          <w:lang w:val="sq-AL"/>
        </w:rPr>
        <w:t xml:space="preserve">mbështetjen e fëmijës </w:t>
      </w:r>
      <w:r w:rsidRPr="00770F9D">
        <w:rPr>
          <w:rFonts w:ascii="Garamond" w:hAnsi="Garamond"/>
          <w:color w:val="0D0D0D"/>
          <w:sz w:val="24"/>
          <w:szCs w:val="24"/>
          <w:lang w:val="sq-AL"/>
        </w:rPr>
        <w:t xml:space="preserve">dhe familjes (SHMFF)”, në Korçë dhe </w:t>
      </w:r>
      <w:r w:rsidR="003E419F" w:rsidRPr="00770F9D">
        <w:rPr>
          <w:rFonts w:ascii="Garamond" w:hAnsi="Garamond"/>
          <w:color w:val="0D0D0D"/>
          <w:sz w:val="24"/>
          <w:szCs w:val="24"/>
          <w:lang w:val="sq-AL"/>
        </w:rPr>
        <w:t xml:space="preserve">në </w:t>
      </w:r>
      <w:r w:rsidRPr="00770F9D">
        <w:rPr>
          <w:rFonts w:ascii="Garamond" w:hAnsi="Garamond"/>
          <w:color w:val="0D0D0D"/>
          <w:sz w:val="24"/>
          <w:szCs w:val="24"/>
          <w:lang w:val="sq-AL"/>
        </w:rPr>
        <w:t>Vlorë</w:t>
      </w:r>
      <w:r w:rsidR="005C3116" w:rsidRPr="00770F9D">
        <w:rPr>
          <w:rFonts w:ascii="Garamond" w:hAnsi="Garamond"/>
          <w:color w:val="0D0D0D"/>
          <w:sz w:val="24"/>
          <w:szCs w:val="24"/>
          <w:lang w:val="sq-AL"/>
        </w:rPr>
        <w:t>;</w:t>
      </w:r>
    </w:p>
    <w:p w14:paraId="139F9C02" w14:textId="137FED86" w:rsidR="009D37E3" w:rsidRPr="00770F9D" w:rsidRDefault="009D37E3" w:rsidP="00400806">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f</w:t>
      </w:r>
      <w:r w:rsidR="003E419F" w:rsidRPr="00770F9D">
        <w:rPr>
          <w:rFonts w:ascii="Garamond" w:hAnsi="Garamond"/>
          <w:color w:val="0D0D0D"/>
          <w:sz w:val="24"/>
          <w:szCs w:val="24"/>
          <w:lang w:val="sq-AL"/>
        </w:rPr>
        <w:t xml:space="preserve">) </w:t>
      </w:r>
      <w:r w:rsidRPr="00770F9D">
        <w:rPr>
          <w:rFonts w:ascii="Garamond" w:hAnsi="Garamond"/>
          <w:color w:val="0D0D0D"/>
          <w:sz w:val="24"/>
          <w:szCs w:val="24"/>
          <w:lang w:val="sq-AL"/>
        </w:rPr>
        <w:t>Zgjerimi i zbatimit të skemës së vlerësimit biopsikosocial për të mbështetur personat me aftësi të kufizuara me mbështetje të kombinuar në para dhe kujdes social në rajone të tjera.</w:t>
      </w:r>
    </w:p>
    <w:p w14:paraId="6D30C1B4" w14:textId="3CB2179A" w:rsidR="009D37E3" w:rsidRPr="00770F9D" w:rsidRDefault="009D37E3" w:rsidP="000F6F7A">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b</w:t>
      </w:r>
      <w:r w:rsidR="003E419F" w:rsidRPr="00770F9D">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 xml:space="preserve">Aktivitete të planifikuara </w:t>
      </w:r>
      <w:r w:rsidR="000F6F7A">
        <w:rPr>
          <w:rFonts w:ascii="Garamond" w:hAnsi="Garamond"/>
          <w:b/>
          <w:bCs/>
          <w:color w:val="0D0D0D"/>
          <w:sz w:val="24"/>
          <w:szCs w:val="24"/>
          <w:lang w:val="sq-AL"/>
        </w:rPr>
        <w:t>m</w:t>
      </w:r>
      <w:r w:rsidRPr="00770F9D">
        <w:rPr>
          <w:rFonts w:ascii="Garamond" w:hAnsi="Garamond"/>
          <w:b/>
          <w:bCs/>
          <w:color w:val="0D0D0D"/>
          <w:sz w:val="24"/>
          <w:szCs w:val="24"/>
          <w:lang w:val="sq-AL"/>
        </w:rPr>
        <w:t>ë 2024</w:t>
      </w:r>
      <w:r w:rsidR="00816FE8" w:rsidRPr="00770F9D">
        <w:rPr>
          <w:rFonts w:ascii="Garamond" w:hAnsi="Garamond"/>
          <w:b/>
          <w:bCs/>
          <w:color w:val="0D0D0D"/>
          <w:sz w:val="24"/>
          <w:szCs w:val="24"/>
          <w:lang w:val="sq-AL"/>
        </w:rPr>
        <w:t>-n</w:t>
      </w:r>
    </w:p>
    <w:p w14:paraId="02841373" w14:textId="4E9A0202"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a</w:t>
      </w:r>
      <w:r w:rsidR="003E419F" w:rsidRPr="00770F9D">
        <w:rPr>
          <w:rFonts w:ascii="Garamond" w:hAnsi="Garamond"/>
          <w:color w:val="0D0D0D"/>
          <w:sz w:val="24"/>
          <w:szCs w:val="24"/>
          <w:lang w:val="sq-AL"/>
        </w:rPr>
        <w:t xml:space="preserve">) </w:t>
      </w:r>
      <w:r w:rsidRPr="00770F9D">
        <w:rPr>
          <w:rFonts w:ascii="Garamond" w:hAnsi="Garamond"/>
          <w:color w:val="0D0D0D"/>
          <w:sz w:val="24"/>
          <w:szCs w:val="24"/>
          <w:lang w:val="sq-AL"/>
        </w:rPr>
        <w:t>Mbështetja e punësimit dhe riintegrimit social të përfituesve të NE</w:t>
      </w:r>
      <w:r w:rsidR="00816FE8" w:rsidRPr="00770F9D">
        <w:rPr>
          <w:rFonts w:ascii="Garamond" w:hAnsi="Garamond"/>
          <w:color w:val="0D0D0D"/>
          <w:sz w:val="24"/>
          <w:szCs w:val="24"/>
          <w:lang w:val="sq-AL"/>
        </w:rPr>
        <w:t>-së;</w:t>
      </w:r>
    </w:p>
    <w:p w14:paraId="1FEADC66" w14:textId="79186A80" w:rsidR="009D37E3" w:rsidRPr="00770F9D" w:rsidRDefault="009D37E3" w:rsidP="00400806">
      <w:pPr>
        <w:ind w:firstLine="284"/>
        <w:jc w:val="both"/>
        <w:rPr>
          <w:rFonts w:ascii="Garamond" w:hAnsi="Garamond"/>
          <w:color w:val="0D0D0D"/>
        </w:rPr>
      </w:pPr>
      <w:r w:rsidRPr="00770F9D">
        <w:rPr>
          <w:rFonts w:ascii="Garamond" w:hAnsi="Garamond"/>
          <w:color w:val="0D0D0D"/>
        </w:rPr>
        <w:t>b</w:t>
      </w:r>
      <w:r w:rsidR="003E419F" w:rsidRPr="00770F9D">
        <w:rPr>
          <w:rFonts w:ascii="Garamond" w:hAnsi="Garamond"/>
          <w:color w:val="0D0D0D"/>
        </w:rPr>
        <w:t>)</w:t>
      </w:r>
      <w:r w:rsidR="00BA4F1A" w:rsidRPr="00770F9D">
        <w:rPr>
          <w:rFonts w:ascii="Garamond" w:hAnsi="Garamond"/>
          <w:color w:val="0D0D0D"/>
        </w:rPr>
        <w:t xml:space="preserve"> </w:t>
      </w:r>
      <w:r w:rsidRPr="00770F9D">
        <w:rPr>
          <w:rFonts w:ascii="Garamond" w:hAnsi="Garamond"/>
          <w:color w:val="0D0D0D"/>
        </w:rPr>
        <w:t>Konsolidimi i një sistemi efektiv të vler</w:t>
      </w:r>
      <w:r w:rsidR="00F17D5F" w:rsidRPr="00770F9D">
        <w:rPr>
          <w:rFonts w:ascii="Garamond" w:hAnsi="Garamond"/>
          <w:color w:val="0D0D0D"/>
        </w:rPr>
        <w:t>ë</w:t>
      </w:r>
      <w:r w:rsidRPr="00770F9D">
        <w:rPr>
          <w:rFonts w:ascii="Garamond" w:hAnsi="Garamond"/>
          <w:color w:val="0D0D0D"/>
        </w:rPr>
        <w:t>simit t</w:t>
      </w:r>
      <w:r w:rsidR="00F17D5F" w:rsidRPr="00770F9D">
        <w:rPr>
          <w:rFonts w:ascii="Garamond" w:hAnsi="Garamond"/>
          <w:color w:val="0D0D0D"/>
        </w:rPr>
        <w:t>ë</w:t>
      </w:r>
      <w:r w:rsidRPr="00770F9D">
        <w:rPr>
          <w:rFonts w:ascii="Garamond" w:hAnsi="Garamond"/>
          <w:color w:val="0D0D0D"/>
        </w:rPr>
        <w:t xml:space="preserve"> AK</w:t>
      </w:r>
      <w:r w:rsidR="00816FE8" w:rsidRPr="00770F9D">
        <w:rPr>
          <w:rFonts w:ascii="Garamond" w:hAnsi="Garamond"/>
          <w:color w:val="0D0D0D"/>
        </w:rPr>
        <w:t>-së</w:t>
      </w:r>
      <w:r w:rsidRPr="00770F9D">
        <w:rPr>
          <w:rFonts w:ascii="Garamond" w:hAnsi="Garamond"/>
          <w:color w:val="0D0D0D"/>
        </w:rPr>
        <w:t>: trajnimi i vazhdueshëm i stafit mjekësor dhe social, përditësimi i udhëzimeve, përmirësimi i sistemit për trajtimin e ankesave</w:t>
      </w:r>
      <w:r w:rsidR="00BA0285" w:rsidRPr="00770F9D">
        <w:rPr>
          <w:rFonts w:ascii="Garamond" w:hAnsi="Garamond"/>
          <w:color w:val="0D0D0D"/>
        </w:rPr>
        <w:t>;</w:t>
      </w:r>
    </w:p>
    <w:p w14:paraId="101602B0" w14:textId="751836A3" w:rsidR="009D37E3" w:rsidRPr="00770F9D" w:rsidRDefault="009D37E3" w:rsidP="00400806">
      <w:pPr>
        <w:ind w:firstLine="284"/>
        <w:jc w:val="both"/>
        <w:rPr>
          <w:rFonts w:ascii="Garamond" w:hAnsi="Garamond"/>
          <w:color w:val="0D0D0D"/>
        </w:rPr>
      </w:pPr>
      <w:r w:rsidRPr="00770F9D">
        <w:rPr>
          <w:rFonts w:ascii="Garamond" w:hAnsi="Garamond"/>
          <w:color w:val="0D0D0D"/>
        </w:rPr>
        <w:t>c</w:t>
      </w:r>
      <w:r w:rsidR="00816FE8" w:rsidRPr="00770F9D">
        <w:rPr>
          <w:rFonts w:ascii="Garamond" w:hAnsi="Garamond"/>
          <w:color w:val="0D0D0D"/>
        </w:rPr>
        <w:t>)</w:t>
      </w:r>
      <w:r w:rsidR="00BA4F1A" w:rsidRPr="00770F9D">
        <w:rPr>
          <w:rFonts w:ascii="Garamond" w:hAnsi="Garamond"/>
          <w:color w:val="0D0D0D"/>
        </w:rPr>
        <w:t xml:space="preserve"> </w:t>
      </w:r>
      <w:r w:rsidRPr="00770F9D">
        <w:rPr>
          <w:rFonts w:ascii="Garamond" w:hAnsi="Garamond"/>
          <w:color w:val="0D0D0D"/>
        </w:rPr>
        <w:t>Mbështetja e grupeve t</w:t>
      </w:r>
      <w:r w:rsidR="00F17D5F" w:rsidRPr="00770F9D">
        <w:rPr>
          <w:rFonts w:ascii="Garamond" w:hAnsi="Garamond"/>
          <w:color w:val="0D0D0D"/>
        </w:rPr>
        <w:t>ë</w:t>
      </w:r>
      <w:r w:rsidRPr="00770F9D">
        <w:rPr>
          <w:rFonts w:ascii="Garamond" w:hAnsi="Garamond"/>
          <w:color w:val="0D0D0D"/>
        </w:rPr>
        <w:t xml:space="preserve"> pafavorizuara, veçanërisht përfituesve të ndihmës ekonomike dhe personave me aftësi të kufizuara për punësim në ndërmarrjet sociale</w:t>
      </w:r>
      <w:r w:rsidR="00074315" w:rsidRPr="00770F9D">
        <w:rPr>
          <w:rFonts w:ascii="Garamond" w:hAnsi="Garamond"/>
          <w:color w:val="0D0D0D"/>
        </w:rPr>
        <w:t>;</w:t>
      </w:r>
    </w:p>
    <w:p w14:paraId="3771C4F2" w14:textId="1FDDB862" w:rsidR="009D37E3" w:rsidRPr="00770F9D" w:rsidRDefault="009D37E3" w:rsidP="00400806">
      <w:pPr>
        <w:ind w:firstLine="284"/>
        <w:jc w:val="both"/>
        <w:rPr>
          <w:rFonts w:ascii="Garamond" w:hAnsi="Garamond"/>
          <w:color w:val="0D0D0D"/>
        </w:rPr>
      </w:pPr>
      <w:r w:rsidRPr="00770F9D">
        <w:rPr>
          <w:rFonts w:ascii="Garamond" w:hAnsi="Garamond"/>
          <w:color w:val="0D0D0D"/>
        </w:rPr>
        <w:t>d</w:t>
      </w:r>
      <w:r w:rsidR="00816FE8" w:rsidRPr="00770F9D">
        <w:rPr>
          <w:rFonts w:ascii="Garamond" w:hAnsi="Garamond"/>
          <w:color w:val="0D0D0D"/>
        </w:rPr>
        <w:t>)</w:t>
      </w:r>
      <w:r w:rsidR="00BA4F1A" w:rsidRPr="00770F9D">
        <w:rPr>
          <w:rFonts w:ascii="Garamond" w:hAnsi="Garamond"/>
          <w:color w:val="0D0D0D"/>
        </w:rPr>
        <w:t xml:space="preserve"> </w:t>
      </w:r>
      <w:r w:rsidRPr="00770F9D">
        <w:rPr>
          <w:rFonts w:ascii="Garamond" w:hAnsi="Garamond"/>
          <w:color w:val="0D0D0D"/>
        </w:rPr>
        <w:t>Vazhdimi i mbështetjes së shërbimeve sociale ekzistuese dhe ngritja e 5 shërbimeve të reja sociale të integruara me bazë komunitare, në partneritet me OJF-të, me fokus shërbimin e asistencës në shtëpi në kuadër të Fondit Social</w:t>
      </w:r>
      <w:r w:rsidR="00074315" w:rsidRPr="00770F9D">
        <w:rPr>
          <w:rFonts w:ascii="Garamond" w:hAnsi="Garamond"/>
          <w:color w:val="0D0D0D"/>
        </w:rPr>
        <w:t>;</w:t>
      </w:r>
    </w:p>
    <w:p w14:paraId="229D5BCC" w14:textId="2195C623"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e</w:t>
      </w:r>
      <w:r w:rsidR="00816FE8"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Transformimi i institucionit rezidencial publik të fëmijëve në kujdesin alternativ “Shërbimi për </w:t>
      </w:r>
      <w:r w:rsidR="00BA0285" w:rsidRPr="00770F9D">
        <w:rPr>
          <w:rFonts w:ascii="Garamond" w:hAnsi="Garamond"/>
          <w:color w:val="0D0D0D"/>
          <w:sz w:val="24"/>
          <w:szCs w:val="24"/>
          <w:lang w:val="sq-AL"/>
        </w:rPr>
        <w:t xml:space="preserve">mbështetjen e fëmijës dhe </w:t>
      </w:r>
      <w:r w:rsidRPr="00770F9D">
        <w:rPr>
          <w:rFonts w:ascii="Garamond" w:hAnsi="Garamond"/>
          <w:color w:val="0D0D0D"/>
          <w:sz w:val="24"/>
          <w:szCs w:val="24"/>
          <w:lang w:val="sq-AL"/>
        </w:rPr>
        <w:t>familjes (SHMFF)”, në Sarandë.</w:t>
      </w:r>
    </w:p>
    <w:p w14:paraId="09D75976" w14:textId="546BFD24"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c</w:t>
      </w:r>
      <w:r w:rsidR="00816FE8" w:rsidRPr="00770F9D">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Aktivitete të planifikuara në 2025</w:t>
      </w:r>
      <w:r w:rsidR="00C93B5D" w:rsidRPr="00770F9D">
        <w:rPr>
          <w:rFonts w:ascii="Garamond" w:hAnsi="Garamond"/>
          <w:b/>
          <w:bCs/>
          <w:color w:val="0D0D0D"/>
          <w:sz w:val="24"/>
          <w:szCs w:val="24"/>
          <w:lang w:val="sq-AL"/>
        </w:rPr>
        <w:t>-n</w:t>
      </w:r>
    </w:p>
    <w:p w14:paraId="258FA7C3" w14:textId="4E356B6D"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a</w:t>
      </w:r>
      <w:r w:rsidR="00816FE8"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Mbështetja e punësimit dhe riintegrimit social të përfituesve të NE</w:t>
      </w:r>
      <w:r w:rsidR="00BA0285" w:rsidRPr="00770F9D">
        <w:rPr>
          <w:rFonts w:ascii="Garamond" w:hAnsi="Garamond"/>
          <w:color w:val="0D0D0D"/>
          <w:sz w:val="24"/>
          <w:szCs w:val="24"/>
          <w:lang w:val="sq-AL"/>
        </w:rPr>
        <w:t>-së</w:t>
      </w:r>
      <w:r w:rsidR="00074315" w:rsidRPr="00770F9D">
        <w:rPr>
          <w:rFonts w:ascii="Garamond" w:hAnsi="Garamond"/>
          <w:color w:val="0D0D0D"/>
          <w:sz w:val="24"/>
          <w:szCs w:val="24"/>
          <w:lang w:val="sq-AL"/>
        </w:rPr>
        <w:t>;</w:t>
      </w:r>
    </w:p>
    <w:p w14:paraId="1323978B" w14:textId="39EC7539" w:rsidR="009D37E3" w:rsidRPr="00770F9D" w:rsidRDefault="009D37E3" w:rsidP="00400806">
      <w:pPr>
        <w:ind w:firstLine="284"/>
        <w:jc w:val="both"/>
        <w:rPr>
          <w:rFonts w:ascii="Garamond" w:hAnsi="Garamond"/>
          <w:color w:val="0D0D0D"/>
        </w:rPr>
      </w:pPr>
      <w:r w:rsidRPr="00770F9D">
        <w:rPr>
          <w:rFonts w:ascii="Garamond" w:hAnsi="Garamond"/>
          <w:color w:val="0D0D0D"/>
        </w:rPr>
        <w:t>b</w:t>
      </w:r>
      <w:r w:rsidR="00816FE8" w:rsidRPr="00770F9D">
        <w:rPr>
          <w:rFonts w:ascii="Garamond" w:hAnsi="Garamond"/>
          <w:color w:val="0D0D0D"/>
        </w:rPr>
        <w:t>)</w:t>
      </w:r>
      <w:r w:rsidR="00BA4F1A" w:rsidRPr="00770F9D">
        <w:rPr>
          <w:rFonts w:ascii="Garamond" w:hAnsi="Garamond"/>
          <w:color w:val="0D0D0D"/>
        </w:rPr>
        <w:t xml:space="preserve"> </w:t>
      </w:r>
      <w:r w:rsidRPr="00770F9D">
        <w:rPr>
          <w:rFonts w:ascii="Garamond" w:hAnsi="Garamond"/>
          <w:color w:val="0D0D0D"/>
        </w:rPr>
        <w:t>Mbështetja e grupeve t</w:t>
      </w:r>
      <w:r w:rsidR="00F17D5F" w:rsidRPr="00770F9D">
        <w:rPr>
          <w:rFonts w:ascii="Garamond" w:hAnsi="Garamond"/>
          <w:color w:val="0D0D0D"/>
        </w:rPr>
        <w:t>ë</w:t>
      </w:r>
      <w:r w:rsidRPr="00770F9D">
        <w:rPr>
          <w:rFonts w:ascii="Garamond" w:hAnsi="Garamond"/>
          <w:color w:val="0D0D0D"/>
        </w:rPr>
        <w:t xml:space="preserve"> pafavorizuara, veçanërisht përfituesve të ndihmës ekonomike dhe personave me aftësi të kufizuara për punësim në ndërmarrjet sociale</w:t>
      </w:r>
      <w:r w:rsidR="00074315" w:rsidRPr="00770F9D">
        <w:rPr>
          <w:rFonts w:ascii="Garamond" w:hAnsi="Garamond"/>
          <w:color w:val="0D0D0D"/>
        </w:rPr>
        <w:t>;</w:t>
      </w:r>
    </w:p>
    <w:p w14:paraId="57796FB5" w14:textId="780FAEC9" w:rsidR="009D37E3" w:rsidRPr="00770F9D" w:rsidRDefault="009D37E3" w:rsidP="00400806">
      <w:pPr>
        <w:ind w:firstLine="284"/>
        <w:jc w:val="both"/>
        <w:rPr>
          <w:rFonts w:ascii="Garamond" w:hAnsi="Garamond"/>
          <w:color w:val="0D0D0D"/>
        </w:rPr>
      </w:pPr>
      <w:r w:rsidRPr="00770F9D">
        <w:rPr>
          <w:rFonts w:ascii="Garamond" w:hAnsi="Garamond"/>
          <w:color w:val="0D0D0D"/>
        </w:rPr>
        <w:t>c</w:t>
      </w:r>
      <w:r w:rsidR="00816FE8" w:rsidRPr="00770F9D">
        <w:rPr>
          <w:rFonts w:ascii="Garamond" w:hAnsi="Garamond"/>
          <w:color w:val="0D0D0D"/>
        </w:rPr>
        <w:t>)</w:t>
      </w:r>
      <w:r w:rsidR="00BA4F1A" w:rsidRPr="00770F9D">
        <w:rPr>
          <w:rFonts w:ascii="Garamond" w:hAnsi="Garamond"/>
          <w:color w:val="0D0D0D"/>
        </w:rPr>
        <w:t xml:space="preserve"> </w:t>
      </w:r>
      <w:r w:rsidRPr="00770F9D">
        <w:rPr>
          <w:rFonts w:ascii="Garamond" w:hAnsi="Garamond"/>
          <w:color w:val="0D0D0D"/>
        </w:rPr>
        <w:t>Vazhdimi i mbështetjes së shërbimeve sociale ekzistuese dhe ngritja e 5 shërbimeve të reja sociale të integruara me bazë komunitare, në partneritet me OJF-të, me fokus shërbimin e asistencës në shtëpi në kuadër të Fondit Social</w:t>
      </w:r>
      <w:r w:rsidR="00074315" w:rsidRPr="00770F9D">
        <w:rPr>
          <w:rFonts w:ascii="Garamond" w:hAnsi="Garamond"/>
          <w:color w:val="0D0D0D"/>
        </w:rPr>
        <w:t>;</w:t>
      </w:r>
    </w:p>
    <w:p w14:paraId="68BF6624" w14:textId="63E2952B"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d</w:t>
      </w:r>
      <w:r w:rsidR="00816FE8"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Transformimi i institucionit rezidencial publik të fëmijëve në kujdesin alternativ “Sh</w:t>
      </w:r>
      <w:r w:rsidR="00F17D5F" w:rsidRPr="00770F9D">
        <w:rPr>
          <w:rFonts w:ascii="Garamond" w:hAnsi="Garamond"/>
          <w:color w:val="0D0D0D"/>
          <w:sz w:val="24"/>
          <w:szCs w:val="24"/>
          <w:lang w:val="sq-AL"/>
        </w:rPr>
        <w:t>ë</w:t>
      </w:r>
      <w:r w:rsidRPr="00770F9D">
        <w:rPr>
          <w:rFonts w:ascii="Garamond" w:hAnsi="Garamond"/>
          <w:color w:val="0D0D0D"/>
          <w:sz w:val="24"/>
          <w:szCs w:val="24"/>
          <w:lang w:val="sq-AL"/>
        </w:rPr>
        <w:t>rbimi p</w:t>
      </w:r>
      <w:r w:rsidR="00F17D5F" w:rsidRPr="00770F9D">
        <w:rPr>
          <w:rFonts w:ascii="Garamond" w:hAnsi="Garamond"/>
          <w:color w:val="0D0D0D"/>
          <w:sz w:val="24"/>
          <w:szCs w:val="24"/>
          <w:lang w:val="sq-AL"/>
        </w:rPr>
        <w:t>ë</w:t>
      </w:r>
      <w:r w:rsidRPr="00770F9D">
        <w:rPr>
          <w:rFonts w:ascii="Garamond" w:hAnsi="Garamond"/>
          <w:color w:val="0D0D0D"/>
          <w:sz w:val="24"/>
          <w:szCs w:val="24"/>
          <w:lang w:val="sq-AL"/>
        </w:rPr>
        <w:t xml:space="preserve">r </w:t>
      </w:r>
      <w:r w:rsidR="00BA0285" w:rsidRPr="00770F9D">
        <w:rPr>
          <w:rFonts w:ascii="Garamond" w:hAnsi="Garamond"/>
          <w:color w:val="0D0D0D"/>
          <w:sz w:val="24"/>
          <w:szCs w:val="24"/>
          <w:lang w:val="sq-AL"/>
        </w:rPr>
        <w:t xml:space="preserve">mbështetjen </w:t>
      </w:r>
      <w:r w:rsidRPr="00770F9D">
        <w:rPr>
          <w:rFonts w:ascii="Garamond" w:hAnsi="Garamond"/>
          <w:color w:val="0D0D0D"/>
          <w:sz w:val="24"/>
          <w:szCs w:val="24"/>
          <w:lang w:val="sq-AL"/>
        </w:rPr>
        <w:t>e fëmijës dhe familjes (SHMFF)”, në Durrës.</w:t>
      </w:r>
    </w:p>
    <w:p w14:paraId="50C6F4EF" w14:textId="39F60D61" w:rsidR="009D37E3" w:rsidRPr="00770F9D" w:rsidRDefault="00413679"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2</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Treguesit e rezultateve</w:t>
      </w:r>
    </w:p>
    <w:tbl>
      <w:tblPr>
        <w:tblStyle w:val="TableGrid"/>
        <w:tblW w:w="0" w:type="auto"/>
        <w:jc w:val="center"/>
        <w:tblLook w:val="04A0" w:firstRow="1" w:lastRow="0" w:firstColumn="1" w:lastColumn="0" w:noHBand="0" w:noVBand="1"/>
      </w:tblPr>
      <w:tblGrid>
        <w:gridCol w:w="5118"/>
        <w:gridCol w:w="1108"/>
        <w:gridCol w:w="1638"/>
        <w:gridCol w:w="1423"/>
      </w:tblGrid>
      <w:tr w:rsidR="00FA29AB" w:rsidRPr="00770F9D" w14:paraId="6C8D6F05" w14:textId="77777777" w:rsidTr="00BA0285">
        <w:trPr>
          <w:trHeight w:val="144"/>
          <w:jc w:val="center"/>
        </w:trPr>
        <w:tc>
          <w:tcPr>
            <w:tcW w:w="5380" w:type="dxa"/>
            <w:vAlign w:val="center"/>
          </w:tcPr>
          <w:p w14:paraId="0DD16984" w14:textId="77777777" w:rsidR="00CF7FC1" w:rsidRPr="00770F9D" w:rsidRDefault="00B2062A" w:rsidP="00BA0285">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Tregues</w:t>
            </w:r>
          </w:p>
        </w:tc>
        <w:tc>
          <w:tcPr>
            <w:tcW w:w="1134" w:type="dxa"/>
            <w:vAlign w:val="center"/>
          </w:tcPr>
          <w:p w14:paraId="35C9B2A3" w14:textId="77777777" w:rsidR="00CF7FC1" w:rsidRPr="00770F9D" w:rsidRDefault="00B2062A" w:rsidP="00BA0285">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Bazë</w:t>
            </w:r>
            <w:r w:rsidR="00CF7FC1" w:rsidRPr="00770F9D">
              <w:rPr>
                <w:rFonts w:ascii="Garamond" w:hAnsi="Garamond" w:cstheme="majorBidi"/>
                <w:b/>
                <w:bCs/>
                <w:color w:val="0D0D0D" w:themeColor="text1" w:themeTint="F2"/>
                <w:sz w:val="20"/>
                <w:szCs w:val="20"/>
              </w:rPr>
              <w:t xml:space="preserve"> (202</w:t>
            </w:r>
            <w:r w:rsidR="005C391A" w:rsidRPr="00770F9D">
              <w:rPr>
                <w:rFonts w:ascii="Garamond" w:hAnsi="Garamond" w:cstheme="majorBidi"/>
                <w:b/>
                <w:bCs/>
                <w:color w:val="0D0D0D" w:themeColor="text1" w:themeTint="F2"/>
                <w:sz w:val="20"/>
                <w:szCs w:val="20"/>
              </w:rPr>
              <w:t>2</w:t>
            </w:r>
            <w:r w:rsidR="00CF7FC1" w:rsidRPr="00770F9D">
              <w:rPr>
                <w:rFonts w:ascii="Garamond" w:hAnsi="Garamond" w:cstheme="majorBidi"/>
                <w:b/>
                <w:bCs/>
                <w:color w:val="0D0D0D" w:themeColor="text1" w:themeTint="F2"/>
                <w:sz w:val="20"/>
                <w:szCs w:val="20"/>
              </w:rPr>
              <w:t>)</w:t>
            </w:r>
          </w:p>
        </w:tc>
        <w:tc>
          <w:tcPr>
            <w:tcW w:w="1665" w:type="dxa"/>
            <w:vAlign w:val="center"/>
          </w:tcPr>
          <w:p w14:paraId="15D6EE36" w14:textId="77777777" w:rsidR="00CF7FC1" w:rsidRPr="00770F9D" w:rsidRDefault="00B2062A" w:rsidP="00BA0285">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I ndërmjetëm</w:t>
            </w:r>
            <w:r w:rsidR="00CF7FC1" w:rsidRPr="00770F9D">
              <w:rPr>
                <w:rFonts w:ascii="Garamond" w:hAnsi="Garamond" w:cstheme="majorBidi"/>
                <w:b/>
                <w:bCs/>
                <w:color w:val="0D0D0D" w:themeColor="text1" w:themeTint="F2"/>
                <w:sz w:val="20"/>
                <w:szCs w:val="20"/>
              </w:rPr>
              <w:t xml:space="preserve"> (</w:t>
            </w:r>
            <w:r w:rsidR="00DB3786" w:rsidRPr="00770F9D">
              <w:rPr>
                <w:rFonts w:ascii="Garamond" w:hAnsi="Garamond" w:cstheme="majorBidi"/>
                <w:b/>
                <w:bCs/>
                <w:color w:val="0D0D0D" w:themeColor="text1" w:themeTint="F2"/>
                <w:sz w:val="20"/>
                <w:szCs w:val="20"/>
              </w:rPr>
              <w:t>202</w:t>
            </w:r>
            <w:r w:rsidR="005C391A" w:rsidRPr="00770F9D">
              <w:rPr>
                <w:rFonts w:ascii="Garamond" w:hAnsi="Garamond" w:cstheme="majorBidi"/>
                <w:b/>
                <w:bCs/>
                <w:color w:val="0D0D0D" w:themeColor="text1" w:themeTint="F2"/>
                <w:sz w:val="20"/>
                <w:szCs w:val="20"/>
              </w:rPr>
              <w:t>3</w:t>
            </w:r>
            <w:r w:rsidR="00CF7FC1" w:rsidRPr="00770F9D">
              <w:rPr>
                <w:rFonts w:ascii="Garamond" w:hAnsi="Garamond" w:cstheme="majorBidi"/>
                <w:b/>
                <w:bCs/>
                <w:color w:val="0D0D0D" w:themeColor="text1" w:themeTint="F2"/>
                <w:sz w:val="20"/>
                <w:szCs w:val="20"/>
              </w:rPr>
              <w:t>)</w:t>
            </w:r>
          </w:p>
        </w:tc>
        <w:tc>
          <w:tcPr>
            <w:tcW w:w="1443" w:type="dxa"/>
            <w:vAlign w:val="center"/>
          </w:tcPr>
          <w:p w14:paraId="717D3CAB" w14:textId="77777777" w:rsidR="00CF7FC1" w:rsidRPr="00770F9D" w:rsidRDefault="00DB3786" w:rsidP="00BA0285">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Final</w:t>
            </w:r>
            <w:r w:rsidR="00CF7FC1" w:rsidRPr="00770F9D">
              <w:rPr>
                <w:rFonts w:ascii="Garamond" w:hAnsi="Garamond" w:cstheme="majorBidi"/>
                <w:b/>
                <w:bCs/>
                <w:color w:val="0D0D0D" w:themeColor="text1" w:themeTint="F2"/>
                <w:sz w:val="20"/>
                <w:szCs w:val="20"/>
              </w:rPr>
              <w:t xml:space="preserve"> (</w:t>
            </w:r>
            <w:r w:rsidRPr="00770F9D">
              <w:rPr>
                <w:rFonts w:ascii="Garamond" w:hAnsi="Garamond" w:cstheme="majorBidi"/>
                <w:b/>
                <w:bCs/>
                <w:color w:val="0D0D0D" w:themeColor="text1" w:themeTint="F2"/>
                <w:sz w:val="20"/>
                <w:szCs w:val="20"/>
              </w:rPr>
              <w:t>2025</w:t>
            </w:r>
            <w:r w:rsidR="00CF7FC1" w:rsidRPr="00770F9D">
              <w:rPr>
                <w:rFonts w:ascii="Garamond" w:hAnsi="Garamond" w:cstheme="majorBidi"/>
                <w:b/>
                <w:bCs/>
                <w:color w:val="0D0D0D" w:themeColor="text1" w:themeTint="F2"/>
                <w:sz w:val="20"/>
                <w:szCs w:val="20"/>
              </w:rPr>
              <w:t>)</w:t>
            </w:r>
          </w:p>
        </w:tc>
      </w:tr>
      <w:tr w:rsidR="005C391A" w:rsidRPr="00770F9D" w14:paraId="239481CB" w14:textId="77777777" w:rsidTr="00BA0285">
        <w:trPr>
          <w:trHeight w:val="144"/>
          <w:jc w:val="center"/>
        </w:trPr>
        <w:tc>
          <w:tcPr>
            <w:tcW w:w="5380" w:type="dxa"/>
          </w:tcPr>
          <w:p w14:paraId="08E8F93F" w14:textId="77777777" w:rsidR="005C391A" w:rsidRPr="00770F9D" w:rsidRDefault="005C391A" w:rsidP="00413679">
            <w:pPr>
              <w:snapToGrid w:val="0"/>
              <w:rPr>
                <w:rFonts w:ascii="Garamond" w:hAnsi="Garamond" w:cstheme="majorBidi"/>
                <w:color w:val="0D0D0D" w:themeColor="text1" w:themeTint="F2"/>
                <w:sz w:val="20"/>
                <w:szCs w:val="20"/>
              </w:rPr>
            </w:pPr>
            <w:r w:rsidRPr="00770F9D">
              <w:rPr>
                <w:rFonts w:ascii="Garamond" w:eastAsiaTheme="minorHAnsi" w:hAnsi="Garamond" w:cstheme="majorBidi"/>
                <w:color w:val="0D0D0D" w:themeColor="text1" w:themeTint="F2"/>
                <w:sz w:val="20"/>
                <w:szCs w:val="20"/>
              </w:rPr>
              <w:t>% e popullsisë në rrezik të varfërisë dhe përjashtimit social</w:t>
            </w:r>
          </w:p>
        </w:tc>
        <w:tc>
          <w:tcPr>
            <w:tcW w:w="1134" w:type="dxa"/>
            <w:vAlign w:val="center"/>
          </w:tcPr>
          <w:p w14:paraId="6CAEA50D" w14:textId="77777777" w:rsidR="005C391A" w:rsidRPr="00770F9D" w:rsidRDefault="005C391A" w:rsidP="00BA0285">
            <w:pPr>
              <w:autoSpaceDE w:val="0"/>
              <w:autoSpaceDN w:val="0"/>
              <w:adjustRightInd w:val="0"/>
              <w:jc w:val="right"/>
              <w:rPr>
                <w:rFonts w:ascii="Garamond" w:hAnsi="Garamond" w:cstheme="majorBidi"/>
                <w:color w:val="0D0D0D" w:themeColor="text1" w:themeTint="F2"/>
                <w:sz w:val="20"/>
                <w:szCs w:val="20"/>
              </w:rPr>
            </w:pPr>
            <w:r w:rsidRPr="00770F9D">
              <w:rPr>
                <w:rFonts w:ascii="Garamond" w:eastAsiaTheme="minorHAnsi" w:hAnsi="Garamond" w:cstheme="majorBidi"/>
                <w:color w:val="0D0D0D" w:themeColor="text1" w:themeTint="F2"/>
                <w:sz w:val="20"/>
                <w:szCs w:val="20"/>
              </w:rPr>
              <w:t>43.4%</w:t>
            </w:r>
          </w:p>
        </w:tc>
        <w:tc>
          <w:tcPr>
            <w:tcW w:w="1665" w:type="dxa"/>
            <w:vAlign w:val="center"/>
          </w:tcPr>
          <w:p w14:paraId="02FEC249" w14:textId="77777777" w:rsidR="005C391A" w:rsidRPr="00770F9D" w:rsidRDefault="005C391A" w:rsidP="00BA0285">
            <w:pPr>
              <w:snapToGrid w:val="0"/>
              <w:jc w:val="right"/>
              <w:rPr>
                <w:rFonts w:ascii="Garamond" w:hAnsi="Garamond" w:cstheme="majorBidi"/>
                <w:color w:val="0D0D0D" w:themeColor="text1" w:themeTint="F2"/>
                <w:sz w:val="20"/>
                <w:szCs w:val="20"/>
              </w:rPr>
            </w:pPr>
            <w:r w:rsidRPr="00770F9D">
              <w:rPr>
                <w:rFonts w:ascii="Garamond" w:eastAsiaTheme="minorHAnsi" w:hAnsi="Garamond" w:cstheme="majorBidi"/>
                <w:color w:val="0D0D0D" w:themeColor="text1" w:themeTint="F2"/>
                <w:sz w:val="20"/>
                <w:szCs w:val="20"/>
              </w:rPr>
              <w:t>43.2%</w:t>
            </w:r>
          </w:p>
        </w:tc>
        <w:tc>
          <w:tcPr>
            <w:tcW w:w="1443" w:type="dxa"/>
            <w:vAlign w:val="center"/>
          </w:tcPr>
          <w:p w14:paraId="027026FE" w14:textId="77777777" w:rsidR="005C391A" w:rsidRPr="00770F9D" w:rsidRDefault="005C391A" w:rsidP="00BA0285">
            <w:pPr>
              <w:snapToGrid w:val="0"/>
              <w:jc w:val="right"/>
              <w:rPr>
                <w:rFonts w:ascii="Garamond" w:hAnsi="Garamond" w:cstheme="majorBidi"/>
                <w:color w:val="0D0D0D" w:themeColor="text1" w:themeTint="F2"/>
                <w:sz w:val="20"/>
                <w:szCs w:val="20"/>
              </w:rPr>
            </w:pPr>
            <w:r w:rsidRPr="00770F9D">
              <w:rPr>
                <w:rFonts w:ascii="Garamond" w:eastAsiaTheme="minorHAnsi" w:hAnsi="Garamond" w:cstheme="majorBidi"/>
                <w:color w:val="0D0D0D" w:themeColor="text1" w:themeTint="F2"/>
                <w:sz w:val="20"/>
                <w:szCs w:val="20"/>
              </w:rPr>
              <w:t>42.9%</w:t>
            </w:r>
          </w:p>
        </w:tc>
      </w:tr>
      <w:tr w:rsidR="005C391A" w:rsidRPr="00770F9D" w14:paraId="06342278" w14:textId="77777777" w:rsidTr="00BA0285">
        <w:trPr>
          <w:trHeight w:val="144"/>
          <w:jc w:val="center"/>
        </w:trPr>
        <w:tc>
          <w:tcPr>
            <w:tcW w:w="5380" w:type="dxa"/>
          </w:tcPr>
          <w:p w14:paraId="134416F8" w14:textId="276A97B5" w:rsidR="005C391A" w:rsidRPr="00770F9D" w:rsidRDefault="005C391A" w:rsidP="00413679">
            <w:pPr>
              <w:snapToGrid w:val="0"/>
              <w:rPr>
                <w:rFonts w:ascii="Garamond" w:hAnsi="Garamond" w:cstheme="majorBidi"/>
                <w:color w:val="0D0D0D" w:themeColor="text1" w:themeTint="F2"/>
                <w:sz w:val="20"/>
                <w:szCs w:val="20"/>
              </w:rPr>
            </w:pPr>
            <w:r w:rsidRPr="00770F9D">
              <w:rPr>
                <w:rFonts w:ascii="Garamond" w:eastAsiaTheme="minorHAnsi" w:hAnsi="Garamond" w:cstheme="majorBidi"/>
                <w:color w:val="0D0D0D" w:themeColor="text1" w:themeTint="F2"/>
                <w:sz w:val="20"/>
                <w:szCs w:val="20"/>
              </w:rPr>
              <w:t>% e individëve përfitues të NE</w:t>
            </w:r>
            <w:r w:rsidR="00BA0285" w:rsidRPr="00770F9D">
              <w:rPr>
                <w:rFonts w:ascii="Garamond" w:eastAsiaTheme="minorHAnsi" w:hAnsi="Garamond" w:cstheme="majorBidi"/>
                <w:color w:val="0D0D0D" w:themeColor="text1" w:themeTint="F2"/>
                <w:sz w:val="20"/>
                <w:szCs w:val="20"/>
              </w:rPr>
              <w:t>-së</w:t>
            </w:r>
            <w:r w:rsidRPr="00770F9D">
              <w:rPr>
                <w:rFonts w:ascii="Garamond" w:eastAsiaTheme="minorHAnsi" w:hAnsi="Garamond" w:cstheme="majorBidi"/>
                <w:color w:val="0D0D0D" w:themeColor="text1" w:themeTint="F2"/>
                <w:sz w:val="20"/>
                <w:szCs w:val="20"/>
              </w:rPr>
              <w:t xml:space="preserve"> që dolën nga skema dhe u riintegruan</w:t>
            </w:r>
          </w:p>
        </w:tc>
        <w:tc>
          <w:tcPr>
            <w:tcW w:w="1134" w:type="dxa"/>
            <w:vAlign w:val="center"/>
          </w:tcPr>
          <w:p w14:paraId="3631EC34" w14:textId="77777777" w:rsidR="005C391A" w:rsidRPr="00770F9D" w:rsidRDefault="005C391A" w:rsidP="00BA0285">
            <w:pPr>
              <w:snapToGrid w:val="0"/>
              <w:jc w:val="right"/>
              <w:rPr>
                <w:rFonts w:ascii="Garamond" w:hAnsi="Garamond" w:cstheme="majorBidi"/>
                <w:color w:val="0D0D0D" w:themeColor="text1" w:themeTint="F2"/>
                <w:sz w:val="20"/>
                <w:szCs w:val="20"/>
              </w:rPr>
            </w:pPr>
            <w:r w:rsidRPr="00770F9D">
              <w:rPr>
                <w:rFonts w:ascii="Garamond" w:eastAsiaTheme="minorHAnsi" w:hAnsi="Garamond" w:cstheme="majorBidi"/>
                <w:color w:val="0D0D0D" w:themeColor="text1" w:themeTint="F2"/>
                <w:sz w:val="20"/>
                <w:szCs w:val="20"/>
              </w:rPr>
              <w:t>5%</w:t>
            </w:r>
          </w:p>
        </w:tc>
        <w:tc>
          <w:tcPr>
            <w:tcW w:w="1665" w:type="dxa"/>
            <w:vAlign w:val="center"/>
          </w:tcPr>
          <w:p w14:paraId="343F6500" w14:textId="77777777" w:rsidR="005C391A" w:rsidRPr="00770F9D" w:rsidRDefault="005C391A" w:rsidP="00BA0285">
            <w:pPr>
              <w:snapToGrid w:val="0"/>
              <w:jc w:val="right"/>
              <w:rPr>
                <w:rFonts w:ascii="Garamond" w:hAnsi="Garamond" w:cstheme="majorBidi"/>
                <w:color w:val="0D0D0D" w:themeColor="text1" w:themeTint="F2"/>
                <w:sz w:val="20"/>
                <w:szCs w:val="20"/>
              </w:rPr>
            </w:pPr>
            <w:r w:rsidRPr="00770F9D">
              <w:rPr>
                <w:rFonts w:ascii="Garamond" w:eastAsiaTheme="minorHAnsi" w:hAnsi="Garamond" w:cstheme="majorBidi"/>
                <w:color w:val="0D0D0D" w:themeColor="text1" w:themeTint="F2"/>
                <w:sz w:val="20"/>
                <w:szCs w:val="20"/>
              </w:rPr>
              <w:t>5.5%</w:t>
            </w:r>
          </w:p>
        </w:tc>
        <w:tc>
          <w:tcPr>
            <w:tcW w:w="1443" w:type="dxa"/>
            <w:vAlign w:val="center"/>
          </w:tcPr>
          <w:p w14:paraId="7F12903B" w14:textId="77777777" w:rsidR="005C391A" w:rsidRPr="00770F9D" w:rsidRDefault="005C391A" w:rsidP="00BA0285">
            <w:pPr>
              <w:snapToGrid w:val="0"/>
              <w:jc w:val="right"/>
              <w:rPr>
                <w:rFonts w:ascii="Garamond" w:hAnsi="Garamond" w:cstheme="majorBidi"/>
                <w:color w:val="0D0D0D" w:themeColor="text1" w:themeTint="F2"/>
                <w:sz w:val="20"/>
                <w:szCs w:val="20"/>
              </w:rPr>
            </w:pPr>
            <w:r w:rsidRPr="00770F9D">
              <w:rPr>
                <w:rFonts w:ascii="Garamond" w:eastAsiaTheme="minorHAnsi" w:hAnsi="Garamond" w:cstheme="majorBidi"/>
                <w:color w:val="0D0D0D" w:themeColor="text1" w:themeTint="F2"/>
                <w:sz w:val="20"/>
                <w:szCs w:val="20"/>
              </w:rPr>
              <w:t>6%</w:t>
            </w:r>
          </w:p>
        </w:tc>
      </w:tr>
      <w:tr w:rsidR="005C391A" w:rsidRPr="00770F9D" w14:paraId="07031266" w14:textId="77777777" w:rsidTr="00BA0285">
        <w:trPr>
          <w:trHeight w:val="144"/>
          <w:jc w:val="center"/>
        </w:trPr>
        <w:tc>
          <w:tcPr>
            <w:tcW w:w="5380" w:type="dxa"/>
          </w:tcPr>
          <w:p w14:paraId="191B12F6" w14:textId="3F4ACD40" w:rsidR="005C391A" w:rsidRPr="00770F9D" w:rsidRDefault="005C391A" w:rsidP="00413679">
            <w:pPr>
              <w:snapToGrid w:val="0"/>
              <w:rPr>
                <w:rFonts w:ascii="Garamond" w:hAnsi="Garamond" w:cstheme="majorBidi"/>
                <w:color w:val="0D0D0D" w:themeColor="text1" w:themeTint="F2"/>
                <w:sz w:val="20"/>
                <w:szCs w:val="20"/>
              </w:rPr>
            </w:pPr>
            <w:r w:rsidRPr="00770F9D">
              <w:rPr>
                <w:rFonts w:ascii="Garamond" w:eastAsiaTheme="minorHAnsi" w:hAnsi="Garamond" w:cstheme="majorBidi"/>
                <w:color w:val="0D0D0D" w:themeColor="text1" w:themeTint="F2"/>
                <w:sz w:val="20"/>
                <w:szCs w:val="20"/>
              </w:rPr>
              <w:t>Numri i shërbimeve të reja sociale për grupet e pafavorizuara të ofruara nëpërmjet njësive të qeverisjes vendore</w:t>
            </w:r>
            <w:r w:rsidR="00BA0285" w:rsidRPr="00770F9D">
              <w:rPr>
                <w:rFonts w:ascii="Garamond" w:eastAsiaTheme="minorHAnsi" w:hAnsi="Garamond" w:cstheme="majorBidi"/>
                <w:color w:val="0D0D0D" w:themeColor="text1" w:themeTint="F2"/>
                <w:sz w:val="20"/>
                <w:szCs w:val="20"/>
              </w:rPr>
              <w:t>,</w:t>
            </w:r>
            <w:r w:rsidRPr="00770F9D">
              <w:rPr>
                <w:rFonts w:ascii="Garamond" w:eastAsiaTheme="minorHAnsi" w:hAnsi="Garamond" w:cstheme="majorBidi"/>
                <w:color w:val="0D0D0D" w:themeColor="text1" w:themeTint="F2"/>
                <w:sz w:val="20"/>
                <w:szCs w:val="20"/>
              </w:rPr>
              <w:t xml:space="preserve"> duke përdorur burime nga fondi social</w:t>
            </w:r>
          </w:p>
        </w:tc>
        <w:tc>
          <w:tcPr>
            <w:tcW w:w="1134" w:type="dxa"/>
            <w:vAlign w:val="center"/>
          </w:tcPr>
          <w:p w14:paraId="3EB33824" w14:textId="77777777" w:rsidR="005C391A" w:rsidRPr="00770F9D" w:rsidRDefault="005C391A" w:rsidP="00BA0285">
            <w:pPr>
              <w:snapToGrid w:val="0"/>
              <w:jc w:val="right"/>
              <w:rPr>
                <w:rFonts w:ascii="Garamond" w:hAnsi="Garamond" w:cstheme="majorBidi"/>
                <w:color w:val="0D0D0D" w:themeColor="text1" w:themeTint="F2"/>
                <w:sz w:val="20"/>
                <w:szCs w:val="20"/>
              </w:rPr>
            </w:pPr>
            <w:r w:rsidRPr="00770F9D">
              <w:rPr>
                <w:rFonts w:ascii="Garamond" w:eastAsiaTheme="minorHAnsi" w:hAnsi="Garamond" w:cstheme="majorBidi"/>
                <w:color w:val="0D0D0D" w:themeColor="text1" w:themeTint="F2"/>
                <w:sz w:val="20"/>
                <w:szCs w:val="20"/>
              </w:rPr>
              <w:t>21</w:t>
            </w:r>
          </w:p>
        </w:tc>
        <w:tc>
          <w:tcPr>
            <w:tcW w:w="1665" w:type="dxa"/>
            <w:vAlign w:val="center"/>
          </w:tcPr>
          <w:p w14:paraId="77F9D3B7" w14:textId="32D9669C" w:rsidR="005C391A" w:rsidRPr="00770F9D" w:rsidRDefault="005C391A" w:rsidP="00BA0285">
            <w:pPr>
              <w:widowControl/>
              <w:jc w:val="right"/>
              <w:rPr>
                <w:rFonts w:ascii="Garamond" w:hAnsi="Garamond" w:cstheme="majorBidi"/>
                <w:color w:val="0D0D0D" w:themeColor="text1" w:themeTint="F2"/>
                <w:sz w:val="20"/>
                <w:szCs w:val="20"/>
              </w:rPr>
            </w:pPr>
            <w:r w:rsidRPr="00770F9D">
              <w:rPr>
                <w:rFonts w:ascii="Garamond" w:eastAsiaTheme="minorHAnsi" w:hAnsi="Garamond" w:cstheme="majorBidi"/>
                <w:color w:val="0D0D0D" w:themeColor="text1" w:themeTint="F2"/>
                <w:sz w:val="20"/>
                <w:szCs w:val="20"/>
              </w:rPr>
              <w:t>30</w:t>
            </w:r>
            <w:r w:rsidR="00BA0285" w:rsidRPr="00770F9D">
              <w:rPr>
                <w:rFonts w:ascii="Garamond" w:eastAsiaTheme="minorHAnsi" w:hAnsi="Garamond" w:cstheme="majorBidi"/>
                <w:color w:val="0D0D0D" w:themeColor="text1" w:themeTint="F2"/>
                <w:sz w:val="20"/>
                <w:szCs w:val="20"/>
              </w:rPr>
              <w:t xml:space="preserve"> </w:t>
            </w:r>
            <w:r w:rsidRPr="00770F9D">
              <w:rPr>
                <w:rFonts w:ascii="Garamond" w:eastAsiaTheme="minorHAnsi" w:hAnsi="Garamond" w:cstheme="majorBidi"/>
                <w:color w:val="0D0D0D" w:themeColor="text1" w:themeTint="F2"/>
                <w:sz w:val="20"/>
                <w:szCs w:val="20"/>
              </w:rPr>
              <w:t>(kumulative)</w:t>
            </w:r>
          </w:p>
        </w:tc>
        <w:tc>
          <w:tcPr>
            <w:tcW w:w="1443" w:type="dxa"/>
            <w:vAlign w:val="center"/>
          </w:tcPr>
          <w:p w14:paraId="463C011A" w14:textId="54B1802D" w:rsidR="005C391A" w:rsidRPr="00770F9D" w:rsidRDefault="005C391A" w:rsidP="00BA0285">
            <w:pPr>
              <w:snapToGrid w:val="0"/>
              <w:jc w:val="right"/>
              <w:rPr>
                <w:rFonts w:ascii="Garamond" w:hAnsi="Garamond" w:cstheme="majorBidi"/>
                <w:color w:val="0D0D0D" w:themeColor="text1" w:themeTint="F2"/>
                <w:sz w:val="20"/>
                <w:szCs w:val="20"/>
              </w:rPr>
            </w:pPr>
            <w:r w:rsidRPr="00770F9D">
              <w:rPr>
                <w:rFonts w:ascii="Garamond" w:eastAsiaTheme="minorHAnsi" w:hAnsi="Garamond" w:cstheme="majorBidi"/>
                <w:color w:val="0D0D0D" w:themeColor="text1" w:themeTint="F2"/>
                <w:sz w:val="20"/>
                <w:szCs w:val="20"/>
              </w:rPr>
              <w:t>40</w:t>
            </w:r>
            <w:r w:rsidR="00BA0285" w:rsidRPr="00770F9D">
              <w:rPr>
                <w:rFonts w:ascii="Garamond" w:eastAsiaTheme="minorHAnsi" w:hAnsi="Garamond" w:cstheme="majorBidi"/>
                <w:color w:val="0D0D0D" w:themeColor="text1" w:themeTint="F2"/>
                <w:sz w:val="20"/>
                <w:szCs w:val="20"/>
              </w:rPr>
              <w:t xml:space="preserve"> </w:t>
            </w:r>
            <w:r w:rsidRPr="00770F9D">
              <w:rPr>
                <w:rFonts w:ascii="Garamond" w:eastAsiaTheme="minorHAnsi" w:hAnsi="Garamond" w:cstheme="majorBidi"/>
                <w:color w:val="0D0D0D" w:themeColor="text1" w:themeTint="F2"/>
                <w:sz w:val="20"/>
                <w:szCs w:val="20"/>
              </w:rPr>
              <w:t>kumulative)</w:t>
            </w:r>
          </w:p>
        </w:tc>
      </w:tr>
    </w:tbl>
    <w:p w14:paraId="579E060C" w14:textId="24FD26EF" w:rsidR="009D37E3" w:rsidRPr="00770F9D" w:rsidRDefault="00413679" w:rsidP="00413679">
      <w:pPr>
        <w:pStyle w:val="Heading6"/>
        <w:numPr>
          <w:ilvl w:val="0"/>
          <w:numId w:val="0"/>
        </w:numPr>
        <w:ind w:firstLine="284"/>
        <w:rPr>
          <w:rFonts w:ascii="Garamond" w:hAnsi="Garamond"/>
          <w:color w:val="0D0D0D"/>
          <w:u w:val="none"/>
        </w:rPr>
      </w:pPr>
      <w:r w:rsidRPr="00770F9D">
        <w:rPr>
          <w:rFonts w:ascii="Garamond" w:hAnsi="Garamond"/>
          <w:color w:val="0D0D0D"/>
          <w:u w:val="none"/>
        </w:rPr>
        <w:t>3</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Kosto</w:t>
      </w:r>
      <w:r w:rsidR="00BA0285" w:rsidRPr="00770F9D">
        <w:rPr>
          <w:rFonts w:ascii="Garamond" w:hAnsi="Garamond"/>
          <w:color w:val="0D0D0D"/>
          <w:u w:val="none"/>
        </w:rPr>
        <w:t>ja</w:t>
      </w:r>
      <w:r w:rsidR="009D37E3" w:rsidRPr="00770F9D">
        <w:rPr>
          <w:rFonts w:ascii="Garamond" w:hAnsi="Garamond"/>
          <w:color w:val="0D0D0D"/>
          <w:u w:val="none"/>
        </w:rPr>
        <w:t xml:space="preserve"> e parashikuar e aktiviteteve dhe burimi i financimit</w:t>
      </w:r>
    </w:p>
    <w:p w14:paraId="645AE701" w14:textId="7682B88C" w:rsidR="009D37E3" w:rsidRPr="00770F9D" w:rsidRDefault="009D37E3" w:rsidP="00413679">
      <w:pPr>
        <w:ind w:firstLine="284"/>
        <w:jc w:val="both"/>
        <w:rPr>
          <w:rFonts w:ascii="Garamond" w:hAnsi="Garamond"/>
          <w:color w:val="0D0D0D"/>
        </w:rPr>
      </w:pPr>
      <w:r w:rsidRPr="00770F9D">
        <w:rPr>
          <w:rFonts w:ascii="Garamond" w:hAnsi="Garamond"/>
          <w:color w:val="0D0D0D"/>
        </w:rPr>
        <w:t xml:space="preserve">Buxheti për </w:t>
      </w:r>
      <w:r w:rsidR="002B3D31" w:rsidRPr="00770F9D">
        <w:rPr>
          <w:rFonts w:ascii="Garamond" w:hAnsi="Garamond"/>
          <w:color w:val="0D0D0D"/>
        </w:rPr>
        <w:t xml:space="preserve">programin e përkujdesjes sociale </w:t>
      </w:r>
      <w:r w:rsidRPr="00770F9D">
        <w:rPr>
          <w:rFonts w:ascii="Garamond" w:hAnsi="Garamond"/>
          <w:color w:val="0D0D0D"/>
        </w:rPr>
        <w:t>për vitin 2023 është 255,834,152 EUR</w:t>
      </w:r>
      <w:r w:rsidR="006F6A4A" w:rsidRPr="00770F9D">
        <w:rPr>
          <w:rFonts w:ascii="Garamond" w:hAnsi="Garamond"/>
          <w:color w:val="0D0D0D"/>
        </w:rPr>
        <w:t>.</w:t>
      </w:r>
    </w:p>
    <w:p w14:paraId="0E5CF9BE" w14:textId="0FEEBB03" w:rsidR="009D37E3" w:rsidRPr="00770F9D" w:rsidRDefault="009D37E3" w:rsidP="00413679">
      <w:pPr>
        <w:ind w:firstLine="284"/>
        <w:jc w:val="both"/>
        <w:rPr>
          <w:rFonts w:ascii="Garamond" w:hAnsi="Garamond"/>
          <w:color w:val="0D0D0D"/>
        </w:rPr>
      </w:pPr>
      <w:r w:rsidRPr="00770F9D">
        <w:rPr>
          <w:rFonts w:ascii="Garamond" w:hAnsi="Garamond"/>
          <w:color w:val="0D0D0D"/>
        </w:rPr>
        <w:t xml:space="preserve">Buxheti për </w:t>
      </w:r>
      <w:r w:rsidR="002B3D31" w:rsidRPr="00770F9D">
        <w:rPr>
          <w:rFonts w:ascii="Garamond" w:hAnsi="Garamond"/>
          <w:color w:val="0D0D0D"/>
        </w:rPr>
        <w:t xml:space="preserve">programin e përkujdesjes sociale </w:t>
      </w:r>
      <w:r w:rsidRPr="00770F9D">
        <w:rPr>
          <w:rFonts w:ascii="Garamond" w:hAnsi="Garamond"/>
          <w:color w:val="0D0D0D"/>
        </w:rPr>
        <w:t>për vitin 2024 është 239,322,151 EUR</w:t>
      </w:r>
      <w:r w:rsidR="006F6A4A" w:rsidRPr="00770F9D">
        <w:rPr>
          <w:rFonts w:ascii="Garamond" w:hAnsi="Garamond"/>
          <w:color w:val="0D0D0D"/>
        </w:rPr>
        <w:t>.</w:t>
      </w:r>
    </w:p>
    <w:p w14:paraId="1FE5A27A" w14:textId="54892826" w:rsidR="009D37E3" w:rsidRPr="00770F9D" w:rsidRDefault="009D37E3" w:rsidP="00413679">
      <w:pPr>
        <w:ind w:firstLine="284"/>
        <w:jc w:val="both"/>
        <w:rPr>
          <w:rFonts w:ascii="Garamond" w:hAnsi="Garamond"/>
          <w:color w:val="0D0D0D"/>
        </w:rPr>
      </w:pPr>
      <w:r w:rsidRPr="00770F9D">
        <w:rPr>
          <w:rFonts w:ascii="Garamond" w:hAnsi="Garamond"/>
          <w:color w:val="0D0D0D"/>
        </w:rPr>
        <w:t xml:space="preserve">Buxheti për </w:t>
      </w:r>
      <w:r w:rsidR="002B3D31" w:rsidRPr="00770F9D">
        <w:rPr>
          <w:rFonts w:ascii="Garamond" w:hAnsi="Garamond"/>
          <w:color w:val="0D0D0D"/>
        </w:rPr>
        <w:t xml:space="preserve">programin e përkujdesjes sociale </w:t>
      </w:r>
      <w:r w:rsidRPr="00770F9D">
        <w:rPr>
          <w:rFonts w:ascii="Garamond" w:hAnsi="Garamond"/>
          <w:color w:val="0D0D0D"/>
        </w:rPr>
        <w:t xml:space="preserve"> për vitin 2025 është243,645,167 EUR</w:t>
      </w:r>
      <w:r w:rsidR="006F6A4A" w:rsidRPr="00770F9D">
        <w:rPr>
          <w:rFonts w:ascii="Garamond" w:hAnsi="Garamond"/>
          <w:color w:val="0D0D0D"/>
        </w:rPr>
        <w:t>.</w:t>
      </w:r>
    </w:p>
    <w:p w14:paraId="016F3AF5" w14:textId="651FCABC" w:rsidR="009D37E3" w:rsidRPr="00770F9D" w:rsidRDefault="00413679" w:rsidP="00413679">
      <w:pPr>
        <w:pStyle w:val="Heading6"/>
        <w:numPr>
          <w:ilvl w:val="0"/>
          <w:numId w:val="0"/>
        </w:numPr>
        <w:ind w:firstLine="284"/>
        <w:rPr>
          <w:rFonts w:ascii="Garamond" w:hAnsi="Garamond"/>
          <w:color w:val="0D0D0D"/>
          <w:u w:val="none"/>
        </w:rPr>
      </w:pPr>
      <w:r w:rsidRPr="00770F9D">
        <w:rPr>
          <w:rFonts w:ascii="Garamond" w:hAnsi="Garamond"/>
          <w:color w:val="0D0D0D"/>
          <w:u w:val="none"/>
        </w:rPr>
        <w:t>4</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Ndikimi i pritshëm në përfundimet sociale si punësimi, ulja e varfërisë, barazia gjinore dhe aksesi në kujdesin shëndetësor</w:t>
      </w:r>
    </w:p>
    <w:p w14:paraId="233575BD" w14:textId="3D6E8E68" w:rsidR="009D37E3" w:rsidRPr="00770F9D" w:rsidRDefault="009D37E3" w:rsidP="00413679">
      <w:pPr>
        <w:ind w:firstLine="284"/>
        <w:jc w:val="both"/>
        <w:rPr>
          <w:rFonts w:ascii="Garamond" w:hAnsi="Garamond"/>
          <w:color w:val="0D0D0D"/>
        </w:rPr>
      </w:pPr>
      <w:r w:rsidRPr="00770F9D">
        <w:rPr>
          <w:rFonts w:ascii="Garamond" w:hAnsi="Garamond"/>
          <w:color w:val="0D0D0D"/>
        </w:rPr>
        <w:t xml:space="preserve">Përmirësimi i situatës social-ekonomike të kategorive në nevojë, ndikimi i drejtpërdrejtë në zbutjen e varfërisë </w:t>
      </w:r>
      <w:r w:rsidR="003B0A5A" w:rsidRPr="00770F9D">
        <w:rPr>
          <w:rFonts w:ascii="Garamond" w:hAnsi="Garamond"/>
          <w:color w:val="0D0D0D"/>
        </w:rPr>
        <w:t>,</w:t>
      </w:r>
      <w:r w:rsidRPr="00770F9D">
        <w:rPr>
          <w:rFonts w:ascii="Garamond" w:hAnsi="Garamond"/>
          <w:color w:val="0D0D0D"/>
        </w:rPr>
        <w:t>duke rritur nivelin e përfitimit të ndihmës ekonomike. Rritja e aksesit në paketën bazë të shërbimeve sociale. Ndikimet pritet të jenë kryesisht pozitive dhe do të rezultojnë në përmirësimin e përfshirjes socio-ekonomike të komuniteteve më të varfra dhe më të cenueshme në Shqipëri, duke ofruar asistencë sociale më të targetuar dhe më të përshtatshme dhe akses të përmirësuar në shërbimet sociale dhe mbështetje për punësim</w:t>
      </w:r>
    </w:p>
    <w:p w14:paraId="79BDE9C9" w14:textId="298C57FC" w:rsidR="009D37E3" w:rsidRPr="00770F9D" w:rsidRDefault="00413679" w:rsidP="00413679">
      <w:pPr>
        <w:pStyle w:val="Heading6"/>
        <w:numPr>
          <w:ilvl w:val="0"/>
          <w:numId w:val="0"/>
        </w:numPr>
        <w:ind w:firstLine="284"/>
        <w:rPr>
          <w:rFonts w:ascii="Garamond" w:hAnsi="Garamond"/>
          <w:color w:val="0D0D0D"/>
          <w:u w:val="none"/>
        </w:rPr>
      </w:pPr>
      <w:r w:rsidRPr="00770F9D">
        <w:rPr>
          <w:rFonts w:ascii="Garamond" w:hAnsi="Garamond"/>
          <w:color w:val="0D0D0D"/>
          <w:u w:val="none"/>
        </w:rPr>
        <w:t>5</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Ndikimi i pritshëm në mjedis dhe ndryshimi i klimës</w:t>
      </w:r>
    </w:p>
    <w:p w14:paraId="05BECBF1" w14:textId="77777777" w:rsidR="009D37E3" w:rsidRPr="00770F9D" w:rsidRDefault="009D37E3" w:rsidP="00413679">
      <w:pPr>
        <w:ind w:firstLine="284"/>
        <w:jc w:val="both"/>
        <w:rPr>
          <w:rFonts w:ascii="Garamond" w:hAnsi="Garamond"/>
          <w:color w:val="0D0D0D"/>
        </w:rPr>
      </w:pPr>
      <w:r w:rsidRPr="00770F9D">
        <w:rPr>
          <w:rFonts w:ascii="Garamond" w:hAnsi="Garamond"/>
          <w:color w:val="0D0D0D"/>
        </w:rPr>
        <w:t>Masa e reformës nuk pritet të ketë ndikim në mjedis.</w:t>
      </w:r>
    </w:p>
    <w:p w14:paraId="115C0D1C" w14:textId="214CA143" w:rsidR="009D37E3" w:rsidRPr="00770F9D" w:rsidRDefault="00413679" w:rsidP="00413679">
      <w:pPr>
        <w:pStyle w:val="Heading6"/>
        <w:numPr>
          <w:ilvl w:val="0"/>
          <w:numId w:val="0"/>
        </w:numPr>
        <w:ind w:firstLine="284"/>
        <w:rPr>
          <w:rFonts w:ascii="Garamond" w:hAnsi="Garamond"/>
          <w:color w:val="0D0D0D"/>
          <w:u w:val="none"/>
        </w:rPr>
      </w:pPr>
      <w:r w:rsidRPr="00770F9D">
        <w:rPr>
          <w:rFonts w:ascii="Garamond" w:hAnsi="Garamond"/>
          <w:color w:val="0D0D0D"/>
          <w:u w:val="none"/>
        </w:rPr>
        <w:t>6</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Rreziqet e mundshme</w:t>
      </w:r>
    </w:p>
    <w:tbl>
      <w:tblPr>
        <w:tblStyle w:val="TableGrid"/>
        <w:tblW w:w="0" w:type="auto"/>
        <w:jc w:val="center"/>
        <w:tblLook w:val="04A0" w:firstRow="1" w:lastRow="0" w:firstColumn="1" w:lastColumn="0" w:noHBand="0" w:noVBand="1"/>
      </w:tblPr>
      <w:tblGrid>
        <w:gridCol w:w="3810"/>
        <w:gridCol w:w="1532"/>
        <w:gridCol w:w="3945"/>
      </w:tblGrid>
      <w:tr w:rsidR="00FA29AB" w:rsidRPr="00770F9D" w14:paraId="28154232" w14:textId="77777777" w:rsidTr="003B0A5A">
        <w:trPr>
          <w:trHeight w:val="288"/>
          <w:jc w:val="center"/>
        </w:trPr>
        <w:tc>
          <w:tcPr>
            <w:tcW w:w="3964" w:type="dxa"/>
            <w:vAlign w:val="center"/>
          </w:tcPr>
          <w:p w14:paraId="183EE634" w14:textId="77777777" w:rsidR="00A01BB6" w:rsidRPr="00770F9D" w:rsidRDefault="00B2062A" w:rsidP="003B0A5A">
            <w:pPr>
              <w:snapToGrid w:val="0"/>
              <w:jc w:val="center"/>
              <w:rPr>
                <w:rFonts w:ascii="Garamond" w:hAnsi="Garamond" w:cstheme="majorBidi"/>
                <w:b/>
                <w:bCs/>
                <w:color w:val="0D0D0D" w:themeColor="text1" w:themeTint="F2"/>
                <w:sz w:val="20"/>
              </w:rPr>
            </w:pPr>
            <w:r w:rsidRPr="00770F9D">
              <w:rPr>
                <w:rFonts w:ascii="Garamond" w:hAnsi="Garamond" w:cstheme="majorBidi"/>
                <w:b/>
                <w:bCs/>
                <w:color w:val="0D0D0D" w:themeColor="text1" w:themeTint="F2"/>
                <w:sz w:val="20"/>
              </w:rPr>
              <w:t>Rreziku</w:t>
            </w:r>
          </w:p>
        </w:tc>
        <w:tc>
          <w:tcPr>
            <w:tcW w:w="1560" w:type="dxa"/>
            <w:vAlign w:val="center"/>
          </w:tcPr>
          <w:p w14:paraId="401226BE" w14:textId="77777777" w:rsidR="00A01BB6" w:rsidRPr="00770F9D" w:rsidRDefault="00B2062A" w:rsidP="003B0A5A">
            <w:pPr>
              <w:snapToGrid w:val="0"/>
              <w:jc w:val="center"/>
              <w:rPr>
                <w:rFonts w:ascii="Garamond" w:hAnsi="Garamond" w:cstheme="majorBidi"/>
                <w:b/>
                <w:bCs/>
                <w:color w:val="0D0D0D" w:themeColor="text1" w:themeTint="F2"/>
                <w:sz w:val="20"/>
              </w:rPr>
            </w:pPr>
            <w:r w:rsidRPr="00770F9D">
              <w:rPr>
                <w:rFonts w:ascii="Garamond" w:hAnsi="Garamond" w:cstheme="majorBidi"/>
                <w:b/>
                <w:bCs/>
                <w:color w:val="0D0D0D" w:themeColor="text1" w:themeTint="F2"/>
                <w:sz w:val="20"/>
              </w:rPr>
              <w:t>Mundësia</w:t>
            </w:r>
            <w:r w:rsidR="00A01BB6" w:rsidRPr="00770F9D">
              <w:rPr>
                <w:rFonts w:ascii="Garamond" w:hAnsi="Garamond" w:cstheme="majorBidi"/>
                <w:b/>
                <w:bCs/>
                <w:color w:val="0D0D0D" w:themeColor="text1" w:themeTint="F2"/>
                <w:sz w:val="20"/>
              </w:rPr>
              <w:t xml:space="preserve"> (</w:t>
            </w:r>
            <w:r w:rsidRPr="00770F9D">
              <w:rPr>
                <w:rFonts w:ascii="Garamond" w:hAnsi="Garamond" w:cstheme="majorBidi"/>
                <w:b/>
                <w:bCs/>
                <w:color w:val="0D0D0D" w:themeColor="text1" w:themeTint="F2"/>
                <w:sz w:val="20"/>
              </w:rPr>
              <w:t>e ulët, e lartë</w:t>
            </w:r>
            <w:r w:rsidR="00A01BB6" w:rsidRPr="00770F9D">
              <w:rPr>
                <w:rFonts w:ascii="Garamond" w:hAnsi="Garamond" w:cstheme="majorBidi"/>
                <w:b/>
                <w:bCs/>
                <w:color w:val="0D0D0D" w:themeColor="text1" w:themeTint="F2"/>
                <w:sz w:val="20"/>
              </w:rPr>
              <w:t>)</w:t>
            </w:r>
          </w:p>
        </w:tc>
        <w:tc>
          <w:tcPr>
            <w:tcW w:w="4098" w:type="dxa"/>
            <w:vAlign w:val="center"/>
          </w:tcPr>
          <w:p w14:paraId="1365164D" w14:textId="77777777" w:rsidR="00A01BB6" w:rsidRPr="00770F9D" w:rsidRDefault="00B2062A" w:rsidP="003B0A5A">
            <w:pPr>
              <w:snapToGrid w:val="0"/>
              <w:jc w:val="center"/>
              <w:rPr>
                <w:rFonts w:ascii="Garamond" w:hAnsi="Garamond" w:cstheme="majorBidi"/>
                <w:b/>
                <w:bCs/>
                <w:color w:val="0D0D0D" w:themeColor="text1" w:themeTint="F2"/>
                <w:sz w:val="20"/>
              </w:rPr>
            </w:pPr>
            <w:r w:rsidRPr="00770F9D">
              <w:rPr>
                <w:rFonts w:ascii="Garamond" w:hAnsi="Garamond" w:cstheme="majorBidi"/>
                <w:b/>
                <w:bCs/>
                <w:color w:val="0D0D0D" w:themeColor="text1" w:themeTint="F2"/>
                <w:sz w:val="20"/>
              </w:rPr>
              <w:t>Veprimi zbutës i parashikuar</w:t>
            </w:r>
          </w:p>
        </w:tc>
      </w:tr>
      <w:tr w:rsidR="005C391A" w:rsidRPr="00770F9D" w14:paraId="1FC9F80D" w14:textId="77777777" w:rsidTr="003B0A5A">
        <w:trPr>
          <w:trHeight w:val="288"/>
          <w:jc w:val="center"/>
        </w:trPr>
        <w:tc>
          <w:tcPr>
            <w:tcW w:w="3964" w:type="dxa"/>
          </w:tcPr>
          <w:p w14:paraId="529930CF" w14:textId="77777777" w:rsidR="005C391A" w:rsidRPr="00770F9D" w:rsidRDefault="005C391A" w:rsidP="00413679">
            <w:pPr>
              <w:rPr>
                <w:rFonts w:ascii="Garamond" w:eastAsia="Arial Narrow" w:hAnsi="Garamond" w:cstheme="majorBidi"/>
                <w:color w:val="0D0D0D" w:themeColor="text1" w:themeTint="F2"/>
                <w:sz w:val="20"/>
              </w:rPr>
            </w:pPr>
            <w:r w:rsidRPr="00770F9D">
              <w:rPr>
                <w:rFonts w:ascii="Garamond" w:hAnsi="Garamond" w:cstheme="majorBidi"/>
                <w:color w:val="0D0D0D" w:themeColor="text1" w:themeTint="F2"/>
                <w:sz w:val="20"/>
              </w:rPr>
              <w:t>Mungesa dhe kualifikimi ulët i kapaciteteve në nivel vendor për hartimin e detajuar të planeve sociale</w:t>
            </w:r>
          </w:p>
        </w:tc>
        <w:tc>
          <w:tcPr>
            <w:tcW w:w="1560" w:type="dxa"/>
          </w:tcPr>
          <w:p w14:paraId="59F25B53" w14:textId="77777777" w:rsidR="005C391A" w:rsidRPr="00770F9D" w:rsidRDefault="005C391A" w:rsidP="00413679">
            <w:pPr>
              <w:snapToGrid w:val="0"/>
              <w:rPr>
                <w:rFonts w:ascii="Garamond" w:hAnsi="Garamond" w:cstheme="majorBidi"/>
                <w:color w:val="0D0D0D" w:themeColor="text1" w:themeTint="F2"/>
                <w:sz w:val="20"/>
              </w:rPr>
            </w:pPr>
            <w:r w:rsidRPr="00770F9D">
              <w:rPr>
                <w:rFonts w:ascii="Garamond" w:eastAsiaTheme="minorHAnsi" w:hAnsi="Garamond" w:cstheme="majorBidi"/>
                <w:color w:val="0D0D0D" w:themeColor="text1" w:themeTint="F2"/>
                <w:sz w:val="20"/>
              </w:rPr>
              <w:t>I ulët</w:t>
            </w:r>
          </w:p>
        </w:tc>
        <w:tc>
          <w:tcPr>
            <w:tcW w:w="4098" w:type="dxa"/>
          </w:tcPr>
          <w:p w14:paraId="41A66F18" w14:textId="77777777" w:rsidR="005C391A" w:rsidRPr="00770F9D" w:rsidRDefault="005C391A" w:rsidP="00413679">
            <w:pPr>
              <w:jc w:val="both"/>
              <w:rPr>
                <w:rFonts w:ascii="Garamond" w:hAnsi="Garamond" w:cstheme="majorBidi"/>
                <w:color w:val="0D0D0D" w:themeColor="text1" w:themeTint="F2"/>
                <w:sz w:val="20"/>
              </w:rPr>
            </w:pPr>
            <w:r w:rsidRPr="00770F9D">
              <w:rPr>
                <w:rFonts w:ascii="Garamond" w:hAnsi="Garamond" w:cstheme="majorBidi"/>
                <w:color w:val="0D0D0D" w:themeColor="text1" w:themeTint="F2"/>
                <w:sz w:val="20"/>
              </w:rPr>
              <w:t>Bashkëpunimi me aktorët lokalë për zhvillimin e kapacitetet për hartimin e planeve sociale.</w:t>
            </w:r>
          </w:p>
          <w:p w14:paraId="2900D3CC" w14:textId="77777777" w:rsidR="005C391A" w:rsidRPr="00770F9D" w:rsidRDefault="005C391A" w:rsidP="00413679">
            <w:pPr>
              <w:snapToGrid w:val="0"/>
              <w:rPr>
                <w:rFonts w:ascii="Garamond" w:hAnsi="Garamond" w:cstheme="majorBidi"/>
                <w:color w:val="0D0D0D" w:themeColor="text1" w:themeTint="F2"/>
                <w:sz w:val="20"/>
              </w:rPr>
            </w:pPr>
          </w:p>
        </w:tc>
      </w:tr>
      <w:tr w:rsidR="005C391A" w:rsidRPr="00770F9D" w14:paraId="72E138F1" w14:textId="77777777" w:rsidTr="003B0A5A">
        <w:trPr>
          <w:trHeight w:val="288"/>
          <w:jc w:val="center"/>
        </w:trPr>
        <w:tc>
          <w:tcPr>
            <w:tcW w:w="3964" w:type="dxa"/>
          </w:tcPr>
          <w:p w14:paraId="223DD461" w14:textId="77777777" w:rsidR="005C391A" w:rsidRPr="00770F9D" w:rsidRDefault="005C391A" w:rsidP="00413679">
            <w:pPr>
              <w:jc w:val="both"/>
              <w:rPr>
                <w:rFonts w:ascii="Garamond" w:hAnsi="Garamond" w:cstheme="majorBidi"/>
                <w:color w:val="0D0D0D" w:themeColor="text1" w:themeTint="F2"/>
                <w:sz w:val="20"/>
              </w:rPr>
            </w:pPr>
            <w:r w:rsidRPr="00770F9D">
              <w:rPr>
                <w:rFonts w:ascii="Garamond" w:hAnsi="Garamond" w:cstheme="majorBidi"/>
                <w:color w:val="0D0D0D" w:themeColor="text1" w:themeTint="F2"/>
                <w:sz w:val="20"/>
              </w:rPr>
              <w:t>Rritja e nivelit të varfërisë</w:t>
            </w:r>
          </w:p>
          <w:p w14:paraId="3631F98E" w14:textId="374AD5AB" w:rsidR="005C391A" w:rsidRPr="00770F9D" w:rsidRDefault="005C391A" w:rsidP="00413679">
            <w:pPr>
              <w:jc w:val="both"/>
              <w:rPr>
                <w:rFonts w:ascii="Garamond" w:hAnsi="Garamond" w:cstheme="majorBidi"/>
                <w:color w:val="0D0D0D" w:themeColor="text1" w:themeTint="F2"/>
                <w:sz w:val="20"/>
              </w:rPr>
            </w:pPr>
            <w:r w:rsidRPr="00770F9D">
              <w:rPr>
                <w:rFonts w:ascii="Garamond" w:hAnsi="Garamond" w:cstheme="majorBidi"/>
                <w:color w:val="0D0D0D" w:themeColor="text1" w:themeTint="F2"/>
                <w:sz w:val="20"/>
              </w:rPr>
              <w:t>për shkak të krizave energjetike dhe efekteve të luftës në Ukrainë.</w:t>
            </w:r>
          </w:p>
        </w:tc>
        <w:tc>
          <w:tcPr>
            <w:tcW w:w="1560" w:type="dxa"/>
          </w:tcPr>
          <w:p w14:paraId="363F869E" w14:textId="38B4C371" w:rsidR="005C391A" w:rsidRPr="00770F9D" w:rsidRDefault="00F26BAE" w:rsidP="00413679">
            <w:pPr>
              <w:snapToGrid w:val="0"/>
              <w:rPr>
                <w:rFonts w:ascii="Garamond" w:hAnsi="Garamond" w:cstheme="majorBidi"/>
                <w:color w:val="0D0D0D" w:themeColor="text1" w:themeTint="F2"/>
                <w:sz w:val="20"/>
              </w:rPr>
            </w:pPr>
            <w:r w:rsidRPr="00770F9D">
              <w:rPr>
                <w:rFonts w:ascii="Garamond" w:eastAsiaTheme="minorHAnsi" w:hAnsi="Garamond" w:cstheme="majorBidi"/>
                <w:color w:val="0D0D0D" w:themeColor="text1" w:themeTint="F2"/>
                <w:sz w:val="20"/>
              </w:rPr>
              <w:t>Mesatar</w:t>
            </w:r>
          </w:p>
        </w:tc>
        <w:tc>
          <w:tcPr>
            <w:tcW w:w="4098" w:type="dxa"/>
          </w:tcPr>
          <w:p w14:paraId="5819DA86" w14:textId="4CF3D065" w:rsidR="005C391A" w:rsidRPr="00770F9D" w:rsidRDefault="005C391A" w:rsidP="00413679">
            <w:pPr>
              <w:jc w:val="both"/>
              <w:rPr>
                <w:rFonts w:ascii="Garamond" w:hAnsi="Garamond" w:cstheme="majorBidi"/>
                <w:color w:val="0D0D0D" w:themeColor="text1" w:themeTint="F2"/>
                <w:sz w:val="20"/>
              </w:rPr>
            </w:pPr>
            <w:r w:rsidRPr="00770F9D">
              <w:rPr>
                <w:rFonts w:ascii="Garamond" w:hAnsi="Garamond" w:cstheme="majorBidi"/>
                <w:color w:val="0D0D0D" w:themeColor="text1" w:themeTint="F2"/>
                <w:sz w:val="20"/>
              </w:rPr>
              <w:t>Mbështetje e qëndrueshme duke rritur perfitimet për grupet vulnerabël.</w:t>
            </w:r>
          </w:p>
        </w:tc>
      </w:tr>
    </w:tbl>
    <w:p w14:paraId="455275D4" w14:textId="77777777" w:rsidR="00A01BB6" w:rsidRPr="00770F9D" w:rsidRDefault="00A01BB6" w:rsidP="005674F2">
      <w:pPr>
        <w:snapToGrid w:val="0"/>
        <w:ind w:firstLine="284"/>
        <w:rPr>
          <w:rFonts w:ascii="Garamond" w:hAnsi="Garamond" w:cstheme="majorBidi"/>
          <w:color w:val="0D0D0D" w:themeColor="text1" w:themeTint="F2"/>
        </w:rPr>
      </w:pPr>
    </w:p>
    <w:p w14:paraId="32C7E84D" w14:textId="77777777" w:rsidR="00E43B82" w:rsidRPr="00770F9D" w:rsidRDefault="00B2062A" w:rsidP="00400806">
      <w:pPr>
        <w:pStyle w:val="Heading5"/>
        <w:snapToGrid w:val="0"/>
        <w:ind w:left="0" w:firstLine="284"/>
        <w:jc w:val="both"/>
        <w:rPr>
          <w:rFonts w:ascii="Garamond" w:hAnsi="Garamond" w:cstheme="majorBidi"/>
          <w:i w:val="0"/>
          <w:color w:val="0D0D0D" w:themeColor="text1" w:themeTint="F2"/>
          <w:sz w:val="24"/>
          <w:szCs w:val="24"/>
        </w:rPr>
      </w:pPr>
      <w:r w:rsidRPr="00770F9D">
        <w:rPr>
          <w:rFonts w:ascii="Garamond" w:hAnsi="Garamond" w:cstheme="majorBidi"/>
          <w:i w:val="0"/>
          <w:color w:val="0D0D0D" w:themeColor="text1" w:themeTint="F2"/>
          <w:sz w:val="24"/>
          <w:szCs w:val="24"/>
        </w:rPr>
        <w:t>Masa e reformës</w:t>
      </w:r>
      <w:r w:rsidR="005358F8" w:rsidRPr="00770F9D">
        <w:rPr>
          <w:rFonts w:ascii="Garamond" w:hAnsi="Garamond" w:cstheme="majorBidi"/>
          <w:i w:val="0"/>
          <w:color w:val="0D0D0D" w:themeColor="text1" w:themeTint="F2"/>
          <w:sz w:val="24"/>
          <w:szCs w:val="24"/>
        </w:rPr>
        <w:t xml:space="preserve"> 05</w:t>
      </w:r>
      <w:r w:rsidR="00E43B82" w:rsidRPr="00770F9D">
        <w:rPr>
          <w:rFonts w:ascii="Garamond" w:hAnsi="Garamond" w:cstheme="majorBidi"/>
          <w:i w:val="0"/>
          <w:color w:val="0D0D0D" w:themeColor="text1" w:themeTint="F2"/>
          <w:sz w:val="24"/>
          <w:szCs w:val="24"/>
        </w:rPr>
        <w:t xml:space="preserve">: </w:t>
      </w:r>
      <w:r w:rsidR="00C12939" w:rsidRPr="00770F9D">
        <w:rPr>
          <w:rFonts w:ascii="Garamond" w:hAnsi="Garamond" w:cstheme="majorBidi"/>
          <w:i w:val="0"/>
          <w:color w:val="0D0D0D" w:themeColor="text1" w:themeTint="F2"/>
          <w:sz w:val="24"/>
          <w:szCs w:val="24"/>
        </w:rPr>
        <w:t>Rritja e aksesit në kujdesin shëndetësor</w:t>
      </w:r>
    </w:p>
    <w:p w14:paraId="3A27A093" w14:textId="136FB162" w:rsidR="00E43B82" w:rsidRPr="00770F9D" w:rsidRDefault="009D37E3"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 xml:space="preserve">1. </w:t>
      </w:r>
      <w:r w:rsidR="00B2062A" w:rsidRPr="00770F9D">
        <w:rPr>
          <w:rFonts w:ascii="Garamond" w:hAnsi="Garamond" w:cstheme="majorBidi"/>
          <w:color w:val="0D0D0D" w:themeColor="text1" w:themeTint="F2"/>
          <w:u w:val="none"/>
        </w:rPr>
        <w:t>Përshkrimi i masës</w:t>
      </w:r>
    </w:p>
    <w:p w14:paraId="50EB747D" w14:textId="77777777" w:rsidR="00F26BAE" w:rsidRPr="00770F9D" w:rsidRDefault="00F26BAE" w:rsidP="00400806">
      <w:pPr>
        <w:ind w:firstLine="284"/>
        <w:jc w:val="both"/>
        <w:rPr>
          <w:rFonts w:ascii="Garamond" w:hAnsi="Garamond" w:cstheme="majorBidi"/>
        </w:rPr>
      </w:pPr>
      <w:r w:rsidRPr="00770F9D">
        <w:rPr>
          <w:rFonts w:ascii="Garamond" w:hAnsi="Garamond" w:cstheme="majorBidi"/>
        </w:rPr>
        <w:t>Kujdesi shëndetësor në Shqipëri tashmë ka nisur rrugën drejt transformimit dhe modernizimit të tij.</w:t>
      </w:r>
    </w:p>
    <w:p w14:paraId="73E0CF6D" w14:textId="3C96DE45" w:rsidR="00F26BAE" w:rsidRPr="00770F9D" w:rsidRDefault="00F26BAE" w:rsidP="00400806">
      <w:pPr>
        <w:ind w:firstLine="284"/>
        <w:jc w:val="both"/>
        <w:rPr>
          <w:rFonts w:ascii="Garamond" w:hAnsi="Garamond" w:cstheme="majorBidi"/>
        </w:rPr>
      </w:pPr>
      <w:r w:rsidRPr="00770F9D">
        <w:rPr>
          <w:rFonts w:ascii="Garamond" w:hAnsi="Garamond" w:cstheme="majorBidi"/>
        </w:rPr>
        <w:t>Sh</w:t>
      </w:r>
      <w:r w:rsidR="00996F2C">
        <w:rPr>
          <w:rFonts w:ascii="Garamond" w:hAnsi="Garamond" w:cstheme="majorBidi"/>
        </w:rPr>
        <w:t>umë nga objektivat e përcaktuar</w:t>
      </w:r>
      <w:r w:rsidRPr="00770F9D">
        <w:rPr>
          <w:rFonts w:ascii="Garamond" w:hAnsi="Garamond" w:cstheme="majorBidi"/>
        </w:rPr>
        <w:t xml:space="preserve"> në programet e qeverisë shqiptare janë arritur gjatë 9 (nëntë) viteve të fundit</w:t>
      </w:r>
      <w:r w:rsidR="003B0A5A" w:rsidRPr="00770F9D">
        <w:rPr>
          <w:rFonts w:ascii="Garamond" w:hAnsi="Garamond" w:cstheme="majorBidi"/>
        </w:rPr>
        <w:t>,</w:t>
      </w:r>
      <w:r w:rsidRPr="00770F9D">
        <w:rPr>
          <w:rFonts w:ascii="Garamond" w:hAnsi="Garamond" w:cstheme="majorBidi"/>
        </w:rPr>
        <w:t xml:space="preserve"> duke</w:t>
      </w:r>
      <w:r w:rsidR="003B0A5A" w:rsidRPr="00770F9D">
        <w:rPr>
          <w:rFonts w:ascii="Garamond" w:hAnsi="Garamond" w:cstheme="majorBidi"/>
        </w:rPr>
        <w:t>:</w:t>
      </w:r>
      <w:r w:rsidRPr="00770F9D">
        <w:rPr>
          <w:rFonts w:ascii="Garamond" w:hAnsi="Garamond" w:cstheme="majorBidi"/>
        </w:rPr>
        <w:t xml:space="preserve"> i</w:t>
      </w:r>
      <w:r w:rsidR="003B0A5A" w:rsidRPr="00770F9D">
        <w:rPr>
          <w:rFonts w:ascii="Garamond" w:hAnsi="Garamond" w:cstheme="majorBidi"/>
        </w:rPr>
        <w:t>.</w:t>
      </w:r>
      <w:r w:rsidRPr="00770F9D">
        <w:rPr>
          <w:rFonts w:ascii="Garamond" w:hAnsi="Garamond" w:cstheme="majorBidi"/>
        </w:rPr>
        <w:t xml:space="preserve"> rritur fondet publike për shëndetësinë; ii</w:t>
      </w:r>
      <w:r w:rsidR="003B0A5A" w:rsidRPr="00770F9D">
        <w:rPr>
          <w:rFonts w:ascii="Garamond" w:hAnsi="Garamond" w:cstheme="majorBidi"/>
        </w:rPr>
        <w:t>.</w:t>
      </w:r>
      <w:r w:rsidRPr="00770F9D">
        <w:rPr>
          <w:rFonts w:ascii="Garamond" w:hAnsi="Garamond" w:cstheme="majorBidi"/>
        </w:rPr>
        <w:t xml:space="preserve"> përmirësuar kujdesin parësor; iii</w:t>
      </w:r>
      <w:r w:rsidR="003B0A5A" w:rsidRPr="00770F9D">
        <w:rPr>
          <w:rFonts w:ascii="Garamond" w:hAnsi="Garamond" w:cstheme="majorBidi"/>
        </w:rPr>
        <w:t>.</w:t>
      </w:r>
      <w:r w:rsidRPr="00770F9D">
        <w:rPr>
          <w:rFonts w:ascii="Garamond" w:hAnsi="Garamond" w:cstheme="majorBidi"/>
        </w:rPr>
        <w:t xml:space="preserve"> hartuar dhe zbatuar programe të parandalimit të sëmundjeve; iv</w:t>
      </w:r>
      <w:r w:rsidR="003B0A5A" w:rsidRPr="00770F9D">
        <w:rPr>
          <w:rFonts w:ascii="Garamond" w:hAnsi="Garamond" w:cstheme="majorBidi"/>
        </w:rPr>
        <w:t>.</w:t>
      </w:r>
      <w:r w:rsidRPr="00770F9D">
        <w:rPr>
          <w:rFonts w:ascii="Garamond" w:hAnsi="Garamond" w:cstheme="majorBidi"/>
        </w:rPr>
        <w:t xml:space="preserve"> zgjeruar aksesin në trajtim mjekësor; v</w:t>
      </w:r>
      <w:r w:rsidR="003B0A5A" w:rsidRPr="00770F9D">
        <w:rPr>
          <w:rFonts w:ascii="Garamond" w:hAnsi="Garamond" w:cstheme="majorBidi"/>
        </w:rPr>
        <w:t>.</w:t>
      </w:r>
      <w:r w:rsidRPr="00770F9D">
        <w:rPr>
          <w:rFonts w:ascii="Garamond" w:hAnsi="Garamond" w:cstheme="majorBidi"/>
        </w:rPr>
        <w:t xml:space="preserve"> përmirësuar infrastrukturën e objekteve të kujdesit shëndetësor parësor dhe spitaleve</w:t>
      </w:r>
      <w:r w:rsidR="003B0A5A" w:rsidRPr="00770F9D">
        <w:rPr>
          <w:rFonts w:ascii="Garamond" w:hAnsi="Garamond" w:cstheme="majorBidi"/>
        </w:rPr>
        <w:t>;</w:t>
      </w:r>
      <w:r w:rsidRPr="00770F9D">
        <w:rPr>
          <w:rFonts w:ascii="Garamond" w:hAnsi="Garamond" w:cstheme="majorBidi"/>
        </w:rPr>
        <w:t xml:space="preserve"> dhe vi</w:t>
      </w:r>
      <w:r w:rsidR="003B0A5A" w:rsidRPr="00770F9D">
        <w:rPr>
          <w:rFonts w:ascii="Garamond" w:hAnsi="Garamond" w:cstheme="majorBidi"/>
        </w:rPr>
        <w:t>.</w:t>
      </w:r>
      <w:r w:rsidRPr="00770F9D">
        <w:rPr>
          <w:rFonts w:ascii="Garamond" w:hAnsi="Garamond" w:cstheme="majorBidi"/>
        </w:rPr>
        <w:t xml:space="preserve"> zgjeruar nevojat e komunitetit për kujdesin shëndetësor, duke ofruar më shumë shërbime të aksesueshme dhe të përballueshme për qytetarët shqiptarë në nivel kombëtar.</w:t>
      </w:r>
    </w:p>
    <w:p w14:paraId="128277A5" w14:textId="77777777" w:rsidR="00F26BAE" w:rsidRPr="00770F9D" w:rsidRDefault="00F26BAE" w:rsidP="00400806">
      <w:pPr>
        <w:ind w:firstLine="284"/>
        <w:jc w:val="both"/>
        <w:rPr>
          <w:rFonts w:ascii="Garamond" w:hAnsi="Garamond" w:cstheme="majorBidi"/>
        </w:rPr>
      </w:pPr>
      <w:r w:rsidRPr="00770F9D">
        <w:rPr>
          <w:rFonts w:ascii="Garamond" w:hAnsi="Garamond" w:cstheme="majorBidi"/>
        </w:rPr>
        <w:t>Ka pasur një rritje progresive të buxhetit të dedikuar për shëndetësinë. Në vitin 2022 buxheti i dedikuar për shëndetësinë ishte 62.6 miliardë lekë (përfshirë kontributet shëndetësore në vlerën 15.7 miliardë lekë për vitin 2022) ose 9.4% e buxhetit të shtetit dhe 3.3% e PBB-së. Shpenzimet për shëndetësi për frymë janë rritur nga 12,295 lekë në vitin 2013 në 28,146 në vitin 2022 me një efekt të dyfishtë në më pak se 9 (nëntë) vjet.</w:t>
      </w:r>
    </w:p>
    <w:p w14:paraId="3234AFE9" w14:textId="10EA83E5" w:rsidR="00F26BAE" w:rsidRPr="00770F9D" w:rsidRDefault="00F26BAE" w:rsidP="00400806">
      <w:pPr>
        <w:ind w:firstLine="284"/>
        <w:jc w:val="both"/>
        <w:rPr>
          <w:rFonts w:ascii="Garamond" w:hAnsi="Garamond" w:cstheme="majorBidi"/>
        </w:rPr>
      </w:pPr>
      <w:r w:rsidRPr="00770F9D">
        <w:rPr>
          <w:rFonts w:ascii="Garamond" w:hAnsi="Garamond" w:cstheme="majorBidi"/>
        </w:rPr>
        <w:t>Kontributet shëndetësore në vitin 2022 arritën në 15.7 miliardë lekë dhe projeksioni për tre v</w:t>
      </w:r>
      <w:r w:rsidR="003B0A5A" w:rsidRPr="00770F9D">
        <w:rPr>
          <w:rFonts w:ascii="Garamond" w:hAnsi="Garamond" w:cstheme="majorBidi"/>
        </w:rPr>
        <w:t>jetët</w:t>
      </w:r>
      <w:r w:rsidRPr="00770F9D">
        <w:rPr>
          <w:rFonts w:ascii="Garamond" w:hAnsi="Garamond" w:cstheme="majorBidi"/>
        </w:rPr>
        <w:t xml:space="preserve"> e ardhsh</w:t>
      </w:r>
      <w:r w:rsidR="003B0A5A" w:rsidRPr="00770F9D">
        <w:rPr>
          <w:rFonts w:ascii="Garamond" w:hAnsi="Garamond" w:cstheme="majorBidi"/>
        </w:rPr>
        <w:t>ë</w:t>
      </w:r>
      <w:r w:rsidRPr="00770F9D">
        <w:rPr>
          <w:rFonts w:ascii="Garamond" w:hAnsi="Garamond" w:cstheme="majorBidi"/>
        </w:rPr>
        <w:t>m parashikon një rritje progresive vjetore të kontributeve shëndetësore mesatarisht me 8%. Projeksioni është që në vitin 2023 kontributet shëndetësore të jenë 17,077 miliardë lekë, në vitin 2024 do të jenë 16,875 miliardë lekë dhe në vitin 2025 kontributet shëndetësore do të jenë në masën 17,955 miliardë lekë ose një rritje prej 13,9% krahasuar me vitin 2022.</w:t>
      </w:r>
    </w:p>
    <w:p w14:paraId="2A4D559D" w14:textId="5EFCFA9B" w:rsidR="00F26BAE" w:rsidRPr="00770F9D" w:rsidRDefault="00F26BAE" w:rsidP="00400806">
      <w:pPr>
        <w:ind w:firstLine="284"/>
        <w:jc w:val="both"/>
        <w:rPr>
          <w:rFonts w:ascii="Garamond" w:hAnsi="Garamond" w:cstheme="majorBidi"/>
        </w:rPr>
      </w:pPr>
      <w:r w:rsidRPr="00770F9D">
        <w:rPr>
          <w:rFonts w:ascii="Garamond" w:hAnsi="Garamond" w:cstheme="majorBidi"/>
        </w:rPr>
        <w:t>Kujdesi shëndetësor në Shqipëri është tashmë në proces transformimi dhe modernizimi të vazhdueshëm. Objektivi ynë është të ofrojmë masa shëndetësore të barabarta, të aksesueshëm dhe të qëndrueshëm</w:t>
      </w:r>
      <w:r w:rsidR="00263132" w:rsidRPr="00770F9D">
        <w:rPr>
          <w:rFonts w:ascii="Garamond" w:hAnsi="Garamond" w:cstheme="majorBidi"/>
        </w:rPr>
        <w:t xml:space="preserve"> </w:t>
      </w:r>
      <w:r w:rsidRPr="00770F9D">
        <w:rPr>
          <w:rFonts w:ascii="Garamond" w:hAnsi="Garamond" w:cstheme="majorBidi"/>
        </w:rPr>
        <w:t>pavarësisht nga statusi social dhe ekonomik, mosha, duke filluar nga lindja e deri tek të moshuarit.</w:t>
      </w:r>
    </w:p>
    <w:p w14:paraId="73DA24F3" w14:textId="7B4919A0" w:rsidR="00F26BAE" w:rsidRPr="00770F9D" w:rsidRDefault="00F26BAE" w:rsidP="00400806">
      <w:pPr>
        <w:ind w:firstLine="284"/>
        <w:jc w:val="both"/>
        <w:rPr>
          <w:rFonts w:ascii="Garamond" w:hAnsi="Garamond" w:cstheme="majorBidi"/>
        </w:rPr>
      </w:pPr>
      <w:r w:rsidRPr="00770F9D">
        <w:rPr>
          <w:rFonts w:ascii="Garamond" w:hAnsi="Garamond" w:cstheme="majorBidi"/>
        </w:rPr>
        <w:t>Cilësia dhe efikasiteti i shërbimit është një tjetër komponent thelbësor i mbulimit shëndetësor universal, i cili vitet e fundit ka përfshirë nisma të reja dhe reforma gjithëpërfshirëse, si:</w:t>
      </w:r>
    </w:p>
    <w:p w14:paraId="3EC95DA0" w14:textId="2AD9D13F" w:rsidR="009D37E3" w:rsidRPr="00770F9D" w:rsidRDefault="009D37E3" w:rsidP="00400806">
      <w:pPr>
        <w:ind w:firstLine="284"/>
        <w:jc w:val="both"/>
        <w:rPr>
          <w:rFonts w:ascii="Garamond" w:hAnsi="Garamond" w:cs="Garamond"/>
        </w:rPr>
      </w:pPr>
      <w:r w:rsidRPr="00770F9D">
        <w:rPr>
          <w:rFonts w:ascii="Garamond" w:hAnsi="Garamond"/>
        </w:rPr>
        <w:t>-</w:t>
      </w:r>
      <w:r w:rsidR="00BA4F1A" w:rsidRPr="00770F9D">
        <w:rPr>
          <w:rFonts w:ascii="Garamond" w:hAnsi="Garamond"/>
        </w:rPr>
        <w:t xml:space="preserve"> </w:t>
      </w:r>
      <w:r w:rsidRPr="00770F9D">
        <w:rPr>
          <w:rFonts w:ascii="Garamond" w:hAnsi="Garamond" w:cs="Garamond"/>
        </w:rPr>
        <w:t>Përshtatja e standardeve të cilësisë dhe protokolleve mjekësore në të gjithë kujdesin parësor shëndetësor – Në korrik të këtij viti Ministria e Shëndetësisë dhe Mbrojtjes Sociale miratoi statutin e ri të kujdesit parësor shëndetësor ku një nga modelet e reja që u përfshinë përveç rritjes së objekteve të kujdesit parësor shëndetësor 24 orë ishte ai i integruar. model i ofrimit të kujdesit shëndetësor dhe social me fokus kryesisht fëmijët, të moshuarit, personat me aftësi të kufizuara, shëndetin mendor dhe të gjitha komunitetet e cenueshme</w:t>
      </w:r>
      <w:r w:rsidR="00477AC8" w:rsidRPr="00770F9D">
        <w:rPr>
          <w:rFonts w:ascii="Garamond" w:hAnsi="Garamond" w:cs="Garamond"/>
        </w:rPr>
        <w:t>;</w:t>
      </w:r>
    </w:p>
    <w:p w14:paraId="4E199612" w14:textId="013D15DD" w:rsidR="009D37E3" w:rsidRPr="00770F9D" w:rsidRDefault="009D37E3" w:rsidP="00400806">
      <w:pPr>
        <w:ind w:firstLine="284"/>
        <w:jc w:val="both"/>
        <w:rPr>
          <w:rFonts w:ascii="Garamond" w:hAnsi="Garamond" w:cs="Garamond"/>
        </w:rPr>
      </w:pPr>
      <w:r w:rsidRPr="00770F9D">
        <w:rPr>
          <w:rFonts w:ascii="Garamond" w:hAnsi="Garamond"/>
        </w:rPr>
        <w:t>-</w:t>
      </w:r>
      <w:r w:rsidR="00BA4F1A" w:rsidRPr="00770F9D">
        <w:rPr>
          <w:rFonts w:ascii="Garamond" w:hAnsi="Garamond"/>
        </w:rPr>
        <w:t xml:space="preserve"> </w:t>
      </w:r>
      <w:r w:rsidRPr="00770F9D">
        <w:rPr>
          <w:rFonts w:ascii="Garamond" w:hAnsi="Garamond" w:cs="Garamond"/>
        </w:rPr>
        <w:t>Investime në pajisje biomjekësore, përmirësim të shërbimeve, rikonstruksion në nivel parësor dhe spitalor</w:t>
      </w:r>
      <w:r w:rsidR="00477AC8" w:rsidRPr="00770F9D">
        <w:rPr>
          <w:rFonts w:ascii="Garamond" w:hAnsi="Garamond" w:cs="Garamond"/>
        </w:rPr>
        <w:t>;</w:t>
      </w:r>
    </w:p>
    <w:p w14:paraId="469F0D4D" w14:textId="027CA957" w:rsidR="009D37E3" w:rsidRPr="00770F9D" w:rsidRDefault="009D37E3" w:rsidP="00400806">
      <w:pPr>
        <w:ind w:firstLine="284"/>
        <w:jc w:val="both"/>
        <w:rPr>
          <w:rFonts w:ascii="Garamond" w:hAnsi="Garamond" w:cs="Garamond"/>
        </w:rPr>
      </w:pPr>
      <w:r w:rsidRPr="00770F9D">
        <w:rPr>
          <w:rFonts w:ascii="Garamond" w:hAnsi="Garamond"/>
        </w:rPr>
        <w:t>-</w:t>
      </w:r>
      <w:r w:rsidR="00BA4F1A" w:rsidRPr="00770F9D">
        <w:rPr>
          <w:rFonts w:ascii="Garamond" w:hAnsi="Garamond"/>
        </w:rPr>
        <w:t xml:space="preserve"> </w:t>
      </w:r>
      <w:r w:rsidRPr="00770F9D">
        <w:rPr>
          <w:rFonts w:ascii="Garamond" w:hAnsi="Garamond" w:cs="Garamond"/>
        </w:rPr>
        <w:t xml:space="preserve">Ngritja e një sistemi kombëtar të kompjuterizuar </w:t>
      </w:r>
      <w:r w:rsidR="002354C4" w:rsidRPr="00770F9D">
        <w:rPr>
          <w:rFonts w:ascii="Garamond" w:hAnsi="Garamond" w:cs="Garamond"/>
        </w:rPr>
        <w:t>për sa</w:t>
      </w:r>
      <w:r w:rsidRPr="00770F9D">
        <w:rPr>
          <w:rFonts w:ascii="Garamond" w:hAnsi="Garamond" w:cs="Garamond"/>
        </w:rPr>
        <w:t xml:space="preserve"> i përket sistemit të referimit, planifikimit, vizitave dhe ekzaminimeve nga mjeku i familjes te mjeku i specializuar, recetës elektronike, nënshkrimit elektronik dhe sistemit të informacionit shëndetësor në nivel spitalor</w:t>
      </w:r>
      <w:r w:rsidR="00477AC8" w:rsidRPr="00770F9D">
        <w:rPr>
          <w:rFonts w:ascii="Garamond" w:hAnsi="Garamond" w:cs="Garamond"/>
        </w:rPr>
        <w:t>;</w:t>
      </w:r>
    </w:p>
    <w:p w14:paraId="5ECE17DD" w14:textId="219482BF" w:rsidR="009D37E3" w:rsidRPr="00770F9D" w:rsidRDefault="009D37E3" w:rsidP="00400806">
      <w:pPr>
        <w:ind w:firstLine="284"/>
        <w:jc w:val="both"/>
        <w:rPr>
          <w:rFonts w:ascii="Garamond" w:hAnsi="Garamond" w:cs="Garamond"/>
        </w:rPr>
      </w:pPr>
      <w:r w:rsidRPr="00770F9D">
        <w:rPr>
          <w:rFonts w:ascii="Garamond" w:hAnsi="Garamond"/>
        </w:rPr>
        <w:t>-</w:t>
      </w:r>
      <w:r w:rsidR="00BA4F1A" w:rsidRPr="00770F9D">
        <w:rPr>
          <w:rFonts w:ascii="Garamond" w:hAnsi="Garamond"/>
        </w:rPr>
        <w:t xml:space="preserve"> </w:t>
      </w:r>
      <w:r w:rsidRPr="00770F9D">
        <w:rPr>
          <w:rFonts w:ascii="Garamond" w:hAnsi="Garamond" w:cs="Garamond"/>
        </w:rPr>
        <w:t>Programet e depistimit: Programi Kombëtar i Kontrollit Shëndetësor (2015); Programi Kombëtar i Ekzaminimit të Kancerit të Gjirit (2018); Programi Kombëtar i Depistimit të Kancerit të Qafës së Mitrës (2019); Programi Kombëtar i Depistimit të Shikimit për Fëmijët nga 0–14 vjeç (2022); Programi Kombëtar i Depistimit Dentar për fëmijët 6–14 vjeç (2022)</w:t>
      </w:r>
      <w:r w:rsidR="00477AC8" w:rsidRPr="00770F9D">
        <w:rPr>
          <w:rFonts w:ascii="Garamond" w:hAnsi="Garamond" w:cs="Garamond"/>
        </w:rPr>
        <w:t>;</w:t>
      </w:r>
    </w:p>
    <w:p w14:paraId="237671C6" w14:textId="1CBB4BE2" w:rsidR="009D37E3" w:rsidRPr="00770F9D" w:rsidRDefault="009D37E3" w:rsidP="00400806">
      <w:pPr>
        <w:ind w:firstLine="284"/>
        <w:jc w:val="both"/>
        <w:rPr>
          <w:rFonts w:ascii="Garamond" w:hAnsi="Garamond" w:cs="Garamond"/>
        </w:rPr>
      </w:pPr>
      <w:r w:rsidRPr="00770F9D">
        <w:rPr>
          <w:rFonts w:ascii="Garamond" w:hAnsi="Garamond"/>
        </w:rPr>
        <w:t>-</w:t>
      </w:r>
      <w:r w:rsidR="00BA4F1A" w:rsidRPr="00770F9D">
        <w:rPr>
          <w:rFonts w:ascii="Garamond" w:hAnsi="Garamond"/>
        </w:rPr>
        <w:t xml:space="preserve"> </w:t>
      </w:r>
      <w:r w:rsidRPr="00770F9D">
        <w:rPr>
          <w:rFonts w:ascii="Garamond" w:hAnsi="Garamond" w:cs="Garamond"/>
        </w:rPr>
        <w:t>Përmirësimi i vazhdueshëm i Programit të Vaksinimit dhe Imunizimit – në vitin 2019 u përfshi në program edhe vaksina e Rotavirusit, duke e çuar numrin e vaksinave falas për fëmijët 0–18 vjeç në 12 vaksina gjithsej. Vaksinimi i vazhdueshëm i popullatës shqiptare me vaksinën e gripit dhe vaksinës COVID-19, përfshirë variantet e reja të COVID-19. Që nga fillimi i procesit të vaksinimit në Shqipëri janë administruar 70% të dozave të vaksinave të marra. Në total, numri i dozave të vaksinave të aplikuara është 3,004,222 deri më datën 27.11.2022. Që nga fillimi i procesit të vaksinimit, mbulimi vaksinal në popullatën e synuar +16 vjeç është</w:t>
      </w:r>
      <w:r w:rsidR="00477AC8" w:rsidRPr="00770F9D">
        <w:rPr>
          <w:rFonts w:ascii="Garamond" w:hAnsi="Garamond" w:cs="Garamond"/>
        </w:rPr>
        <w:t>,</w:t>
      </w:r>
      <w:r w:rsidRPr="00770F9D">
        <w:rPr>
          <w:rFonts w:ascii="Garamond" w:hAnsi="Garamond" w:cs="Garamond"/>
        </w:rPr>
        <w:t xml:space="preserve"> si më poshtë:</w:t>
      </w:r>
    </w:p>
    <w:p w14:paraId="11F76F68" w14:textId="56B2A06D" w:rsidR="009D37E3" w:rsidRPr="00770F9D" w:rsidRDefault="009D37E3" w:rsidP="00400806">
      <w:pPr>
        <w:ind w:firstLine="284"/>
        <w:jc w:val="both"/>
        <w:rPr>
          <w:rFonts w:ascii="Garamond" w:hAnsi="Garamond" w:cs="Garamond"/>
        </w:rPr>
      </w:pPr>
      <w:r w:rsidRPr="00770F9D">
        <w:rPr>
          <w:rFonts w:ascii="Garamond" w:hAnsi="Garamond" w:cs="Garamond"/>
        </w:rPr>
        <w:t>a</w:t>
      </w:r>
      <w:r w:rsidR="00477AC8" w:rsidRPr="00770F9D">
        <w:rPr>
          <w:rFonts w:ascii="Garamond" w:hAnsi="Garamond" w:cs="Garamond"/>
        </w:rPr>
        <w:t>)</w:t>
      </w:r>
      <w:r w:rsidR="00BA4F1A" w:rsidRPr="00770F9D">
        <w:rPr>
          <w:rFonts w:ascii="Garamond" w:hAnsi="Garamond" w:cs="Garamond"/>
        </w:rPr>
        <w:t xml:space="preserve"> </w:t>
      </w:r>
      <w:r w:rsidRPr="00770F9D">
        <w:rPr>
          <w:rFonts w:ascii="Garamond" w:hAnsi="Garamond" w:cs="Garamond"/>
        </w:rPr>
        <w:t>60.8% mbulim vaksinimi me një dozë për popullatën e synuar</w:t>
      </w:r>
      <w:r w:rsidR="00477AC8" w:rsidRPr="00770F9D">
        <w:rPr>
          <w:rFonts w:ascii="Garamond" w:hAnsi="Garamond" w:cs="Garamond"/>
        </w:rPr>
        <w:t>;</w:t>
      </w:r>
    </w:p>
    <w:p w14:paraId="5C799E47" w14:textId="1FD1622B" w:rsidR="009D37E3" w:rsidRPr="00770F9D" w:rsidRDefault="009D37E3" w:rsidP="00400806">
      <w:pPr>
        <w:ind w:firstLine="284"/>
        <w:jc w:val="both"/>
        <w:rPr>
          <w:rFonts w:ascii="Garamond" w:hAnsi="Garamond" w:cs="Garamond"/>
        </w:rPr>
      </w:pPr>
      <w:r w:rsidRPr="00770F9D">
        <w:rPr>
          <w:rFonts w:ascii="Garamond" w:hAnsi="Garamond" w:cs="Garamond"/>
        </w:rPr>
        <w:t>b</w:t>
      </w:r>
      <w:r w:rsidR="00477AC8" w:rsidRPr="00770F9D">
        <w:rPr>
          <w:rFonts w:ascii="Garamond" w:hAnsi="Garamond" w:cs="Garamond"/>
        </w:rPr>
        <w:t>)</w:t>
      </w:r>
      <w:r w:rsidR="00BA4F1A" w:rsidRPr="00770F9D">
        <w:rPr>
          <w:rFonts w:ascii="Garamond" w:hAnsi="Garamond" w:cs="Garamond"/>
        </w:rPr>
        <w:t xml:space="preserve"> </w:t>
      </w:r>
      <w:r w:rsidRPr="00770F9D">
        <w:rPr>
          <w:rFonts w:ascii="Garamond" w:hAnsi="Garamond" w:cs="Garamond"/>
        </w:rPr>
        <w:t>56.9% mbulim vaksinimi me dy doza për popullatën e synuar</w:t>
      </w:r>
      <w:r w:rsidR="00477AC8" w:rsidRPr="00770F9D">
        <w:rPr>
          <w:rFonts w:ascii="Garamond" w:hAnsi="Garamond" w:cs="Garamond"/>
        </w:rPr>
        <w:t>;</w:t>
      </w:r>
      <w:r w:rsidR="00263132" w:rsidRPr="00770F9D">
        <w:rPr>
          <w:rFonts w:ascii="Garamond" w:hAnsi="Garamond" w:cs="Garamond"/>
        </w:rPr>
        <w:t xml:space="preserve"> </w:t>
      </w:r>
    </w:p>
    <w:p w14:paraId="40B9FE28" w14:textId="40146ACA" w:rsidR="009D37E3" w:rsidRPr="00770F9D" w:rsidRDefault="009D37E3" w:rsidP="00EB64CA">
      <w:pPr>
        <w:ind w:firstLine="284"/>
        <w:jc w:val="both"/>
        <w:rPr>
          <w:rFonts w:ascii="Garamond" w:hAnsi="Garamond" w:cs="Garamond"/>
        </w:rPr>
      </w:pPr>
      <w:r w:rsidRPr="00770F9D">
        <w:rPr>
          <w:rFonts w:ascii="Garamond" w:hAnsi="Garamond" w:cs="Garamond"/>
        </w:rPr>
        <w:t>c</w:t>
      </w:r>
      <w:r w:rsidR="00477AC8" w:rsidRPr="00770F9D">
        <w:rPr>
          <w:rFonts w:ascii="Garamond" w:hAnsi="Garamond" w:cs="Garamond"/>
        </w:rPr>
        <w:t>)</w:t>
      </w:r>
      <w:r w:rsidR="00BA4F1A" w:rsidRPr="00770F9D">
        <w:rPr>
          <w:rFonts w:ascii="Garamond" w:hAnsi="Garamond" w:cs="Garamond"/>
        </w:rPr>
        <w:t xml:space="preserve"> </w:t>
      </w:r>
      <w:r w:rsidRPr="00770F9D">
        <w:rPr>
          <w:rFonts w:ascii="Garamond" w:hAnsi="Garamond" w:cs="Garamond"/>
        </w:rPr>
        <w:t>16.4% mbulimi i vaksinimit me tr</w:t>
      </w:r>
      <w:r w:rsidR="00EB64CA">
        <w:rPr>
          <w:rFonts w:ascii="Garamond" w:hAnsi="Garamond" w:cs="Garamond"/>
        </w:rPr>
        <w:t>i</w:t>
      </w:r>
      <w:r w:rsidRPr="00770F9D">
        <w:rPr>
          <w:rFonts w:ascii="Garamond" w:hAnsi="Garamond" w:cs="Garamond"/>
        </w:rPr>
        <w:t xml:space="preserve"> doza për popullatën e synuar</w:t>
      </w:r>
      <w:r w:rsidR="00477AC8" w:rsidRPr="00770F9D">
        <w:rPr>
          <w:rFonts w:ascii="Garamond" w:hAnsi="Garamond" w:cs="Garamond"/>
        </w:rPr>
        <w:t>;</w:t>
      </w:r>
    </w:p>
    <w:p w14:paraId="3A5821BE" w14:textId="43340A85" w:rsidR="009D37E3" w:rsidRPr="00770F9D" w:rsidRDefault="009D37E3" w:rsidP="00400806">
      <w:pPr>
        <w:ind w:firstLine="284"/>
        <w:jc w:val="both"/>
        <w:rPr>
          <w:rFonts w:ascii="Garamond" w:hAnsi="Garamond" w:cs="Garamond"/>
        </w:rPr>
      </w:pPr>
      <w:r w:rsidRPr="00F52E05">
        <w:rPr>
          <w:rFonts w:ascii="Garamond" w:hAnsi="Garamond" w:cs="Garamond"/>
        </w:rPr>
        <w:t>d</w:t>
      </w:r>
      <w:r w:rsidR="00477AC8" w:rsidRPr="00F52E05">
        <w:rPr>
          <w:rFonts w:ascii="Garamond" w:hAnsi="Garamond" w:cs="Garamond"/>
        </w:rPr>
        <w:t>)</w:t>
      </w:r>
      <w:r w:rsidR="00BA4F1A" w:rsidRPr="00F52E05">
        <w:rPr>
          <w:rFonts w:ascii="Garamond" w:hAnsi="Garamond" w:cs="Garamond"/>
        </w:rPr>
        <w:t xml:space="preserve"> </w:t>
      </w:r>
      <w:r w:rsidRPr="00F52E05">
        <w:rPr>
          <w:rFonts w:ascii="Garamond" w:hAnsi="Garamond" w:cs="Garamond"/>
        </w:rPr>
        <w:t>1.</w:t>
      </w:r>
      <w:r w:rsidRPr="00770F9D">
        <w:rPr>
          <w:rFonts w:ascii="Garamond" w:hAnsi="Garamond" w:cs="Garamond"/>
        </w:rPr>
        <w:t>5% mbulimi i vaksinimit me katër doza për popullatën e synuar</w:t>
      </w:r>
      <w:r w:rsidR="00477AC8" w:rsidRPr="00770F9D">
        <w:rPr>
          <w:rFonts w:ascii="Garamond" w:hAnsi="Garamond" w:cs="Garamond"/>
        </w:rPr>
        <w:t>.</w:t>
      </w:r>
    </w:p>
    <w:p w14:paraId="62134E5D" w14:textId="21F3C8F7" w:rsidR="009D37E3" w:rsidRPr="00770F9D" w:rsidRDefault="009D37E3" w:rsidP="00400806">
      <w:pPr>
        <w:pStyle w:val="ListParagraph"/>
        <w:ind w:left="0" w:firstLine="284"/>
        <w:jc w:val="both"/>
        <w:rPr>
          <w:rFonts w:ascii="Garamond" w:hAnsi="Garamond" w:cs="Garamond"/>
          <w:color w:val="0D0D0D"/>
          <w:sz w:val="24"/>
          <w:szCs w:val="24"/>
          <w:lang w:val="sq-AL"/>
        </w:rPr>
      </w:pPr>
      <w:r w:rsidRPr="00770F9D">
        <w:rPr>
          <w:rFonts w:ascii="Garamond" w:hAnsi="Garamond"/>
          <w:sz w:val="24"/>
          <w:szCs w:val="24"/>
          <w:lang w:val="sq-AL"/>
        </w:rPr>
        <w:t>-</w:t>
      </w:r>
      <w:r w:rsidR="00BA4F1A" w:rsidRPr="00770F9D">
        <w:rPr>
          <w:rFonts w:ascii="Garamond" w:hAnsi="Garamond"/>
          <w:sz w:val="24"/>
          <w:szCs w:val="24"/>
          <w:lang w:val="sq-AL"/>
        </w:rPr>
        <w:t xml:space="preserve"> </w:t>
      </w:r>
      <w:r w:rsidRPr="00770F9D">
        <w:rPr>
          <w:rFonts w:ascii="Garamond" w:hAnsi="Garamond" w:cs="Garamond"/>
          <w:sz w:val="24"/>
          <w:szCs w:val="24"/>
          <w:lang w:val="sq-AL"/>
        </w:rPr>
        <w:t>Më e rëndësishmja në vitin 2023 Ministria e Shëndetësisë dhe Mbrojtjes Sociale do të nisë vaksinimin e vajzave me vaksinën HPV</w:t>
      </w:r>
      <w:r w:rsidRPr="00770F9D">
        <w:rPr>
          <w:rFonts w:ascii="Garamond" w:hAnsi="Garamond" w:cs="Garamond"/>
          <w:color w:val="0D0D0D"/>
          <w:sz w:val="24"/>
          <w:szCs w:val="24"/>
          <w:lang w:val="sq-AL"/>
        </w:rPr>
        <w:t>.</w:t>
      </w:r>
    </w:p>
    <w:p w14:paraId="62572494" w14:textId="166EED21" w:rsidR="009D37E3" w:rsidRPr="00770F9D" w:rsidRDefault="009D37E3" w:rsidP="000F6F7A">
      <w:pPr>
        <w:pStyle w:val="ListParagraph"/>
        <w:ind w:left="0" w:firstLine="284"/>
        <w:jc w:val="both"/>
        <w:rPr>
          <w:rFonts w:ascii="Garamond" w:hAnsi="Garamond" w:cs="Garamond"/>
          <w:b/>
          <w:bCs/>
          <w:color w:val="0D0D0D"/>
          <w:sz w:val="24"/>
          <w:szCs w:val="24"/>
          <w:lang w:val="sq-AL"/>
        </w:rPr>
      </w:pPr>
      <w:r w:rsidRPr="00770F9D">
        <w:rPr>
          <w:rFonts w:ascii="Garamond" w:hAnsi="Garamond" w:cs="Garamond"/>
          <w:b/>
          <w:bCs/>
          <w:color w:val="0D0D0D"/>
          <w:sz w:val="24"/>
          <w:szCs w:val="24"/>
          <w:lang w:val="sq-AL"/>
        </w:rPr>
        <w:t>a</w:t>
      </w:r>
      <w:r w:rsidR="001F2D41" w:rsidRPr="00770F9D">
        <w:rPr>
          <w:rFonts w:ascii="Garamond" w:hAnsi="Garamond" w:cs="Garamond"/>
          <w:b/>
          <w:bCs/>
          <w:color w:val="0D0D0D"/>
          <w:sz w:val="24"/>
          <w:szCs w:val="24"/>
          <w:lang w:val="sq-AL"/>
        </w:rPr>
        <w:t>)</w:t>
      </w:r>
      <w:r w:rsidR="00BA4F1A" w:rsidRPr="00770F9D">
        <w:rPr>
          <w:rFonts w:ascii="Garamond" w:hAnsi="Garamond" w:cs="Garamond"/>
          <w:b/>
          <w:bCs/>
          <w:color w:val="0D0D0D"/>
          <w:sz w:val="24"/>
          <w:szCs w:val="24"/>
          <w:lang w:val="sq-AL"/>
        </w:rPr>
        <w:t xml:space="preserve"> </w:t>
      </w:r>
      <w:r w:rsidRPr="00770F9D">
        <w:rPr>
          <w:rFonts w:ascii="Garamond" w:hAnsi="Garamond" w:cs="Garamond"/>
          <w:b/>
          <w:bCs/>
          <w:color w:val="0D0D0D"/>
          <w:sz w:val="24"/>
          <w:szCs w:val="24"/>
          <w:lang w:val="sq-AL"/>
        </w:rPr>
        <w:t xml:space="preserve">Aktivitete të planifikuara </w:t>
      </w:r>
      <w:r w:rsidR="000F6F7A">
        <w:rPr>
          <w:rFonts w:ascii="Garamond" w:hAnsi="Garamond" w:cs="Garamond"/>
          <w:b/>
          <w:bCs/>
          <w:color w:val="0D0D0D"/>
          <w:sz w:val="24"/>
          <w:szCs w:val="24"/>
          <w:lang w:val="sq-AL"/>
        </w:rPr>
        <w:t>m</w:t>
      </w:r>
      <w:r w:rsidRPr="00770F9D">
        <w:rPr>
          <w:rFonts w:ascii="Garamond" w:hAnsi="Garamond" w:cs="Garamond"/>
          <w:b/>
          <w:bCs/>
          <w:color w:val="0D0D0D"/>
          <w:sz w:val="24"/>
          <w:szCs w:val="24"/>
          <w:lang w:val="sq-AL"/>
        </w:rPr>
        <w:t>ë 2023</w:t>
      </w:r>
      <w:r w:rsidR="001F2D41" w:rsidRPr="00770F9D">
        <w:rPr>
          <w:rFonts w:ascii="Garamond" w:hAnsi="Garamond" w:cs="Garamond"/>
          <w:b/>
          <w:bCs/>
          <w:color w:val="0D0D0D"/>
          <w:sz w:val="24"/>
          <w:szCs w:val="24"/>
          <w:lang w:val="sq-AL"/>
        </w:rPr>
        <w:t>-shin</w:t>
      </w:r>
    </w:p>
    <w:p w14:paraId="44232EDC" w14:textId="413EFD58" w:rsidR="009D37E3" w:rsidRPr="00770F9D" w:rsidRDefault="009D37E3" w:rsidP="00400806">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a</w:t>
      </w:r>
      <w:r w:rsidR="001F2D41"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Financimi i shërbimeve të kujdesit shëndetësor (në të tr</w:t>
      </w:r>
      <w:r w:rsidR="00ED2B35" w:rsidRPr="00770F9D">
        <w:rPr>
          <w:rFonts w:ascii="Garamond" w:hAnsi="Garamond" w:cs="Garamond"/>
          <w:color w:val="0D0D0D"/>
          <w:sz w:val="24"/>
          <w:szCs w:val="24"/>
          <w:lang w:val="sq-AL"/>
        </w:rPr>
        <w:t>i</w:t>
      </w:r>
      <w:r w:rsidRPr="00770F9D">
        <w:rPr>
          <w:rFonts w:ascii="Garamond" w:hAnsi="Garamond" w:cs="Garamond"/>
          <w:color w:val="0D0D0D"/>
          <w:sz w:val="24"/>
          <w:szCs w:val="24"/>
          <w:lang w:val="sq-AL"/>
        </w:rPr>
        <w:t xml:space="preserve"> nivelet e sistemit shëndetësor parësor, sekondar dhe terciar</w:t>
      </w:r>
      <w:r w:rsidR="00ED2B35" w:rsidRPr="00770F9D">
        <w:rPr>
          <w:rFonts w:ascii="Garamond" w:hAnsi="Garamond" w:cs="Garamond"/>
          <w:color w:val="0D0D0D"/>
          <w:sz w:val="24"/>
          <w:szCs w:val="24"/>
          <w:lang w:val="sq-AL"/>
        </w:rPr>
        <w:t>;</w:t>
      </w:r>
    </w:p>
    <w:p w14:paraId="14C999BF" w14:textId="2A36999A" w:rsidR="009D37E3" w:rsidRPr="00770F9D" w:rsidRDefault="009D37E3" w:rsidP="00400806">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b</w:t>
      </w:r>
      <w:r w:rsidR="001F2D41"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Rritja e kosto</w:t>
      </w:r>
      <w:r w:rsidR="00ED2B35" w:rsidRPr="00770F9D">
        <w:rPr>
          <w:rFonts w:ascii="Garamond" w:hAnsi="Garamond" w:cs="Garamond"/>
          <w:color w:val="0D0D0D"/>
          <w:sz w:val="24"/>
          <w:szCs w:val="24"/>
          <w:lang w:val="sq-AL"/>
        </w:rPr>
        <w:t>-</w:t>
      </w:r>
      <w:r w:rsidRPr="00770F9D">
        <w:rPr>
          <w:rFonts w:ascii="Garamond" w:hAnsi="Garamond" w:cs="Garamond"/>
          <w:color w:val="0D0D0D"/>
          <w:sz w:val="24"/>
          <w:szCs w:val="24"/>
          <w:lang w:val="sq-AL"/>
        </w:rPr>
        <w:t>efikasitetit të listës së barnave të rimbursimit</w:t>
      </w:r>
      <w:r w:rsidR="00ED2B35" w:rsidRPr="00770F9D">
        <w:rPr>
          <w:rFonts w:ascii="Garamond" w:hAnsi="Garamond" w:cs="Garamond"/>
          <w:color w:val="0D0D0D"/>
          <w:sz w:val="24"/>
          <w:szCs w:val="24"/>
          <w:lang w:val="sq-AL"/>
        </w:rPr>
        <w:t>;</w:t>
      </w:r>
    </w:p>
    <w:p w14:paraId="151BF67A" w14:textId="266C82F0" w:rsidR="009D37E3" w:rsidRPr="00770F9D" w:rsidRDefault="009D37E3" w:rsidP="00400806">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c</w:t>
      </w:r>
      <w:r w:rsidR="001F2D41"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Miratimi i legjislacionit kombëtar të rishikuar për barnat dhe shërbimet farmaceutike</w:t>
      </w:r>
      <w:r w:rsidR="00EC7775" w:rsidRPr="00770F9D">
        <w:rPr>
          <w:rFonts w:ascii="Garamond" w:hAnsi="Garamond" w:cs="Garamond"/>
          <w:color w:val="0D0D0D"/>
          <w:sz w:val="24"/>
          <w:szCs w:val="24"/>
          <w:lang w:val="sq-AL"/>
        </w:rPr>
        <w:t>;</w:t>
      </w:r>
    </w:p>
    <w:p w14:paraId="6CCB61BC" w14:textId="20B5EF6E" w:rsidR="009D37E3" w:rsidRPr="00770F9D" w:rsidRDefault="009D37E3" w:rsidP="00400806">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d</w:t>
      </w:r>
      <w:r w:rsidR="001F2D41"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Miratimi i legjislacionit kombëtar të rishikuar për drogat narkotike dhe substancat psikotrope</w:t>
      </w:r>
      <w:r w:rsidR="00EC7775" w:rsidRPr="00770F9D">
        <w:rPr>
          <w:rFonts w:ascii="Garamond" w:hAnsi="Garamond" w:cs="Garamond"/>
          <w:color w:val="0D0D0D"/>
          <w:sz w:val="24"/>
          <w:szCs w:val="24"/>
          <w:lang w:val="sq-AL"/>
        </w:rPr>
        <w:t>;</w:t>
      </w:r>
    </w:p>
    <w:p w14:paraId="51716B12" w14:textId="1F97DF57" w:rsidR="009D37E3" w:rsidRPr="00770F9D" w:rsidRDefault="009D37E3" w:rsidP="00400806">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e</w:t>
      </w:r>
      <w:r w:rsidR="001F2D41"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Vazhdimi i financimit të 12 paketave të kujdesit shëndetësor të ofruara në spitalet publike dhe private dhe rritja e numrit të përfituesve me 5% në baza vjetore</w:t>
      </w:r>
      <w:r w:rsidR="00EC7775" w:rsidRPr="00770F9D">
        <w:rPr>
          <w:rFonts w:ascii="Garamond" w:hAnsi="Garamond" w:cs="Garamond"/>
          <w:color w:val="0D0D0D"/>
          <w:sz w:val="24"/>
          <w:szCs w:val="24"/>
          <w:lang w:val="sq-AL"/>
        </w:rPr>
        <w:t>;</w:t>
      </w:r>
    </w:p>
    <w:p w14:paraId="07258276" w14:textId="14083AED" w:rsidR="009D37E3" w:rsidRPr="00770F9D" w:rsidRDefault="009D37E3" w:rsidP="00400806">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f</w:t>
      </w:r>
      <w:r w:rsidR="001F2D41"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Vazhdimi i financimit të programeve të depistimit parandalues dhe rritja deri në 10% e numrit të përfituesve</w:t>
      </w:r>
      <w:r w:rsidR="00EC7775" w:rsidRPr="00770F9D">
        <w:rPr>
          <w:rFonts w:ascii="Garamond" w:hAnsi="Garamond" w:cs="Garamond"/>
          <w:color w:val="0D0D0D"/>
          <w:sz w:val="24"/>
          <w:szCs w:val="24"/>
          <w:lang w:val="sq-AL"/>
        </w:rPr>
        <w:t>;</w:t>
      </w:r>
    </w:p>
    <w:p w14:paraId="450A9214" w14:textId="60510482" w:rsidR="009D37E3" w:rsidRPr="00770F9D" w:rsidRDefault="009D37E3" w:rsidP="00400806">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g</w:t>
      </w:r>
      <w:r w:rsidR="001F2D41"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Zhvillimi dhe miratimi i mekanizmave ligjorë për politikat e dedikuara për profesionistët e kujdesit shëndetësor</w:t>
      </w:r>
      <w:r w:rsidR="00EC7775" w:rsidRPr="00770F9D">
        <w:rPr>
          <w:rFonts w:ascii="Garamond" w:hAnsi="Garamond" w:cs="Garamond"/>
          <w:color w:val="0D0D0D"/>
          <w:sz w:val="24"/>
          <w:szCs w:val="24"/>
          <w:lang w:val="sq-AL"/>
        </w:rPr>
        <w:t>,</w:t>
      </w:r>
      <w:r w:rsidRPr="00770F9D">
        <w:rPr>
          <w:rFonts w:ascii="Garamond" w:hAnsi="Garamond" w:cs="Garamond"/>
          <w:color w:val="0D0D0D"/>
          <w:sz w:val="24"/>
          <w:szCs w:val="24"/>
          <w:lang w:val="sq-AL"/>
        </w:rPr>
        <w:t xml:space="preserve"> i cili parashikon praktikën e dyfishtë dhe klasifikimin e pagave sipas treguesve të performancës</w:t>
      </w:r>
      <w:r w:rsidR="00EC7775" w:rsidRPr="00770F9D">
        <w:rPr>
          <w:rFonts w:ascii="Garamond" w:hAnsi="Garamond" w:cs="Garamond"/>
          <w:color w:val="0D0D0D"/>
          <w:sz w:val="24"/>
          <w:szCs w:val="24"/>
          <w:lang w:val="sq-AL"/>
        </w:rPr>
        <w:t>;</w:t>
      </w:r>
    </w:p>
    <w:p w14:paraId="4192DF5C" w14:textId="5FEA4F1E" w:rsidR="009D37E3" w:rsidRPr="00770F9D" w:rsidRDefault="009D37E3" w:rsidP="00400806">
      <w:pPr>
        <w:pStyle w:val="ListParagraph"/>
        <w:ind w:left="0" w:firstLine="284"/>
        <w:jc w:val="both"/>
        <w:rPr>
          <w:rFonts w:ascii="Garamond" w:hAnsi="Garamond" w:cs="Garamond"/>
          <w:b/>
          <w:bCs/>
          <w:color w:val="0D0D0D"/>
          <w:sz w:val="24"/>
          <w:szCs w:val="24"/>
          <w:lang w:val="sq-AL"/>
        </w:rPr>
      </w:pPr>
      <w:r w:rsidRPr="00770F9D">
        <w:rPr>
          <w:rFonts w:ascii="Garamond" w:hAnsi="Garamond" w:cs="Garamond"/>
          <w:color w:val="0D0D0D"/>
          <w:sz w:val="24"/>
          <w:szCs w:val="24"/>
          <w:lang w:val="sq-AL"/>
        </w:rPr>
        <w:t>h</w:t>
      </w:r>
      <w:r w:rsidR="001F2D41"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Miratimi i Programit Kombëtar Spitalor që synon transformimin e sistemit spitalor në Shqipëri për të rimodeluar ofrimin e shërbimeve spitalore, shpërndarjen e burimeve njerëzore dhe financiare sipas ndryshimit të strukturës demografike dhe epidemiologjike në 30 v</w:t>
      </w:r>
      <w:r w:rsidR="00EC7775" w:rsidRPr="00770F9D">
        <w:rPr>
          <w:rFonts w:ascii="Garamond" w:hAnsi="Garamond" w:cs="Garamond"/>
          <w:color w:val="0D0D0D"/>
          <w:sz w:val="24"/>
          <w:szCs w:val="24"/>
          <w:lang w:val="sq-AL"/>
        </w:rPr>
        <w:t>jetët</w:t>
      </w:r>
      <w:r w:rsidRPr="00770F9D">
        <w:rPr>
          <w:rFonts w:ascii="Garamond" w:hAnsi="Garamond" w:cs="Garamond"/>
          <w:color w:val="0D0D0D"/>
          <w:sz w:val="24"/>
          <w:szCs w:val="24"/>
          <w:lang w:val="sq-AL"/>
        </w:rPr>
        <w:t xml:space="preserve"> e fundit.</w:t>
      </w:r>
    </w:p>
    <w:p w14:paraId="3A8F9AF3" w14:textId="63DD2F7D" w:rsidR="009D37E3" w:rsidRPr="00770F9D" w:rsidRDefault="009D37E3" w:rsidP="000F6F7A">
      <w:pPr>
        <w:pStyle w:val="ListParagraph"/>
        <w:ind w:left="0" w:firstLine="284"/>
        <w:jc w:val="both"/>
        <w:rPr>
          <w:rFonts w:ascii="Garamond" w:hAnsi="Garamond" w:cs="Garamond"/>
          <w:b/>
          <w:bCs/>
          <w:color w:val="0D0D0D"/>
          <w:sz w:val="24"/>
          <w:szCs w:val="24"/>
          <w:lang w:val="sq-AL"/>
        </w:rPr>
      </w:pPr>
      <w:r w:rsidRPr="00770F9D">
        <w:rPr>
          <w:rFonts w:ascii="Garamond" w:hAnsi="Garamond" w:cs="Garamond"/>
          <w:b/>
          <w:bCs/>
          <w:color w:val="0D0D0D"/>
          <w:sz w:val="24"/>
          <w:szCs w:val="24"/>
          <w:lang w:val="sq-AL"/>
        </w:rPr>
        <w:t>b</w:t>
      </w:r>
      <w:r w:rsidR="001F2D41" w:rsidRPr="00770F9D">
        <w:rPr>
          <w:rFonts w:ascii="Garamond" w:hAnsi="Garamond" w:cs="Garamond"/>
          <w:b/>
          <w:bCs/>
          <w:color w:val="0D0D0D"/>
          <w:sz w:val="24"/>
          <w:szCs w:val="24"/>
          <w:lang w:val="sq-AL"/>
        </w:rPr>
        <w:t>)</w:t>
      </w:r>
      <w:r w:rsidR="00BA4F1A" w:rsidRPr="00770F9D">
        <w:rPr>
          <w:rFonts w:ascii="Garamond" w:hAnsi="Garamond" w:cs="Garamond"/>
          <w:b/>
          <w:bCs/>
          <w:color w:val="0D0D0D"/>
          <w:sz w:val="24"/>
          <w:szCs w:val="24"/>
          <w:lang w:val="sq-AL"/>
        </w:rPr>
        <w:t xml:space="preserve"> </w:t>
      </w:r>
      <w:r w:rsidRPr="00770F9D">
        <w:rPr>
          <w:rFonts w:ascii="Garamond" w:hAnsi="Garamond" w:cs="Garamond"/>
          <w:b/>
          <w:bCs/>
          <w:color w:val="0D0D0D"/>
          <w:sz w:val="24"/>
          <w:szCs w:val="24"/>
          <w:lang w:val="sq-AL"/>
        </w:rPr>
        <w:t xml:space="preserve">Aktivitete të planifikuara </w:t>
      </w:r>
      <w:r w:rsidR="000F6F7A">
        <w:rPr>
          <w:rFonts w:ascii="Garamond" w:hAnsi="Garamond" w:cs="Garamond"/>
          <w:b/>
          <w:bCs/>
          <w:color w:val="0D0D0D"/>
          <w:sz w:val="24"/>
          <w:szCs w:val="24"/>
          <w:lang w:val="sq-AL"/>
        </w:rPr>
        <w:t>m</w:t>
      </w:r>
      <w:r w:rsidRPr="00770F9D">
        <w:rPr>
          <w:rFonts w:ascii="Garamond" w:hAnsi="Garamond" w:cs="Garamond"/>
          <w:b/>
          <w:bCs/>
          <w:color w:val="0D0D0D"/>
          <w:sz w:val="24"/>
          <w:szCs w:val="24"/>
          <w:lang w:val="sq-AL"/>
        </w:rPr>
        <w:t>ë 2024</w:t>
      </w:r>
      <w:r w:rsidR="001F2D41" w:rsidRPr="00770F9D">
        <w:rPr>
          <w:rFonts w:ascii="Garamond" w:hAnsi="Garamond" w:cs="Garamond"/>
          <w:b/>
          <w:bCs/>
          <w:color w:val="0D0D0D"/>
          <w:sz w:val="24"/>
          <w:szCs w:val="24"/>
          <w:lang w:val="sq-AL"/>
        </w:rPr>
        <w:t>-n</w:t>
      </w:r>
    </w:p>
    <w:p w14:paraId="32381D8B" w14:textId="6D0678D9" w:rsidR="009D37E3" w:rsidRPr="00770F9D" w:rsidRDefault="009D37E3" w:rsidP="00400806">
      <w:pPr>
        <w:pStyle w:val="ListParagraph"/>
        <w:ind w:left="0" w:firstLine="284"/>
        <w:jc w:val="both"/>
        <w:rPr>
          <w:rFonts w:ascii="Garamond" w:hAnsi="Garamond" w:cs="Garamond"/>
          <w:b/>
          <w:bCs/>
          <w:color w:val="0D0D0D"/>
          <w:sz w:val="24"/>
          <w:szCs w:val="24"/>
          <w:lang w:val="sq-AL"/>
        </w:rPr>
      </w:pPr>
      <w:r w:rsidRPr="00770F9D">
        <w:rPr>
          <w:rFonts w:ascii="Garamond" w:hAnsi="Garamond" w:cs="Garamond"/>
          <w:color w:val="0D0D0D"/>
          <w:sz w:val="24"/>
          <w:szCs w:val="24"/>
          <w:lang w:val="sq-AL"/>
        </w:rPr>
        <w:t>a</w:t>
      </w:r>
      <w:r w:rsidR="001F2D41"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Financimi i shërbimeve të kujdesit shëndetësor (në të tr</w:t>
      </w:r>
      <w:r w:rsidR="00FB7156" w:rsidRPr="00770F9D">
        <w:rPr>
          <w:rFonts w:ascii="Garamond" w:hAnsi="Garamond" w:cs="Garamond"/>
          <w:color w:val="0D0D0D"/>
          <w:sz w:val="24"/>
          <w:szCs w:val="24"/>
          <w:lang w:val="sq-AL"/>
        </w:rPr>
        <w:t>ia</w:t>
      </w:r>
      <w:r w:rsidRPr="00770F9D">
        <w:rPr>
          <w:rFonts w:ascii="Garamond" w:hAnsi="Garamond" w:cs="Garamond"/>
          <w:color w:val="0D0D0D"/>
          <w:sz w:val="24"/>
          <w:szCs w:val="24"/>
          <w:lang w:val="sq-AL"/>
        </w:rPr>
        <w:t xml:space="preserve"> nivelet e sistemit shëndetësor parësor, sekondar dhe terciar)</w:t>
      </w:r>
      <w:r w:rsidR="00EC7775" w:rsidRPr="00770F9D">
        <w:rPr>
          <w:rFonts w:ascii="Garamond" w:hAnsi="Garamond" w:cs="Garamond"/>
          <w:color w:val="0D0D0D"/>
          <w:sz w:val="24"/>
          <w:szCs w:val="24"/>
          <w:lang w:val="sq-AL"/>
        </w:rPr>
        <w:t>;</w:t>
      </w:r>
    </w:p>
    <w:p w14:paraId="2DD218FE" w14:textId="2488EEFF" w:rsidR="009D37E3" w:rsidRPr="00770F9D" w:rsidRDefault="009D37E3" w:rsidP="00400806">
      <w:pPr>
        <w:pStyle w:val="ListParagraph"/>
        <w:ind w:left="0" w:firstLine="284"/>
        <w:jc w:val="both"/>
        <w:rPr>
          <w:rFonts w:ascii="Garamond" w:hAnsi="Garamond" w:cs="Garamond"/>
          <w:b/>
          <w:bCs/>
          <w:color w:val="0D0D0D"/>
          <w:sz w:val="24"/>
          <w:szCs w:val="24"/>
          <w:lang w:val="sq-AL"/>
        </w:rPr>
      </w:pPr>
      <w:r w:rsidRPr="00770F9D">
        <w:rPr>
          <w:rFonts w:ascii="Garamond" w:hAnsi="Garamond" w:cs="Garamond"/>
          <w:color w:val="0D0D0D"/>
          <w:sz w:val="24"/>
          <w:szCs w:val="24"/>
          <w:lang w:val="sq-AL"/>
        </w:rPr>
        <w:t>b</w:t>
      </w:r>
      <w:r w:rsidR="001F2D41"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Vazhdimi i financimit të 12 paketave të kujdesit shëndetësor të ofruara në spitalet publike dhe private dhe rritja e numrit të përfituesve me 5% në baza vjetore</w:t>
      </w:r>
      <w:r w:rsidR="00EC7775" w:rsidRPr="00770F9D">
        <w:rPr>
          <w:rFonts w:ascii="Garamond" w:hAnsi="Garamond" w:cs="Garamond"/>
          <w:color w:val="0D0D0D"/>
          <w:sz w:val="24"/>
          <w:szCs w:val="24"/>
          <w:lang w:val="sq-AL"/>
        </w:rPr>
        <w:t>;</w:t>
      </w:r>
    </w:p>
    <w:p w14:paraId="7015844A" w14:textId="67146CB8" w:rsidR="009D37E3" w:rsidRPr="00770F9D" w:rsidRDefault="009D37E3" w:rsidP="00400806">
      <w:pPr>
        <w:pStyle w:val="ListParagraph"/>
        <w:ind w:left="0" w:firstLine="284"/>
        <w:jc w:val="both"/>
        <w:rPr>
          <w:rFonts w:ascii="Garamond" w:hAnsi="Garamond" w:cs="Garamond"/>
          <w:b/>
          <w:bCs/>
          <w:color w:val="0D0D0D"/>
          <w:sz w:val="24"/>
          <w:szCs w:val="24"/>
          <w:lang w:val="sq-AL"/>
        </w:rPr>
      </w:pPr>
      <w:r w:rsidRPr="00770F9D">
        <w:rPr>
          <w:rFonts w:ascii="Garamond" w:hAnsi="Garamond" w:cs="Garamond"/>
          <w:color w:val="0D0D0D"/>
          <w:sz w:val="24"/>
          <w:szCs w:val="24"/>
          <w:lang w:val="sq-AL"/>
        </w:rPr>
        <w:t>c</w:t>
      </w:r>
      <w:r w:rsidR="001F2D41"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Vazhdimi i financimit të programeve të depistimit parandalues dhe rritja deri në 10% e numrit të përfituesve</w:t>
      </w:r>
      <w:r w:rsidR="00EC7775" w:rsidRPr="00770F9D">
        <w:rPr>
          <w:rFonts w:ascii="Garamond" w:hAnsi="Garamond" w:cs="Garamond"/>
          <w:color w:val="0D0D0D"/>
          <w:sz w:val="24"/>
          <w:szCs w:val="24"/>
          <w:lang w:val="sq-AL"/>
        </w:rPr>
        <w:t>;</w:t>
      </w:r>
    </w:p>
    <w:p w14:paraId="0480F7AF" w14:textId="744367D0" w:rsidR="009D37E3" w:rsidRPr="00770F9D" w:rsidRDefault="009D37E3" w:rsidP="00400806">
      <w:pPr>
        <w:pStyle w:val="ListParagraph"/>
        <w:ind w:left="0" w:firstLine="284"/>
        <w:jc w:val="both"/>
        <w:rPr>
          <w:rFonts w:ascii="Garamond" w:hAnsi="Garamond" w:cs="Garamond"/>
          <w:b/>
          <w:bCs/>
          <w:color w:val="0D0D0D"/>
          <w:sz w:val="24"/>
          <w:szCs w:val="24"/>
          <w:lang w:val="sq-AL"/>
        </w:rPr>
      </w:pPr>
      <w:r w:rsidRPr="00770F9D">
        <w:rPr>
          <w:rFonts w:ascii="Garamond" w:hAnsi="Garamond" w:cs="Garamond"/>
          <w:color w:val="0D0D0D"/>
          <w:sz w:val="24"/>
          <w:szCs w:val="24"/>
          <w:lang w:val="sq-AL"/>
        </w:rPr>
        <w:t>d</w:t>
      </w:r>
      <w:r w:rsidR="001F2D41"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Zhvillimi dhe miratimi i mekanizmave ligjorë për politikat e dedikuara për profesionistët e kujdesit shëndetësor i cili parashikon praktikën e dyfishtë dhe klasifikimin e pagave sipas treguesve të performancës.</w:t>
      </w:r>
    </w:p>
    <w:p w14:paraId="62AA9E28" w14:textId="6BD3A7DE" w:rsidR="009D37E3" w:rsidRPr="00770F9D" w:rsidRDefault="009D37E3" w:rsidP="000F6F7A">
      <w:pPr>
        <w:pStyle w:val="ListParagraph"/>
        <w:ind w:left="0" w:firstLine="284"/>
        <w:jc w:val="both"/>
        <w:rPr>
          <w:rFonts w:ascii="Garamond" w:hAnsi="Garamond" w:cs="Garamond"/>
          <w:b/>
          <w:bCs/>
          <w:color w:val="0D0D0D"/>
          <w:sz w:val="24"/>
          <w:szCs w:val="24"/>
          <w:lang w:val="sq-AL"/>
        </w:rPr>
      </w:pPr>
      <w:r w:rsidRPr="00770F9D">
        <w:rPr>
          <w:rFonts w:ascii="Garamond" w:hAnsi="Garamond" w:cs="Garamond"/>
          <w:b/>
          <w:bCs/>
          <w:color w:val="0D0D0D"/>
          <w:sz w:val="24"/>
          <w:szCs w:val="24"/>
          <w:lang w:val="sq-AL"/>
        </w:rPr>
        <w:t>c</w:t>
      </w:r>
      <w:r w:rsidR="001F2D41" w:rsidRPr="00770F9D">
        <w:rPr>
          <w:rFonts w:ascii="Garamond" w:hAnsi="Garamond" w:cs="Garamond"/>
          <w:b/>
          <w:bCs/>
          <w:color w:val="0D0D0D"/>
          <w:sz w:val="24"/>
          <w:szCs w:val="24"/>
          <w:lang w:val="sq-AL"/>
        </w:rPr>
        <w:t>)</w:t>
      </w:r>
      <w:r w:rsidR="00BA4F1A" w:rsidRPr="00770F9D">
        <w:rPr>
          <w:rFonts w:ascii="Garamond" w:hAnsi="Garamond" w:cs="Garamond"/>
          <w:b/>
          <w:bCs/>
          <w:color w:val="0D0D0D"/>
          <w:sz w:val="24"/>
          <w:szCs w:val="24"/>
          <w:lang w:val="sq-AL"/>
        </w:rPr>
        <w:t xml:space="preserve"> </w:t>
      </w:r>
      <w:r w:rsidRPr="00770F9D">
        <w:rPr>
          <w:rFonts w:ascii="Garamond" w:hAnsi="Garamond" w:cs="Garamond"/>
          <w:b/>
          <w:bCs/>
          <w:color w:val="0D0D0D"/>
          <w:sz w:val="24"/>
          <w:szCs w:val="24"/>
          <w:lang w:val="sq-AL"/>
        </w:rPr>
        <w:t xml:space="preserve">Aktivitete të planifikuara </w:t>
      </w:r>
      <w:r w:rsidR="000F6F7A">
        <w:rPr>
          <w:rFonts w:ascii="Garamond" w:hAnsi="Garamond" w:cs="Garamond"/>
          <w:b/>
          <w:bCs/>
          <w:color w:val="0D0D0D"/>
          <w:sz w:val="24"/>
          <w:szCs w:val="24"/>
          <w:lang w:val="sq-AL"/>
        </w:rPr>
        <w:t>m</w:t>
      </w:r>
      <w:r w:rsidRPr="00770F9D">
        <w:rPr>
          <w:rFonts w:ascii="Garamond" w:hAnsi="Garamond" w:cs="Garamond"/>
          <w:b/>
          <w:bCs/>
          <w:color w:val="0D0D0D"/>
          <w:sz w:val="24"/>
          <w:szCs w:val="24"/>
          <w:lang w:val="sq-AL"/>
        </w:rPr>
        <w:t>ë 2025</w:t>
      </w:r>
      <w:r w:rsidR="001F2D41" w:rsidRPr="00770F9D">
        <w:rPr>
          <w:rFonts w:ascii="Garamond" w:hAnsi="Garamond" w:cs="Garamond"/>
          <w:b/>
          <w:bCs/>
          <w:color w:val="0D0D0D"/>
          <w:sz w:val="24"/>
          <w:szCs w:val="24"/>
          <w:lang w:val="sq-AL"/>
        </w:rPr>
        <w:t>-n</w:t>
      </w:r>
    </w:p>
    <w:p w14:paraId="46825D77" w14:textId="7355A95F" w:rsidR="009D37E3" w:rsidRPr="00770F9D" w:rsidRDefault="009D37E3" w:rsidP="00400806">
      <w:pPr>
        <w:pStyle w:val="ListParagraph"/>
        <w:ind w:left="0" w:firstLine="284"/>
        <w:jc w:val="both"/>
        <w:rPr>
          <w:rFonts w:ascii="Garamond" w:hAnsi="Garamond" w:cs="Garamond"/>
          <w:b/>
          <w:bCs/>
          <w:color w:val="0D0D0D"/>
          <w:sz w:val="24"/>
          <w:szCs w:val="24"/>
          <w:lang w:val="sq-AL"/>
        </w:rPr>
      </w:pPr>
      <w:r w:rsidRPr="00770F9D">
        <w:rPr>
          <w:rFonts w:ascii="Garamond" w:hAnsi="Garamond" w:cs="Garamond"/>
          <w:color w:val="0D0D0D"/>
          <w:sz w:val="24"/>
          <w:szCs w:val="24"/>
          <w:lang w:val="sq-AL"/>
        </w:rPr>
        <w:t>a</w:t>
      </w:r>
      <w:r w:rsidR="001F2D41"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Financimi i shërbimeve të kujdesit shëndetësor (në të tr</w:t>
      </w:r>
      <w:r w:rsidR="003E34FC" w:rsidRPr="00770F9D">
        <w:rPr>
          <w:rFonts w:ascii="Garamond" w:hAnsi="Garamond" w:cs="Garamond"/>
          <w:color w:val="0D0D0D"/>
          <w:sz w:val="24"/>
          <w:szCs w:val="24"/>
          <w:lang w:val="sq-AL"/>
        </w:rPr>
        <w:t>ia</w:t>
      </w:r>
      <w:r w:rsidRPr="00770F9D">
        <w:rPr>
          <w:rFonts w:ascii="Garamond" w:hAnsi="Garamond" w:cs="Garamond"/>
          <w:color w:val="0D0D0D"/>
          <w:sz w:val="24"/>
          <w:szCs w:val="24"/>
          <w:lang w:val="sq-AL"/>
        </w:rPr>
        <w:t xml:space="preserve"> nivelet e sistemit shëndetësor prarësor, sekondar dhe terciar)</w:t>
      </w:r>
      <w:r w:rsidR="00EC7775" w:rsidRPr="00770F9D">
        <w:rPr>
          <w:rFonts w:ascii="Garamond" w:hAnsi="Garamond" w:cs="Garamond"/>
          <w:color w:val="0D0D0D"/>
          <w:sz w:val="24"/>
          <w:szCs w:val="24"/>
          <w:lang w:val="sq-AL"/>
        </w:rPr>
        <w:t>;</w:t>
      </w:r>
    </w:p>
    <w:p w14:paraId="12487E84" w14:textId="5FF4D285" w:rsidR="009D37E3" w:rsidRPr="00770F9D" w:rsidRDefault="009D37E3" w:rsidP="00400806">
      <w:pPr>
        <w:pStyle w:val="ListParagraph"/>
        <w:ind w:left="0" w:firstLine="284"/>
        <w:jc w:val="both"/>
        <w:rPr>
          <w:rFonts w:ascii="Garamond" w:hAnsi="Garamond" w:cs="Garamond"/>
          <w:b/>
          <w:bCs/>
          <w:color w:val="0D0D0D"/>
          <w:sz w:val="24"/>
          <w:szCs w:val="24"/>
          <w:lang w:val="sq-AL"/>
        </w:rPr>
      </w:pPr>
      <w:r w:rsidRPr="00770F9D">
        <w:rPr>
          <w:rFonts w:ascii="Garamond" w:hAnsi="Garamond" w:cs="Garamond"/>
          <w:color w:val="0D0D0D"/>
          <w:sz w:val="24"/>
          <w:szCs w:val="24"/>
          <w:lang w:val="sq-AL"/>
        </w:rPr>
        <w:t>b</w:t>
      </w:r>
      <w:r w:rsidR="001F2D41"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Vazhdimi i financimit të 12 paketave të kujdesit shëndetësor të ofruara në spitalet publike dhe private dhe rritja e numrit të përfituesve me 5% në baza vjetore</w:t>
      </w:r>
      <w:r w:rsidR="00EC7775" w:rsidRPr="00770F9D">
        <w:rPr>
          <w:rFonts w:ascii="Garamond" w:hAnsi="Garamond" w:cs="Garamond"/>
          <w:color w:val="0D0D0D"/>
          <w:sz w:val="24"/>
          <w:szCs w:val="24"/>
          <w:lang w:val="sq-AL"/>
        </w:rPr>
        <w:t>;</w:t>
      </w:r>
    </w:p>
    <w:p w14:paraId="022A5118" w14:textId="0C66913D" w:rsidR="009D37E3" w:rsidRPr="00770F9D" w:rsidRDefault="009D37E3" w:rsidP="00400806">
      <w:pPr>
        <w:pStyle w:val="ListParagraph"/>
        <w:ind w:left="0" w:firstLine="284"/>
        <w:jc w:val="both"/>
        <w:rPr>
          <w:rFonts w:ascii="Garamond" w:hAnsi="Garamond" w:cs="Garamond"/>
          <w:b/>
          <w:bCs/>
          <w:color w:val="0D0D0D"/>
          <w:sz w:val="24"/>
          <w:szCs w:val="24"/>
          <w:lang w:val="sq-AL"/>
        </w:rPr>
      </w:pPr>
      <w:r w:rsidRPr="00770F9D">
        <w:rPr>
          <w:rFonts w:ascii="Garamond" w:hAnsi="Garamond" w:cs="Garamond"/>
          <w:color w:val="0D0D0D"/>
          <w:sz w:val="24"/>
          <w:szCs w:val="24"/>
          <w:lang w:val="sq-AL"/>
        </w:rPr>
        <w:t>c</w:t>
      </w:r>
      <w:r w:rsidR="001F2D41"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Vazhdimi i financimit të programeve të depistimit parandalues dhe rritja deri në 10% e numrit të përfituesve.</w:t>
      </w:r>
    </w:p>
    <w:p w14:paraId="39DE9565" w14:textId="49728C2B" w:rsidR="009D37E3" w:rsidRPr="00770F9D" w:rsidRDefault="00413679" w:rsidP="00400806">
      <w:pPr>
        <w:pStyle w:val="Heading6"/>
        <w:numPr>
          <w:ilvl w:val="0"/>
          <w:numId w:val="0"/>
        </w:numPr>
        <w:ind w:firstLine="284"/>
        <w:rPr>
          <w:rFonts w:ascii="Garamond" w:hAnsi="Garamond" w:cs="Garamond"/>
          <w:color w:val="0D0D0D"/>
          <w:u w:val="none"/>
        </w:rPr>
      </w:pPr>
      <w:r w:rsidRPr="00770F9D">
        <w:rPr>
          <w:rFonts w:ascii="Garamond" w:hAnsi="Garamond" w:cs="Garamond"/>
          <w:color w:val="0D0D0D"/>
          <w:u w:val="none"/>
        </w:rPr>
        <w:t>2</w:t>
      </w:r>
      <w:r w:rsidR="009D37E3" w:rsidRPr="00770F9D">
        <w:rPr>
          <w:rFonts w:ascii="Garamond" w:hAnsi="Garamond" w:cs="Garamond"/>
          <w:color w:val="0D0D0D"/>
          <w:u w:val="none"/>
        </w:rPr>
        <w:t>.</w:t>
      </w:r>
      <w:r w:rsidR="00BA4F1A" w:rsidRPr="00770F9D">
        <w:rPr>
          <w:rFonts w:ascii="Garamond" w:hAnsi="Garamond" w:cs="Garamond"/>
          <w:color w:val="0D0D0D"/>
          <w:u w:val="none"/>
        </w:rPr>
        <w:t xml:space="preserve"> </w:t>
      </w:r>
      <w:r w:rsidR="009D37E3" w:rsidRPr="00770F9D">
        <w:rPr>
          <w:rFonts w:ascii="Garamond" w:hAnsi="Garamond" w:cs="Garamond"/>
          <w:color w:val="0D0D0D"/>
          <w:u w:val="none"/>
        </w:rPr>
        <w:t>Treguesit e rezultateve</w:t>
      </w:r>
    </w:p>
    <w:tbl>
      <w:tblPr>
        <w:tblStyle w:val="TableGrid"/>
        <w:tblW w:w="5000" w:type="pct"/>
        <w:tblLook w:val="04A0" w:firstRow="1" w:lastRow="0" w:firstColumn="1" w:lastColumn="0" w:noHBand="0" w:noVBand="1"/>
      </w:tblPr>
      <w:tblGrid>
        <w:gridCol w:w="5469"/>
        <w:gridCol w:w="1220"/>
        <w:gridCol w:w="1380"/>
        <w:gridCol w:w="1218"/>
      </w:tblGrid>
      <w:tr w:rsidR="00FA29AB" w:rsidRPr="00770F9D" w14:paraId="320517E8" w14:textId="77777777" w:rsidTr="00151930">
        <w:tc>
          <w:tcPr>
            <w:tcW w:w="2944" w:type="pct"/>
            <w:vAlign w:val="center"/>
          </w:tcPr>
          <w:p w14:paraId="59BA200C" w14:textId="77777777" w:rsidR="009A0B10" w:rsidRPr="00770F9D" w:rsidRDefault="00B2062A" w:rsidP="00151930">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Tregues</w:t>
            </w:r>
          </w:p>
        </w:tc>
        <w:tc>
          <w:tcPr>
            <w:tcW w:w="657" w:type="pct"/>
            <w:vAlign w:val="center"/>
          </w:tcPr>
          <w:p w14:paraId="546C53FC" w14:textId="77777777" w:rsidR="009A0B10" w:rsidRPr="00770F9D" w:rsidRDefault="00B2062A" w:rsidP="00151930">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Bazë</w:t>
            </w:r>
            <w:r w:rsidR="00D9597B" w:rsidRPr="00770F9D">
              <w:rPr>
                <w:rFonts w:ascii="Garamond" w:hAnsi="Garamond" w:cstheme="majorBidi"/>
                <w:b/>
                <w:bCs/>
                <w:color w:val="0D0D0D" w:themeColor="text1" w:themeTint="F2"/>
                <w:sz w:val="20"/>
                <w:szCs w:val="20"/>
              </w:rPr>
              <w:t xml:space="preserve"> (2022)</w:t>
            </w:r>
          </w:p>
        </w:tc>
        <w:tc>
          <w:tcPr>
            <w:tcW w:w="743" w:type="pct"/>
            <w:vAlign w:val="center"/>
          </w:tcPr>
          <w:p w14:paraId="5ADECC67" w14:textId="77777777" w:rsidR="009A0B10" w:rsidRPr="00770F9D" w:rsidRDefault="00B2062A" w:rsidP="00151930">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I ndërmjetëm</w:t>
            </w:r>
            <w:r w:rsidR="00D9597B" w:rsidRPr="00770F9D">
              <w:rPr>
                <w:rFonts w:ascii="Garamond" w:hAnsi="Garamond" w:cstheme="majorBidi"/>
                <w:b/>
                <w:bCs/>
                <w:color w:val="0D0D0D" w:themeColor="text1" w:themeTint="F2"/>
                <w:sz w:val="20"/>
                <w:szCs w:val="20"/>
              </w:rPr>
              <w:t xml:space="preserve"> (2023)</w:t>
            </w:r>
          </w:p>
        </w:tc>
        <w:tc>
          <w:tcPr>
            <w:tcW w:w="656" w:type="pct"/>
            <w:vAlign w:val="center"/>
          </w:tcPr>
          <w:p w14:paraId="30546DCD" w14:textId="77777777" w:rsidR="009A0B10" w:rsidRPr="00770F9D" w:rsidRDefault="00DB3786" w:rsidP="00151930">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Final</w:t>
            </w:r>
            <w:r w:rsidR="00D9597B" w:rsidRPr="00770F9D">
              <w:rPr>
                <w:rFonts w:ascii="Garamond" w:hAnsi="Garamond" w:cstheme="majorBidi"/>
                <w:b/>
                <w:bCs/>
                <w:color w:val="0D0D0D" w:themeColor="text1" w:themeTint="F2"/>
                <w:sz w:val="20"/>
                <w:szCs w:val="20"/>
              </w:rPr>
              <w:t xml:space="preserve"> (2024)</w:t>
            </w:r>
          </w:p>
        </w:tc>
      </w:tr>
      <w:tr w:rsidR="006B6BA8" w:rsidRPr="00770F9D" w14:paraId="78DE1D4C" w14:textId="77777777" w:rsidTr="00151930">
        <w:tc>
          <w:tcPr>
            <w:tcW w:w="2944" w:type="pct"/>
          </w:tcPr>
          <w:p w14:paraId="0872EF3C" w14:textId="77777777" w:rsidR="006B6BA8" w:rsidRPr="00770F9D" w:rsidRDefault="006B6BA8" w:rsidP="00413679">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e qytetarëve që përfitojnë nga shërbimet e kujdesit shëndetësor publik</w:t>
            </w:r>
          </w:p>
        </w:tc>
        <w:tc>
          <w:tcPr>
            <w:tcW w:w="657" w:type="pct"/>
            <w:vAlign w:val="center"/>
          </w:tcPr>
          <w:p w14:paraId="3C507D01" w14:textId="77777777" w:rsidR="006B6BA8" w:rsidRPr="00770F9D" w:rsidRDefault="006B6BA8" w:rsidP="00151930">
            <w:pPr>
              <w:snapToGrid w:val="0"/>
              <w:jc w:val="right"/>
              <w:rPr>
                <w:rFonts w:ascii="Garamond" w:hAnsi="Garamond" w:cstheme="majorBidi"/>
                <w:color w:val="0D0D0D" w:themeColor="text1" w:themeTint="F2"/>
                <w:sz w:val="20"/>
                <w:szCs w:val="20"/>
              </w:rPr>
            </w:pPr>
            <w:r w:rsidRPr="00770F9D">
              <w:rPr>
                <w:rFonts w:ascii="Garamond" w:eastAsiaTheme="minorHAnsi" w:hAnsi="Garamond" w:cstheme="majorBidi"/>
                <w:color w:val="0D0D0D" w:themeColor="text1" w:themeTint="F2"/>
                <w:sz w:val="20"/>
                <w:szCs w:val="20"/>
              </w:rPr>
              <w:t>93%</w:t>
            </w:r>
          </w:p>
        </w:tc>
        <w:tc>
          <w:tcPr>
            <w:tcW w:w="743" w:type="pct"/>
            <w:vAlign w:val="center"/>
          </w:tcPr>
          <w:p w14:paraId="76D86FA5" w14:textId="77777777" w:rsidR="006B6BA8" w:rsidRPr="00770F9D" w:rsidRDefault="006B6BA8" w:rsidP="00151930">
            <w:pPr>
              <w:snapToGrid w:val="0"/>
              <w:jc w:val="right"/>
              <w:rPr>
                <w:rFonts w:ascii="Garamond" w:hAnsi="Garamond" w:cstheme="majorBidi"/>
                <w:color w:val="0D0D0D" w:themeColor="text1" w:themeTint="F2"/>
                <w:sz w:val="20"/>
                <w:szCs w:val="20"/>
              </w:rPr>
            </w:pPr>
            <w:r w:rsidRPr="00770F9D">
              <w:rPr>
                <w:rFonts w:ascii="Garamond" w:eastAsiaTheme="minorHAnsi" w:hAnsi="Garamond" w:cstheme="majorBidi"/>
                <w:color w:val="0D0D0D" w:themeColor="text1" w:themeTint="F2"/>
                <w:sz w:val="20"/>
                <w:szCs w:val="20"/>
              </w:rPr>
              <w:t>95%</w:t>
            </w:r>
          </w:p>
        </w:tc>
        <w:tc>
          <w:tcPr>
            <w:tcW w:w="656" w:type="pct"/>
            <w:vAlign w:val="center"/>
          </w:tcPr>
          <w:p w14:paraId="683FF670" w14:textId="77777777" w:rsidR="006B6BA8" w:rsidRPr="00770F9D" w:rsidRDefault="006B6BA8" w:rsidP="00151930">
            <w:pPr>
              <w:snapToGrid w:val="0"/>
              <w:jc w:val="right"/>
              <w:rPr>
                <w:rFonts w:ascii="Garamond" w:hAnsi="Garamond" w:cstheme="majorBidi"/>
                <w:color w:val="0D0D0D" w:themeColor="text1" w:themeTint="F2"/>
                <w:sz w:val="20"/>
                <w:szCs w:val="20"/>
              </w:rPr>
            </w:pPr>
            <w:r w:rsidRPr="00770F9D">
              <w:rPr>
                <w:rFonts w:ascii="Garamond" w:eastAsiaTheme="minorHAnsi" w:hAnsi="Garamond" w:cstheme="majorBidi"/>
                <w:color w:val="0D0D0D" w:themeColor="text1" w:themeTint="F2"/>
                <w:sz w:val="20"/>
                <w:szCs w:val="20"/>
              </w:rPr>
              <w:t>97%</w:t>
            </w:r>
          </w:p>
        </w:tc>
      </w:tr>
      <w:tr w:rsidR="006B6BA8" w:rsidRPr="00770F9D" w14:paraId="7C4AFC5A" w14:textId="77777777" w:rsidTr="00151930">
        <w:tc>
          <w:tcPr>
            <w:tcW w:w="2944" w:type="pct"/>
          </w:tcPr>
          <w:p w14:paraId="7C16DB0D" w14:textId="77777777" w:rsidR="006B6BA8" w:rsidRPr="00770F9D" w:rsidRDefault="006B6BA8" w:rsidP="00413679">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Numri i qytetarëve që përfitojnë nga 12 paketat e kujdesit shëndetësor dhe 3 programet kombëtare të depistimit të financuara 100% nga buxheti i shtetit.</w:t>
            </w:r>
          </w:p>
        </w:tc>
        <w:tc>
          <w:tcPr>
            <w:tcW w:w="657" w:type="pct"/>
            <w:vAlign w:val="center"/>
          </w:tcPr>
          <w:p w14:paraId="13DE780A" w14:textId="77777777" w:rsidR="006B6BA8" w:rsidRPr="00770F9D" w:rsidRDefault="006B6BA8" w:rsidP="00151930">
            <w:pPr>
              <w:snapToGrid w:val="0"/>
              <w:jc w:val="right"/>
              <w:rPr>
                <w:rFonts w:ascii="Garamond" w:hAnsi="Garamond" w:cstheme="majorBidi"/>
                <w:color w:val="0D0D0D" w:themeColor="text1" w:themeTint="F2"/>
                <w:sz w:val="20"/>
                <w:szCs w:val="20"/>
              </w:rPr>
            </w:pPr>
            <w:r w:rsidRPr="00770F9D">
              <w:rPr>
                <w:rFonts w:ascii="Garamond" w:eastAsiaTheme="minorHAnsi" w:hAnsi="Garamond" w:cstheme="majorBidi"/>
                <w:color w:val="0D0D0D" w:themeColor="text1" w:themeTint="F2"/>
                <w:sz w:val="20"/>
                <w:szCs w:val="20"/>
              </w:rPr>
              <w:t>+5%</w:t>
            </w:r>
          </w:p>
        </w:tc>
        <w:tc>
          <w:tcPr>
            <w:tcW w:w="743" w:type="pct"/>
            <w:vAlign w:val="center"/>
          </w:tcPr>
          <w:p w14:paraId="58AFC3EA" w14:textId="77777777" w:rsidR="006B6BA8" w:rsidRPr="00770F9D" w:rsidRDefault="006B6BA8" w:rsidP="00151930">
            <w:pPr>
              <w:snapToGrid w:val="0"/>
              <w:jc w:val="right"/>
              <w:rPr>
                <w:rFonts w:ascii="Garamond" w:hAnsi="Garamond" w:cstheme="majorBidi"/>
                <w:color w:val="0D0D0D" w:themeColor="text1" w:themeTint="F2"/>
                <w:sz w:val="20"/>
                <w:szCs w:val="20"/>
              </w:rPr>
            </w:pPr>
            <w:r w:rsidRPr="00770F9D">
              <w:rPr>
                <w:rFonts w:ascii="Garamond" w:eastAsiaTheme="minorHAnsi" w:hAnsi="Garamond" w:cstheme="majorBidi"/>
                <w:color w:val="0D0D0D" w:themeColor="text1" w:themeTint="F2"/>
                <w:sz w:val="20"/>
                <w:szCs w:val="20"/>
              </w:rPr>
              <w:t>+5%</w:t>
            </w:r>
          </w:p>
        </w:tc>
        <w:tc>
          <w:tcPr>
            <w:tcW w:w="656" w:type="pct"/>
            <w:vAlign w:val="center"/>
          </w:tcPr>
          <w:p w14:paraId="69FBCF42" w14:textId="77777777" w:rsidR="006B6BA8" w:rsidRPr="00770F9D" w:rsidRDefault="006B6BA8" w:rsidP="00151930">
            <w:pPr>
              <w:snapToGrid w:val="0"/>
              <w:jc w:val="right"/>
              <w:rPr>
                <w:rFonts w:ascii="Garamond" w:hAnsi="Garamond" w:cstheme="majorBidi"/>
                <w:color w:val="0D0D0D" w:themeColor="text1" w:themeTint="F2"/>
                <w:sz w:val="20"/>
                <w:szCs w:val="20"/>
              </w:rPr>
            </w:pPr>
            <w:r w:rsidRPr="00770F9D">
              <w:rPr>
                <w:rFonts w:ascii="Garamond" w:eastAsiaTheme="minorHAnsi" w:hAnsi="Garamond" w:cstheme="majorBidi"/>
                <w:color w:val="0D0D0D" w:themeColor="text1" w:themeTint="F2"/>
                <w:sz w:val="20"/>
                <w:szCs w:val="20"/>
              </w:rPr>
              <w:t>+5%</w:t>
            </w:r>
          </w:p>
        </w:tc>
      </w:tr>
    </w:tbl>
    <w:p w14:paraId="57C0A122" w14:textId="2A55B5E7" w:rsidR="00C12939" w:rsidRPr="00770F9D" w:rsidRDefault="00413679"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3</w:t>
      </w:r>
      <w:r w:rsidR="009D37E3"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Kosto</w:t>
      </w:r>
      <w:r w:rsidR="00151930" w:rsidRPr="00770F9D">
        <w:rPr>
          <w:rFonts w:ascii="Garamond" w:hAnsi="Garamond" w:cstheme="majorBidi"/>
          <w:color w:val="0D0D0D" w:themeColor="text1" w:themeTint="F2"/>
          <w:u w:val="none"/>
        </w:rPr>
        <w:t>ja</w:t>
      </w:r>
      <w:r w:rsidR="00B2062A" w:rsidRPr="00770F9D">
        <w:rPr>
          <w:rFonts w:ascii="Garamond" w:hAnsi="Garamond" w:cstheme="majorBidi"/>
          <w:color w:val="0D0D0D" w:themeColor="text1" w:themeTint="F2"/>
          <w:u w:val="none"/>
        </w:rPr>
        <w:t xml:space="preserve"> e parashikuar e aktiviteteve dhe burimi i financimit</w:t>
      </w:r>
    </w:p>
    <w:p w14:paraId="13F276E9" w14:textId="4DC44C14" w:rsidR="006B6BA8" w:rsidRPr="00770F9D" w:rsidRDefault="006B6BA8"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Buxheti për shëndetësinë për vitin 2023 është</w:t>
      </w:r>
      <w:r w:rsidR="000A4635" w:rsidRPr="00770F9D">
        <w:rPr>
          <w:rFonts w:ascii="Garamond" w:hAnsi="Garamond" w:cstheme="majorBidi"/>
          <w:color w:val="0D0D0D" w:themeColor="text1" w:themeTint="F2"/>
        </w:rPr>
        <w:t xml:space="preserve"> rreth</w:t>
      </w:r>
      <w:r w:rsidR="007F6FDE" w:rsidRPr="00770F9D">
        <w:rPr>
          <w:rFonts w:ascii="Garamond" w:hAnsi="Garamond" w:cstheme="majorBidi"/>
          <w:color w:val="0D0D0D" w:themeColor="text1" w:themeTint="F2"/>
        </w:rPr>
        <w:t xml:space="preserve"> </w:t>
      </w:r>
      <w:r w:rsidR="000A4635" w:rsidRPr="00770F9D">
        <w:rPr>
          <w:rFonts w:ascii="Garamond" w:hAnsi="Garamond" w:cstheme="majorBidi"/>
          <w:color w:val="0D0D0D" w:themeColor="text1" w:themeTint="F2"/>
        </w:rPr>
        <w:t xml:space="preserve">556 milionë euro </w:t>
      </w:r>
      <w:r w:rsidRPr="00770F9D">
        <w:rPr>
          <w:rFonts w:ascii="Garamond" w:hAnsi="Garamond" w:cstheme="majorBidi"/>
          <w:color w:val="0D0D0D" w:themeColor="text1" w:themeTint="F2"/>
        </w:rPr>
        <w:t>ose 3.28% e PBB-së dhe 10.28% e buxhetit të shtetit.</w:t>
      </w:r>
    </w:p>
    <w:p w14:paraId="57C88F27" w14:textId="7EA77B78" w:rsidR="006B6BA8" w:rsidRPr="00770F9D" w:rsidRDefault="006B6BA8"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Buxheti për shëndetësinë për vitin 2024 është</w:t>
      </w:r>
      <w:r w:rsidR="000A4635" w:rsidRPr="00770F9D">
        <w:rPr>
          <w:rFonts w:ascii="Garamond" w:hAnsi="Garamond" w:cstheme="majorBidi"/>
          <w:color w:val="0D0D0D" w:themeColor="text1" w:themeTint="F2"/>
        </w:rPr>
        <w:t xml:space="preserve"> rreth 5</w:t>
      </w:r>
      <w:r w:rsidR="00A84D9B" w:rsidRPr="00770F9D">
        <w:rPr>
          <w:rFonts w:ascii="Garamond" w:hAnsi="Garamond" w:cstheme="majorBidi"/>
          <w:color w:val="0D0D0D" w:themeColor="text1" w:themeTint="F2"/>
        </w:rPr>
        <w:t>61</w:t>
      </w:r>
      <w:r w:rsidR="000A4635" w:rsidRPr="00770F9D">
        <w:rPr>
          <w:rFonts w:ascii="Garamond" w:hAnsi="Garamond" w:cstheme="majorBidi"/>
          <w:color w:val="0D0D0D" w:themeColor="text1" w:themeTint="F2"/>
        </w:rPr>
        <w:t>.</w:t>
      </w:r>
      <w:r w:rsidR="00A84D9B" w:rsidRPr="00770F9D">
        <w:rPr>
          <w:rFonts w:ascii="Garamond" w:hAnsi="Garamond" w:cstheme="majorBidi"/>
          <w:color w:val="0D0D0D" w:themeColor="text1" w:themeTint="F2"/>
        </w:rPr>
        <w:t>63</w:t>
      </w:r>
      <w:r w:rsidR="000A4635" w:rsidRPr="00770F9D">
        <w:rPr>
          <w:rFonts w:ascii="Garamond" w:hAnsi="Garamond" w:cstheme="majorBidi"/>
          <w:color w:val="0D0D0D" w:themeColor="text1" w:themeTint="F2"/>
        </w:rPr>
        <w:t xml:space="preserve"> milionë euro</w:t>
      </w:r>
      <w:r w:rsidRPr="00770F9D">
        <w:rPr>
          <w:rFonts w:ascii="Garamond" w:hAnsi="Garamond" w:cstheme="majorBidi"/>
          <w:color w:val="0D0D0D" w:themeColor="text1" w:themeTint="F2"/>
        </w:rPr>
        <w:t xml:space="preserve"> ose 3.10% e PBB-së dhe 9.71% e buxhetit të shtetit.</w:t>
      </w:r>
    </w:p>
    <w:p w14:paraId="4428A216" w14:textId="0FB5B824" w:rsidR="006B6BA8" w:rsidRPr="00770F9D" w:rsidRDefault="006B6BA8"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Buxheti për </w:t>
      </w:r>
      <w:r w:rsidR="00C10F0E" w:rsidRPr="00770F9D">
        <w:rPr>
          <w:rFonts w:ascii="Garamond" w:hAnsi="Garamond" w:cstheme="majorBidi"/>
          <w:color w:val="0D0D0D" w:themeColor="text1" w:themeTint="F2"/>
        </w:rPr>
        <w:t>shëndetësinë</w:t>
      </w:r>
      <w:r w:rsidRPr="00770F9D">
        <w:rPr>
          <w:rFonts w:ascii="Garamond" w:hAnsi="Garamond" w:cstheme="majorBidi"/>
          <w:color w:val="0D0D0D" w:themeColor="text1" w:themeTint="F2"/>
        </w:rPr>
        <w:t xml:space="preserve"> për vitin 2025 është </w:t>
      </w:r>
      <w:r w:rsidR="000A4635" w:rsidRPr="00770F9D">
        <w:rPr>
          <w:rFonts w:ascii="Garamond" w:hAnsi="Garamond" w:cstheme="majorBidi"/>
          <w:color w:val="0D0D0D" w:themeColor="text1" w:themeTint="F2"/>
        </w:rPr>
        <w:t>rreth 5</w:t>
      </w:r>
      <w:r w:rsidR="00A84D9B" w:rsidRPr="00770F9D">
        <w:rPr>
          <w:rFonts w:ascii="Garamond" w:hAnsi="Garamond" w:cstheme="majorBidi"/>
          <w:color w:val="0D0D0D" w:themeColor="text1" w:themeTint="F2"/>
        </w:rPr>
        <w:t>75.</w:t>
      </w:r>
      <w:r w:rsidR="000A4635" w:rsidRPr="00770F9D">
        <w:rPr>
          <w:rFonts w:ascii="Garamond" w:hAnsi="Garamond" w:cstheme="majorBidi"/>
          <w:color w:val="0D0D0D" w:themeColor="text1" w:themeTint="F2"/>
        </w:rPr>
        <w:t xml:space="preserve">3 milionë euro </w:t>
      </w:r>
      <w:r w:rsidRPr="00770F9D">
        <w:rPr>
          <w:rFonts w:ascii="Garamond" w:hAnsi="Garamond" w:cstheme="majorBidi"/>
          <w:color w:val="0D0D0D" w:themeColor="text1" w:themeTint="F2"/>
        </w:rPr>
        <w:t>ose</w:t>
      </w:r>
      <w:r w:rsidR="000A4635"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3% e PBB-së dhe 9.36 % e buxhetit të shtetit.</w:t>
      </w:r>
    </w:p>
    <w:p w14:paraId="5FD0DC83" w14:textId="49660648" w:rsidR="00C12939" w:rsidRPr="00770F9D" w:rsidRDefault="00413679"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4</w:t>
      </w:r>
      <w:r w:rsidR="009D37E3"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Ndikimi i pritshëm në përfundimet sociale</w:t>
      </w:r>
      <w:r w:rsidR="00C10F0E" w:rsidRPr="00770F9D">
        <w:rPr>
          <w:rFonts w:ascii="Garamond" w:hAnsi="Garamond" w:cstheme="majorBidi"/>
          <w:color w:val="0D0D0D" w:themeColor="text1" w:themeTint="F2"/>
          <w:u w:val="none"/>
        </w:rPr>
        <w:t>,</w:t>
      </w:r>
      <w:r w:rsidR="00B2062A" w:rsidRPr="00770F9D">
        <w:rPr>
          <w:rFonts w:ascii="Garamond" w:hAnsi="Garamond" w:cstheme="majorBidi"/>
          <w:color w:val="0D0D0D" w:themeColor="text1" w:themeTint="F2"/>
          <w:u w:val="none"/>
        </w:rPr>
        <w:t xml:space="preserve"> si punësimi, ulja e varfërisë, barazia gjinore dhe aksesi në kujdesin shëndetësor</w:t>
      </w:r>
    </w:p>
    <w:p w14:paraId="6AA88267" w14:textId="6B5ED81E" w:rsidR="00D46797" w:rsidRPr="00770F9D" w:rsidRDefault="006B6BA8"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Reformat në shëndetësi targetojnë të moshuarit, gratë, fëmijët, të varfrit dhe personat me aftësi të kufizuara. Masa e reformës pritet të përmirësojë mirëqenien e qytetarëve duke përmirësuar aksesin dhe mirëqenien me synimin për të arritur mbulimin universal shëndetësor.</w:t>
      </w:r>
    </w:p>
    <w:p w14:paraId="4C80E0E1" w14:textId="3B9F6510" w:rsidR="00E43B82" w:rsidRPr="00770F9D" w:rsidRDefault="00413679"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5</w:t>
      </w:r>
      <w:r w:rsidR="009D37E3"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Ndikimi i pritshëm në mjedis dhe ndryshimi i klimës</w:t>
      </w:r>
    </w:p>
    <w:p w14:paraId="073FF9C0" w14:textId="77777777" w:rsidR="00C12939" w:rsidRPr="00770F9D" w:rsidRDefault="006B6BA8"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Masa e reformës nuk pritet të ketë ndikim në mjedis.</w:t>
      </w:r>
    </w:p>
    <w:p w14:paraId="51CA9429" w14:textId="08D2CA19" w:rsidR="00E43B82" w:rsidRPr="00770F9D" w:rsidRDefault="00413679"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6</w:t>
      </w:r>
      <w:r w:rsidR="009D37E3"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Rreziqet e mundshme</w:t>
      </w:r>
    </w:p>
    <w:tbl>
      <w:tblPr>
        <w:tblStyle w:val="TableGrid"/>
        <w:tblW w:w="5000" w:type="pct"/>
        <w:jc w:val="center"/>
        <w:tblLook w:val="04A0" w:firstRow="1" w:lastRow="0" w:firstColumn="1" w:lastColumn="0" w:noHBand="0" w:noVBand="1"/>
      </w:tblPr>
      <w:tblGrid>
        <w:gridCol w:w="2946"/>
        <w:gridCol w:w="1564"/>
        <w:gridCol w:w="4777"/>
      </w:tblGrid>
      <w:tr w:rsidR="00FA29AB" w:rsidRPr="00770F9D" w14:paraId="2F13B09C" w14:textId="77777777" w:rsidTr="0021006C">
        <w:trPr>
          <w:jc w:val="center"/>
        </w:trPr>
        <w:tc>
          <w:tcPr>
            <w:tcW w:w="1586" w:type="pct"/>
            <w:vAlign w:val="center"/>
          </w:tcPr>
          <w:p w14:paraId="63A2B997" w14:textId="77777777" w:rsidR="009A0B10" w:rsidRPr="00770F9D" w:rsidRDefault="00B2062A" w:rsidP="0021006C">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Rreziku</w:t>
            </w:r>
          </w:p>
        </w:tc>
        <w:tc>
          <w:tcPr>
            <w:tcW w:w="842" w:type="pct"/>
            <w:vAlign w:val="center"/>
          </w:tcPr>
          <w:p w14:paraId="03AE63BD" w14:textId="77777777" w:rsidR="0021006C" w:rsidRPr="00770F9D" w:rsidRDefault="00B2062A" w:rsidP="0021006C">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Mundësia</w:t>
            </w:r>
            <w:r w:rsidR="009A0B10" w:rsidRPr="00770F9D">
              <w:rPr>
                <w:rFonts w:ascii="Garamond" w:hAnsi="Garamond" w:cstheme="majorBidi"/>
                <w:b/>
                <w:bCs/>
                <w:color w:val="0D0D0D" w:themeColor="text1" w:themeTint="F2"/>
                <w:sz w:val="20"/>
                <w:szCs w:val="20"/>
              </w:rPr>
              <w:t xml:space="preserve"> </w:t>
            </w:r>
          </w:p>
          <w:p w14:paraId="74B6C7BE" w14:textId="3095F395" w:rsidR="009A0B10" w:rsidRPr="00770F9D" w:rsidRDefault="009A0B10" w:rsidP="0021006C">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w:t>
            </w:r>
            <w:r w:rsidR="00B2062A" w:rsidRPr="00770F9D">
              <w:rPr>
                <w:rFonts w:ascii="Garamond" w:hAnsi="Garamond" w:cstheme="majorBidi"/>
                <w:b/>
                <w:bCs/>
                <w:color w:val="0D0D0D" w:themeColor="text1" w:themeTint="F2"/>
                <w:sz w:val="20"/>
                <w:szCs w:val="20"/>
              </w:rPr>
              <w:t>e ulët, e lartë</w:t>
            </w:r>
            <w:r w:rsidRPr="00770F9D">
              <w:rPr>
                <w:rFonts w:ascii="Garamond" w:hAnsi="Garamond" w:cstheme="majorBidi"/>
                <w:b/>
                <w:bCs/>
                <w:color w:val="0D0D0D" w:themeColor="text1" w:themeTint="F2"/>
                <w:sz w:val="20"/>
                <w:szCs w:val="20"/>
              </w:rPr>
              <w:t>)</w:t>
            </w:r>
          </w:p>
        </w:tc>
        <w:tc>
          <w:tcPr>
            <w:tcW w:w="2572" w:type="pct"/>
            <w:vAlign w:val="center"/>
          </w:tcPr>
          <w:p w14:paraId="2319C7D3" w14:textId="77777777" w:rsidR="009A0B10" w:rsidRPr="00770F9D" w:rsidRDefault="00B2062A" w:rsidP="0021006C">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Veprimi zbutës i parashikuar</w:t>
            </w:r>
          </w:p>
        </w:tc>
      </w:tr>
      <w:tr w:rsidR="006B6BA8" w:rsidRPr="00770F9D" w14:paraId="7B8A9993" w14:textId="77777777" w:rsidTr="0021006C">
        <w:trPr>
          <w:jc w:val="center"/>
        </w:trPr>
        <w:tc>
          <w:tcPr>
            <w:tcW w:w="1586" w:type="pct"/>
          </w:tcPr>
          <w:p w14:paraId="216B2B0A" w14:textId="77777777" w:rsidR="006B6BA8" w:rsidRPr="00770F9D" w:rsidRDefault="006B6BA8" w:rsidP="00413679">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Kufizimet për shkak të pandemisë COVID-19</w:t>
            </w:r>
          </w:p>
        </w:tc>
        <w:tc>
          <w:tcPr>
            <w:tcW w:w="842" w:type="pct"/>
          </w:tcPr>
          <w:p w14:paraId="275ED45C" w14:textId="77777777" w:rsidR="006B6BA8" w:rsidRPr="00770F9D" w:rsidRDefault="006B6BA8" w:rsidP="00413679">
            <w:pPr>
              <w:snapToGrid w:val="0"/>
              <w:rPr>
                <w:rFonts w:ascii="Garamond" w:hAnsi="Garamond" w:cstheme="majorBidi"/>
                <w:color w:val="0D0D0D" w:themeColor="text1" w:themeTint="F2"/>
                <w:sz w:val="20"/>
                <w:szCs w:val="20"/>
              </w:rPr>
            </w:pPr>
            <w:r w:rsidRPr="00770F9D">
              <w:rPr>
                <w:rFonts w:ascii="Garamond" w:eastAsiaTheme="minorHAnsi" w:hAnsi="Garamond" w:cstheme="majorBidi"/>
                <w:color w:val="0D0D0D" w:themeColor="text1" w:themeTint="F2"/>
                <w:sz w:val="20"/>
                <w:szCs w:val="20"/>
              </w:rPr>
              <w:t>Mesatar</w:t>
            </w:r>
          </w:p>
        </w:tc>
        <w:tc>
          <w:tcPr>
            <w:tcW w:w="2572" w:type="pct"/>
          </w:tcPr>
          <w:p w14:paraId="7C0589F6" w14:textId="171950F1" w:rsidR="006B6BA8" w:rsidRPr="00770F9D" w:rsidRDefault="006B6BA8" w:rsidP="00413679">
            <w:pPr>
              <w:snapToGrid w:val="0"/>
              <w:rPr>
                <w:rFonts w:ascii="Garamond" w:hAnsi="Garamond" w:cstheme="majorBidi"/>
                <w:color w:val="0D0D0D" w:themeColor="text1" w:themeTint="F2"/>
                <w:sz w:val="20"/>
                <w:szCs w:val="20"/>
              </w:rPr>
            </w:pPr>
            <w:r w:rsidRPr="00770F9D">
              <w:rPr>
                <w:rFonts w:ascii="Garamond" w:eastAsiaTheme="minorHAnsi" w:hAnsi="Garamond" w:cstheme="majorBidi"/>
                <w:color w:val="0D0D0D" w:themeColor="text1" w:themeTint="F2"/>
                <w:sz w:val="20"/>
                <w:szCs w:val="20"/>
              </w:rPr>
              <w:t xml:space="preserve">Planifikim </w:t>
            </w:r>
            <w:r w:rsidR="0021006C" w:rsidRPr="00770F9D">
              <w:rPr>
                <w:rFonts w:ascii="Garamond" w:eastAsiaTheme="minorHAnsi" w:hAnsi="Garamond" w:cstheme="majorBidi"/>
                <w:color w:val="0D0D0D" w:themeColor="text1" w:themeTint="F2"/>
                <w:sz w:val="20"/>
                <w:szCs w:val="20"/>
              </w:rPr>
              <w:t>i</w:t>
            </w:r>
            <w:r w:rsidRPr="00770F9D">
              <w:rPr>
                <w:rFonts w:ascii="Garamond" w:eastAsiaTheme="minorHAnsi" w:hAnsi="Garamond" w:cstheme="majorBidi"/>
                <w:color w:val="0D0D0D" w:themeColor="text1" w:themeTint="F2"/>
                <w:sz w:val="20"/>
                <w:szCs w:val="20"/>
              </w:rPr>
              <w:t xml:space="preserve"> kujdesshëm në nivel qendror</w:t>
            </w:r>
          </w:p>
        </w:tc>
      </w:tr>
      <w:tr w:rsidR="006B6BA8" w:rsidRPr="00770F9D" w14:paraId="375178F8" w14:textId="77777777" w:rsidTr="0021006C">
        <w:trPr>
          <w:jc w:val="center"/>
        </w:trPr>
        <w:tc>
          <w:tcPr>
            <w:tcW w:w="1586" w:type="pct"/>
          </w:tcPr>
          <w:p w14:paraId="0F329C4F" w14:textId="4142F170" w:rsidR="006B6BA8" w:rsidRPr="00770F9D" w:rsidRDefault="006B6BA8" w:rsidP="00413679">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Vonesat në aktivitete specifike, veçanërisht</w:t>
            </w:r>
            <w:r w:rsidR="0021006C" w:rsidRPr="00770F9D">
              <w:rPr>
                <w:rFonts w:ascii="Garamond" w:hAnsi="Garamond" w:cstheme="majorBidi"/>
                <w:color w:val="0D0D0D" w:themeColor="text1" w:themeTint="F2"/>
                <w:sz w:val="20"/>
                <w:szCs w:val="20"/>
              </w:rPr>
              <w:t>,</w:t>
            </w:r>
            <w:r w:rsidRPr="00770F9D">
              <w:rPr>
                <w:rFonts w:ascii="Garamond" w:hAnsi="Garamond" w:cstheme="majorBidi"/>
                <w:color w:val="0D0D0D" w:themeColor="text1" w:themeTint="F2"/>
                <w:sz w:val="20"/>
                <w:szCs w:val="20"/>
              </w:rPr>
              <w:t xml:space="preserve"> në lidhje me rimodelimin e financimit të kujdesit shëndetësor</w:t>
            </w:r>
          </w:p>
        </w:tc>
        <w:tc>
          <w:tcPr>
            <w:tcW w:w="842" w:type="pct"/>
          </w:tcPr>
          <w:p w14:paraId="23A33893" w14:textId="77777777" w:rsidR="006B6BA8" w:rsidRPr="00770F9D" w:rsidRDefault="006B6BA8" w:rsidP="00413679">
            <w:pPr>
              <w:snapToGrid w:val="0"/>
              <w:rPr>
                <w:rFonts w:ascii="Garamond" w:hAnsi="Garamond" w:cstheme="majorBidi"/>
                <w:color w:val="0D0D0D" w:themeColor="text1" w:themeTint="F2"/>
                <w:sz w:val="20"/>
                <w:szCs w:val="20"/>
              </w:rPr>
            </w:pPr>
            <w:r w:rsidRPr="00770F9D">
              <w:rPr>
                <w:rFonts w:ascii="Garamond" w:eastAsiaTheme="minorHAnsi" w:hAnsi="Garamond" w:cstheme="majorBidi"/>
                <w:color w:val="0D0D0D" w:themeColor="text1" w:themeTint="F2"/>
                <w:sz w:val="20"/>
                <w:szCs w:val="20"/>
              </w:rPr>
              <w:t xml:space="preserve">Mesatar </w:t>
            </w:r>
          </w:p>
        </w:tc>
        <w:tc>
          <w:tcPr>
            <w:tcW w:w="2572" w:type="pct"/>
          </w:tcPr>
          <w:p w14:paraId="65598BB5" w14:textId="40351EE5" w:rsidR="006B6BA8" w:rsidRPr="00770F9D" w:rsidRDefault="006B6BA8" w:rsidP="00413679">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Vazhdimi i punës për zhvillimin e një plani</w:t>
            </w:r>
            <w:r w:rsidR="009C3031" w:rsidRPr="00770F9D">
              <w:rPr>
                <w:rFonts w:ascii="Garamond" w:hAnsi="Garamond" w:cstheme="majorBidi"/>
                <w:color w:val="0D0D0D" w:themeColor="text1" w:themeTint="F2"/>
                <w:sz w:val="20"/>
                <w:szCs w:val="20"/>
              </w:rPr>
              <w:t xml:space="preserve"> të detajuar nga grupi i punës</w:t>
            </w:r>
          </w:p>
        </w:tc>
      </w:tr>
      <w:tr w:rsidR="006B6BA8" w:rsidRPr="00770F9D" w14:paraId="51811FA3" w14:textId="77777777" w:rsidTr="0021006C">
        <w:trPr>
          <w:jc w:val="center"/>
        </w:trPr>
        <w:tc>
          <w:tcPr>
            <w:tcW w:w="1586" w:type="pct"/>
          </w:tcPr>
          <w:p w14:paraId="4B9A903E" w14:textId="77777777" w:rsidR="006B6BA8" w:rsidRPr="00770F9D" w:rsidRDefault="006B6BA8" w:rsidP="00413679">
            <w:pPr>
              <w:snapToGrid w:val="0"/>
              <w:rPr>
                <w:rFonts w:ascii="Garamond" w:hAnsi="Garamond" w:cstheme="majorBidi"/>
                <w:color w:val="0D0D0D" w:themeColor="text1" w:themeTint="F2"/>
                <w:sz w:val="20"/>
                <w:szCs w:val="20"/>
              </w:rPr>
            </w:pPr>
            <w:r w:rsidRPr="00770F9D">
              <w:rPr>
                <w:rFonts w:ascii="Garamond" w:eastAsiaTheme="minorHAnsi" w:hAnsi="Garamond" w:cstheme="majorBidi"/>
                <w:color w:val="0D0D0D" w:themeColor="text1" w:themeTint="F2"/>
                <w:sz w:val="20"/>
                <w:szCs w:val="20"/>
              </w:rPr>
              <w:t>Mungesa e vullnetit politik</w:t>
            </w:r>
          </w:p>
        </w:tc>
        <w:tc>
          <w:tcPr>
            <w:tcW w:w="842" w:type="pct"/>
          </w:tcPr>
          <w:p w14:paraId="039C85AD" w14:textId="77777777" w:rsidR="006B6BA8" w:rsidRPr="00770F9D" w:rsidRDefault="006B6BA8" w:rsidP="00413679">
            <w:pPr>
              <w:snapToGrid w:val="0"/>
              <w:rPr>
                <w:rFonts w:ascii="Garamond" w:hAnsi="Garamond" w:cstheme="majorBidi"/>
                <w:color w:val="0D0D0D" w:themeColor="text1" w:themeTint="F2"/>
                <w:sz w:val="20"/>
                <w:szCs w:val="20"/>
              </w:rPr>
            </w:pPr>
            <w:r w:rsidRPr="00770F9D">
              <w:rPr>
                <w:rFonts w:ascii="Garamond" w:eastAsiaTheme="minorHAnsi" w:hAnsi="Garamond" w:cstheme="majorBidi"/>
                <w:color w:val="0D0D0D" w:themeColor="text1" w:themeTint="F2"/>
                <w:sz w:val="20"/>
                <w:szCs w:val="20"/>
              </w:rPr>
              <w:t xml:space="preserve">I ulët </w:t>
            </w:r>
          </w:p>
        </w:tc>
        <w:tc>
          <w:tcPr>
            <w:tcW w:w="2572" w:type="pct"/>
          </w:tcPr>
          <w:p w14:paraId="26C0E796" w14:textId="77777777" w:rsidR="006B6BA8" w:rsidRPr="00770F9D" w:rsidRDefault="006B6BA8" w:rsidP="00413679">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Një angazhim i niveleve më të larta të qeverisjes dhe përfshirja e të gjithë partnerëve të mundshëm në këtë sektor</w:t>
            </w:r>
          </w:p>
        </w:tc>
      </w:tr>
    </w:tbl>
    <w:p w14:paraId="61A78841" w14:textId="77777777" w:rsidR="009A0B10" w:rsidRPr="00770F9D" w:rsidRDefault="009A0B10" w:rsidP="005674F2">
      <w:pPr>
        <w:snapToGrid w:val="0"/>
        <w:ind w:firstLine="284"/>
        <w:rPr>
          <w:rFonts w:ascii="Garamond" w:hAnsi="Garamond" w:cstheme="majorBidi"/>
          <w:color w:val="0D0D0D" w:themeColor="text1" w:themeTint="F2"/>
        </w:rPr>
      </w:pPr>
    </w:p>
    <w:p w14:paraId="23245A7E" w14:textId="0D538DED" w:rsidR="00106240" w:rsidRPr="00770F9D" w:rsidRDefault="00B2062A" w:rsidP="00400806">
      <w:pPr>
        <w:pStyle w:val="Heading3"/>
        <w:ind w:left="0" w:firstLine="284"/>
        <w:jc w:val="both"/>
        <w:rPr>
          <w:rFonts w:ascii="Garamond" w:hAnsi="Garamond" w:cstheme="majorBidi"/>
          <w:b/>
          <w:bCs/>
          <w:color w:val="0D0D0D" w:themeColor="text1" w:themeTint="F2"/>
          <w:sz w:val="24"/>
          <w:szCs w:val="24"/>
        </w:rPr>
      </w:pPr>
      <w:bookmarkStart w:id="48" w:name="_Toc126050959"/>
      <w:r w:rsidRPr="00770F9D">
        <w:rPr>
          <w:rFonts w:ascii="Garamond" w:hAnsi="Garamond" w:cstheme="majorBidi"/>
          <w:b/>
          <w:bCs/>
          <w:color w:val="0D0D0D" w:themeColor="text1" w:themeTint="F2"/>
          <w:sz w:val="24"/>
          <w:szCs w:val="24"/>
        </w:rPr>
        <w:t xml:space="preserve">Sfida </w:t>
      </w:r>
      <w:r w:rsidR="0021006C" w:rsidRPr="00770F9D">
        <w:rPr>
          <w:rFonts w:ascii="Garamond" w:hAnsi="Garamond" w:cstheme="majorBidi"/>
          <w:b/>
          <w:bCs/>
          <w:color w:val="0D0D0D" w:themeColor="text1" w:themeTint="F2"/>
          <w:sz w:val="24"/>
          <w:szCs w:val="24"/>
        </w:rPr>
        <w:t xml:space="preserve">kyçe </w:t>
      </w:r>
      <w:r w:rsidR="004F312A" w:rsidRPr="00770F9D">
        <w:rPr>
          <w:rFonts w:ascii="Garamond" w:hAnsi="Garamond" w:cstheme="majorBidi"/>
          <w:b/>
          <w:bCs/>
          <w:color w:val="0D0D0D" w:themeColor="text1" w:themeTint="F2"/>
          <w:sz w:val="24"/>
          <w:szCs w:val="24"/>
        </w:rPr>
        <w:t>#3</w:t>
      </w:r>
      <w:bookmarkEnd w:id="48"/>
    </w:p>
    <w:p w14:paraId="44B05915" w14:textId="77777777" w:rsidR="004F312A" w:rsidRPr="00770F9D" w:rsidRDefault="00405262" w:rsidP="00400806">
      <w:pPr>
        <w:ind w:firstLine="284"/>
        <w:jc w:val="both"/>
        <w:rPr>
          <w:rFonts w:ascii="Garamond" w:hAnsi="Garamond" w:cstheme="majorBidi"/>
          <w:b/>
          <w:bCs/>
          <w:color w:val="0D0D0D" w:themeColor="text1" w:themeTint="F2"/>
        </w:rPr>
      </w:pPr>
      <w:r w:rsidRPr="00770F9D">
        <w:rPr>
          <w:rFonts w:ascii="Garamond" w:hAnsi="Garamond" w:cstheme="majorBidi"/>
          <w:b/>
          <w:bCs/>
          <w:color w:val="0D0D0D" w:themeColor="text1" w:themeTint="F2"/>
        </w:rPr>
        <w:t>Përmirësimi i mjedisit të biznesit dhe klimës së investimeve duke rritur mbështetjen e qeverisë dhe duke trajtuar informalitetin</w:t>
      </w:r>
    </w:p>
    <w:p w14:paraId="3C565525" w14:textId="7B38F7F2" w:rsidR="004F312A" w:rsidRPr="00770F9D" w:rsidRDefault="009D37E3" w:rsidP="00400806">
      <w:pPr>
        <w:pStyle w:val="Heading4"/>
        <w:snapToGrid w:val="0"/>
        <w:ind w:left="0" w:firstLine="284"/>
        <w:jc w:val="both"/>
        <w:rPr>
          <w:rFonts w:ascii="Garamond" w:hAnsi="Garamond" w:cstheme="majorBidi"/>
          <w:b w:val="0"/>
          <w:i/>
          <w:color w:val="0D0D0D" w:themeColor="text1" w:themeTint="F2"/>
          <w:sz w:val="24"/>
          <w:szCs w:val="24"/>
        </w:rPr>
      </w:pPr>
      <w:r w:rsidRPr="00770F9D">
        <w:rPr>
          <w:rFonts w:ascii="Garamond" w:hAnsi="Garamond" w:cstheme="majorBidi"/>
          <w:b w:val="0"/>
          <w:i/>
          <w:color w:val="0D0D0D" w:themeColor="text1" w:themeTint="F2"/>
          <w:sz w:val="24"/>
          <w:szCs w:val="24"/>
        </w:rPr>
        <w:t>a</w:t>
      </w:r>
      <w:r w:rsidR="0021006C" w:rsidRPr="00770F9D">
        <w:rPr>
          <w:rFonts w:ascii="Garamond" w:hAnsi="Garamond" w:cstheme="majorBidi"/>
          <w:b w:val="0"/>
          <w:i/>
          <w:color w:val="0D0D0D" w:themeColor="text1" w:themeTint="F2"/>
          <w:sz w:val="24"/>
          <w:szCs w:val="24"/>
        </w:rPr>
        <w:t>)</w:t>
      </w:r>
      <w:r w:rsidRPr="00770F9D">
        <w:rPr>
          <w:rFonts w:ascii="Garamond" w:hAnsi="Garamond" w:cstheme="majorBidi"/>
          <w:b w:val="0"/>
          <w:i/>
          <w:color w:val="0D0D0D" w:themeColor="text1" w:themeTint="F2"/>
          <w:sz w:val="24"/>
          <w:szCs w:val="24"/>
        </w:rPr>
        <w:t xml:space="preserve"> </w:t>
      </w:r>
      <w:r w:rsidR="00B2062A" w:rsidRPr="00770F9D">
        <w:rPr>
          <w:rFonts w:ascii="Garamond" w:hAnsi="Garamond" w:cstheme="majorBidi"/>
          <w:b w:val="0"/>
          <w:i/>
          <w:color w:val="0D0D0D" w:themeColor="text1" w:themeTint="F2"/>
          <w:sz w:val="24"/>
          <w:szCs w:val="24"/>
        </w:rPr>
        <w:t>Analiza e pengesave kryesore</w:t>
      </w:r>
    </w:p>
    <w:p w14:paraId="570D301A" w14:textId="77777777" w:rsidR="007066AD" w:rsidRPr="00770F9D" w:rsidRDefault="007066AD"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Sektori privat i Shqipërisë përbëhet kryesisht nga ndërmarrjet mikro, të vogla dhe të mesme (MSME), të cilat kanë një barrë informaliteti. Që nga viti 2019, qeveria ka zbatuar një metodë të bazuar në risk për të përqendruar veprimin e saj në ekonominë informale në një mënyrë më efikase, duke rritur numrin e kontrolleve dhe inspektimeve.</w:t>
      </w:r>
    </w:p>
    <w:p w14:paraId="527173C5" w14:textId="616393A3" w:rsidR="007066AD" w:rsidRPr="00770F9D" w:rsidRDefault="007066AD"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Gjatë periudhës 2020</w:t>
      </w:r>
      <w:r w:rsidR="00F35B3F"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2022, qeveria shqiptare u përfshi në një proces shumë të rëndësishëm lidhur me </w:t>
      </w:r>
      <w:r w:rsidR="00ED2995" w:rsidRPr="00770F9D">
        <w:rPr>
          <w:rFonts w:ascii="Garamond" w:hAnsi="Garamond" w:cstheme="majorBidi"/>
          <w:color w:val="0D0D0D" w:themeColor="text1" w:themeTint="F2"/>
        </w:rPr>
        <w:t xml:space="preserve">ligjin e fiskalizimit, i </w:t>
      </w:r>
      <w:r w:rsidRPr="00770F9D">
        <w:rPr>
          <w:rFonts w:ascii="Garamond" w:hAnsi="Garamond" w:cstheme="majorBidi"/>
          <w:color w:val="0D0D0D" w:themeColor="text1" w:themeTint="F2"/>
        </w:rPr>
        <w:t xml:space="preserve">cili do të ndihmojë drejtpërdrejt </w:t>
      </w:r>
      <w:r w:rsidR="00ED2995" w:rsidRPr="00770F9D">
        <w:rPr>
          <w:rFonts w:ascii="Garamond" w:hAnsi="Garamond" w:cstheme="majorBidi"/>
          <w:color w:val="0D0D0D" w:themeColor="text1" w:themeTint="F2"/>
        </w:rPr>
        <w:t xml:space="preserve">administratën tatimore </w:t>
      </w:r>
      <w:r w:rsidRPr="00770F9D">
        <w:rPr>
          <w:rFonts w:ascii="Garamond" w:hAnsi="Garamond" w:cstheme="majorBidi"/>
          <w:color w:val="0D0D0D" w:themeColor="text1" w:themeTint="F2"/>
        </w:rPr>
        <w:t xml:space="preserve">për të marrë të dhëna në kohë reale dhe të sakta, për të gjitha transaksionet e biznesit me administratën tatimore, por edhe të gjithë informacionin që qarkullon në marrëdhëniet </w:t>
      </w:r>
      <w:r w:rsidR="00ED2995" w:rsidRPr="00770F9D">
        <w:rPr>
          <w:rFonts w:ascii="Garamond" w:hAnsi="Garamond" w:cstheme="majorBidi"/>
          <w:color w:val="0D0D0D" w:themeColor="text1" w:themeTint="F2"/>
        </w:rPr>
        <w:t>“</w:t>
      </w:r>
      <w:r w:rsidRPr="00770F9D">
        <w:rPr>
          <w:rFonts w:ascii="Garamond" w:hAnsi="Garamond" w:cstheme="majorBidi"/>
          <w:color w:val="0D0D0D" w:themeColor="text1" w:themeTint="F2"/>
        </w:rPr>
        <w:t>biznes me biznes</w:t>
      </w:r>
      <w:r w:rsidR="00ED2995"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dhe </w:t>
      </w:r>
      <w:r w:rsidR="00ED2995" w:rsidRPr="00770F9D">
        <w:rPr>
          <w:rFonts w:ascii="Garamond" w:hAnsi="Garamond" w:cstheme="majorBidi"/>
          <w:color w:val="0D0D0D" w:themeColor="text1" w:themeTint="F2"/>
        </w:rPr>
        <w:t>“</w:t>
      </w:r>
      <w:r w:rsidRPr="00770F9D">
        <w:rPr>
          <w:rFonts w:ascii="Garamond" w:hAnsi="Garamond" w:cstheme="majorBidi"/>
          <w:color w:val="0D0D0D" w:themeColor="text1" w:themeTint="F2"/>
        </w:rPr>
        <w:t>biznes me qeverinë</w:t>
      </w:r>
      <w:r w:rsidR="00ED2995" w:rsidRPr="00770F9D">
        <w:rPr>
          <w:rFonts w:ascii="Garamond" w:hAnsi="Garamond" w:cstheme="majorBidi"/>
          <w:color w:val="0D0D0D" w:themeColor="text1" w:themeTint="F2"/>
        </w:rPr>
        <w:t>”</w:t>
      </w:r>
      <w:r w:rsidRPr="00770F9D">
        <w:rPr>
          <w:rFonts w:ascii="Garamond" w:hAnsi="Garamond" w:cstheme="majorBidi"/>
          <w:color w:val="0D0D0D" w:themeColor="text1" w:themeTint="F2"/>
        </w:rPr>
        <w:t>.</w:t>
      </w:r>
    </w:p>
    <w:p w14:paraId="65731EFC" w14:textId="3A4FFADA" w:rsidR="007066AD" w:rsidRPr="00770F9D" w:rsidRDefault="007066AD"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I gjithë procesi i informacionit nëpërmjet faturimit tashme është elektronik dhe kjo do të ushtrojë një presion edhe më të madh ndaj aksesit në deklarimet reale financiare dhe atyre </w:t>
      </w:r>
      <w:r w:rsidR="00F15F38" w:rsidRPr="00770F9D">
        <w:rPr>
          <w:rFonts w:ascii="Garamond" w:hAnsi="Garamond" w:cstheme="majorBidi"/>
          <w:color w:val="0D0D0D" w:themeColor="text1" w:themeTint="F2"/>
        </w:rPr>
        <w:t>jo</w:t>
      </w:r>
      <w:r w:rsidRPr="00770F9D">
        <w:rPr>
          <w:rFonts w:ascii="Garamond" w:hAnsi="Garamond" w:cstheme="majorBidi"/>
          <w:color w:val="0D0D0D" w:themeColor="text1" w:themeTint="F2"/>
        </w:rPr>
        <w:t>fiskale që sot në i konsiderojmë të jenë larg realitetit.</w:t>
      </w:r>
    </w:p>
    <w:p w14:paraId="0AF5895C" w14:textId="02A02E14" w:rsidR="007066AD" w:rsidRPr="00770F9D" w:rsidRDefault="007066AD"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Situata e krijuar për efekt të pandemisë COVID</w:t>
      </w:r>
      <w:r w:rsidR="00ED2995"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19 dhe luftës ruse kundër Ukrainës e ka vënë </w:t>
      </w:r>
      <w:r w:rsidR="00945208" w:rsidRPr="00770F9D">
        <w:rPr>
          <w:rFonts w:ascii="Garamond" w:hAnsi="Garamond" w:cstheme="majorBidi"/>
          <w:color w:val="0D0D0D" w:themeColor="text1" w:themeTint="F2"/>
        </w:rPr>
        <w:t xml:space="preserve">administratën tatimore </w:t>
      </w:r>
      <w:r w:rsidRPr="00770F9D">
        <w:rPr>
          <w:rFonts w:ascii="Garamond" w:hAnsi="Garamond" w:cstheme="majorBidi"/>
          <w:color w:val="0D0D0D" w:themeColor="text1" w:themeTint="F2"/>
        </w:rPr>
        <w:t xml:space="preserve">(e jo vetëm) përpara sfidave domethënëse. Kjo, pasi nga njëra anë burimet e saj janë të limituara, nga ana tjetër, angazhimet për realizimin e objektivave të vendosur nga </w:t>
      </w:r>
      <w:r w:rsidR="00186B33" w:rsidRPr="00770F9D">
        <w:rPr>
          <w:rFonts w:ascii="Garamond" w:hAnsi="Garamond" w:cstheme="majorBidi"/>
          <w:color w:val="0D0D0D" w:themeColor="text1" w:themeTint="F2"/>
        </w:rPr>
        <w:t xml:space="preserve">qeveria shqiptare </w:t>
      </w:r>
      <w:r w:rsidRPr="00770F9D">
        <w:rPr>
          <w:rFonts w:ascii="Garamond" w:hAnsi="Garamond" w:cstheme="majorBidi"/>
          <w:color w:val="0D0D0D" w:themeColor="text1" w:themeTint="F2"/>
        </w:rPr>
        <w:t>për sigurimin e të ardhurave për buxhetin e shtetit janë të mëdha.</w:t>
      </w:r>
    </w:p>
    <w:p w14:paraId="78973812" w14:textId="2161EB14" w:rsidR="002F6FE6" w:rsidRPr="00770F9D" w:rsidRDefault="007066AD"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Në këtë klimë </w:t>
      </w:r>
      <w:r w:rsidR="00186B33" w:rsidRPr="00770F9D">
        <w:rPr>
          <w:rFonts w:ascii="Garamond" w:hAnsi="Garamond" w:cstheme="majorBidi"/>
          <w:color w:val="0D0D0D" w:themeColor="text1" w:themeTint="F2"/>
        </w:rPr>
        <w:t xml:space="preserve">administrata </w:t>
      </w:r>
      <w:r w:rsidRPr="00770F9D">
        <w:rPr>
          <w:rFonts w:ascii="Garamond" w:hAnsi="Garamond" w:cstheme="majorBidi"/>
          <w:color w:val="0D0D0D" w:themeColor="text1" w:themeTint="F2"/>
        </w:rPr>
        <w:t>tatimore ka përshtatur burimet e saj njerëzore dhe financiare bazuar në prioritetet më kryesore për të mundësuar arritjen e objektivave. Në kuadër të procesit të fiskalizimit është bërë një punë voluminoze që pjesa dërrmuese e tatimpaguesve, e sidomos ata me ndikimin me të madh në realizimin e të ardhurave dhe me aktivitet të madh ekonomik, të përmbyllin</w:t>
      </w:r>
      <w:r w:rsidR="00186B33"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procesin, dhe kjo është arritur plotësisht. Ndërkohë, faktorë të tjerë që ndikojnë në përmirësimin e klimës së biznesit janë: pasiguria e përgjithshme</w:t>
      </w:r>
      <w:r w:rsidR="00186B33"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pasojë e rritjes së çmimeve dhe rënies së konsumit, pasiguria për të ardhmen dhe prirjet në rritje të normave të interesit që sjellin dhe shtrenjtim të huadhënies etj.</w:t>
      </w:r>
      <w:r w:rsidR="00186B33"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dhe konsolidimi i kuadrit legjislativ</w:t>
      </w:r>
      <w:r w:rsidR="007272F6"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në mënyrë që mos të kemi ndryshime të shpeshta dhe të jemi konform nevojave të shoqërisë.</w:t>
      </w:r>
    </w:p>
    <w:p w14:paraId="5E47F92F" w14:textId="4A24355D" w:rsidR="003E586A" w:rsidRPr="00770F9D" w:rsidRDefault="003E586A"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Krahas progresit të dukshëm në hartimin e politikave mbështetëse të qeverisë, në treg ekziston nevoja për mbështetje të mëtejshme të biznesit përmes trajnimeve, informacioneve, shërbimeve të konsulencës etj</w:t>
      </w:r>
      <w:r w:rsidR="007272F6" w:rsidRPr="00770F9D">
        <w:rPr>
          <w:rFonts w:ascii="Garamond" w:hAnsi="Garamond" w:cstheme="majorBidi"/>
          <w:color w:val="0D0D0D" w:themeColor="text1" w:themeTint="F2"/>
        </w:rPr>
        <w:t>.</w:t>
      </w:r>
      <w:r w:rsidRPr="00770F9D">
        <w:rPr>
          <w:rFonts w:ascii="Garamond" w:hAnsi="Garamond" w:cstheme="majorBidi"/>
          <w:color w:val="0D0D0D" w:themeColor="text1" w:themeTint="F2"/>
        </w:rPr>
        <w:t>, të cilat ndikojnë negativisht në investimet dhe zhvillimin dhe rritjen e sektorit të NVM-ve. Më konkretisht, nevojitet një riorganizim dhe përmirësim i mëtejshëm i procedurave për aplikimin për shërbime mbështetëse të biznesit. Ndërkohë që</w:t>
      </w:r>
      <w:r w:rsidR="007272F6"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Strategjia e Zhvillimit të Biznesit dhe Investimeve (2021</w:t>
      </w:r>
      <w:r w:rsidR="007272F6"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2027) parashikon </w:t>
      </w:r>
      <w:r w:rsidR="003F4C96" w:rsidRPr="00770F9D">
        <w:rPr>
          <w:rFonts w:ascii="Garamond" w:hAnsi="Garamond" w:cstheme="majorBidi"/>
          <w:color w:val="0D0D0D" w:themeColor="text1" w:themeTint="F2"/>
        </w:rPr>
        <w:t>digjital</w:t>
      </w:r>
      <w:r w:rsidRPr="00770F9D">
        <w:rPr>
          <w:rFonts w:ascii="Garamond" w:hAnsi="Garamond" w:cstheme="majorBidi"/>
          <w:color w:val="0D0D0D" w:themeColor="text1" w:themeTint="F2"/>
        </w:rPr>
        <w:t>izimin e procesit të aplikimit, për të lehtësuar më tej aksesin në programe dhe financa, AIDA-s i mungon një sistem shkëmbimi informacioni për të forcuar bashkëpunimin e saj me dhomat lokale të tregtisë dhe shoqatat e biznesit jashtë Tiranës. Sistemi i koordinimit të shkëmbimit të informacionit ndërmjet zyrës qendrore të AIDA-s dhe organeve të tjera shtetërore përkatëse, si zyra e taksave apo bashkitë vendore, mund të ndihmojë SME-të në procesin e tyre të aplikimit</w:t>
      </w:r>
      <w:r w:rsidR="00636714"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duke ulur barrën administrative me të cilat përballen.</w:t>
      </w:r>
    </w:p>
    <w:p w14:paraId="585F37BC" w14:textId="6A201111" w:rsidR="003E586A" w:rsidRPr="00770F9D" w:rsidRDefault="003E586A"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Ofrimi i trajnimeve dhe mbështetjes për NVM-të ende mungon. Krijimi i një baze të dhënash të kërkueshme të trajnimit dhe mbështetjes në dispozicion të SME-ve dhe punonjësve të tyre në faqen e internetit të AIDA-s dhe udhëzues për programet më të gjera të mbështetjes dhe trajnimit nga burime qeveritare dhe joqeveritare. Në strategjinë BIDS parashikohet ngritja e një sektori trajnimi brenda AIDA-s. Gjithashtu, në ligjin nr. 43/2022</w:t>
      </w:r>
      <w:r w:rsidR="00636714"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të miratuar së fundmi, neni 13 “Shërbimet publike për sipërmarrjet”, përcakton se AIDA do të ofrojë shërbimet publike të nevojshme për sipërmarrjet mikro, të vogla dhe të mesme. Krahas përcaktimeve të dhëna në legjislacionin në fuqi për krijimin dhe mënyrën e organizimit dhe funksionimit të AIDA-s, AIDA do të kryejë funksionet e dhënies së informacionit, konsulencës, zhvillimit të biznesit, trajnimit, zhvillimit ose rikualifikimit profesional, shërbimeve metodologjike për sipërmarrjet. </w:t>
      </w:r>
    </w:p>
    <w:p w14:paraId="49D82F41" w14:textId="77777777" w:rsidR="003E586A" w:rsidRPr="00770F9D" w:rsidRDefault="003E586A"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Ende mungon kapaciteti i NVM-ve për të investuar në trajnime për drejtuesit dhe fuqinë punëtore. Ato mund të mbështeten nga trajnimet përkatëse të financuara nga qeveria, për të mbyllur boshllëqet e aftësive dhe për të rritur aftësitë e fuqisë punëtore.</w:t>
      </w:r>
    </w:p>
    <w:p w14:paraId="72F09887" w14:textId="107FA4DF" w:rsidR="00E43001" w:rsidRPr="00770F9D" w:rsidRDefault="00E43001" w:rsidP="00400806">
      <w:pPr>
        <w:ind w:firstLine="284"/>
        <w:jc w:val="both"/>
        <w:rPr>
          <w:rFonts w:ascii="Garamond" w:hAnsi="Garamond" w:cstheme="majorBidi"/>
          <w:color w:val="0D0D0D" w:themeColor="text1" w:themeTint="F2"/>
          <w:lang w:eastAsia="en-GB"/>
        </w:rPr>
      </w:pPr>
      <w:r w:rsidRPr="00770F9D">
        <w:rPr>
          <w:rFonts w:ascii="Garamond" w:hAnsi="Garamond" w:cstheme="majorBidi"/>
          <w:color w:val="0D0D0D" w:themeColor="text1" w:themeTint="F2"/>
          <w:lang w:eastAsia="en-GB"/>
        </w:rPr>
        <w:t>Për të përmirësuar klimën e investimeve në Shqipëri, synimi kryesor është krijimi i politikave të qëndrueshme makroekonomike, por në të njëjtën kohë puna për rritjen e ndërgjegjësimit dhe përhapjen e informacionit nëpërmjet kanaleve të duhura dhe përkatëse të komunikimit me palët e interesuara dhe aktorët kryesorë për t</w:t>
      </w:r>
      <w:r w:rsidR="00EB2441" w:rsidRPr="00770F9D">
        <w:rPr>
          <w:rFonts w:ascii="Garamond" w:hAnsi="Garamond" w:cstheme="majorBidi"/>
          <w:color w:val="0D0D0D" w:themeColor="text1" w:themeTint="F2"/>
          <w:lang w:eastAsia="en-GB"/>
        </w:rPr>
        <w:t>’</w:t>
      </w:r>
      <w:r w:rsidRPr="00770F9D">
        <w:rPr>
          <w:rFonts w:ascii="Garamond" w:hAnsi="Garamond" w:cstheme="majorBidi"/>
          <w:color w:val="0D0D0D" w:themeColor="text1" w:themeTint="F2"/>
          <w:lang w:eastAsia="en-GB"/>
        </w:rPr>
        <w:t>u ofruar atyre një mjedis më të parashikueshëm për marrjen e vendimeve për investime. Kur punohet për krijimin e një mjedisi investimi biznesi të sigurt dhe të sigurt, të përbërë nga kuadri ligjor, rregullator, politika dhe institucional për veprimtarinë e biznesit në Shqipëri, një nga sfidat kryesore me të cilat përballemi është fakti se një analizë e plotë e asaj që i bën investitorët të ndihen se investimet e tyre janë “mjaft të sigurta” nuk është bërë.</w:t>
      </w:r>
    </w:p>
    <w:p w14:paraId="27B19B9C" w14:textId="413374F5" w:rsidR="002C35C9" w:rsidRPr="00770F9D" w:rsidRDefault="00E43001" w:rsidP="00400806">
      <w:pPr>
        <w:snapToGrid w:val="0"/>
        <w:ind w:firstLine="284"/>
        <w:jc w:val="both"/>
        <w:rPr>
          <w:rFonts w:ascii="Garamond" w:hAnsi="Garamond" w:cstheme="majorBidi"/>
          <w:color w:val="0D0D0D" w:themeColor="text1" w:themeTint="F2"/>
          <w:lang w:eastAsia="en-GB"/>
        </w:rPr>
      </w:pPr>
      <w:r w:rsidRPr="00770F9D">
        <w:rPr>
          <w:rFonts w:ascii="Garamond" w:hAnsi="Garamond" w:cstheme="majorBidi"/>
          <w:color w:val="0D0D0D" w:themeColor="text1" w:themeTint="F2"/>
          <w:lang w:eastAsia="en-GB"/>
        </w:rPr>
        <w:t>Kjo mund të bëhet përmes raporteve të thjeshta, kërkimeve apo edhe anketave</w:t>
      </w:r>
      <w:r w:rsidR="00EF2AEB" w:rsidRPr="00770F9D">
        <w:rPr>
          <w:rFonts w:ascii="Garamond" w:hAnsi="Garamond" w:cstheme="majorBidi"/>
          <w:color w:val="0D0D0D" w:themeColor="text1" w:themeTint="F2"/>
          <w:lang w:eastAsia="en-GB"/>
        </w:rPr>
        <w:t>,</w:t>
      </w:r>
      <w:r w:rsidRPr="00770F9D">
        <w:rPr>
          <w:rFonts w:ascii="Garamond" w:hAnsi="Garamond" w:cstheme="majorBidi"/>
          <w:color w:val="0D0D0D" w:themeColor="text1" w:themeTint="F2"/>
          <w:lang w:eastAsia="en-GB"/>
        </w:rPr>
        <w:t xml:space="preserve"> se cilat janë politikat e qeverisë që po përqafohen nga investitorët, si është roli i dhomave të tregtisë dhe grupeve të tjera të biznesit në Shqipëri që punojnë për investitorët, të cilët janë mundësitë në të cilat ata duan të fokusohen, të cilat mund të sjellin të dhëna shumë të rëndësishme veçanërisht për qeverinë.</w:t>
      </w:r>
    </w:p>
    <w:p w14:paraId="43213EBC" w14:textId="63732591" w:rsidR="00D97A26" w:rsidRPr="00770F9D" w:rsidRDefault="001A6B6E" w:rsidP="00400806">
      <w:pPr>
        <w:pStyle w:val="NormalWeb"/>
        <w:spacing w:before="0" w:beforeAutospacing="0" w:after="0" w:afterAutospacing="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Projekti EU4Innovation – faza II, me financim</w:t>
      </w:r>
      <w:r w:rsidR="00D97A26" w:rsidRPr="00770F9D">
        <w:rPr>
          <w:rFonts w:ascii="Garamond" w:hAnsi="Garamond" w:cstheme="majorBidi"/>
          <w:color w:val="0D0D0D" w:themeColor="text1" w:themeTint="F2"/>
        </w:rPr>
        <w:t xml:space="preserve"> nga</w:t>
      </w:r>
      <w:r w:rsidRPr="00770F9D">
        <w:rPr>
          <w:rFonts w:ascii="Garamond" w:hAnsi="Garamond" w:cstheme="majorBidi"/>
          <w:color w:val="0D0D0D" w:themeColor="text1" w:themeTint="F2"/>
        </w:rPr>
        <w:t xml:space="preserve"> IPA III 2021 në vlerën 10 milionë euro, është mi</w:t>
      </w:r>
      <w:r w:rsidR="00D97A26" w:rsidRPr="00770F9D">
        <w:rPr>
          <w:rFonts w:ascii="Garamond" w:hAnsi="Garamond" w:cstheme="majorBidi"/>
          <w:color w:val="0D0D0D" w:themeColor="text1" w:themeTint="F2"/>
        </w:rPr>
        <w:t>r</w:t>
      </w:r>
      <w:r w:rsidRPr="00770F9D">
        <w:rPr>
          <w:rFonts w:ascii="Garamond" w:hAnsi="Garamond" w:cstheme="majorBidi"/>
          <w:color w:val="0D0D0D" w:themeColor="text1" w:themeTint="F2"/>
        </w:rPr>
        <w:t>atuar nga Delegacioni i BE-së në Shqipëri për një periudhë 3</w:t>
      </w:r>
      <w:r w:rsidR="00871357"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vjeçare. </w:t>
      </w:r>
      <w:r w:rsidR="00871357" w:rsidRPr="00770F9D">
        <w:rPr>
          <w:rFonts w:ascii="Garamond" w:hAnsi="Garamond" w:cstheme="majorBidi"/>
          <w:color w:val="0D0D0D" w:themeColor="text1" w:themeTint="F2"/>
        </w:rPr>
        <w:t>Qëllimet</w:t>
      </w:r>
      <w:r w:rsidR="00D97A26" w:rsidRPr="00770F9D">
        <w:rPr>
          <w:rFonts w:ascii="Garamond" w:hAnsi="Garamond" w:cstheme="majorBidi"/>
          <w:color w:val="0D0D0D" w:themeColor="text1" w:themeTint="F2"/>
        </w:rPr>
        <w:t xml:space="preserve"> e p</w:t>
      </w:r>
      <w:r w:rsidRPr="00770F9D">
        <w:rPr>
          <w:rFonts w:ascii="Garamond" w:hAnsi="Garamond" w:cstheme="majorBidi"/>
          <w:color w:val="0D0D0D" w:themeColor="text1" w:themeTint="F2"/>
        </w:rPr>
        <w:t xml:space="preserve">rojekti </w:t>
      </w:r>
      <w:r w:rsidR="00D97A26" w:rsidRPr="00770F9D">
        <w:rPr>
          <w:rFonts w:ascii="Garamond" w:hAnsi="Garamond" w:cstheme="majorBidi"/>
          <w:color w:val="0D0D0D" w:themeColor="text1" w:themeTint="F2"/>
        </w:rPr>
        <w:t>janë</w:t>
      </w:r>
      <w:r w:rsidR="00871357"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i</w:t>
      </w:r>
      <w:r w:rsidR="00871357" w:rsidRPr="00770F9D">
        <w:rPr>
          <w:rFonts w:ascii="Garamond" w:hAnsi="Garamond" w:cstheme="majorBidi"/>
          <w:color w:val="0D0D0D" w:themeColor="text1" w:themeTint="F2"/>
        </w:rPr>
        <w:t>.</w:t>
      </w:r>
      <w:r w:rsidR="00D97A26" w:rsidRPr="00770F9D">
        <w:rPr>
          <w:rFonts w:ascii="Garamond" w:hAnsi="Garamond" w:cstheme="majorBidi"/>
          <w:color w:val="0D0D0D" w:themeColor="text1" w:themeTint="F2"/>
        </w:rPr>
        <w:t xml:space="preserve"> ndikim i</w:t>
      </w:r>
      <w:r w:rsidRPr="00770F9D">
        <w:rPr>
          <w:rFonts w:ascii="Garamond" w:hAnsi="Garamond" w:cstheme="majorBidi"/>
          <w:color w:val="0D0D0D" w:themeColor="text1" w:themeTint="F2"/>
        </w:rPr>
        <w:t xml:space="preserve"> drejtpërdrejtë në përmirësim të klimës së biznesit, të investimeve dhe ekosistemit të inovacionit;</w:t>
      </w:r>
      <w:r w:rsidR="00871357"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ii</w:t>
      </w:r>
      <w:r w:rsidR="00871357"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rri</w:t>
      </w:r>
      <w:r w:rsidR="00D97A26" w:rsidRPr="00770F9D">
        <w:rPr>
          <w:rFonts w:ascii="Garamond" w:hAnsi="Garamond" w:cstheme="majorBidi"/>
          <w:color w:val="0D0D0D" w:themeColor="text1" w:themeTint="F2"/>
        </w:rPr>
        <w:t>tja e</w:t>
      </w:r>
      <w:r w:rsidRPr="00770F9D">
        <w:rPr>
          <w:rFonts w:ascii="Garamond" w:hAnsi="Garamond" w:cstheme="majorBidi"/>
          <w:color w:val="0D0D0D" w:themeColor="text1" w:themeTint="F2"/>
        </w:rPr>
        <w:t xml:space="preserve"> kapacitete</w:t>
      </w:r>
      <w:r w:rsidR="00D97A26" w:rsidRPr="00770F9D">
        <w:rPr>
          <w:rFonts w:ascii="Garamond" w:hAnsi="Garamond" w:cstheme="majorBidi"/>
          <w:color w:val="0D0D0D" w:themeColor="text1" w:themeTint="F2"/>
        </w:rPr>
        <w:t>ve</w:t>
      </w:r>
      <w:r w:rsidRPr="00770F9D">
        <w:rPr>
          <w:rFonts w:ascii="Garamond" w:hAnsi="Garamond" w:cstheme="majorBidi"/>
          <w:color w:val="0D0D0D" w:themeColor="text1" w:themeTint="F2"/>
        </w:rPr>
        <w:t xml:space="preserve"> për kërkimin shkencor</w:t>
      </w:r>
      <w:r w:rsidR="00D97A26" w:rsidRPr="00770F9D">
        <w:rPr>
          <w:rFonts w:ascii="Garamond" w:hAnsi="Garamond" w:cstheme="majorBidi"/>
          <w:color w:val="0D0D0D" w:themeColor="text1" w:themeTint="F2"/>
        </w:rPr>
        <w:t>; ii</w:t>
      </w:r>
      <w:r w:rsidR="00871357"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w:t>
      </w:r>
      <w:r w:rsidR="00D97A26" w:rsidRPr="00770F9D">
        <w:rPr>
          <w:rFonts w:ascii="Garamond" w:hAnsi="Garamond" w:cstheme="majorBidi"/>
          <w:color w:val="0D0D0D" w:themeColor="text1" w:themeTint="F2"/>
        </w:rPr>
        <w:t>z</w:t>
      </w:r>
      <w:r w:rsidRPr="00770F9D">
        <w:rPr>
          <w:rFonts w:ascii="Garamond" w:hAnsi="Garamond" w:cstheme="majorBidi"/>
          <w:color w:val="0D0D0D" w:themeColor="text1" w:themeTint="F2"/>
        </w:rPr>
        <w:t xml:space="preserve">hvillimi </w:t>
      </w:r>
      <w:r w:rsidR="00D97A26" w:rsidRPr="00770F9D">
        <w:rPr>
          <w:rFonts w:ascii="Garamond" w:hAnsi="Garamond" w:cstheme="majorBidi"/>
          <w:color w:val="0D0D0D" w:themeColor="text1" w:themeTint="F2"/>
        </w:rPr>
        <w:t>i</w:t>
      </w:r>
      <w:r w:rsidRPr="00770F9D">
        <w:rPr>
          <w:rFonts w:ascii="Garamond" w:hAnsi="Garamond" w:cstheme="majorBidi"/>
          <w:color w:val="0D0D0D" w:themeColor="text1" w:themeTint="F2"/>
        </w:rPr>
        <w:t xml:space="preserve"> teknologjisë dhe inovacionit</w:t>
      </w:r>
      <w:r w:rsidR="00D97A26" w:rsidRPr="00770F9D">
        <w:rPr>
          <w:rFonts w:ascii="Garamond" w:hAnsi="Garamond" w:cstheme="majorBidi"/>
          <w:color w:val="0D0D0D" w:themeColor="text1" w:themeTint="F2"/>
        </w:rPr>
        <w:t>; iv</w:t>
      </w:r>
      <w:r w:rsidR="00871357"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w:t>
      </w:r>
      <w:r w:rsidR="00D97A26" w:rsidRPr="00770F9D">
        <w:rPr>
          <w:rFonts w:ascii="Garamond" w:hAnsi="Garamond" w:cstheme="majorBidi"/>
          <w:color w:val="0D0D0D" w:themeColor="text1" w:themeTint="F2"/>
        </w:rPr>
        <w:t>i</w:t>
      </w:r>
      <w:r w:rsidRPr="00770F9D">
        <w:rPr>
          <w:rFonts w:ascii="Garamond" w:hAnsi="Garamond" w:cstheme="majorBidi"/>
          <w:color w:val="0D0D0D" w:themeColor="text1" w:themeTint="F2"/>
        </w:rPr>
        <w:t>ntegrimi dhe mbështetja n</w:t>
      </w:r>
      <w:r w:rsidR="00D97A26" w:rsidRPr="00770F9D">
        <w:rPr>
          <w:rFonts w:ascii="Garamond" w:hAnsi="Garamond" w:cstheme="majorBidi"/>
          <w:color w:val="0D0D0D" w:themeColor="text1" w:themeTint="F2"/>
        </w:rPr>
        <w:t>ë</w:t>
      </w:r>
      <w:r w:rsidRPr="00770F9D">
        <w:rPr>
          <w:rFonts w:ascii="Garamond" w:hAnsi="Garamond" w:cstheme="majorBidi"/>
          <w:color w:val="0D0D0D" w:themeColor="text1" w:themeTint="F2"/>
        </w:rPr>
        <w:t xml:space="preserve"> hartimin dhe </w:t>
      </w:r>
      <w:r w:rsidR="00D97A26" w:rsidRPr="00770F9D">
        <w:rPr>
          <w:rFonts w:ascii="Garamond" w:hAnsi="Garamond" w:cstheme="majorBidi"/>
          <w:color w:val="0D0D0D" w:themeColor="text1" w:themeTint="F2"/>
        </w:rPr>
        <w:t>zbatimin</w:t>
      </w:r>
      <w:r w:rsidRPr="00770F9D">
        <w:rPr>
          <w:rFonts w:ascii="Garamond" w:hAnsi="Garamond" w:cstheme="majorBidi"/>
          <w:color w:val="0D0D0D" w:themeColor="text1" w:themeTint="F2"/>
        </w:rPr>
        <w:t xml:space="preserve"> e S3 </w:t>
      </w:r>
      <w:r w:rsidRPr="00770F9D">
        <w:rPr>
          <w:rFonts w:ascii="Garamond" w:hAnsi="Garamond" w:cstheme="majorBidi"/>
          <w:i/>
          <w:iCs/>
          <w:color w:val="0D0D0D" w:themeColor="text1" w:themeTint="F2"/>
        </w:rPr>
        <w:t>(smart specialization strategy)</w:t>
      </w:r>
      <w:r w:rsidR="00D97A26" w:rsidRPr="00770F9D">
        <w:rPr>
          <w:rFonts w:ascii="Garamond" w:hAnsi="Garamond" w:cstheme="majorBidi"/>
          <w:i/>
          <w:iCs/>
          <w:color w:val="0D0D0D" w:themeColor="text1" w:themeTint="F2"/>
        </w:rPr>
        <w:t xml:space="preserve">; </w:t>
      </w:r>
      <w:r w:rsidR="00D97A26" w:rsidRPr="00770F9D">
        <w:rPr>
          <w:rFonts w:ascii="Garamond" w:hAnsi="Garamond" w:cstheme="majorBidi"/>
          <w:color w:val="0D0D0D" w:themeColor="text1" w:themeTint="F2"/>
        </w:rPr>
        <w:t>v</w:t>
      </w:r>
      <w:r w:rsidR="00871357"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w:t>
      </w:r>
      <w:r w:rsidR="00D97A26" w:rsidRPr="00770F9D">
        <w:rPr>
          <w:rFonts w:ascii="Garamond" w:hAnsi="Garamond" w:cstheme="majorBidi"/>
          <w:color w:val="0D0D0D" w:themeColor="text1" w:themeTint="F2"/>
        </w:rPr>
        <w:t>m</w:t>
      </w:r>
      <w:r w:rsidRPr="00770F9D">
        <w:rPr>
          <w:rFonts w:ascii="Garamond" w:hAnsi="Garamond" w:cstheme="majorBidi"/>
          <w:color w:val="0D0D0D" w:themeColor="text1" w:themeTint="F2"/>
        </w:rPr>
        <w:t xml:space="preserve">bështetje në rritjen e njohurive drejt një shoqërie të </w:t>
      </w:r>
      <w:r w:rsidR="00D97A26" w:rsidRPr="00770F9D">
        <w:rPr>
          <w:rFonts w:ascii="Garamond" w:hAnsi="Garamond" w:cstheme="majorBidi"/>
          <w:color w:val="0D0D0D" w:themeColor="text1" w:themeTint="F2"/>
        </w:rPr>
        <w:t>g</w:t>
      </w:r>
      <w:r w:rsidRPr="00770F9D">
        <w:rPr>
          <w:rFonts w:ascii="Garamond" w:hAnsi="Garamond" w:cstheme="majorBidi"/>
          <w:color w:val="0D0D0D" w:themeColor="text1" w:themeTint="F2"/>
        </w:rPr>
        <w:t xml:space="preserve">jelbër </w:t>
      </w:r>
      <w:r w:rsidR="00D97A26" w:rsidRPr="00770F9D">
        <w:rPr>
          <w:rFonts w:ascii="Garamond" w:hAnsi="Garamond" w:cstheme="majorBidi"/>
          <w:color w:val="0D0D0D" w:themeColor="text1" w:themeTint="F2"/>
        </w:rPr>
        <w:t>e</w:t>
      </w:r>
      <w:r w:rsidRPr="00770F9D">
        <w:rPr>
          <w:rFonts w:ascii="Garamond" w:hAnsi="Garamond" w:cstheme="majorBidi"/>
          <w:color w:val="0D0D0D" w:themeColor="text1" w:themeTint="F2"/>
        </w:rPr>
        <w:t>vropiane.</w:t>
      </w:r>
      <w:r w:rsidR="00D97A26" w:rsidRPr="00770F9D">
        <w:rPr>
          <w:rFonts w:ascii="Garamond" w:hAnsi="Garamond" w:cstheme="majorBidi"/>
          <w:color w:val="0D0D0D" w:themeColor="text1" w:themeTint="F2"/>
        </w:rPr>
        <w:t xml:space="preserve"> Fushat kryesore të ndërhyrjes së projektit janë:</w:t>
      </w:r>
    </w:p>
    <w:p w14:paraId="574525F2" w14:textId="23DF923D" w:rsidR="00D97A26" w:rsidRPr="00770F9D" w:rsidRDefault="00D97A26" w:rsidP="00400806">
      <w:pPr>
        <w:pStyle w:val="NormalWeb"/>
        <w:spacing w:before="0" w:beforeAutospacing="0" w:after="0" w:afterAutospacing="0"/>
        <w:ind w:firstLine="284"/>
        <w:jc w:val="both"/>
        <w:rPr>
          <w:rFonts w:ascii="Garamond" w:hAnsi="Garamond" w:cstheme="majorBidi"/>
        </w:rPr>
      </w:pPr>
      <w:r w:rsidRPr="00770F9D">
        <w:rPr>
          <w:rFonts w:ascii="Garamond" w:hAnsi="Garamond" w:cstheme="majorBidi"/>
        </w:rPr>
        <w:t xml:space="preserve">1. Zhvillimi i kapaciteteve me fokus ekosistemin e </w:t>
      </w:r>
      <w:r w:rsidRPr="00770F9D">
        <w:rPr>
          <w:rFonts w:ascii="Garamond" w:hAnsi="Garamond" w:cstheme="majorBidi"/>
          <w:i/>
          <w:iCs/>
        </w:rPr>
        <w:t>startup</w:t>
      </w:r>
      <w:r w:rsidRPr="00770F9D">
        <w:rPr>
          <w:rFonts w:ascii="Garamond" w:hAnsi="Garamond" w:cstheme="majorBidi"/>
        </w:rPr>
        <w:t>-eve dhe inovacionit</w:t>
      </w:r>
      <w:r w:rsidR="00046AFC" w:rsidRPr="00770F9D">
        <w:rPr>
          <w:rFonts w:ascii="Garamond" w:hAnsi="Garamond" w:cstheme="majorBidi"/>
        </w:rPr>
        <w:t>;</w:t>
      </w:r>
    </w:p>
    <w:p w14:paraId="12CD8DC8" w14:textId="06390B94" w:rsidR="00D97A26" w:rsidRPr="00770F9D" w:rsidRDefault="00D97A26" w:rsidP="00400806">
      <w:pPr>
        <w:pStyle w:val="NormalWeb"/>
        <w:spacing w:before="0" w:beforeAutospacing="0" w:after="0" w:afterAutospacing="0"/>
        <w:ind w:firstLine="284"/>
        <w:jc w:val="both"/>
        <w:rPr>
          <w:rFonts w:ascii="Garamond" w:hAnsi="Garamond" w:cstheme="majorBidi"/>
        </w:rPr>
      </w:pPr>
      <w:r w:rsidRPr="00770F9D">
        <w:rPr>
          <w:rFonts w:ascii="Garamond" w:hAnsi="Garamond" w:cstheme="majorBidi"/>
        </w:rPr>
        <w:t xml:space="preserve">2. Përmirësimi i aksesit në financimi për </w:t>
      </w:r>
      <w:r w:rsidRPr="00770F9D">
        <w:rPr>
          <w:rFonts w:ascii="Garamond" w:hAnsi="Garamond" w:cstheme="majorBidi"/>
          <w:i/>
          <w:iCs/>
        </w:rPr>
        <w:t>startup</w:t>
      </w:r>
      <w:r w:rsidRPr="00770F9D">
        <w:rPr>
          <w:rFonts w:ascii="Garamond" w:hAnsi="Garamond" w:cstheme="majorBidi"/>
        </w:rPr>
        <w:t>-et dhe organizatat mbështetëse të inovacionit nëpërmjet granteve</w:t>
      </w:r>
      <w:r w:rsidR="00046AFC" w:rsidRPr="00770F9D">
        <w:rPr>
          <w:rFonts w:ascii="Garamond" w:hAnsi="Garamond" w:cstheme="majorBidi"/>
        </w:rPr>
        <w:t>;</w:t>
      </w:r>
    </w:p>
    <w:p w14:paraId="72C4F577" w14:textId="5AA8A9D4" w:rsidR="00D97A26" w:rsidRPr="00770F9D" w:rsidRDefault="00D97A26" w:rsidP="00400806">
      <w:pPr>
        <w:pStyle w:val="NormalWeb"/>
        <w:spacing w:before="0" w:beforeAutospacing="0" w:after="0" w:afterAutospacing="0"/>
        <w:ind w:firstLine="284"/>
        <w:jc w:val="both"/>
        <w:rPr>
          <w:rFonts w:ascii="Garamond" w:hAnsi="Garamond" w:cstheme="majorBidi"/>
        </w:rPr>
      </w:pPr>
      <w:r w:rsidRPr="00770F9D">
        <w:rPr>
          <w:rFonts w:ascii="Garamond" w:hAnsi="Garamond" w:cstheme="majorBidi"/>
        </w:rPr>
        <w:t xml:space="preserve">3. Promovimi dhe zbatimi i qasjes </w:t>
      </w:r>
      <w:r w:rsidRPr="00770F9D">
        <w:rPr>
          <w:rFonts w:ascii="Garamond" w:hAnsi="Garamond" w:cstheme="majorBidi"/>
          <w:i/>
          <w:iCs/>
        </w:rPr>
        <w:t>Quadruple Helix</w:t>
      </w:r>
      <w:r w:rsidR="00046AFC" w:rsidRPr="00770F9D">
        <w:rPr>
          <w:rFonts w:ascii="Garamond" w:hAnsi="Garamond" w:cstheme="majorBidi"/>
          <w:i/>
          <w:iCs/>
        </w:rPr>
        <w:t>;</w:t>
      </w:r>
    </w:p>
    <w:p w14:paraId="0909BED6" w14:textId="78175C17" w:rsidR="00D97A26" w:rsidRPr="00770F9D" w:rsidRDefault="00D97A26" w:rsidP="00400806">
      <w:pPr>
        <w:pStyle w:val="NormalWeb"/>
        <w:spacing w:before="0" w:beforeAutospacing="0" w:after="0" w:afterAutospacing="0"/>
        <w:ind w:firstLine="284"/>
        <w:jc w:val="both"/>
        <w:rPr>
          <w:rFonts w:ascii="Garamond" w:hAnsi="Garamond" w:cstheme="majorBidi"/>
        </w:rPr>
      </w:pPr>
      <w:r w:rsidRPr="00770F9D">
        <w:rPr>
          <w:rFonts w:ascii="Garamond" w:hAnsi="Garamond" w:cstheme="majorBidi"/>
        </w:rPr>
        <w:t>4. Fuqizimi i rrjeteve rajonale dhe ndërkombëtare të ekosistemit</w:t>
      </w:r>
      <w:r w:rsidR="00046AFC" w:rsidRPr="00770F9D">
        <w:rPr>
          <w:rFonts w:ascii="Garamond" w:hAnsi="Garamond" w:cstheme="majorBidi"/>
        </w:rPr>
        <w:t xml:space="preserve"> të</w:t>
      </w:r>
      <w:r w:rsidRPr="00770F9D">
        <w:rPr>
          <w:rFonts w:ascii="Garamond" w:hAnsi="Garamond" w:cstheme="majorBidi"/>
        </w:rPr>
        <w:t xml:space="preserve"> </w:t>
      </w:r>
      <w:r w:rsidRPr="00770F9D">
        <w:rPr>
          <w:rFonts w:ascii="Garamond" w:hAnsi="Garamond" w:cstheme="majorBidi"/>
          <w:i/>
          <w:iCs/>
        </w:rPr>
        <w:t>start-up</w:t>
      </w:r>
      <w:r w:rsidR="00046AFC" w:rsidRPr="00770F9D">
        <w:rPr>
          <w:rFonts w:ascii="Garamond" w:hAnsi="Garamond" w:cstheme="majorBidi"/>
          <w:i/>
          <w:iCs/>
        </w:rPr>
        <w:t>-</w:t>
      </w:r>
      <w:r w:rsidR="00046AFC" w:rsidRPr="00770F9D">
        <w:rPr>
          <w:rFonts w:ascii="Garamond" w:hAnsi="Garamond" w:cstheme="majorBidi"/>
        </w:rPr>
        <w:t>it,</w:t>
      </w:r>
      <w:r w:rsidRPr="00770F9D">
        <w:rPr>
          <w:rFonts w:ascii="Garamond" w:hAnsi="Garamond" w:cstheme="majorBidi"/>
        </w:rPr>
        <w:t xml:space="preserve"> ku përfshihen:</w:t>
      </w:r>
    </w:p>
    <w:p w14:paraId="55EABABC" w14:textId="3334D86A" w:rsidR="00D97A26" w:rsidRPr="00770F9D" w:rsidRDefault="00413679" w:rsidP="00400806">
      <w:pPr>
        <w:pStyle w:val="NormalWeb"/>
        <w:spacing w:before="0" w:beforeAutospacing="0" w:after="0" w:afterAutospacing="0"/>
        <w:ind w:firstLine="284"/>
        <w:jc w:val="both"/>
        <w:rPr>
          <w:rFonts w:ascii="Garamond" w:hAnsi="Garamond" w:cstheme="majorBidi"/>
        </w:rPr>
      </w:pPr>
      <w:r w:rsidRPr="00770F9D">
        <w:rPr>
          <w:rFonts w:ascii="Garamond" w:hAnsi="Garamond" w:cstheme="majorBidi"/>
        </w:rPr>
        <w:t>-</w:t>
      </w:r>
      <w:r w:rsidR="00D97A26" w:rsidRPr="00770F9D">
        <w:rPr>
          <w:rFonts w:ascii="Garamond" w:hAnsi="Garamond" w:cstheme="majorBidi"/>
        </w:rPr>
        <w:t xml:space="preserve"> Lehtësuesit si dhe vete </w:t>
      </w:r>
      <w:r w:rsidR="00D97A26" w:rsidRPr="00770F9D">
        <w:rPr>
          <w:rFonts w:ascii="Garamond" w:hAnsi="Garamond" w:cstheme="majorBidi"/>
          <w:i/>
          <w:iCs/>
        </w:rPr>
        <w:t>start-up</w:t>
      </w:r>
      <w:r w:rsidR="00046AFC" w:rsidRPr="00770F9D">
        <w:rPr>
          <w:rFonts w:ascii="Garamond" w:hAnsi="Garamond" w:cstheme="majorBidi"/>
          <w:i/>
          <w:iCs/>
        </w:rPr>
        <w:t>;</w:t>
      </w:r>
    </w:p>
    <w:p w14:paraId="290A9178" w14:textId="0D5F304E" w:rsidR="00D97A26" w:rsidRPr="00770F9D" w:rsidRDefault="00413679" w:rsidP="00400806">
      <w:pPr>
        <w:pStyle w:val="NormalWeb"/>
        <w:spacing w:before="0" w:beforeAutospacing="0" w:after="0" w:afterAutospacing="0"/>
        <w:ind w:firstLine="284"/>
        <w:jc w:val="both"/>
        <w:rPr>
          <w:rFonts w:ascii="Garamond" w:hAnsi="Garamond" w:cstheme="majorBidi"/>
        </w:rPr>
      </w:pPr>
      <w:r w:rsidRPr="00770F9D">
        <w:rPr>
          <w:rFonts w:ascii="Garamond" w:hAnsi="Garamond" w:cstheme="majorBidi"/>
        </w:rPr>
        <w:t>-</w:t>
      </w:r>
      <w:r w:rsidR="00D97A26" w:rsidRPr="00770F9D">
        <w:rPr>
          <w:rFonts w:ascii="Garamond" w:hAnsi="Garamond" w:cstheme="majorBidi"/>
        </w:rPr>
        <w:t xml:space="preserve"> Investitorët potencialë engjëj</w:t>
      </w:r>
      <w:r w:rsidR="00046AFC" w:rsidRPr="00770F9D">
        <w:rPr>
          <w:rFonts w:ascii="Garamond" w:hAnsi="Garamond" w:cstheme="majorBidi"/>
        </w:rPr>
        <w:t>;</w:t>
      </w:r>
    </w:p>
    <w:p w14:paraId="157B73E6" w14:textId="17CCD2FE" w:rsidR="00D97A26" w:rsidRPr="00770F9D" w:rsidRDefault="00413679" w:rsidP="00400806">
      <w:pPr>
        <w:pStyle w:val="NormalWeb"/>
        <w:spacing w:before="0" w:beforeAutospacing="0" w:after="0" w:afterAutospacing="0"/>
        <w:ind w:firstLine="284"/>
        <w:jc w:val="both"/>
        <w:rPr>
          <w:rFonts w:ascii="Garamond" w:hAnsi="Garamond" w:cstheme="majorBidi"/>
        </w:rPr>
      </w:pPr>
      <w:r w:rsidRPr="00770F9D">
        <w:rPr>
          <w:rFonts w:ascii="Garamond" w:hAnsi="Garamond" w:cstheme="majorBidi"/>
        </w:rPr>
        <w:t>-</w:t>
      </w:r>
      <w:r w:rsidR="00D97A26" w:rsidRPr="00770F9D">
        <w:rPr>
          <w:rFonts w:ascii="Garamond" w:hAnsi="Garamond" w:cstheme="majorBidi"/>
        </w:rPr>
        <w:t xml:space="preserve"> Format e reja të ngritjes së kapitalit për sipërmarrësit</w:t>
      </w:r>
      <w:r w:rsidR="00046AFC" w:rsidRPr="00770F9D">
        <w:rPr>
          <w:rFonts w:ascii="Garamond" w:hAnsi="Garamond" w:cstheme="majorBidi"/>
        </w:rPr>
        <w:t>;</w:t>
      </w:r>
    </w:p>
    <w:p w14:paraId="32F357B6" w14:textId="0DDB4F86" w:rsidR="001A6B6E" w:rsidRPr="00770F9D" w:rsidRDefault="00413679" w:rsidP="00400806">
      <w:pPr>
        <w:snapToGrid w:val="0"/>
        <w:ind w:firstLine="284"/>
        <w:jc w:val="both"/>
        <w:rPr>
          <w:rFonts w:ascii="Garamond" w:hAnsi="Garamond" w:cstheme="majorBidi"/>
          <w:color w:val="0D0D0D" w:themeColor="text1" w:themeTint="F2"/>
        </w:rPr>
      </w:pPr>
      <w:r w:rsidRPr="00770F9D">
        <w:rPr>
          <w:rFonts w:ascii="Garamond" w:hAnsi="Garamond" w:cstheme="majorBidi"/>
        </w:rPr>
        <w:t xml:space="preserve">- </w:t>
      </w:r>
      <w:r w:rsidR="00D97A26" w:rsidRPr="00770F9D">
        <w:rPr>
          <w:rFonts w:ascii="Garamond" w:hAnsi="Garamond" w:cstheme="majorBidi"/>
        </w:rPr>
        <w:t>Njohja me mënyrat e qëndrueshme të financimit të lehtësuesve në terma afatgjatë.</w:t>
      </w:r>
    </w:p>
    <w:p w14:paraId="63AB78A6" w14:textId="20C212F4" w:rsidR="00CD0E63" w:rsidRPr="00770F9D" w:rsidRDefault="00046AFC"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Marrëveshja</w:t>
      </w:r>
      <w:r w:rsidR="00F644BF" w:rsidRPr="00770F9D">
        <w:rPr>
          <w:rFonts w:ascii="Garamond" w:hAnsi="Garamond" w:cstheme="majorBidi"/>
          <w:color w:val="0D0D0D" w:themeColor="text1" w:themeTint="F2"/>
        </w:rPr>
        <w:t xml:space="preserve"> kuadër IPA III u miratua më 15.9.2022 më pas është miratuar </w:t>
      </w:r>
      <w:r w:rsidRPr="00770F9D">
        <w:rPr>
          <w:rFonts w:ascii="Garamond" w:hAnsi="Garamond" w:cstheme="majorBidi"/>
          <w:color w:val="0D0D0D" w:themeColor="text1" w:themeTint="F2"/>
        </w:rPr>
        <w:t>marrëveshja financi</w:t>
      </w:r>
      <w:r w:rsidR="00F644BF" w:rsidRPr="00770F9D">
        <w:rPr>
          <w:rFonts w:ascii="Garamond" w:hAnsi="Garamond" w:cstheme="majorBidi"/>
          <w:color w:val="0D0D0D" w:themeColor="text1" w:themeTint="F2"/>
        </w:rPr>
        <w:t>are IPA III 2021 më 12.12.2022 dhe</w:t>
      </w:r>
      <w:r w:rsidRPr="00770F9D">
        <w:rPr>
          <w:rFonts w:ascii="Garamond" w:hAnsi="Garamond" w:cstheme="majorBidi"/>
          <w:color w:val="0D0D0D" w:themeColor="text1" w:themeTint="F2"/>
        </w:rPr>
        <w:t>,</w:t>
      </w:r>
      <w:r w:rsidR="00F644BF" w:rsidRPr="00770F9D">
        <w:rPr>
          <w:rFonts w:ascii="Garamond" w:hAnsi="Garamond" w:cstheme="majorBidi"/>
          <w:color w:val="0D0D0D" w:themeColor="text1" w:themeTint="F2"/>
        </w:rPr>
        <w:t xml:space="preserve"> gjithashtu</w:t>
      </w:r>
      <w:r w:rsidRPr="00770F9D">
        <w:rPr>
          <w:rFonts w:ascii="Garamond" w:hAnsi="Garamond" w:cstheme="majorBidi"/>
          <w:color w:val="0D0D0D" w:themeColor="text1" w:themeTint="F2"/>
        </w:rPr>
        <w:t>,</w:t>
      </w:r>
      <w:r w:rsidR="00F644BF" w:rsidRPr="00770F9D">
        <w:rPr>
          <w:rFonts w:ascii="Garamond" w:hAnsi="Garamond" w:cstheme="majorBidi"/>
          <w:color w:val="0D0D0D" w:themeColor="text1" w:themeTint="F2"/>
        </w:rPr>
        <w:t xml:space="preserve"> është nënshkruar kontrata ndërmjet DBE dhe GIZ/SIDA</w:t>
      </w:r>
      <w:r w:rsidRPr="00770F9D">
        <w:rPr>
          <w:rFonts w:ascii="Garamond" w:hAnsi="Garamond" w:cstheme="majorBidi"/>
          <w:color w:val="0D0D0D" w:themeColor="text1" w:themeTint="F2"/>
        </w:rPr>
        <w:t>,</w:t>
      </w:r>
      <w:r w:rsidR="00F644BF" w:rsidRPr="00770F9D">
        <w:rPr>
          <w:rFonts w:ascii="Garamond" w:hAnsi="Garamond" w:cstheme="majorBidi"/>
          <w:color w:val="0D0D0D" w:themeColor="text1" w:themeTint="F2"/>
        </w:rPr>
        <w:t xml:space="preserve"> si agjencitë zbatuese të projektit. Pritet të fillojnë diskutimet rreth planit të aktiviteteve.</w:t>
      </w:r>
    </w:p>
    <w:p w14:paraId="4440755C" w14:textId="3B12170D" w:rsidR="004F312A" w:rsidRPr="00770F9D" w:rsidRDefault="00413679" w:rsidP="00400806">
      <w:pPr>
        <w:pStyle w:val="Heading4"/>
        <w:snapToGrid w:val="0"/>
        <w:ind w:left="0" w:firstLine="284"/>
        <w:jc w:val="both"/>
        <w:rPr>
          <w:rFonts w:ascii="Garamond" w:hAnsi="Garamond" w:cstheme="majorBidi"/>
          <w:b w:val="0"/>
          <w:i/>
          <w:color w:val="0D0D0D" w:themeColor="text1" w:themeTint="F2"/>
          <w:sz w:val="24"/>
          <w:szCs w:val="24"/>
        </w:rPr>
      </w:pPr>
      <w:r w:rsidRPr="00770F9D">
        <w:rPr>
          <w:rFonts w:ascii="Garamond" w:hAnsi="Garamond" w:cstheme="majorBidi"/>
          <w:b w:val="0"/>
          <w:i/>
          <w:color w:val="0D0D0D" w:themeColor="text1" w:themeTint="F2"/>
          <w:sz w:val="24"/>
          <w:szCs w:val="24"/>
        </w:rPr>
        <w:t>b</w:t>
      </w:r>
      <w:r w:rsidR="00046AFC" w:rsidRPr="00770F9D">
        <w:rPr>
          <w:rFonts w:ascii="Garamond" w:hAnsi="Garamond" w:cstheme="majorBidi"/>
          <w:b w:val="0"/>
          <w:i/>
          <w:color w:val="0D0D0D" w:themeColor="text1" w:themeTint="F2"/>
          <w:sz w:val="24"/>
          <w:szCs w:val="24"/>
        </w:rPr>
        <w:t>)</w:t>
      </w:r>
      <w:r w:rsidRPr="00770F9D">
        <w:rPr>
          <w:rFonts w:ascii="Garamond" w:hAnsi="Garamond" w:cstheme="majorBidi"/>
          <w:b w:val="0"/>
          <w:i/>
          <w:color w:val="0D0D0D" w:themeColor="text1" w:themeTint="F2"/>
          <w:sz w:val="24"/>
          <w:szCs w:val="24"/>
        </w:rPr>
        <w:t xml:space="preserve"> </w:t>
      </w:r>
      <w:r w:rsidR="00B2062A" w:rsidRPr="00770F9D">
        <w:rPr>
          <w:rFonts w:ascii="Garamond" w:hAnsi="Garamond" w:cstheme="majorBidi"/>
          <w:b w:val="0"/>
          <w:i/>
          <w:color w:val="0D0D0D" w:themeColor="text1" w:themeTint="F2"/>
          <w:sz w:val="24"/>
          <w:szCs w:val="24"/>
        </w:rPr>
        <w:t>Masat e reformës</w:t>
      </w:r>
    </w:p>
    <w:p w14:paraId="77E32A54" w14:textId="77777777" w:rsidR="004F312A" w:rsidRPr="00770F9D" w:rsidRDefault="00B2062A" w:rsidP="00400806">
      <w:pPr>
        <w:pStyle w:val="Heading5"/>
        <w:snapToGrid w:val="0"/>
        <w:ind w:left="0" w:firstLine="284"/>
        <w:jc w:val="both"/>
        <w:rPr>
          <w:rFonts w:ascii="Garamond" w:hAnsi="Garamond" w:cstheme="majorBidi"/>
          <w:i w:val="0"/>
          <w:color w:val="0D0D0D" w:themeColor="text1" w:themeTint="F2"/>
          <w:sz w:val="24"/>
          <w:szCs w:val="24"/>
        </w:rPr>
      </w:pPr>
      <w:r w:rsidRPr="00770F9D">
        <w:rPr>
          <w:rFonts w:ascii="Garamond" w:hAnsi="Garamond" w:cstheme="majorBidi"/>
          <w:i w:val="0"/>
          <w:color w:val="0D0D0D" w:themeColor="text1" w:themeTint="F2"/>
          <w:sz w:val="24"/>
          <w:szCs w:val="24"/>
        </w:rPr>
        <w:t>Masa e reformës</w:t>
      </w:r>
      <w:r w:rsidR="005358F8" w:rsidRPr="00770F9D">
        <w:rPr>
          <w:rFonts w:ascii="Garamond" w:hAnsi="Garamond" w:cstheme="majorBidi"/>
          <w:i w:val="0"/>
          <w:color w:val="0D0D0D" w:themeColor="text1" w:themeTint="F2"/>
          <w:sz w:val="24"/>
          <w:szCs w:val="24"/>
        </w:rPr>
        <w:t xml:space="preserve"> 06</w:t>
      </w:r>
      <w:r w:rsidR="004F312A" w:rsidRPr="00770F9D">
        <w:rPr>
          <w:rFonts w:ascii="Garamond" w:hAnsi="Garamond" w:cstheme="majorBidi"/>
          <w:i w:val="0"/>
          <w:color w:val="0D0D0D" w:themeColor="text1" w:themeTint="F2"/>
          <w:sz w:val="24"/>
          <w:szCs w:val="24"/>
        </w:rPr>
        <w:t xml:space="preserve">: </w:t>
      </w:r>
      <w:r w:rsidR="00020EB1" w:rsidRPr="00770F9D">
        <w:rPr>
          <w:rFonts w:ascii="Garamond" w:hAnsi="Garamond" w:cstheme="majorBidi"/>
          <w:i w:val="0"/>
          <w:color w:val="0D0D0D" w:themeColor="text1" w:themeTint="F2"/>
          <w:sz w:val="24"/>
          <w:szCs w:val="24"/>
        </w:rPr>
        <w:t xml:space="preserve">Fuqizimi i </w:t>
      </w:r>
      <w:r w:rsidR="001E4FC2" w:rsidRPr="00770F9D">
        <w:rPr>
          <w:rFonts w:ascii="Garamond" w:hAnsi="Garamond" w:cstheme="majorBidi"/>
          <w:i w:val="0"/>
          <w:color w:val="0D0D0D" w:themeColor="text1" w:themeTint="F2"/>
          <w:sz w:val="24"/>
          <w:szCs w:val="24"/>
        </w:rPr>
        <w:t>luftës</w:t>
      </w:r>
      <w:r w:rsidR="0088657A" w:rsidRPr="00770F9D">
        <w:rPr>
          <w:rFonts w:ascii="Garamond" w:hAnsi="Garamond" w:cstheme="majorBidi"/>
          <w:i w:val="0"/>
          <w:color w:val="0D0D0D" w:themeColor="text1" w:themeTint="F2"/>
          <w:sz w:val="24"/>
          <w:szCs w:val="24"/>
        </w:rPr>
        <w:t xml:space="preserve"> </w:t>
      </w:r>
      <w:r w:rsidR="001E4FC2" w:rsidRPr="00770F9D">
        <w:rPr>
          <w:rFonts w:ascii="Garamond" w:hAnsi="Garamond" w:cstheme="majorBidi"/>
          <w:i w:val="0"/>
          <w:color w:val="0D0D0D" w:themeColor="text1" w:themeTint="F2"/>
          <w:sz w:val="24"/>
          <w:szCs w:val="24"/>
        </w:rPr>
        <w:t>kundër</w:t>
      </w:r>
      <w:r w:rsidR="00020EB1" w:rsidRPr="00770F9D">
        <w:rPr>
          <w:rFonts w:ascii="Garamond" w:hAnsi="Garamond" w:cstheme="majorBidi"/>
          <w:i w:val="0"/>
          <w:color w:val="0D0D0D" w:themeColor="text1" w:themeTint="F2"/>
          <w:sz w:val="24"/>
          <w:szCs w:val="24"/>
        </w:rPr>
        <w:t xml:space="preserve"> informalitetit</w:t>
      </w:r>
    </w:p>
    <w:p w14:paraId="60DBC589" w14:textId="4DE18579" w:rsidR="004F312A" w:rsidRPr="00770F9D" w:rsidRDefault="00413679"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 xml:space="preserve">1. </w:t>
      </w:r>
      <w:r w:rsidR="00B2062A" w:rsidRPr="00770F9D">
        <w:rPr>
          <w:rFonts w:ascii="Garamond" w:hAnsi="Garamond" w:cstheme="majorBidi"/>
          <w:color w:val="0D0D0D" w:themeColor="text1" w:themeTint="F2"/>
          <w:u w:val="none"/>
        </w:rPr>
        <w:t>Përshkrimi i masës</w:t>
      </w:r>
    </w:p>
    <w:p w14:paraId="6A35FDB2" w14:textId="6A50CBAF" w:rsidR="007F7475" w:rsidRPr="00770F9D" w:rsidRDefault="007F7475" w:rsidP="00EB64CA">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Forcimi i luftës ndaj informalitetit është një objektiv strategjik i </w:t>
      </w:r>
      <w:r w:rsidR="00F1479A" w:rsidRPr="00770F9D">
        <w:rPr>
          <w:rFonts w:ascii="Garamond" w:hAnsi="Garamond" w:cstheme="majorBidi"/>
          <w:color w:val="0D0D0D" w:themeColor="text1" w:themeTint="F2"/>
        </w:rPr>
        <w:t xml:space="preserve">administratës tatimore, </w:t>
      </w:r>
      <w:r w:rsidRPr="00770F9D">
        <w:rPr>
          <w:rFonts w:ascii="Garamond" w:hAnsi="Garamond" w:cstheme="majorBidi"/>
          <w:color w:val="0D0D0D" w:themeColor="text1" w:themeTint="F2"/>
        </w:rPr>
        <w:t>e cila ka përmirësuar aktivitet n</w:t>
      </w:r>
      <w:r w:rsidR="00EB64CA">
        <w:rPr>
          <w:rFonts w:ascii="Garamond" w:hAnsi="Garamond" w:cstheme="majorBidi"/>
          <w:color w:val="0D0D0D" w:themeColor="text1" w:themeTint="F2"/>
        </w:rPr>
        <w:t>ë</w:t>
      </w:r>
      <w:r w:rsidRPr="00770F9D">
        <w:rPr>
          <w:rFonts w:ascii="Garamond" w:hAnsi="Garamond" w:cstheme="majorBidi"/>
          <w:color w:val="0D0D0D" w:themeColor="text1" w:themeTint="F2"/>
        </w:rPr>
        <w:t xml:space="preserve"> mënyrë periodike në arritjen e këtij objektivi. </w:t>
      </w:r>
      <w:r w:rsidR="00B906BD" w:rsidRPr="00770F9D">
        <w:rPr>
          <w:rFonts w:ascii="Garamond" w:hAnsi="Garamond" w:cstheme="majorBidi"/>
          <w:color w:val="0D0D0D" w:themeColor="text1" w:themeTint="F2"/>
        </w:rPr>
        <w:t>Udhëheqja</w:t>
      </w:r>
      <w:r w:rsidRPr="00770F9D">
        <w:rPr>
          <w:rFonts w:ascii="Garamond" w:hAnsi="Garamond" w:cstheme="majorBidi"/>
          <w:color w:val="0D0D0D" w:themeColor="text1" w:themeTint="F2"/>
        </w:rPr>
        <w:t xml:space="preserve"> nga praktikat më të mira të menaxhimit të riskut, ndjekja e planeve sektoriale</w:t>
      </w:r>
      <w:r w:rsidR="00B906BD"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sipas metodologjive moderne të menaxhimit të riskut të </w:t>
      </w:r>
      <w:r w:rsidR="00B906BD" w:rsidRPr="00770F9D">
        <w:rPr>
          <w:rFonts w:ascii="Garamond" w:hAnsi="Garamond" w:cstheme="majorBidi"/>
          <w:color w:val="0D0D0D" w:themeColor="text1" w:themeTint="F2"/>
        </w:rPr>
        <w:t>përmbushjes</w:t>
      </w:r>
      <w:r w:rsidRPr="00770F9D">
        <w:rPr>
          <w:rFonts w:ascii="Garamond" w:hAnsi="Garamond" w:cstheme="majorBidi"/>
          <w:color w:val="0D0D0D" w:themeColor="text1" w:themeTint="F2"/>
        </w:rPr>
        <w:t xml:space="preserve">, kryerja e verifikimeve dhe </w:t>
      </w:r>
      <w:r w:rsidR="00B906BD" w:rsidRPr="00770F9D">
        <w:rPr>
          <w:rFonts w:ascii="Garamond" w:hAnsi="Garamond" w:cstheme="majorBidi"/>
          <w:color w:val="0D0D0D" w:themeColor="text1" w:themeTint="F2"/>
        </w:rPr>
        <w:t xml:space="preserve">e </w:t>
      </w:r>
      <w:r w:rsidRPr="00770F9D">
        <w:rPr>
          <w:rFonts w:ascii="Garamond" w:hAnsi="Garamond" w:cstheme="majorBidi"/>
          <w:color w:val="0D0D0D" w:themeColor="text1" w:themeTint="F2"/>
        </w:rPr>
        <w:t>kontrolleve mbi baza analize moderne risku</w:t>
      </w:r>
      <w:r w:rsidR="00B906BD"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dhe implementimi i një reforme madhore</w:t>
      </w:r>
      <w:r w:rsidR="00B906BD"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fiskalizimi</w:t>
      </w:r>
      <w:r w:rsidR="00B906BD"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janë disa nga veprimet konkrete të ndërmarra nga </w:t>
      </w:r>
      <w:r w:rsidR="00B906BD" w:rsidRPr="00770F9D">
        <w:rPr>
          <w:rFonts w:ascii="Garamond" w:hAnsi="Garamond" w:cstheme="majorBidi"/>
          <w:color w:val="0D0D0D" w:themeColor="text1" w:themeTint="F2"/>
        </w:rPr>
        <w:t xml:space="preserve">administrata tatimore, </w:t>
      </w:r>
      <w:r w:rsidRPr="00770F9D">
        <w:rPr>
          <w:rFonts w:ascii="Garamond" w:hAnsi="Garamond" w:cstheme="majorBidi"/>
          <w:color w:val="0D0D0D" w:themeColor="text1" w:themeTint="F2"/>
        </w:rPr>
        <w:t>në kuadër të uljes së informalitetit. Gjithashtu është kryer progres në forcimin e bashkëpunimit ndërinstitucional</w:t>
      </w:r>
      <w:r w:rsidR="00B906BD"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ku bazuar në </w:t>
      </w:r>
      <w:r w:rsidR="00B906BD" w:rsidRPr="00770F9D">
        <w:rPr>
          <w:rFonts w:ascii="Garamond" w:hAnsi="Garamond" w:cstheme="majorBidi"/>
          <w:color w:val="0D0D0D" w:themeColor="text1" w:themeTint="F2"/>
        </w:rPr>
        <w:t>urdhrin nr</w:t>
      </w:r>
      <w:r w:rsidRPr="00770F9D">
        <w:rPr>
          <w:rFonts w:ascii="Garamond" w:hAnsi="Garamond" w:cstheme="majorBidi"/>
          <w:color w:val="0D0D0D" w:themeColor="text1" w:themeTint="F2"/>
        </w:rPr>
        <w:t>.</w:t>
      </w:r>
      <w:r w:rsidR="00B906BD"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1</w:t>
      </w:r>
      <w:r w:rsidR="00B906BD"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dat</w:t>
      </w:r>
      <w:r w:rsidR="00B906BD" w:rsidRPr="00770F9D">
        <w:rPr>
          <w:rFonts w:ascii="Garamond" w:hAnsi="Garamond" w:cstheme="majorBidi"/>
          <w:color w:val="0D0D0D" w:themeColor="text1" w:themeTint="F2"/>
        </w:rPr>
        <w:t>ë</w:t>
      </w:r>
      <w:r w:rsidRPr="00770F9D">
        <w:rPr>
          <w:rFonts w:ascii="Garamond" w:hAnsi="Garamond" w:cstheme="majorBidi"/>
          <w:color w:val="0D0D0D" w:themeColor="text1" w:themeTint="F2"/>
        </w:rPr>
        <w:t xml:space="preserve"> 5.1.2022</w:t>
      </w:r>
      <w:r w:rsidR="00B906BD"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të Kryeministrit</w:t>
      </w:r>
      <w:r w:rsidR="00B906BD"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 ngritjen e njësisë speciale antiinformalitet për të ardhurat nga punësimi dhe shërbimet”, është hartuar</w:t>
      </w:r>
      <w:r w:rsidR="00B906BD"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nga MFE</w:t>
      </w:r>
      <w:r w:rsidR="00B906BD" w:rsidRPr="00770F9D">
        <w:rPr>
          <w:rFonts w:ascii="Garamond" w:hAnsi="Garamond" w:cstheme="majorBidi"/>
          <w:color w:val="0D0D0D" w:themeColor="text1" w:themeTint="F2"/>
        </w:rPr>
        <w:t xml:space="preserve">-ja urdhri </w:t>
      </w:r>
      <w:r w:rsidRPr="00770F9D">
        <w:rPr>
          <w:rFonts w:ascii="Garamond" w:hAnsi="Garamond" w:cstheme="majorBidi"/>
          <w:color w:val="0D0D0D" w:themeColor="text1" w:themeTint="F2"/>
        </w:rPr>
        <w:t>nr.</w:t>
      </w:r>
      <w:r w:rsidR="00B906BD"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11 datë 14.1.2022</w:t>
      </w:r>
      <w:r w:rsidR="00B906BD"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 përbërjen e njësisë speciale antiinformalitet për të ardhurat nga punësimi dhe shërbimet, grupit të punës dhe sekretariatit teknik”. </w:t>
      </w:r>
      <w:r w:rsidR="00B906BD" w:rsidRPr="00770F9D">
        <w:rPr>
          <w:rFonts w:ascii="Garamond" w:hAnsi="Garamond" w:cstheme="majorBidi"/>
          <w:color w:val="0D0D0D" w:themeColor="text1" w:themeTint="F2"/>
        </w:rPr>
        <w:t xml:space="preserve">Në </w:t>
      </w:r>
      <w:r w:rsidRPr="00770F9D">
        <w:rPr>
          <w:rFonts w:ascii="Garamond" w:hAnsi="Garamond" w:cstheme="majorBidi"/>
          <w:color w:val="0D0D0D" w:themeColor="text1" w:themeTint="F2"/>
        </w:rPr>
        <w:t>këtë grup ka përfaqësues nga MFE</w:t>
      </w:r>
      <w:r w:rsidR="00B906BD" w:rsidRPr="00770F9D">
        <w:rPr>
          <w:rFonts w:ascii="Garamond" w:hAnsi="Garamond" w:cstheme="majorBidi"/>
          <w:color w:val="0D0D0D" w:themeColor="text1" w:themeTint="F2"/>
        </w:rPr>
        <w:t>-ja</w:t>
      </w:r>
      <w:r w:rsidRPr="00770F9D">
        <w:rPr>
          <w:rFonts w:ascii="Garamond" w:hAnsi="Garamond" w:cstheme="majorBidi"/>
          <w:color w:val="0D0D0D" w:themeColor="text1" w:themeTint="F2"/>
        </w:rPr>
        <w:t>, Drejtoria e Përgjithshme e Tatimeve, Drejtoria e Përgjithshme e Policisë së Shtetit, Drejtoria e Përgjithshme e Parandalimin Pastrimit të Parave, Agjencia Shtetërore Kadastrës, Inspektorati Shtetëror i Punës</w:t>
      </w:r>
      <w:r w:rsidR="00BB48EC"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të cilët bashkërenduan </w:t>
      </w:r>
      <w:r w:rsidR="00BB48EC" w:rsidRPr="00770F9D">
        <w:rPr>
          <w:rFonts w:ascii="Garamond" w:hAnsi="Garamond" w:cstheme="majorBidi"/>
          <w:color w:val="0D0D0D" w:themeColor="text1" w:themeTint="F2"/>
        </w:rPr>
        <w:t>përpjekjet</w:t>
      </w:r>
      <w:r w:rsidRPr="00770F9D">
        <w:rPr>
          <w:rFonts w:ascii="Garamond" w:hAnsi="Garamond" w:cstheme="majorBidi"/>
          <w:color w:val="0D0D0D" w:themeColor="text1" w:themeTint="F2"/>
        </w:rPr>
        <w:t xml:space="preserve"> e tyre në luftën ndaj informalitetit n</w:t>
      </w:r>
      <w:r w:rsidR="00BB48EC" w:rsidRPr="00770F9D">
        <w:rPr>
          <w:rFonts w:ascii="Garamond" w:hAnsi="Garamond" w:cstheme="majorBidi"/>
          <w:color w:val="0D0D0D" w:themeColor="text1" w:themeTint="F2"/>
        </w:rPr>
        <w:t>ë</w:t>
      </w:r>
      <w:r w:rsidRPr="00770F9D">
        <w:rPr>
          <w:rFonts w:ascii="Garamond" w:hAnsi="Garamond" w:cstheme="majorBidi"/>
          <w:color w:val="0D0D0D" w:themeColor="text1" w:themeTint="F2"/>
        </w:rPr>
        <w:t xml:space="preserve"> tr</w:t>
      </w:r>
      <w:r w:rsidR="00BB48EC" w:rsidRPr="00770F9D">
        <w:rPr>
          <w:rFonts w:ascii="Garamond" w:hAnsi="Garamond" w:cstheme="majorBidi"/>
          <w:color w:val="0D0D0D" w:themeColor="text1" w:themeTint="F2"/>
        </w:rPr>
        <w:t>e</w:t>
      </w:r>
      <w:r w:rsidRPr="00770F9D">
        <w:rPr>
          <w:rFonts w:ascii="Garamond" w:hAnsi="Garamond" w:cstheme="majorBidi"/>
          <w:color w:val="0D0D0D" w:themeColor="text1" w:themeTint="F2"/>
        </w:rPr>
        <w:t xml:space="preserve">gun e punës. Në punën e saj në këtë aspekt </w:t>
      </w:r>
      <w:r w:rsidR="005918D2" w:rsidRPr="00770F9D">
        <w:rPr>
          <w:rFonts w:ascii="Garamond" w:hAnsi="Garamond" w:cstheme="majorBidi"/>
          <w:color w:val="0D0D0D" w:themeColor="text1" w:themeTint="F2"/>
        </w:rPr>
        <w:t xml:space="preserve">administrata tatimore </w:t>
      </w:r>
      <w:r w:rsidRPr="00770F9D">
        <w:rPr>
          <w:rFonts w:ascii="Garamond" w:hAnsi="Garamond" w:cstheme="majorBidi"/>
          <w:color w:val="0D0D0D" w:themeColor="text1" w:themeTint="F2"/>
        </w:rPr>
        <w:t>udhëhiqet nga praktikat m</w:t>
      </w:r>
      <w:r w:rsidR="00817D7D" w:rsidRPr="00770F9D">
        <w:rPr>
          <w:rFonts w:ascii="Garamond" w:hAnsi="Garamond" w:cstheme="majorBidi"/>
          <w:color w:val="0D0D0D" w:themeColor="text1" w:themeTint="F2"/>
        </w:rPr>
        <w:t>ë</w:t>
      </w:r>
      <w:r w:rsidRPr="00770F9D">
        <w:rPr>
          <w:rFonts w:ascii="Garamond" w:hAnsi="Garamond" w:cstheme="majorBidi"/>
          <w:color w:val="0D0D0D" w:themeColor="text1" w:themeTint="F2"/>
        </w:rPr>
        <w:t xml:space="preserve"> të mira të OECD</w:t>
      </w:r>
      <w:r w:rsidR="00817D7D" w:rsidRPr="00770F9D">
        <w:rPr>
          <w:rFonts w:ascii="Garamond" w:hAnsi="Garamond" w:cstheme="majorBidi"/>
          <w:color w:val="0D0D0D" w:themeColor="text1" w:themeTint="F2"/>
        </w:rPr>
        <w:t>-së</w:t>
      </w:r>
      <w:r w:rsidRPr="00770F9D">
        <w:rPr>
          <w:rFonts w:ascii="Garamond" w:hAnsi="Garamond" w:cstheme="majorBidi"/>
          <w:color w:val="0D0D0D" w:themeColor="text1" w:themeTint="F2"/>
        </w:rPr>
        <w:t xml:space="preserve"> si dh</w:t>
      </w:r>
      <w:r w:rsidR="00817D7D" w:rsidRPr="00770F9D">
        <w:rPr>
          <w:rFonts w:ascii="Garamond" w:hAnsi="Garamond" w:cstheme="majorBidi"/>
          <w:color w:val="0D0D0D" w:themeColor="text1" w:themeTint="F2"/>
        </w:rPr>
        <w:t xml:space="preserve">e </w:t>
      </w:r>
      <w:r w:rsidRPr="00770F9D">
        <w:rPr>
          <w:rFonts w:ascii="Garamond" w:hAnsi="Garamond" w:cstheme="majorBidi"/>
          <w:color w:val="0D0D0D" w:themeColor="text1" w:themeTint="F2"/>
        </w:rPr>
        <w:t xml:space="preserve">trajnimet e marra nga </w:t>
      </w:r>
      <w:r w:rsidR="00817D7D" w:rsidRPr="00770F9D">
        <w:rPr>
          <w:rFonts w:ascii="Garamond" w:hAnsi="Garamond" w:cstheme="majorBidi"/>
          <w:color w:val="0D0D0D" w:themeColor="text1" w:themeTint="F2"/>
        </w:rPr>
        <w:t>ekspertët</w:t>
      </w:r>
      <w:r w:rsidRPr="00770F9D">
        <w:rPr>
          <w:rFonts w:ascii="Garamond" w:hAnsi="Garamond" w:cstheme="majorBidi"/>
          <w:color w:val="0D0D0D" w:themeColor="text1" w:themeTint="F2"/>
        </w:rPr>
        <w:t xml:space="preserve"> e FMN</w:t>
      </w:r>
      <w:r w:rsidR="00817D7D" w:rsidRPr="00770F9D">
        <w:rPr>
          <w:rFonts w:ascii="Garamond" w:hAnsi="Garamond" w:cstheme="majorBidi"/>
          <w:color w:val="0D0D0D" w:themeColor="text1" w:themeTint="F2"/>
        </w:rPr>
        <w:t>-së</w:t>
      </w:r>
      <w:r w:rsidRPr="00770F9D">
        <w:rPr>
          <w:rFonts w:ascii="Garamond" w:hAnsi="Garamond" w:cstheme="majorBidi"/>
          <w:color w:val="0D0D0D" w:themeColor="text1" w:themeTint="F2"/>
        </w:rPr>
        <w:t xml:space="preserve"> dhe </w:t>
      </w:r>
      <w:r w:rsidR="00817D7D" w:rsidRPr="00770F9D">
        <w:rPr>
          <w:rFonts w:ascii="Garamond" w:hAnsi="Garamond" w:cstheme="majorBidi"/>
          <w:color w:val="0D0D0D" w:themeColor="text1" w:themeTint="F2"/>
        </w:rPr>
        <w:t xml:space="preserve">të </w:t>
      </w:r>
      <w:r w:rsidRPr="00770F9D">
        <w:rPr>
          <w:rFonts w:ascii="Garamond" w:hAnsi="Garamond" w:cstheme="majorBidi"/>
          <w:color w:val="0D0D0D" w:themeColor="text1" w:themeTint="F2"/>
        </w:rPr>
        <w:t>Bankës Botërore.</w:t>
      </w:r>
    </w:p>
    <w:p w14:paraId="5D666D2D" w14:textId="037CCFE2" w:rsidR="007F7475" w:rsidRPr="00770F9D" w:rsidRDefault="007F7475"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Referuar planit të ndjekur nga njësia kundër informalitetit, u konkludua</w:t>
      </w:r>
      <w:r w:rsidR="00662999"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më poshtë:</w:t>
      </w:r>
    </w:p>
    <w:p w14:paraId="3D7736A8" w14:textId="77777777" w:rsidR="007F7475" w:rsidRPr="00770F9D" w:rsidRDefault="007F7475"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Nga 19 subjekte (në fushën e arsimit, tregtisë, ndërtimit, sigurimeve, mediave) të planifikuara për të verifikuar gjendjen e deklarimit të pagave për punonjësit e tyre, përmbledhim si më poshtë:</w:t>
      </w:r>
    </w:p>
    <w:p w14:paraId="2178A6AC" w14:textId="77777777" w:rsidR="007F7475" w:rsidRPr="00770F9D" w:rsidRDefault="007F7475"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Të 19 subjektet i detyrohen buxhetit të shtetit një shumë prej 49 762 804 lekësh për të gjitha llojet e taksave.</w:t>
      </w:r>
    </w:p>
    <w:p w14:paraId="63419056" w14:textId="77777777" w:rsidR="007F7475" w:rsidRPr="00770F9D" w:rsidRDefault="007F7475"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Nga informacionet e marra për 41 individë që janë audituar ose janë në proces auditimi nga Drejtoria e Kontrollit të Specializuar, detyrimet e tyre rezultojnë në 1 470 073 lekë.</w:t>
      </w:r>
    </w:p>
    <w:p w14:paraId="109CD29E" w14:textId="5510EF8E" w:rsidR="007F7475" w:rsidRPr="00770F9D" w:rsidRDefault="007F7475"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Krahas grupit të tatimpaguesve që po trajtohen nga </w:t>
      </w:r>
      <w:r w:rsidR="00662999" w:rsidRPr="00770F9D">
        <w:rPr>
          <w:rFonts w:ascii="Garamond" w:hAnsi="Garamond" w:cstheme="majorBidi"/>
          <w:color w:val="0D0D0D" w:themeColor="text1" w:themeTint="F2"/>
        </w:rPr>
        <w:t>Njësia e Informalitetit</w:t>
      </w:r>
      <w:r w:rsidRPr="00770F9D">
        <w:rPr>
          <w:rFonts w:ascii="Garamond" w:hAnsi="Garamond" w:cstheme="majorBidi"/>
          <w:color w:val="0D0D0D" w:themeColor="text1" w:themeTint="F2"/>
        </w:rPr>
        <w:t xml:space="preserve">, bazuar në të dhënat e periudhës qershor 2022, </w:t>
      </w:r>
      <w:r w:rsidR="00662999" w:rsidRPr="00770F9D">
        <w:rPr>
          <w:rFonts w:ascii="Garamond" w:hAnsi="Garamond" w:cstheme="majorBidi"/>
          <w:color w:val="0D0D0D" w:themeColor="text1" w:themeTint="F2"/>
        </w:rPr>
        <w:t>administrata tatim</w:t>
      </w:r>
      <w:r w:rsidRPr="00770F9D">
        <w:rPr>
          <w:rFonts w:ascii="Garamond" w:hAnsi="Garamond" w:cstheme="majorBidi"/>
          <w:color w:val="0D0D0D" w:themeColor="text1" w:themeTint="F2"/>
        </w:rPr>
        <w:t>ore ka miratuar në Komitetin e Përmbushjes nr. 31</w:t>
      </w:r>
      <w:r w:rsidR="00662999"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datë 29.7.2022, </w:t>
      </w:r>
      <w:r w:rsidR="00662999" w:rsidRPr="00770F9D">
        <w:rPr>
          <w:rFonts w:ascii="Garamond" w:hAnsi="Garamond" w:cstheme="majorBidi"/>
          <w:color w:val="0D0D0D" w:themeColor="text1" w:themeTint="F2"/>
        </w:rPr>
        <w:t xml:space="preserve">planin sektorial, </w:t>
      </w:r>
      <w:r w:rsidRPr="00770F9D">
        <w:rPr>
          <w:rFonts w:ascii="Garamond" w:hAnsi="Garamond" w:cstheme="majorBidi"/>
          <w:color w:val="0D0D0D" w:themeColor="text1" w:themeTint="F2"/>
        </w:rPr>
        <w:t>“Miratimi i masave në lidhje me informalitetin në tregun e punës”, ku janë përcaktuar listat e tatimpaguesve me vetëm 1 punonjës të deklaruar, që rezultojnë në 37643 tatimpagues ose 57% e totalit të tyre dhe lista e tatimpaguesve me 2</w:t>
      </w:r>
      <w:r w:rsidR="00662999" w:rsidRPr="00770F9D">
        <w:rPr>
          <w:rFonts w:ascii="Garamond" w:hAnsi="Garamond" w:cstheme="majorBidi"/>
          <w:color w:val="0D0D0D" w:themeColor="text1" w:themeTint="F2"/>
        </w:rPr>
        <w:t>–</w:t>
      </w:r>
      <w:r w:rsidRPr="00770F9D">
        <w:rPr>
          <w:rFonts w:ascii="Garamond" w:hAnsi="Garamond" w:cstheme="majorBidi"/>
          <w:color w:val="0D0D0D" w:themeColor="text1" w:themeTint="F2"/>
        </w:rPr>
        <w:t>5 punonjës të deklaruar dhe 100% e tyre me pagë minimale që rezulton me 24977 tatimpagues me 63299 punonjës. Objektivi është të kemi një rezultat me një përmirësim 5</w:t>
      </w:r>
      <w:r w:rsidR="00662999" w:rsidRPr="00770F9D">
        <w:rPr>
          <w:rFonts w:ascii="Garamond" w:hAnsi="Garamond" w:cstheme="majorBidi"/>
          <w:color w:val="0D0D0D" w:themeColor="text1" w:themeTint="F2"/>
        </w:rPr>
        <w:t>–</w:t>
      </w:r>
      <w:r w:rsidRPr="00770F9D">
        <w:rPr>
          <w:rFonts w:ascii="Garamond" w:hAnsi="Garamond" w:cstheme="majorBidi"/>
          <w:color w:val="0D0D0D" w:themeColor="text1" w:themeTint="F2"/>
        </w:rPr>
        <w:t>10% të numrit të punonjësve të deklaruar për tatimpaguesit me 1 punonjës dhe një ulje 10</w:t>
      </w:r>
      <w:r w:rsidR="00662999" w:rsidRPr="00770F9D">
        <w:rPr>
          <w:rFonts w:ascii="Garamond" w:hAnsi="Garamond" w:cstheme="majorBidi"/>
          <w:color w:val="0D0D0D" w:themeColor="text1" w:themeTint="F2"/>
        </w:rPr>
        <w:t>–</w:t>
      </w:r>
      <w:r w:rsidRPr="00770F9D">
        <w:rPr>
          <w:rFonts w:ascii="Garamond" w:hAnsi="Garamond" w:cstheme="majorBidi"/>
          <w:color w:val="0D0D0D" w:themeColor="text1" w:themeTint="F2"/>
        </w:rPr>
        <w:t>20% të punonjësve me pagë minimale.</w:t>
      </w:r>
    </w:p>
    <w:p w14:paraId="6B48A135" w14:textId="4469A3DB" w:rsidR="007F7475" w:rsidRPr="00770F9D" w:rsidRDefault="007F7475"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Të gjitha veprimet kundër informalitetit bazohen dhe janë në konform draftplanit të MTRS-së. Fokusi do të jetë rritja e deklarimit të pagave në tregun e punës dhe vijimi i kontrolleve në subjekte të fushës së sigurimeve, medi</w:t>
      </w:r>
      <w:r w:rsidR="002A2FC4" w:rsidRPr="00770F9D">
        <w:rPr>
          <w:rFonts w:ascii="Garamond" w:hAnsi="Garamond" w:cstheme="majorBidi"/>
          <w:color w:val="0D0D0D" w:themeColor="text1" w:themeTint="F2"/>
        </w:rPr>
        <w:t>e</w:t>
      </w:r>
      <w:r w:rsidRPr="00770F9D">
        <w:rPr>
          <w:rFonts w:ascii="Garamond" w:hAnsi="Garamond" w:cstheme="majorBidi"/>
          <w:color w:val="0D0D0D" w:themeColor="text1" w:themeTint="F2"/>
        </w:rPr>
        <w:t>s dhe arsimit, të cilët kanë rezultuar me parregullsi gjatë auditimeve të para të kryera nga Njësia AntiInformalitet.</w:t>
      </w:r>
    </w:p>
    <w:p w14:paraId="236FF05C" w14:textId="5A7F731E" w:rsidR="009D37E3" w:rsidRPr="00770F9D" w:rsidRDefault="009D37E3" w:rsidP="000F6F7A">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a</w:t>
      </w:r>
      <w:r w:rsidR="008016AC" w:rsidRPr="00770F9D">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 xml:space="preserve">Aktivitete të planifikuara </w:t>
      </w:r>
      <w:r w:rsidR="000F6F7A">
        <w:rPr>
          <w:rFonts w:ascii="Garamond" w:hAnsi="Garamond"/>
          <w:b/>
          <w:bCs/>
          <w:color w:val="0D0D0D"/>
          <w:sz w:val="24"/>
          <w:szCs w:val="24"/>
          <w:lang w:val="sq-AL"/>
        </w:rPr>
        <w:t>m</w:t>
      </w:r>
      <w:r w:rsidRPr="00770F9D">
        <w:rPr>
          <w:rFonts w:ascii="Garamond" w:hAnsi="Garamond"/>
          <w:b/>
          <w:bCs/>
          <w:color w:val="0D0D0D"/>
          <w:sz w:val="24"/>
          <w:szCs w:val="24"/>
          <w:lang w:val="sq-AL"/>
        </w:rPr>
        <w:t>ë 2023</w:t>
      </w:r>
      <w:r w:rsidR="004819D1" w:rsidRPr="00770F9D">
        <w:rPr>
          <w:rFonts w:ascii="Garamond" w:hAnsi="Garamond"/>
          <w:b/>
          <w:bCs/>
          <w:color w:val="0D0D0D"/>
          <w:sz w:val="24"/>
          <w:szCs w:val="24"/>
          <w:lang w:val="sq-AL"/>
        </w:rPr>
        <w:t>-shin</w:t>
      </w:r>
    </w:p>
    <w:p w14:paraId="1864BB70" w14:textId="37192444"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a</w:t>
      </w:r>
      <w:r w:rsidR="008016AC"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Implementimi i kritereve të reja dhe të përmirësuara të riskut për identifikimin e tatimpaguesve në mospërmbushje të detyrimeve tatimore</w:t>
      </w:r>
      <w:r w:rsidR="008016AC" w:rsidRPr="00770F9D">
        <w:rPr>
          <w:rFonts w:ascii="Garamond" w:hAnsi="Garamond"/>
          <w:color w:val="0D0D0D"/>
          <w:sz w:val="24"/>
          <w:szCs w:val="24"/>
          <w:lang w:val="sq-AL"/>
        </w:rPr>
        <w:t>;</w:t>
      </w:r>
    </w:p>
    <w:p w14:paraId="6B776C23" w14:textId="0902B9DE"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b</w:t>
      </w:r>
      <w:r w:rsidR="008016AC"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Ndërthurja e plote e sistemeve </w:t>
      </w:r>
      <w:r w:rsidRPr="00770F9D">
        <w:rPr>
          <w:rFonts w:ascii="Garamond" w:hAnsi="Garamond"/>
          <w:i/>
          <w:iCs/>
          <w:color w:val="0D0D0D"/>
          <w:sz w:val="24"/>
          <w:szCs w:val="24"/>
          <w:lang w:val="sq-AL"/>
        </w:rPr>
        <w:t>(cats</w:t>
      </w:r>
      <w:r w:rsidRPr="00770F9D">
        <w:rPr>
          <w:rFonts w:ascii="Garamond" w:hAnsi="Garamond"/>
          <w:color w:val="0D0D0D"/>
          <w:sz w:val="24"/>
          <w:szCs w:val="24"/>
          <w:lang w:val="sq-AL"/>
        </w:rPr>
        <w:t xml:space="preserve"> dhe fiskalizimit)</w:t>
      </w:r>
      <w:r w:rsidR="004819D1" w:rsidRPr="00770F9D">
        <w:rPr>
          <w:rFonts w:ascii="Garamond" w:hAnsi="Garamond"/>
          <w:color w:val="0D0D0D"/>
          <w:sz w:val="24"/>
          <w:szCs w:val="24"/>
          <w:lang w:val="sq-AL"/>
        </w:rPr>
        <w:t>,</w:t>
      </w:r>
      <w:r w:rsidRPr="00770F9D">
        <w:rPr>
          <w:rFonts w:ascii="Garamond" w:hAnsi="Garamond"/>
          <w:color w:val="0D0D0D"/>
          <w:sz w:val="24"/>
          <w:szCs w:val="24"/>
          <w:lang w:val="sq-AL"/>
        </w:rPr>
        <w:t xml:space="preserve"> në mënyrë që puna hulumtuese dhe analizuese e </w:t>
      </w:r>
      <w:r w:rsidR="004819D1" w:rsidRPr="00770F9D">
        <w:rPr>
          <w:rFonts w:ascii="Garamond" w:hAnsi="Garamond"/>
          <w:color w:val="0D0D0D"/>
          <w:sz w:val="24"/>
          <w:szCs w:val="24"/>
          <w:lang w:val="sq-AL"/>
        </w:rPr>
        <w:t>administratës tati</w:t>
      </w:r>
      <w:r w:rsidRPr="00770F9D">
        <w:rPr>
          <w:rFonts w:ascii="Garamond" w:hAnsi="Garamond"/>
          <w:color w:val="0D0D0D"/>
          <w:sz w:val="24"/>
          <w:szCs w:val="24"/>
          <w:lang w:val="sq-AL"/>
        </w:rPr>
        <w:t>morë të jetë më efikase</w:t>
      </w:r>
      <w:r w:rsidR="008016AC" w:rsidRPr="00770F9D">
        <w:rPr>
          <w:rFonts w:ascii="Garamond" w:hAnsi="Garamond"/>
          <w:color w:val="0D0D0D"/>
          <w:sz w:val="24"/>
          <w:szCs w:val="24"/>
          <w:lang w:val="sq-AL"/>
        </w:rPr>
        <w:t>;</w:t>
      </w:r>
    </w:p>
    <w:p w14:paraId="5F7C5A3F" w14:textId="516509F5"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c</w:t>
      </w:r>
      <w:r w:rsidR="008016AC"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Zbatimi i një programi përmbushjeje për individët më të pasur. Është hartuar strategjia e përmbushjes 3-vjeçare</w:t>
      </w:r>
      <w:r w:rsidR="008016AC" w:rsidRPr="00770F9D">
        <w:rPr>
          <w:rFonts w:ascii="Garamond" w:hAnsi="Garamond"/>
          <w:color w:val="0D0D0D"/>
          <w:sz w:val="24"/>
          <w:szCs w:val="24"/>
          <w:lang w:val="sq-AL"/>
        </w:rPr>
        <w:t>.</w:t>
      </w:r>
    </w:p>
    <w:p w14:paraId="409F1381" w14:textId="78BA6D98" w:rsidR="009D37E3" w:rsidRPr="00770F9D" w:rsidRDefault="009D37E3" w:rsidP="000F6F7A">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b</w:t>
      </w:r>
      <w:r w:rsidR="008016AC" w:rsidRPr="00770F9D">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 xml:space="preserve">Aktivitete të planifikuara </w:t>
      </w:r>
      <w:r w:rsidR="000F6F7A">
        <w:rPr>
          <w:rFonts w:ascii="Garamond" w:hAnsi="Garamond"/>
          <w:b/>
          <w:bCs/>
          <w:color w:val="0D0D0D"/>
          <w:sz w:val="24"/>
          <w:szCs w:val="24"/>
          <w:lang w:val="sq-AL"/>
        </w:rPr>
        <w:t>m</w:t>
      </w:r>
      <w:r w:rsidRPr="00770F9D">
        <w:rPr>
          <w:rFonts w:ascii="Garamond" w:hAnsi="Garamond"/>
          <w:b/>
          <w:bCs/>
          <w:color w:val="0D0D0D"/>
          <w:sz w:val="24"/>
          <w:szCs w:val="24"/>
          <w:lang w:val="sq-AL"/>
        </w:rPr>
        <w:t>ë 2024</w:t>
      </w:r>
      <w:r w:rsidR="004819D1" w:rsidRPr="00770F9D">
        <w:rPr>
          <w:rFonts w:ascii="Garamond" w:hAnsi="Garamond"/>
          <w:b/>
          <w:bCs/>
          <w:color w:val="0D0D0D"/>
          <w:sz w:val="24"/>
          <w:szCs w:val="24"/>
          <w:lang w:val="sq-AL"/>
        </w:rPr>
        <w:t>-n</w:t>
      </w:r>
    </w:p>
    <w:p w14:paraId="31BC15EE" w14:textId="1219BA31" w:rsidR="009D37E3" w:rsidRPr="00770F9D" w:rsidRDefault="009D37E3" w:rsidP="008C433D">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a</w:t>
      </w:r>
      <w:r w:rsidR="008016AC"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Bazuar në integrimin dhe përmirësimin e moduleve (</w:t>
      </w:r>
      <w:r w:rsidR="00A54F41" w:rsidRPr="00770F9D">
        <w:rPr>
          <w:rFonts w:ascii="Garamond" w:hAnsi="Garamond"/>
          <w:color w:val="0D0D0D"/>
          <w:sz w:val="24"/>
          <w:szCs w:val="24"/>
          <w:lang w:val="sq-AL"/>
        </w:rPr>
        <w:t xml:space="preserve">fiskalizimit </w:t>
      </w:r>
      <w:r w:rsidRPr="00770F9D">
        <w:rPr>
          <w:rFonts w:ascii="Garamond" w:hAnsi="Garamond"/>
          <w:color w:val="0D0D0D"/>
          <w:sz w:val="24"/>
          <w:szCs w:val="24"/>
          <w:lang w:val="sq-AL"/>
        </w:rPr>
        <w:t>dhe CATS) zbatimi i planeve sektoriale</w:t>
      </w:r>
      <w:r w:rsidR="00A54F41" w:rsidRPr="00770F9D">
        <w:rPr>
          <w:rFonts w:ascii="Garamond" w:hAnsi="Garamond"/>
          <w:color w:val="0D0D0D"/>
          <w:sz w:val="24"/>
          <w:szCs w:val="24"/>
          <w:lang w:val="sq-AL"/>
        </w:rPr>
        <w:t>,</w:t>
      </w:r>
      <w:r w:rsidRPr="00770F9D">
        <w:rPr>
          <w:rFonts w:ascii="Garamond" w:hAnsi="Garamond"/>
          <w:color w:val="0D0D0D"/>
          <w:sz w:val="24"/>
          <w:szCs w:val="24"/>
          <w:lang w:val="sq-AL"/>
        </w:rPr>
        <w:t xml:space="preserve"> sipas industrive, </w:t>
      </w:r>
      <w:r w:rsidR="00A54F41" w:rsidRPr="00770F9D">
        <w:rPr>
          <w:rFonts w:ascii="Garamond" w:hAnsi="Garamond"/>
          <w:color w:val="0D0D0D"/>
          <w:sz w:val="24"/>
          <w:szCs w:val="24"/>
          <w:lang w:val="sq-AL"/>
        </w:rPr>
        <w:t>sektorëve</w:t>
      </w:r>
      <w:r w:rsidRPr="00770F9D">
        <w:rPr>
          <w:rFonts w:ascii="Garamond" w:hAnsi="Garamond"/>
          <w:color w:val="0D0D0D"/>
          <w:sz w:val="24"/>
          <w:szCs w:val="24"/>
          <w:lang w:val="sq-AL"/>
        </w:rPr>
        <w:t>, shtrirjes gjeografike, llojit t</w:t>
      </w:r>
      <w:r w:rsidR="008C433D">
        <w:rPr>
          <w:rFonts w:ascii="Garamond" w:hAnsi="Garamond"/>
          <w:color w:val="0D0D0D"/>
          <w:sz w:val="24"/>
          <w:szCs w:val="24"/>
          <w:lang w:val="sq-AL"/>
        </w:rPr>
        <w:t>ë</w:t>
      </w:r>
      <w:r w:rsidRPr="00770F9D">
        <w:rPr>
          <w:rFonts w:ascii="Garamond" w:hAnsi="Garamond"/>
          <w:color w:val="0D0D0D"/>
          <w:sz w:val="24"/>
          <w:szCs w:val="24"/>
          <w:lang w:val="sq-AL"/>
        </w:rPr>
        <w:t xml:space="preserve"> tatim</w:t>
      </w:r>
      <w:r w:rsidR="008C433D">
        <w:rPr>
          <w:rFonts w:ascii="Garamond" w:hAnsi="Garamond"/>
          <w:color w:val="0D0D0D"/>
          <w:sz w:val="24"/>
          <w:szCs w:val="24"/>
          <w:lang w:val="sq-AL"/>
        </w:rPr>
        <w:t>it</w:t>
      </w:r>
      <w:r w:rsidRPr="00770F9D">
        <w:rPr>
          <w:rFonts w:ascii="Garamond" w:hAnsi="Garamond"/>
          <w:color w:val="0D0D0D"/>
          <w:sz w:val="24"/>
          <w:szCs w:val="24"/>
          <w:lang w:val="sq-AL"/>
        </w:rPr>
        <w:t xml:space="preserve"> dhe </w:t>
      </w:r>
      <w:r w:rsidR="00A54F41" w:rsidRPr="00770F9D">
        <w:rPr>
          <w:rFonts w:ascii="Garamond" w:hAnsi="Garamond"/>
          <w:color w:val="0D0D0D"/>
          <w:sz w:val="24"/>
          <w:szCs w:val="24"/>
          <w:lang w:val="sq-AL"/>
        </w:rPr>
        <w:t>fenomeneve</w:t>
      </w:r>
      <w:r w:rsidRPr="00770F9D">
        <w:rPr>
          <w:rFonts w:ascii="Garamond" w:hAnsi="Garamond"/>
          <w:color w:val="0D0D0D"/>
          <w:sz w:val="24"/>
          <w:szCs w:val="24"/>
          <w:lang w:val="sq-AL"/>
        </w:rPr>
        <w:t xml:space="preserve"> të evidentuara</w:t>
      </w:r>
      <w:r w:rsidR="008016AC" w:rsidRPr="00770F9D">
        <w:rPr>
          <w:rFonts w:ascii="Garamond" w:hAnsi="Garamond"/>
          <w:color w:val="0D0D0D"/>
          <w:sz w:val="24"/>
          <w:szCs w:val="24"/>
          <w:lang w:val="sq-AL"/>
        </w:rPr>
        <w:t>;</w:t>
      </w:r>
    </w:p>
    <w:p w14:paraId="17A20BAD" w14:textId="4387CF1C"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b</w:t>
      </w:r>
      <w:r w:rsidR="008016AC"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Detektimi i të ardhurave globale të padeklaruara nga tatimpaguesit dhe individët, nëpërmjet shkëmbimit automatik të informacionit mbi llogaritë financiare, sipas Standardit të Raportimit të Përbashkët të OECD-së. Ky informacion do</w:t>
      </w:r>
      <w:r w:rsidR="0051052A" w:rsidRPr="00770F9D">
        <w:rPr>
          <w:rFonts w:ascii="Garamond" w:hAnsi="Garamond"/>
          <w:color w:val="0D0D0D"/>
          <w:sz w:val="24"/>
          <w:szCs w:val="24"/>
          <w:lang w:val="sq-AL"/>
        </w:rPr>
        <w:t xml:space="preserve"> të</w:t>
      </w:r>
      <w:r w:rsidRPr="00770F9D">
        <w:rPr>
          <w:rFonts w:ascii="Garamond" w:hAnsi="Garamond"/>
          <w:color w:val="0D0D0D"/>
          <w:sz w:val="24"/>
          <w:szCs w:val="24"/>
          <w:lang w:val="sq-AL"/>
        </w:rPr>
        <w:t xml:space="preserve"> përdorët nga ana e strukturave të </w:t>
      </w:r>
      <w:r w:rsidR="0051052A" w:rsidRPr="00770F9D">
        <w:rPr>
          <w:rFonts w:ascii="Garamond" w:hAnsi="Garamond"/>
          <w:color w:val="0D0D0D"/>
          <w:sz w:val="24"/>
          <w:szCs w:val="24"/>
          <w:lang w:val="sq-AL"/>
        </w:rPr>
        <w:t>administratës tatimore, n</w:t>
      </w:r>
      <w:r w:rsidRPr="00770F9D">
        <w:rPr>
          <w:rFonts w:ascii="Garamond" w:hAnsi="Garamond"/>
          <w:color w:val="0D0D0D"/>
          <w:sz w:val="24"/>
          <w:szCs w:val="24"/>
          <w:lang w:val="sq-AL"/>
        </w:rPr>
        <w:t xml:space="preserve">ë zbatim të detyrave të tyre dhe do </w:t>
      </w:r>
      <w:r w:rsidR="0051052A" w:rsidRPr="00770F9D">
        <w:rPr>
          <w:rFonts w:ascii="Garamond" w:hAnsi="Garamond"/>
          <w:color w:val="0D0D0D"/>
          <w:sz w:val="24"/>
          <w:szCs w:val="24"/>
          <w:lang w:val="sq-AL"/>
        </w:rPr>
        <w:t xml:space="preserve">të </w:t>
      </w:r>
      <w:r w:rsidRPr="00770F9D">
        <w:rPr>
          <w:rFonts w:ascii="Garamond" w:hAnsi="Garamond"/>
          <w:color w:val="0D0D0D"/>
          <w:sz w:val="24"/>
          <w:szCs w:val="24"/>
          <w:lang w:val="sq-AL"/>
        </w:rPr>
        <w:t>mund të përdoret më efic</w:t>
      </w:r>
      <w:r w:rsidR="008016AC" w:rsidRPr="00770F9D">
        <w:rPr>
          <w:rFonts w:ascii="Garamond" w:hAnsi="Garamond"/>
          <w:color w:val="0D0D0D"/>
          <w:sz w:val="24"/>
          <w:szCs w:val="24"/>
          <w:lang w:val="sq-AL"/>
        </w:rPr>
        <w:t>i</w:t>
      </w:r>
      <w:r w:rsidRPr="00770F9D">
        <w:rPr>
          <w:rFonts w:ascii="Garamond" w:hAnsi="Garamond"/>
          <w:color w:val="0D0D0D"/>
          <w:sz w:val="24"/>
          <w:szCs w:val="24"/>
          <w:lang w:val="sq-AL"/>
        </w:rPr>
        <w:t>enc</w:t>
      </w:r>
      <w:r w:rsidR="000337D7" w:rsidRPr="00770F9D">
        <w:rPr>
          <w:rFonts w:ascii="Garamond" w:hAnsi="Garamond"/>
          <w:color w:val="0D0D0D"/>
          <w:sz w:val="24"/>
          <w:szCs w:val="24"/>
          <w:lang w:val="sq-AL"/>
        </w:rPr>
        <w:t>ë</w:t>
      </w:r>
      <w:r w:rsidRPr="00770F9D">
        <w:rPr>
          <w:rFonts w:ascii="Garamond" w:hAnsi="Garamond"/>
          <w:color w:val="0D0D0D"/>
          <w:sz w:val="24"/>
          <w:szCs w:val="24"/>
          <w:lang w:val="sq-AL"/>
        </w:rPr>
        <w:t xml:space="preserve"> më të lartë mbas trajnimeve që do </w:t>
      </w:r>
      <w:r w:rsidR="000337D7" w:rsidRPr="00770F9D">
        <w:rPr>
          <w:rFonts w:ascii="Garamond" w:hAnsi="Garamond"/>
          <w:color w:val="0D0D0D"/>
          <w:sz w:val="24"/>
          <w:szCs w:val="24"/>
          <w:lang w:val="sq-AL"/>
        </w:rPr>
        <w:t xml:space="preserve">të </w:t>
      </w:r>
      <w:r w:rsidRPr="00770F9D">
        <w:rPr>
          <w:rFonts w:ascii="Garamond" w:hAnsi="Garamond"/>
          <w:color w:val="0D0D0D"/>
          <w:sz w:val="24"/>
          <w:szCs w:val="24"/>
          <w:lang w:val="sq-AL"/>
        </w:rPr>
        <w:t xml:space="preserve">zhvillohen nga ekspertë të </w:t>
      </w:r>
      <w:r w:rsidR="000337D7" w:rsidRPr="00770F9D">
        <w:rPr>
          <w:rFonts w:ascii="Garamond" w:hAnsi="Garamond"/>
          <w:color w:val="0D0D0D"/>
          <w:sz w:val="24"/>
          <w:szCs w:val="24"/>
          <w:lang w:val="sq-AL"/>
        </w:rPr>
        <w:t>administratës tatimore suedeze</w:t>
      </w:r>
      <w:r w:rsidR="008016AC" w:rsidRPr="00770F9D">
        <w:rPr>
          <w:rFonts w:ascii="Garamond" w:hAnsi="Garamond"/>
          <w:color w:val="0D0D0D"/>
          <w:sz w:val="24"/>
          <w:szCs w:val="24"/>
          <w:lang w:val="sq-AL"/>
        </w:rPr>
        <w:t>;</w:t>
      </w:r>
    </w:p>
    <w:p w14:paraId="3EA6B8E0" w14:textId="7CF9AA90"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c</w:t>
      </w:r>
      <w:r w:rsidR="008016AC"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Integrimi dhe përdorimi i të dhënave nga palët e treta në </w:t>
      </w:r>
      <w:r w:rsidRPr="00770F9D">
        <w:rPr>
          <w:rFonts w:ascii="Garamond" w:hAnsi="Garamond"/>
          <w:i/>
          <w:iCs/>
          <w:color w:val="0D0D0D"/>
          <w:sz w:val="24"/>
          <w:szCs w:val="24"/>
          <w:lang w:val="sq-AL"/>
        </w:rPr>
        <w:t>Data Warehouse</w:t>
      </w:r>
      <w:r w:rsidRPr="00770F9D">
        <w:rPr>
          <w:rFonts w:ascii="Garamond" w:hAnsi="Garamond"/>
          <w:color w:val="0D0D0D"/>
          <w:sz w:val="24"/>
          <w:szCs w:val="24"/>
          <w:lang w:val="sq-AL"/>
        </w:rPr>
        <w:t xml:space="preserve"> të administratës tatimore {autoritetet kombëtare të shërbimeve (uji, elektriciteti), regjistrimi i automjeteve, bashkitë</w:t>
      </w:r>
      <w:r w:rsidR="003469F3" w:rsidRPr="00770F9D">
        <w:rPr>
          <w:rFonts w:ascii="Garamond" w:hAnsi="Garamond"/>
          <w:color w:val="0D0D0D"/>
          <w:sz w:val="24"/>
          <w:szCs w:val="24"/>
          <w:lang w:val="sq-AL"/>
        </w:rPr>
        <w:t xml:space="preserve"> etj</w:t>
      </w:r>
      <w:r w:rsidRPr="00770F9D">
        <w:rPr>
          <w:rFonts w:ascii="Garamond" w:hAnsi="Garamond"/>
          <w:color w:val="0D0D0D"/>
          <w:sz w:val="24"/>
          <w:szCs w:val="24"/>
          <w:lang w:val="sq-AL"/>
        </w:rPr>
        <w:t>.}</w:t>
      </w:r>
      <w:r w:rsidR="00FF2B8F" w:rsidRPr="00770F9D">
        <w:rPr>
          <w:rFonts w:ascii="Garamond" w:hAnsi="Garamond"/>
          <w:color w:val="0D0D0D"/>
          <w:sz w:val="24"/>
          <w:szCs w:val="24"/>
          <w:lang w:val="sq-AL"/>
        </w:rPr>
        <w:t>.</w:t>
      </w:r>
      <w:r w:rsidRPr="00770F9D">
        <w:rPr>
          <w:rFonts w:ascii="Garamond" w:hAnsi="Garamond"/>
          <w:color w:val="0D0D0D"/>
          <w:sz w:val="24"/>
          <w:szCs w:val="24"/>
          <w:lang w:val="sq-AL"/>
        </w:rPr>
        <w:t xml:space="preserve"> Duke marrë në konsideratë hendekun e TVSH-së</w:t>
      </w:r>
      <w:r w:rsidR="00B4325F" w:rsidRPr="00770F9D">
        <w:rPr>
          <w:rFonts w:ascii="Garamond" w:hAnsi="Garamond"/>
          <w:color w:val="0D0D0D"/>
          <w:sz w:val="24"/>
          <w:szCs w:val="24"/>
          <w:lang w:val="sq-AL"/>
        </w:rPr>
        <w:t>,</w:t>
      </w:r>
      <w:r w:rsidRPr="00770F9D">
        <w:rPr>
          <w:rFonts w:ascii="Garamond" w:hAnsi="Garamond"/>
          <w:color w:val="0D0D0D"/>
          <w:sz w:val="24"/>
          <w:szCs w:val="24"/>
          <w:lang w:val="sq-AL"/>
        </w:rPr>
        <w:t xml:space="preserve"> si dhe mospërputhjet e të dhënave, mbledhjen e të dhënave dhe administrimin e mire të tyre, ndërtimi i një </w:t>
      </w:r>
      <w:r w:rsidRPr="00770F9D">
        <w:rPr>
          <w:rFonts w:ascii="Garamond" w:hAnsi="Garamond"/>
          <w:i/>
          <w:iCs/>
          <w:color w:val="0D0D0D"/>
          <w:sz w:val="24"/>
          <w:szCs w:val="24"/>
          <w:lang w:val="sq-AL"/>
        </w:rPr>
        <w:t>Data Warehouse</w:t>
      </w:r>
      <w:r w:rsidRPr="00770F9D">
        <w:rPr>
          <w:rFonts w:ascii="Garamond" w:hAnsi="Garamond"/>
          <w:color w:val="0D0D0D"/>
          <w:sz w:val="24"/>
          <w:szCs w:val="24"/>
          <w:lang w:val="sq-AL"/>
        </w:rPr>
        <w:t xml:space="preserve"> (si një nga rekomandimet e FMN-së) me të dhëna të centralizuara, të menaxhuara nga vetëm një burim, bëhet një hap i madh përpara</w:t>
      </w:r>
      <w:r w:rsidR="00B4325F" w:rsidRPr="00770F9D">
        <w:rPr>
          <w:rFonts w:ascii="Garamond" w:hAnsi="Garamond"/>
          <w:color w:val="0D0D0D"/>
          <w:sz w:val="24"/>
          <w:szCs w:val="24"/>
          <w:lang w:val="sq-AL"/>
        </w:rPr>
        <w:t>,</w:t>
      </w:r>
      <w:r w:rsidRPr="00770F9D">
        <w:rPr>
          <w:rFonts w:ascii="Garamond" w:hAnsi="Garamond"/>
          <w:color w:val="0D0D0D"/>
          <w:sz w:val="24"/>
          <w:szCs w:val="24"/>
          <w:lang w:val="sq-AL"/>
        </w:rPr>
        <w:t xml:space="preserve"> në lidhje me luftën kundër informalitetit. Nuk ka nevojë për kapital shtesë në këtë aspekt duke qenë se ndërtimi i data </w:t>
      </w:r>
      <w:r w:rsidRPr="00770F9D">
        <w:rPr>
          <w:rFonts w:ascii="Garamond" w:hAnsi="Garamond"/>
          <w:i/>
          <w:iCs/>
          <w:color w:val="0D0D0D"/>
          <w:sz w:val="24"/>
          <w:szCs w:val="24"/>
          <w:lang w:val="sq-AL"/>
        </w:rPr>
        <w:t>Warehouse</w:t>
      </w:r>
      <w:r w:rsidRPr="00770F9D">
        <w:rPr>
          <w:rFonts w:ascii="Garamond" w:hAnsi="Garamond"/>
          <w:color w:val="0D0D0D"/>
          <w:sz w:val="24"/>
          <w:szCs w:val="24"/>
          <w:lang w:val="sq-AL"/>
        </w:rPr>
        <w:t xml:space="preserve"> ka filluar me procesin e fiskalizimit dhe do</w:t>
      </w:r>
      <w:r w:rsidR="00B4325F" w:rsidRPr="00770F9D">
        <w:rPr>
          <w:rFonts w:ascii="Garamond" w:hAnsi="Garamond"/>
          <w:color w:val="0D0D0D"/>
          <w:sz w:val="24"/>
          <w:szCs w:val="24"/>
          <w:lang w:val="sq-AL"/>
        </w:rPr>
        <w:t xml:space="preserve"> të</w:t>
      </w:r>
      <w:r w:rsidRPr="00770F9D">
        <w:rPr>
          <w:rFonts w:ascii="Garamond" w:hAnsi="Garamond"/>
          <w:color w:val="0D0D0D"/>
          <w:sz w:val="24"/>
          <w:szCs w:val="24"/>
          <w:lang w:val="sq-AL"/>
        </w:rPr>
        <w:t xml:space="preserve"> vazhdojë me ngritjen e </w:t>
      </w:r>
      <w:r w:rsidRPr="00770F9D">
        <w:rPr>
          <w:rFonts w:ascii="Garamond" w:hAnsi="Garamond"/>
          <w:i/>
          <w:iCs/>
          <w:color w:val="0D0D0D"/>
          <w:sz w:val="24"/>
          <w:szCs w:val="24"/>
          <w:lang w:val="sq-AL"/>
        </w:rPr>
        <w:t>webservise</w:t>
      </w:r>
      <w:r w:rsidR="00B4325F" w:rsidRPr="00770F9D">
        <w:rPr>
          <w:rFonts w:ascii="Garamond" w:hAnsi="Garamond"/>
          <w:color w:val="0D0D0D"/>
          <w:sz w:val="24"/>
          <w:szCs w:val="24"/>
          <w:lang w:val="sq-AL"/>
        </w:rPr>
        <w:t>-</w:t>
      </w:r>
      <w:r w:rsidRPr="00770F9D">
        <w:rPr>
          <w:rFonts w:ascii="Garamond" w:hAnsi="Garamond"/>
          <w:color w:val="0D0D0D"/>
          <w:sz w:val="24"/>
          <w:szCs w:val="24"/>
          <w:lang w:val="sq-AL"/>
        </w:rPr>
        <w:t>ve ndërmjet institucioneve për shkëmbimin e informacionit.</w:t>
      </w:r>
    </w:p>
    <w:p w14:paraId="1D0F38BA" w14:textId="60286399"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c</w:t>
      </w:r>
      <w:r w:rsidR="008016AC" w:rsidRPr="00770F9D">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Aktivitete të planifikuara në 2025</w:t>
      </w:r>
      <w:r w:rsidR="00B4325F" w:rsidRPr="00770F9D">
        <w:rPr>
          <w:rFonts w:ascii="Garamond" w:hAnsi="Garamond"/>
          <w:b/>
          <w:bCs/>
          <w:color w:val="0D0D0D"/>
          <w:sz w:val="24"/>
          <w:szCs w:val="24"/>
          <w:lang w:val="sq-AL"/>
        </w:rPr>
        <w:t>-n</w:t>
      </w:r>
    </w:p>
    <w:p w14:paraId="6BFFF8C1" w14:textId="02FF5D32" w:rsidR="009D37E3" w:rsidRPr="00770F9D" w:rsidRDefault="009D37E3" w:rsidP="00400806">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a</w:t>
      </w:r>
      <w:r w:rsidR="008016AC"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Ndërtimi i Regjistrit të Aseteve të Tatimpaguesve (t</w:t>
      </w:r>
      <w:r w:rsidR="00B4325F" w:rsidRPr="00770F9D">
        <w:rPr>
          <w:rFonts w:ascii="Garamond" w:hAnsi="Garamond"/>
          <w:color w:val="0D0D0D"/>
          <w:sz w:val="24"/>
          <w:szCs w:val="24"/>
          <w:lang w:val="sq-AL"/>
        </w:rPr>
        <w:t>ë</w:t>
      </w:r>
      <w:r w:rsidRPr="00770F9D">
        <w:rPr>
          <w:rFonts w:ascii="Garamond" w:hAnsi="Garamond"/>
          <w:color w:val="0D0D0D"/>
          <w:sz w:val="24"/>
          <w:szCs w:val="24"/>
          <w:lang w:val="sq-AL"/>
        </w:rPr>
        <w:t xml:space="preserve"> tundshme </w:t>
      </w:r>
      <w:r w:rsidR="00B4325F" w:rsidRPr="00770F9D">
        <w:rPr>
          <w:rFonts w:ascii="Garamond" w:hAnsi="Garamond"/>
          <w:color w:val="0D0D0D"/>
          <w:sz w:val="24"/>
          <w:szCs w:val="24"/>
          <w:lang w:val="sq-AL"/>
        </w:rPr>
        <w:t>dhe</w:t>
      </w:r>
      <w:r w:rsidRPr="00770F9D">
        <w:rPr>
          <w:rFonts w:ascii="Garamond" w:hAnsi="Garamond"/>
          <w:color w:val="0D0D0D"/>
          <w:sz w:val="24"/>
          <w:szCs w:val="24"/>
          <w:lang w:val="sq-AL"/>
        </w:rPr>
        <w:t xml:space="preserve"> patundshme), me qëllim vlerësimin real të pasurive të tatimpaguesve, duke ndërtuar një sistem për verifikimin dhe ndjekjen e të ardhurave të tatimpaguesve, kontrollin e plotë të pagesave të bëra mbi taksat e pasurisë</w:t>
      </w:r>
      <w:r w:rsidR="008016AC" w:rsidRPr="00770F9D">
        <w:rPr>
          <w:rFonts w:ascii="Garamond" w:hAnsi="Garamond"/>
          <w:color w:val="0D0D0D"/>
          <w:sz w:val="24"/>
          <w:szCs w:val="24"/>
          <w:lang w:val="sq-AL"/>
        </w:rPr>
        <w:t>;</w:t>
      </w:r>
    </w:p>
    <w:p w14:paraId="55F7055D" w14:textId="186C59D1" w:rsidR="009D37E3" w:rsidRPr="00770F9D" w:rsidRDefault="009D37E3" w:rsidP="00400806">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b</w:t>
      </w:r>
      <w:r w:rsidR="008016AC"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Përdorimi dhe analiza e të dhënave me raportet </w:t>
      </w:r>
      <w:r w:rsidRPr="00770F9D">
        <w:rPr>
          <w:rFonts w:ascii="Garamond" w:hAnsi="Garamond"/>
          <w:i/>
          <w:iCs/>
          <w:color w:val="0D0D0D"/>
          <w:sz w:val="24"/>
          <w:szCs w:val="24"/>
          <w:lang w:val="sq-AL"/>
        </w:rPr>
        <w:t>BI me një bazë të gjerë të dhënash.</w:t>
      </w:r>
    </w:p>
    <w:p w14:paraId="084267D1" w14:textId="6CE5D751" w:rsidR="009D37E3" w:rsidRPr="00770F9D" w:rsidRDefault="00413679"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2</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Treguesit e rezultateve</w:t>
      </w:r>
    </w:p>
    <w:tbl>
      <w:tblPr>
        <w:tblStyle w:val="TableGrid"/>
        <w:tblW w:w="5000" w:type="pct"/>
        <w:jc w:val="center"/>
        <w:tblLook w:val="04A0" w:firstRow="1" w:lastRow="0" w:firstColumn="1" w:lastColumn="0" w:noHBand="0" w:noVBand="1"/>
      </w:tblPr>
      <w:tblGrid>
        <w:gridCol w:w="5396"/>
        <w:gridCol w:w="1380"/>
        <w:gridCol w:w="1374"/>
        <w:gridCol w:w="1137"/>
      </w:tblGrid>
      <w:tr w:rsidR="00FA29AB" w:rsidRPr="00770F9D" w14:paraId="6F83A5B5" w14:textId="77777777" w:rsidTr="00C9272F">
        <w:trPr>
          <w:tblHeader/>
          <w:jc w:val="center"/>
        </w:trPr>
        <w:tc>
          <w:tcPr>
            <w:tcW w:w="2905" w:type="pct"/>
            <w:vAlign w:val="center"/>
          </w:tcPr>
          <w:p w14:paraId="4A0BD692" w14:textId="77777777" w:rsidR="00D225B7" w:rsidRPr="00770F9D" w:rsidRDefault="00B2062A" w:rsidP="00C9272F">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Tregues</w:t>
            </w:r>
          </w:p>
        </w:tc>
        <w:tc>
          <w:tcPr>
            <w:tcW w:w="743" w:type="pct"/>
            <w:vAlign w:val="center"/>
          </w:tcPr>
          <w:p w14:paraId="433386D1" w14:textId="77777777" w:rsidR="00D225B7" w:rsidRPr="00770F9D" w:rsidRDefault="00B2062A" w:rsidP="00C9272F">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Bazë</w:t>
            </w:r>
            <w:r w:rsidR="00D225B7" w:rsidRPr="00770F9D">
              <w:rPr>
                <w:rFonts w:ascii="Garamond" w:hAnsi="Garamond" w:cstheme="majorBidi"/>
                <w:b/>
                <w:bCs/>
                <w:color w:val="0D0D0D" w:themeColor="text1" w:themeTint="F2"/>
                <w:sz w:val="20"/>
                <w:szCs w:val="20"/>
              </w:rPr>
              <w:t xml:space="preserve"> (</w:t>
            </w:r>
            <w:r w:rsidR="00DB3786" w:rsidRPr="00770F9D">
              <w:rPr>
                <w:rFonts w:ascii="Garamond" w:hAnsi="Garamond" w:cstheme="majorBidi"/>
                <w:b/>
                <w:bCs/>
                <w:color w:val="0D0D0D" w:themeColor="text1" w:themeTint="F2"/>
                <w:sz w:val="20"/>
                <w:szCs w:val="20"/>
              </w:rPr>
              <w:t>202</w:t>
            </w:r>
            <w:r w:rsidR="007F7475" w:rsidRPr="00770F9D">
              <w:rPr>
                <w:rFonts w:ascii="Garamond" w:hAnsi="Garamond" w:cstheme="majorBidi"/>
                <w:b/>
                <w:bCs/>
                <w:color w:val="0D0D0D" w:themeColor="text1" w:themeTint="F2"/>
                <w:sz w:val="20"/>
                <w:szCs w:val="20"/>
              </w:rPr>
              <w:t>1</w:t>
            </w:r>
            <w:r w:rsidR="00D225B7" w:rsidRPr="00770F9D">
              <w:rPr>
                <w:rFonts w:ascii="Garamond" w:hAnsi="Garamond" w:cstheme="majorBidi"/>
                <w:b/>
                <w:bCs/>
                <w:color w:val="0D0D0D" w:themeColor="text1" w:themeTint="F2"/>
                <w:sz w:val="20"/>
                <w:szCs w:val="20"/>
              </w:rPr>
              <w:t>)</w:t>
            </w:r>
          </w:p>
        </w:tc>
        <w:tc>
          <w:tcPr>
            <w:tcW w:w="740" w:type="pct"/>
            <w:vAlign w:val="center"/>
          </w:tcPr>
          <w:p w14:paraId="2AC7C95B" w14:textId="77777777" w:rsidR="00D225B7" w:rsidRPr="00770F9D" w:rsidRDefault="00B2062A" w:rsidP="00C9272F">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I ndërmjetëm</w:t>
            </w:r>
            <w:r w:rsidR="00D225B7" w:rsidRPr="00770F9D">
              <w:rPr>
                <w:rFonts w:ascii="Garamond" w:hAnsi="Garamond" w:cstheme="majorBidi"/>
                <w:b/>
                <w:bCs/>
                <w:color w:val="0D0D0D" w:themeColor="text1" w:themeTint="F2"/>
                <w:sz w:val="20"/>
                <w:szCs w:val="20"/>
              </w:rPr>
              <w:t xml:space="preserve"> (</w:t>
            </w:r>
            <w:r w:rsidR="00DB3786" w:rsidRPr="00770F9D">
              <w:rPr>
                <w:rFonts w:ascii="Garamond" w:hAnsi="Garamond" w:cstheme="majorBidi"/>
                <w:b/>
                <w:bCs/>
                <w:color w:val="0D0D0D" w:themeColor="text1" w:themeTint="F2"/>
                <w:sz w:val="20"/>
                <w:szCs w:val="20"/>
              </w:rPr>
              <w:t>202</w:t>
            </w:r>
            <w:r w:rsidR="007F7475" w:rsidRPr="00770F9D">
              <w:rPr>
                <w:rFonts w:ascii="Garamond" w:hAnsi="Garamond" w:cstheme="majorBidi"/>
                <w:b/>
                <w:bCs/>
                <w:color w:val="0D0D0D" w:themeColor="text1" w:themeTint="F2"/>
                <w:sz w:val="20"/>
                <w:szCs w:val="20"/>
              </w:rPr>
              <w:t>3</w:t>
            </w:r>
            <w:r w:rsidR="00D225B7" w:rsidRPr="00770F9D">
              <w:rPr>
                <w:rFonts w:ascii="Garamond" w:hAnsi="Garamond" w:cstheme="majorBidi"/>
                <w:b/>
                <w:bCs/>
                <w:color w:val="0D0D0D" w:themeColor="text1" w:themeTint="F2"/>
                <w:sz w:val="20"/>
                <w:szCs w:val="20"/>
              </w:rPr>
              <w:t>)</w:t>
            </w:r>
          </w:p>
        </w:tc>
        <w:tc>
          <w:tcPr>
            <w:tcW w:w="612" w:type="pct"/>
            <w:vAlign w:val="center"/>
          </w:tcPr>
          <w:p w14:paraId="4D848232" w14:textId="77777777" w:rsidR="00D225B7" w:rsidRPr="00770F9D" w:rsidRDefault="00DB3786" w:rsidP="00C9272F">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Final</w:t>
            </w:r>
            <w:r w:rsidR="00D225B7" w:rsidRPr="00770F9D">
              <w:rPr>
                <w:rFonts w:ascii="Garamond" w:hAnsi="Garamond" w:cstheme="majorBidi"/>
                <w:b/>
                <w:bCs/>
                <w:color w:val="0D0D0D" w:themeColor="text1" w:themeTint="F2"/>
                <w:sz w:val="20"/>
                <w:szCs w:val="20"/>
              </w:rPr>
              <w:t xml:space="preserve"> (</w:t>
            </w:r>
            <w:r w:rsidRPr="00770F9D">
              <w:rPr>
                <w:rFonts w:ascii="Garamond" w:hAnsi="Garamond" w:cstheme="majorBidi"/>
                <w:b/>
                <w:bCs/>
                <w:color w:val="0D0D0D" w:themeColor="text1" w:themeTint="F2"/>
                <w:sz w:val="20"/>
                <w:szCs w:val="20"/>
              </w:rPr>
              <w:t>2025</w:t>
            </w:r>
            <w:r w:rsidR="00D225B7" w:rsidRPr="00770F9D">
              <w:rPr>
                <w:rFonts w:ascii="Garamond" w:hAnsi="Garamond" w:cstheme="majorBidi"/>
                <w:b/>
                <w:bCs/>
                <w:color w:val="0D0D0D" w:themeColor="text1" w:themeTint="F2"/>
                <w:sz w:val="20"/>
                <w:szCs w:val="20"/>
              </w:rPr>
              <w:t>)</w:t>
            </w:r>
          </w:p>
        </w:tc>
      </w:tr>
      <w:tr w:rsidR="007F7475" w:rsidRPr="00770F9D" w14:paraId="1B6BE888" w14:textId="77777777" w:rsidTr="00C9272F">
        <w:trPr>
          <w:jc w:val="center"/>
        </w:trPr>
        <w:tc>
          <w:tcPr>
            <w:tcW w:w="2905" w:type="pct"/>
          </w:tcPr>
          <w:p w14:paraId="28790006" w14:textId="77777777" w:rsidR="007F7475" w:rsidRPr="00770F9D" w:rsidRDefault="007F7475" w:rsidP="00413679">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Rritja e punonjësve të deklaruar*</w:t>
            </w:r>
          </w:p>
        </w:tc>
        <w:tc>
          <w:tcPr>
            <w:tcW w:w="743" w:type="pct"/>
            <w:vAlign w:val="center"/>
          </w:tcPr>
          <w:p w14:paraId="4502B5FA" w14:textId="3633B025" w:rsidR="007F7475" w:rsidRPr="00770F9D" w:rsidRDefault="001A6B6E" w:rsidP="00C9272F">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699</w:t>
            </w:r>
            <w:r w:rsidR="007F7475" w:rsidRPr="00770F9D">
              <w:rPr>
                <w:rFonts w:ascii="Garamond" w:hAnsi="Garamond" w:cstheme="majorBidi"/>
                <w:color w:val="0D0D0D" w:themeColor="text1" w:themeTint="F2"/>
                <w:sz w:val="20"/>
                <w:szCs w:val="20"/>
              </w:rPr>
              <w:t>263 punonjës</w:t>
            </w:r>
          </w:p>
        </w:tc>
        <w:tc>
          <w:tcPr>
            <w:tcW w:w="740" w:type="pct"/>
            <w:vAlign w:val="center"/>
          </w:tcPr>
          <w:p w14:paraId="140C22D2" w14:textId="77777777" w:rsidR="007F7475" w:rsidRPr="00770F9D" w:rsidRDefault="00A74872" w:rsidP="00C9272F">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w:t>
            </w:r>
            <w:r w:rsidR="007F7475" w:rsidRPr="00770F9D">
              <w:rPr>
                <w:rFonts w:ascii="Garamond" w:hAnsi="Garamond" w:cstheme="majorBidi"/>
                <w:color w:val="0D0D0D" w:themeColor="text1" w:themeTint="F2"/>
                <w:sz w:val="20"/>
                <w:szCs w:val="20"/>
              </w:rPr>
              <w:t>1%</w:t>
            </w:r>
          </w:p>
        </w:tc>
        <w:tc>
          <w:tcPr>
            <w:tcW w:w="612" w:type="pct"/>
            <w:vAlign w:val="center"/>
          </w:tcPr>
          <w:p w14:paraId="30A09474" w14:textId="77777777" w:rsidR="007F7475" w:rsidRPr="00770F9D" w:rsidRDefault="00A74872" w:rsidP="00C9272F">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w:t>
            </w:r>
            <w:r w:rsidR="007F7475" w:rsidRPr="00770F9D">
              <w:rPr>
                <w:rFonts w:ascii="Garamond" w:hAnsi="Garamond" w:cstheme="majorBidi"/>
                <w:color w:val="0D0D0D" w:themeColor="text1" w:themeTint="F2"/>
                <w:sz w:val="20"/>
                <w:szCs w:val="20"/>
              </w:rPr>
              <w:t>2%</w:t>
            </w:r>
          </w:p>
        </w:tc>
      </w:tr>
      <w:tr w:rsidR="007F7475" w:rsidRPr="00770F9D" w14:paraId="42E676CF" w14:textId="77777777" w:rsidTr="00C9272F">
        <w:trPr>
          <w:jc w:val="center"/>
        </w:trPr>
        <w:tc>
          <w:tcPr>
            <w:tcW w:w="2905" w:type="pct"/>
          </w:tcPr>
          <w:p w14:paraId="15C45A56" w14:textId="77777777" w:rsidR="007F7475" w:rsidRPr="00770F9D" w:rsidRDefault="007F7475" w:rsidP="00413679">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Rritje e kontributeve të sigurimeve shëndetësore dhe shoqërore**</w:t>
            </w:r>
          </w:p>
        </w:tc>
        <w:tc>
          <w:tcPr>
            <w:tcW w:w="743" w:type="pct"/>
            <w:vAlign w:val="center"/>
          </w:tcPr>
          <w:p w14:paraId="28CA602C" w14:textId="77777777" w:rsidR="007F7475" w:rsidRPr="00770F9D" w:rsidRDefault="007F7475" w:rsidP="00C9272F">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106.2 mln</w:t>
            </w:r>
          </w:p>
        </w:tc>
        <w:tc>
          <w:tcPr>
            <w:tcW w:w="740" w:type="pct"/>
            <w:vAlign w:val="center"/>
          </w:tcPr>
          <w:p w14:paraId="76D84409" w14:textId="77777777" w:rsidR="007F7475" w:rsidRPr="00770F9D" w:rsidRDefault="00A74872" w:rsidP="00C9272F">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w:t>
            </w:r>
            <w:r w:rsidR="007F7475" w:rsidRPr="00770F9D">
              <w:rPr>
                <w:rFonts w:ascii="Garamond" w:hAnsi="Garamond" w:cstheme="majorBidi"/>
                <w:color w:val="0D0D0D" w:themeColor="text1" w:themeTint="F2"/>
                <w:sz w:val="20"/>
                <w:szCs w:val="20"/>
              </w:rPr>
              <w:t>5%</w:t>
            </w:r>
          </w:p>
        </w:tc>
        <w:tc>
          <w:tcPr>
            <w:tcW w:w="612" w:type="pct"/>
            <w:vAlign w:val="center"/>
          </w:tcPr>
          <w:p w14:paraId="61B6F51E" w14:textId="77777777" w:rsidR="007F7475" w:rsidRPr="00770F9D" w:rsidRDefault="00A74872" w:rsidP="00C9272F">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w:t>
            </w:r>
            <w:r w:rsidR="007F7475" w:rsidRPr="00770F9D">
              <w:rPr>
                <w:rFonts w:ascii="Garamond" w:hAnsi="Garamond" w:cstheme="majorBidi"/>
                <w:color w:val="0D0D0D" w:themeColor="text1" w:themeTint="F2"/>
                <w:sz w:val="20"/>
                <w:szCs w:val="20"/>
              </w:rPr>
              <w:t>7%</w:t>
            </w:r>
          </w:p>
        </w:tc>
      </w:tr>
      <w:tr w:rsidR="007F7475" w:rsidRPr="00770F9D" w14:paraId="2CF73CC1" w14:textId="77777777" w:rsidTr="00C9272F">
        <w:trPr>
          <w:jc w:val="center"/>
        </w:trPr>
        <w:tc>
          <w:tcPr>
            <w:tcW w:w="2905" w:type="pct"/>
          </w:tcPr>
          <w:p w14:paraId="1E68C728" w14:textId="1DEF5FA8" w:rsidR="007F7475" w:rsidRPr="00770F9D" w:rsidRDefault="007F7475" w:rsidP="00EB64CA">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Ulja (çdo vit) e numrit të pagave të nëndeklaruara (ne nivelin minimal ose me pak; 294.726 paga të tilla n</w:t>
            </w:r>
            <w:r w:rsidR="00EB64CA">
              <w:rPr>
                <w:rFonts w:ascii="Garamond" w:hAnsi="Garamond" w:cstheme="majorBidi"/>
                <w:color w:val="0D0D0D" w:themeColor="text1" w:themeTint="F2"/>
                <w:sz w:val="20"/>
                <w:szCs w:val="20"/>
              </w:rPr>
              <w:t>ë</w:t>
            </w:r>
            <w:r w:rsidRPr="00770F9D">
              <w:rPr>
                <w:rFonts w:ascii="Garamond" w:hAnsi="Garamond" w:cstheme="majorBidi"/>
                <w:color w:val="0D0D0D" w:themeColor="text1" w:themeTint="F2"/>
                <w:sz w:val="20"/>
                <w:szCs w:val="20"/>
              </w:rPr>
              <w:t xml:space="preserve"> vitin 2021).***</w:t>
            </w:r>
          </w:p>
        </w:tc>
        <w:tc>
          <w:tcPr>
            <w:tcW w:w="743" w:type="pct"/>
            <w:vAlign w:val="center"/>
          </w:tcPr>
          <w:p w14:paraId="34AD08D9" w14:textId="77777777" w:rsidR="007F7475" w:rsidRPr="00770F9D" w:rsidRDefault="007F7475" w:rsidP="00C9272F">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294.726 paga</w:t>
            </w:r>
          </w:p>
        </w:tc>
        <w:tc>
          <w:tcPr>
            <w:tcW w:w="740" w:type="pct"/>
            <w:vAlign w:val="center"/>
          </w:tcPr>
          <w:p w14:paraId="6D3932F6" w14:textId="77777777" w:rsidR="007F7475" w:rsidRPr="00770F9D" w:rsidRDefault="007F7475" w:rsidP="00C9272F">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(1.5%)</w:t>
            </w:r>
          </w:p>
        </w:tc>
        <w:tc>
          <w:tcPr>
            <w:tcW w:w="612" w:type="pct"/>
            <w:vAlign w:val="center"/>
          </w:tcPr>
          <w:p w14:paraId="4665082B" w14:textId="77777777" w:rsidR="007F7475" w:rsidRPr="00770F9D" w:rsidRDefault="007F7475" w:rsidP="00C9272F">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(2.5%)</w:t>
            </w:r>
          </w:p>
        </w:tc>
      </w:tr>
    </w:tbl>
    <w:p w14:paraId="23E27781" w14:textId="031BD4DA" w:rsidR="007F7475" w:rsidRPr="00770F9D" w:rsidRDefault="007F7475" w:rsidP="00400806">
      <w:pPr>
        <w:suppressAutoHyphens/>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Shënime</w:t>
      </w:r>
      <w:r w:rsidR="000E0813" w:rsidRP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w:t>
      </w:r>
    </w:p>
    <w:p w14:paraId="420F5CF7" w14:textId="4BF68796" w:rsidR="007F7475" w:rsidRPr="00770F9D" w:rsidRDefault="007F7475" w:rsidP="00400806">
      <w:pPr>
        <w:suppressAutoHyphens/>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 Të dhënat e </w:t>
      </w:r>
      <w:r w:rsidRPr="00770F9D">
        <w:rPr>
          <w:rFonts w:ascii="Garamond" w:hAnsi="Garamond" w:cstheme="majorBidi"/>
          <w:i/>
          <w:iCs/>
          <w:color w:val="0D0D0D" w:themeColor="text1" w:themeTint="F2"/>
        </w:rPr>
        <w:t>baseline</w:t>
      </w:r>
      <w:r w:rsidRPr="00770F9D">
        <w:rPr>
          <w:rFonts w:ascii="Garamond" w:hAnsi="Garamond" w:cstheme="majorBidi"/>
          <w:color w:val="0D0D0D" w:themeColor="text1" w:themeTint="F2"/>
        </w:rPr>
        <w:t xml:space="preserve"> janë të periudhës </w:t>
      </w:r>
      <w:r w:rsidR="000E0813" w:rsidRPr="00770F9D">
        <w:rPr>
          <w:rFonts w:ascii="Garamond" w:hAnsi="Garamond" w:cstheme="majorBidi"/>
          <w:color w:val="0D0D0D" w:themeColor="text1" w:themeTint="F2"/>
        </w:rPr>
        <w:t xml:space="preserve">dhjetor </w:t>
      </w:r>
      <w:r w:rsidRPr="00770F9D">
        <w:rPr>
          <w:rFonts w:ascii="Garamond" w:hAnsi="Garamond" w:cstheme="majorBidi"/>
          <w:color w:val="0D0D0D" w:themeColor="text1" w:themeTint="F2"/>
        </w:rPr>
        <w:t>2021, pasi raportimet e listëpagesave</w:t>
      </w:r>
      <w:r w:rsidR="00C40111"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 xml:space="preserve"> janë mujore. </w:t>
      </w:r>
    </w:p>
    <w:p w14:paraId="626E460C" w14:textId="3479FBFD" w:rsidR="007F7475" w:rsidRPr="00770F9D" w:rsidRDefault="007F7475" w:rsidP="00400806">
      <w:pPr>
        <w:suppressAutoHyphens/>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**Të dhënat e </w:t>
      </w:r>
      <w:r w:rsidRPr="00770F9D">
        <w:rPr>
          <w:rFonts w:ascii="Garamond" w:hAnsi="Garamond" w:cstheme="majorBidi"/>
          <w:i/>
          <w:iCs/>
          <w:color w:val="0D0D0D" w:themeColor="text1" w:themeTint="F2"/>
        </w:rPr>
        <w:t>baseline</w:t>
      </w:r>
      <w:r w:rsidRPr="00770F9D">
        <w:rPr>
          <w:rFonts w:ascii="Garamond" w:hAnsi="Garamond" w:cstheme="majorBidi"/>
          <w:color w:val="0D0D0D" w:themeColor="text1" w:themeTint="F2"/>
        </w:rPr>
        <w:t xml:space="preserve"> janë të periudhës </w:t>
      </w:r>
      <w:r w:rsidR="000E0813" w:rsidRPr="00770F9D">
        <w:rPr>
          <w:rFonts w:ascii="Garamond" w:hAnsi="Garamond" w:cstheme="majorBidi"/>
          <w:color w:val="0D0D0D" w:themeColor="text1" w:themeTint="F2"/>
        </w:rPr>
        <w:t xml:space="preserve">dhjetor </w:t>
      </w:r>
      <w:r w:rsidRPr="00770F9D">
        <w:rPr>
          <w:rFonts w:ascii="Garamond" w:hAnsi="Garamond" w:cstheme="majorBidi"/>
          <w:color w:val="0D0D0D" w:themeColor="text1" w:themeTint="F2"/>
        </w:rPr>
        <w:t xml:space="preserve">2021, pasi raportimet e listëpagesave janë mujore. </w:t>
      </w:r>
    </w:p>
    <w:p w14:paraId="3B821DCA" w14:textId="39C62F92" w:rsidR="007F7475" w:rsidRPr="00770F9D" w:rsidRDefault="007F7475" w:rsidP="00400806">
      <w:pPr>
        <w:suppressAutoHyphens/>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 Të dhënat e </w:t>
      </w:r>
      <w:r w:rsidRPr="00770F9D">
        <w:rPr>
          <w:rFonts w:ascii="Garamond" w:hAnsi="Garamond" w:cstheme="majorBidi"/>
          <w:i/>
          <w:iCs/>
          <w:color w:val="0D0D0D" w:themeColor="text1" w:themeTint="F2"/>
        </w:rPr>
        <w:t>baseline</w:t>
      </w:r>
      <w:r w:rsidRPr="00770F9D">
        <w:rPr>
          <w:rFonts w:ascii="Garamond" w:hAnsi="Garamond" w:cstheme="majorBidi"/>
          <w:color w:val="0D0D0D" w:themeColor="text1" w:themeTint="F2"/>
        </w:rPr>
        <w:t xml:space="preserve"> janë të periudhës </w:t>
      </w:r>
      <w:r w:rsidR="000E0813" w:rsidRPr="00770F9D">
        <w:rPr>
          <w:rFonts w:ascii="Garamond" w:hAnsi="Garamond" w:cstheme="majorBidi"/>
          <w:color w:val="0D0D0D" w:themeColor="text1" w:themeTint="F2"/>
        </w:rPr>
        <w:t xml:space="preserve">dhjetor </w:t>
      </w:r>
      <w:r w:rsidRPr="00770F9D">
        <w:rPr>
          <w:rFonts w:ascii="Garamond" w:hAnsi="Garamond" w:cstheme="majorBidi"/>
          <w:color w:val="0D0D0D" w:themeColor="text1" w:themeTint="F2"/>
        </w:rPr>
        <w:t xml:space="preserve">2021, pasi raportimet e listëpagesave janë mujore. Krahasimi do </w:t>
      </w:r>
      <w:r w:rsidR="000E0813" w:rsidRPr="00770F9D">
        <w:rPr>
          <w:rFonts w:ascii="Garamond" w:hAnsi="Garamond" w:cstheme="majorBidi"/>
          <w:color w:val="0D0D0D" w:themeColor="text1" w:themeTint="F2"/>
        </w:rPr>
        <w:t xml:space="preserve">të </w:t>
      </w:r>
      <w:r w:rsidRPr="00770F9D">
        <w:rPr>
          <w:rFonts w:ascii="Garamond" w:hAnsi="Garamond" w:cstheme="majorBidi"/>
          <w:color w:val="0D0D0D" w:themeColor="text1" w:themeTint="F2"/>
        </w:rPr>
        <w:t xml:space="preserve">bëhet çdo vit për të njëjtën periudhë tatimore </w:t>
      </w:r>
      <w:r w:rsidR="000E0813" w:rsidRPr="00770F9D">
        <w:rPr>
          <w:rFonts w:ascii="Garamond" w:hAnsi="Garamond" w:cstheme="majorBidi"/>
          <w:color w:val="0D0D0D" w:themeColor="text1" w:themeTint="F2"/>
        </w:rPr>
        <w:t>dhjetor</w:t>
      </w:r>
      <w:r w:rsidRPr="00770F9D">
        <w:rPr>
          <w:rFonts w:ascii="Garamond" w:hAnsi="Garamond" w:cstheme="majorBidi"/>
          <w:color w:val="0D0D0D" w:themeColor="text1" w:themeTint="F2"/>
        </w:rPr>
        <w:t>.</w:t>
      </w:r>
    </w:p>
    <w:p w14:paraId="09BDA9A6" w14:textId="77777777" w:rsidR="00020EB1" w:rsidRPr="00770F9D" w:rsidRDefault="007F7475"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Në listëpagesën e dhjetorit 2021 janë deklaruar 294.726 vende pune me pagë minimale. Ne parashikojmë uljen vendeve të punës me pagë të nëndeklaruar me 2.5% deri në vitin 2025.</w:t>
      </w:r>
    </w:p>
    <w:p w14:paraId="4FB0928D" w14:textId="5EB75581" w:rsidR="004F312A" w:rsidRPr="00770F9D" w:rsidRDefault="00413679"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3</w:t>
      </w:r>
      <w:r w:rsidR="009D37E3"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Ndikimi i pritshëm në konkurrueshmëri</w:t>
      </w:r>
    </w:p>
    <w:p w14:paraId="43F30091" w14:textId="4E901424" w:rsidR="005D24B4" w:rsidRPr="00770F9D" w:rsidRDefault="007F7475"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Forcimi i luftës kundër informalitetit në ekonomi do të krijojë një klimë më të mirë të taksimit të drejt</w:t>
      </w:r>
      <w:r w:rsidR="00090AB3" w:rsidRPr="00770F9D">
        <w:rPr>
          <w:rFonts w:ascii="Garamond" w:hAnsi="Garamond" w:cstheme="majorBidi"/>
          <w:color w:val="0D0D0D" w:themeColor="text1" w:themeTint="F2"/>
        </w:rPr>
        <w:t>ë</w:t>
      </w:r>
      <w:r w:rsidRPr="00770F9D">
        <w:rPr>
          <w:rFonts w:ascii="Garamond" w:hAnsi="Garamond" w:cstheme="majorBidi"/>
          <w:color w:val="0D0D0D" w:themeColor="text1" w:themeTint="F2"/>
        </w:rPr>
        <w:t xml:space="preserve"> dhe do të rrisë besimin e taksapaguesve ndaj administratës tatimore. Gjithashtu do të reduktojë konkurrencën e pandershme ndërmjet bizneseve formale dhe atyre informale, do të rrisë të ardhurat dhe, në mënyrë indirekte, fondet e disponueshme për investime në infrastrukturë.</w:t>
      </w:r>
    </w:p>
    <w:p w14:paraId="58CF84FF" w14:textId="75F2DC55" w:rsidR="004F312A" w:rsidRPr="00770F9D" w:rsidRDefault="00413679"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4</w:t>
      </w:r>
      <w:r w:rsidR="009D37E3"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Kosto</w:t>
      </w:r>
      <w:r w:rsidR="007B36E4" w:rsidRPr="00770F9D">
        <w:rPr>
          <w:rFonts w:ascii="Garamond" w:hAnsi="Garamond" w:cstheme="majorBidi"/>
          <w:color w:val="0D0D0D" w:themeColor="text1" w:themeTint="F2"/>
          <w:u w:val="none"/>
        </w:rPr>
        <w:t>ja</w:t>
      </w:r>
      <w:r w:rsidR="00B2062A" w:rsidRPr="00770F9D">
        <w:rPr>
          <w:rFonts w:ascii="Garamond" w:hAnsi="Garamond" w:cstheme="majorBidi"/>
          <w:color w:val="0D0D0D" w:themeColor="text1" w:themeTint="F2"/>
          <w:u w:val="none"/>
        </w:rPr>
        <w:t xml:space="preserve"> e parashikuar e aktiviteteve dhe burimi i financimit</w:t>
      </w:r>
    </w:p>
    <w:p w14:paraId="2C2E08C0" w14:textId="77777777" w:rsidR="005D24B4" w:rsidRPr="00770F9D" w:rsidRDefault="007F7475"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Buxheti i Shtetit. Nuk ka kosto shtesë për Buxhetin e Shtetit.</w:t>
      </w:r>
    </w:p>
    <w:p w14:paraId="45F7B66E" w14:textId="774DE6E3" w:rsidR="004F312A" w:rsidRPr="00770F9D" w:rsidRDefault="00413679"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5</w:t>
      </w:r>
      <w:r w:rsidR="009D37E3"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Ndikimi i pritshëm në përfundimet sociale si punësimi, ulja e varfërisë, barazia gjinore dhe aksesi në kujdesin shëndetësor</w:t>
      </w:r>
    </w:p>
    <w:p w14:paraId="4B1E7DB1" w14:textId="4BBC5511" w:rsidR="005D24B4" w:rsidRPr="00770F9D" w:rsidRDefault="007F7475"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Kjo masë reforme kontribuon në konkurrencën dhe do të lejojë gjithashtu pakësimine kostos së mbledhjes së të ardhurave.</w:t>
      </w:r>
      <w:r w:rsidR="00C40111"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Duke rritur numrin e punonjësve të deklaruar dhe numrin e pagave të deklaruara në nivelin real të tyre, kjo do të kontribuojë indirekt në krijimin e vendeve të punës, taksimin e drejtë dhe sigurimin më të mirë shoqëror për punonjësit. Kjo masë reforme mund të ndikojë pozitivisht në barazinë gjinore, do të rrisë punësimin formal, do të rrisë të ardhurat dhe rrjedhimisht edhe fondet e disponueshme për investime në infrastrukturë dhe për mbulim shëndetësor.</w:t>
      </w:r>
    </w:p>
    <w:p w14:paraId="0F7D6B67" w14:textId="3DED25E7" w:rsidR="004F312A" w:rsidRPr="00770F9D" w:rsidRDefault="00413679"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6</w:t>
      </w:r>
      <w:r w:rsidR="009D37E3"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Ndikimi i pritshëm në mjedis dhe ndryshimi i klimës</w:t>
      </w:r>
    </w:p>
    <w:p w14:paraId="598E0171" w14:textId="77777777" w:rsidR="005D24B4" w:rsidRPr="00770F9D" w:rsidRDefault="007F7475"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Nuk ka impakt të pritshëm në mjedis apo në ndryshime klimatike nga masa e propozuar e reformës.</w:t>
      </w:r>
    </w:p>
    <w:p w14:paraId="4AEE9F55" w14:textId="536A7C1C" w:rsidR="004F312A" w:rsidRPr="00770F9D" w:rsidRDefault="00413679"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7</w:t>
      </w:r>
      <w:r w:rsidR="009D37E3"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Rreziqet e mundshme</w:t>
      </w:r>
    </w:p>
    <w:tbl>
      <w:tblPr>
        <w:tblStyle w:val="TableGrid"/>
        <w:tblW w:w="5000" w:type="pct"/>
        <w:jc w:val="center"/>
        <w:tblLook w:val="04A0" w:firstRow="1" w:lastRow="0" w:firstColumn="1" w:lastColumn="0" w:noHBand="0" w:noVBand="1"/>
      </w:tblPr>
      <w:tblGrid>
        <w:gridCol w:w="3499"/>
        <w:gridCol w:w="1696"/>
        <w:gridCol w:w="4092"/>
      </w:tblGrid>
      <w:tr w:rsidR="00FA29AB" w:rsidRPr="00770F9D" w14:paraId="61B7C6AE" w14:textId="77777777" w:rsidTr="009B0FB3">
        <w:trPr>
          <w:jc w:val="center"/>
        </w:trPr>
        <w:tc>
          <w:tcPr>
            <w:tcW w:w="1884" w:type="pct"/>
            <w:vAlign w:val="center"/>
          </w:tcPr>
          <w:p w14:paraId="3F634BDB" w14:textId="77777777" w:rsidR="00DA769F" w:rsidRPr="00770F9D" w:rsidRDefault="00B2062A" w:rsidP="009B0FB3">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Rreziku</w:t>
            </w:r>
          </w:p>
        </w:tc>
        <w:tc>
          <w:tcPr>
            <w:tcW w:w="913" w:type="pct"/>
            <w:vAlign w:val="center"/>
          </w:tcPr>
          <w:p w14:paraId="20B95E8A" w14:textId="77777777" w:rsidR="009B0FB3" w:rsidRPr="00770F9D" w:rsidRDefault="00B2062A" w:rsidP="009B0FB3">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Mundësia</w:t>
            </w:r>
            <w:r w:rsidR="00DA769F" w:rsidRPr="00770F9D">
              <w:rPr>
                <w:rFonts w:ascii="Garamond" w:hAnsi="Garamond" w:cstheme="majorBidi"/>
                <w:b/>
                <w:bCs/>
                <w:color w:val="0D0D0D" w:themeColor="text1" w:themeTint="F2"/>
                <w:sz w:val="20"/>
                <w:szCs w:val="20"/>
              </w:rPr>
              <w:t xml:space="preserve"> </w:t>
            </w:r>
          </w:p>
          <w:p w14:paraId="5F61F170" w14:textId="6C981062" w:rsidR="00DA769F" w:rsidRPr="00770F9D" w:rsidRDefault="00DA769F" w:rsidP="009B0FB3">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w:t>
            </w:r>
            <w:r w:rsidR="00B2062A" w:rsidRPr="00770F9D">
              <w:rPr>
                <w:rFonts w:ascii="Garamond" w:hAnsi="Garamond" w:cstheme="majorBidi"/>
                <w:b/>
                <w:bCs/>
                <w:color w:val="0D0D0D" w:themeColor="text1" w:themeTint="F2"/>
                <w:sz w:val="20"/>
                <w:szCs w:val="20"/>
              </w:rPr>
              <w:t>e ulët, e lartë</w:t>
            </w:r>
            <w:r w:rsidRPr="00770F9D">
              <w:rPr>
                <w:rFonts w:ascii="Garamond" w:hAnsi="Garamond" w:cstheme="majorBidi"/>
                <w:b/>
                <w:bCs/>
                <w:color w:val="0D0D0D" w:themeColor="text1" w:themeTint="F2"/>
                <w:sz w:val="20"/>
                <w:szCs w:val="20"/>
              </w:rPr>
              <w:t>)</w:t>
            </w:r>
          </w:p>
        </w:tc>
        <w:tc>
          <w:tcPr>
            <w:tcW w:w="2203" w:type="pct"/>
            <w:vAlign w:val="center"/>
          </w:tcPr>
          <w:p w14:paraId="4B785092" w14:textId="77777777" w:rsidR="00DA769F" w:rsidRPr="00770F9D" w:rsidRDefault="00B2062A" w:rsidP="009B0FB3">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Veprimi zbutës i parashikuar</w:t>
            </w:r>
          </w:p>
        </w:tc>
      </w:tr>
      <w:tr w:rsidR="007F7475" w:rsidRPr="00770F9D" w14:paraId="4B725ABA" w14:textId="77777777" w:rsidTr="009B0FB3">
        <w:trPr>
          <w:jc w:val="center"/>
        </w:trPr>
        <w:tc>
          <w:tcPr>
            <w:tcW w:w="1884" w:type="pct"/>
            <w:vAlign w:val="center"/>
          </w:tcPr>
          <w:p w14:paraId="624DF2A7" w14:textId="77777777" w:rsidR="007F7475" w:rsidRPr="00770F9D" w:rsidRDefault="007F7475" w:rsidP="00413679">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pacing w:val="-1"/>
                <w:sz w:val="20"/>
                <w:szCs w:val="20"/>
              </w:rPr>
              <w:t>Vonesa në aktivitete.</w:t>
            </w:r>
          </w:p>
        </w:tc>
        <w:tc>
          <w:tcPr>
            <w:tcW w:w="913" w:type="pct"/>
            <w:vAlign w:val="center"/>
          </w:tcPr>
          <w:p w14:paraId="6362CAA8" w14:textId="10FFF0DA" w:rsidR="007F7475" w:rsidRPr="00770F9D" w:rsidRDefault="009B0FB3" w:rsidP="00413679">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E ulët</w:t>
            </w:r>
          </w:p>
        </w:tc>
        <w:tc>
          <w:tcPr>
            <w:tcW w:w="2203" w:type="pct"/>
            <w:vAlign w:val="center"/>
          </w:tcPr>
          <w:p w14:paraId="60056EA3" w14:textId="45C79903" w:rsidR="007F7475" w:rsidRPr="00770F9D" w:rsidRDefault="007F7475" w:rsidP="00413679">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Monitorim i rregullt i zbatimit të aktiviteteve</w:t>
            </w:r>
          </w:p>
        </w:tc>
      </w:tr>
      <w:tr w:rsidR="007F7475" w:rsidRPr="00770F9D" w14:paraId="68B8CF1E" w14:textId="77777777" w:rsidTr="009B0FB3">
        <w:trPr>
          <w:jc w:val="center"/>
        </w:trPr>
        <w:tc>
          <w:tcPr>
            <w:tcW w:w="1884" w:type="pct"/>
            <w:vAlign w:val="center"/>
          </w:tcPr>
          <w:p w14:paraId="7D0F608B" w14:textId="28C74C5C" w:rsidR="007F7475" w:rsidRPr="00770F9D" w:rsidRDefault="007F7475" w:rsidP="00413679">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pacing w:val="-1"/>
                <w:sz w:val="20"/>
                <w:szCs w:val="20"/>
              </w:rPr>
              <w:t>Rritja e kostove ekonomike, pasiguria për të ardhmen mund të sjellin rritjen e sjelljes mospërmbushëse</w:t>
            </w:r>
          </w:p>
        </w:tc>
        <w:tc>
          <w:tcPr>
            <w:tcW w:w="913" w:type="pct"/>
            <w:vAlign w:val="center"/>
          </w:tcPr>
          <w:p w14:paraId="51F79F91" w14:textId="77777777" w:rsidR="007F7475" w:rsidRPr="00770F9D" w:rsidRDefault="007F7475" w:rsidP="00413679">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E mesme</w:t>
            </w:r>
          </w:p>
        </w:tc>
        <w:tc>
          <w:tcPr>
            <w:tcW w:w="2203" w:type="pct"/>
            <w:vAlign w:val="center"/>
          </w:tcPr>
          <w:p w14:paraId="23B16D3F" w14:textId="2FE96B54" w:rsidR="007F7475" w:rsidRPr="00770F9D" w:rsidRDefault="009B0FB3" w:rsidP="00413679">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Përshtatja</w:t>
            </w:r>
            <w:r w:rsidR="007F7475" w:rsidRPr="00770F9D">
              <w:rPr>
                <w:rFonts w:ascii="Garamond" w:hAnsi="Garamond" w:cstheme="majorBidi"/>
                <w:color w:val="0D0D0D" w:themeColor="text1" w:themeTint="F2"/>
                <w:sz w:val="20"/>
                <w:szCs w:val="20"/>
              </w:rPr>
              <w:t xml:space="preserve"> e planeve dhe veprimeve sipas </w:t>
            </w:r>
            <w:r w:rsidRPr="00770F9D">
              <w:rPr>
                <w:rFonts w:ascii="Garamond" w:hAnsi="Garamond" w:cstheme="majorBidi"/>
                <w:color w:val="0D0D0D" w:themeColor="text1" w:themeTint="F2"/>
                <w:sz w:val="20"/>
                <w:szCs w:val="20"/>
              </w:rPr>
              <w:t>situatës</w:t>
            </w:r>
          </w:p>
        </w:tc>
      </w:tr>
    </w:tbl>
    <w:p w14:paraId="14EEABCF" w14:textId="77777777" w:rsidR="00DA769F" w:rsidRPr="00770F9D" w:rsidRDefault="00DA769F" w:rsidP="00400806">
      <w:pPr>
        <w:snapToGrid w:val="0"/>
        <w:ind w:firstLine="284"/>
        <w:jc w:val="both"/>
        <w:rPr>
          <w:rFonts w:ascii="Garamond" w:hAnsi="Garamond" w:cstheme="majorBidi"/>
          <w:color w:val="0D0D0D" w:themeColor="text1" w:themeTint="F2"/>
        </w:rPr>
      </w:pPr>
    </w:p>
    <w:p w14:paraId="3306D679" w14:textId="77777777" w:rsidR="00DB22AB" w:rsidRPr="00770F9D" w:rsidRDefault="00B2062A" w:rsidP="00400806">
      <w:pPr>
        <w:pStyle w:val="Heading5"/>
        <w:snapToGrid w:val="0"/>
        <w:ind w:left="0" w:firstLine="284"/>
        <w:jc w:val="both"/>
        <w:rPr>
          <w:rFonts w:ascii="Garamond" w:hAnsi="Garamond" w:cstheme="majorBidi"/>
          <w:i w:val="0"/>
          <w:color w:val="0D0D0D" w:themeColor="text1" w:themeTint="F2"/>
          <w:sz w:val="24"/>
          <w:szCs w:val="24"/>
        </w:rPr>
      </w:pPr>
      <w:r w:rsidRPr="00770F9D">
        <w:rPr>
          <w:rFonts w:ascii="Garamond" w:hAnsi="Garamond" w:cstheme="majorBidi"/>
          <w:i w:val="0"/>
          <w:color w:val="0D0D0D" w:themeColor="text1" w:themeTint="F2"/>
          <w:sz w:val="24"/>
          <w:szCs w:val="24"/>
        </w:rPr>
        <w:t>Masa e reformës</w:t>
      </w:r>
      <w:r w:rsidR="005358F8" w:rsidRPr="00770F9D">
        <w:rPr>
          <w:rFonts w:ascii="Garamond" w:hAnsi="Garamond" w:cstheme="majorBidi"/>
          <w:i w:val="0"/>
          <w:color w:val="0D0D0D" w:themeColor="text1" w:themeTint="F2"/>
          <w:sz w:val="24"/>
          <w:szCs w:val="24"/>
        </w:rPr>
        <w:t xml:space="preserve"> 07</w:t>
      </w:r>
      <w:r w:rsidR="00DB22AB" w:rsidRPr="00770F9D">
        <w:rPr>
          <w:rFonts w:ascii="Garamond" w:hAnsi="Garamond" w:cstheme="majorBidi"/>
          <w:i w:val="0"/>
          <w:color w:val="0D0D0D" w:themeColor="text1" w:themeTint="F2"/>
          <w:sz w:val="24"/>
          <w:szCs w:val="24"/>
        </w:rPr>
        <w:t xml:space="preserve">: </w:t>
      </w:r>
      <w:r w:rsidR="00405262" w:rsidRPr="00770F9D">
        <w:rPr>
          <w:rFonts w:ascii="Garamond" w:hAnsi="Garamond" w:cstheme="majorBidi"/>
          <w:i w:val="0"/>
          <w:color w:val="0D0D0D" w:themeColor="text1" w:themeTint="F2"/>
          <w:sz w:val="24"/>
          <w:szCs w:val="24"/>
        </w:rPr>
        <w:t xml:space="preserve">Zhvillimi i kuadrit ligjor për të mbështetur </w:t>
      </w:r>
      <w:r w:rsidR="00405262" w:rsidRPr="00770F9D">
        <w:rPr>
          <w:rFonts w:ascii="Garamond" w:hAnsi="Garamond" w:cstheme="majorBidi"/>
          <w:iCs/>
          <w:color w:val="0D0D0D" w:themeColor="text1" w:themeTint="F2"/>
          <w:sz w:val="24"/>
          <w:szCs w:val="24"/>
        </w:rPr>
        <w:t>start-up</w:t>
      </w:r>
      <w:r w:rsidR="00405262" w:rsidRPr="00770F9D">
        <w:rPr>
          <w:rFonts w:ascii="Garamond" w:hAnsi="Garamond" w:cstheme="majorBidi"/>
          <w:i w:val="0"/>
          <w:color w:val="0D0D0D" w:themeColor="text1" w:themeTint="F2"/>
          <w:sz w:val="24"/>
          <w:szCs w:val="24"/>
        </w:rPr>
        <w:t xml:space="preserve"> inovative</w:t>
      </w:r>
    </w:p>
    <w:p w14:paraId="285EB514" w14:textId="146D5CB4" w:rsidR="00DB22AB" w:rsidRPr="00770F9D" w:rsidRDefault="009D37E3"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 xml:space="preserve">1. </w:t>
      </w:r>
      <w:r w:rsidR="00B2062A" w:rsidRPr="00770F9D">
        <w:rPr>
          <w:rFonts w:ascii="Garamond" w:hAnsi="Garamond" w:cstheme="majorBidi"/>
          <w:color w:val="0D0D0D" w:themeColor="text1" w:themeTint="F2"/>
          <w:u w:val="none"/>
        </w:rPr>
        <w:t>Përshkrimi i masës</w:t>
      </w:r>
    </w:p>
    <w:p w14:paraId="545580EE" w14:textId="5A5BB96D" w:rsidR="00E43001" w:rsidRPr="00770F9D" w:rsidRDefault="00E43001" w:rsidP="004A44FF">
      <w:pPr>
        <w:ind w:firstLine="284"/>
        <w:jc w:val="both"/>
        <w:rPr>
          <w:rFonts w:ascii="Garamond" w:hAnsi="Garamond" w:cstheme="majorBidi"/>
          <w:color w:val="0D0D0D" w:themeColor="text1" w:themeTint="F2"/>
          <w:lang w:eastAsia="en-GB"/>
        </w:rPr>
      </w:pPr>
      <w:r w:rsidRPr="00770F9D">
        <w:rPr>
          <w:rFonts w:ascii="Garamond" w:hAnsi="Garamond" w:cstheme="majorBidi"/>
          <w:color w:val="0D0D0D" w:themeColor="text1" w:themeTint="F2"/>
          <w:lang w:eastAsia="en-GB"/>
        </w:rPr>
        <w:t>Ministri i Shtetit për Mbrojtjen e Sipërmarrjes në Shqipëri ka punuar prej 2 v</w:t>
      </w:r>
      <w:r w:rsidR="009A6D4A" w:rsidRPr="00770F9D">
        <w:rPr>
          <w:rFonts w:ascii="Garamond" w:hAnsi="Garamond" w:cstheme="majorBidi"/>
          <w:color w:val="0D0D0D" w:themeColor="text1" w:themeTint="F2"/>
          <w:lang w:eastAsia="en-GB"/>
        </w:rPr>
        <w:t>jetë</w:t>
      </w:r>
      <w:r w:rsidRPr="00770F9D">
        <w:rPr>
          <w:rFonts w:ascii="Garamond" w:hAnsi="Garamond" w:cstheme="majorBidi"/>
          <w:color w:val="0D0D0D" w:themeColor="text1" w:themeTint="F2"/>
          <w:lang w:eastAsia="en-GB"/>
        </w:rPr>
        <w:t xml:space="preserve">sh për ligjin “Për mbështetjen dhe zhvillimin e </w:t>
      </w:r>
      <w:r w:rsidRPr="00770F9D">
        <w:rPr>
          <w:rFonts w:ascii="Garamond" w:hAnsi="Garamond" w:cstheme="majorBidi"/>
          <w:i/>
          <w:iCs/>
          <w:color w:val="0D0D0D" w:themeColor="text1" w:themeTint="F2"/>
          <w:lang w:eastAsia="en-GB"/>
        </w:rPr>
        <w:t>startup</w:t>
      </w:r>
      <w:r w:rsidR="007E49F8" w:rsidRPr="00770F9D">
        <w:rPr>
          <w:rFonts w:ascii="Garamond" w:hAnsi="Garamond" w:cstheme="majorBidi"/>
          <w:color w:val="0D0D0D" w:themeColor="text1" w:themeTint="F2"/>
          <w:lang w:eastAsia="en-GB"/>
        </w:rPr>
        <w:t>-</w:t>
      </w:r>
      <w:r w:rsidR="00DE5EF7" w:rsidRPr="00770F9D">
        <w:rPr>
          <w:rFonts w:ascii="Garamond" w:hAnsi="Garamond" w:cstheme="majorBidi"/>
          <w:color w:val="0D0D0D" w:themeColor="text1" w:themeTint="F2"/>
          <w:lang w:eastAsia="en-GB"/>
        </w:rPr>
        <w:t>e</w:t>
      </w:r>
      <w:r w:rsidRPr="00770F9D">
        <w:rPr>
          <w:rFonts w:ascii="Garamond" w:hAnsi="Garamond" w:cstheme="majorBidi"/>
          <w:color w:val="0D0D0D" w:themeColor="text1" w:themeTint="F2"/>
          <w:lang w:eastAsia="en-GB"/>
        </w:rPr>
        <w:t xml:space="preserve">ve”, i cili synon krijimin e një kuadri rregullator dhe institucional të favorshëm për krijimin dhe zhvillimin e </w:t>
      </w:r>
      <w:r w:rsidRPr="00770F9D">
        <w:rPr>
          <w:rFonts w:ascii="Garamond" w:hAnsi="Garamond" w:cstheme="majorBidi"/>
          <w:i/>
          <w:iCs/>
          <w:color w:val="0D0D0D" w:themeColor="text1" w:themeTint="F2"/>
          <w:lang w:eastAsia="en-GB"/>
        </w:rPr>
        <w:t>startup</w:t>
      </w:r>
      <w:r w:rsidR="004A44FF">
        <w:rPr>
          <w:rFonts w:ascii="Garamond" w:hAnsi="Garamond" w:cstheme="majorBidi"/>
          <w:i/>
          <w:iCs/>
          <w:color w:val="0D0D0D" w:themeColor="text1" w:themeTint="F2"/>
          <w:lang w:eastAsia="en-GB"/>
        </w:rPr>
        <w:t>-</w:t>
      </w:r>
      <w:r w:rsidRPr="004A44FF">
        <w:rPr>
          <w:rFonts w:ascii="Garamond" w:hAnsi="Garamond" w:cstheme="majorBidi"/>
          <w:color w:val="0D0D0D" w:themeColor="text1" w:themeTint="F2"/>
          <w:lang w:eastAsia="en-GB"/>
        </w:rPr>
        <w:t>e</w:t>
      </w:r>
      <w:r w:rsidRPr="00770F9D">
        <w:rPr>
          <w:rFonts w:ascii="Garamond" w:hAnsi="Garamond" w:cstheme="majorBidi"/>
          <w:color w:val="0D0D0D" w:themeColor="text1" w:themeTint="F2"/>
          <w:lang w:eastAsia="en-GB"/>
        </w:rPr>
        <w:t xml:space="preserve">ve, për mbështetjen e ekosistemit, promovimin e kërkimit, krijimin dhe zhvillimin e ideve, modeleve, produkteve dhe proceseve të reja, të cilat sjellin risi në çdo fushë. Objektivat që synohen të arrihen janë zbatimi i mekanizmave mbështetës për krijimin dhe zhvillimin e </w:t>
      </w:r>
      <w:r w:rsidRPr="00871DFA">
        <w:rPr>
          <w:rFonts w:ascii="Garamond" w:hAnsi="Garamond" w:cstheme="majorBidi"/>
          <w:i/>
          <w:iCs/>
          <w:color w:val="0D0D0D" w:themeColor="text1" w:themeTint="F2"/>
          <w:lang w:eastAsia="en-GB"/>
        </w:rPr>
        <w:t>startup</w:t>
      </w:r>
      <w:r w:rsidR="00DE5EF7" w:rsidRPr="00871DFA">
        <w:rPr>
          <w:rFonts w:ascii="Garamond" w:hAnsi="Garamond" w:cstheme="majorBidi"/>
          <w:color w:val="0D0D0D" w:themeColor="text1" w:themeTint="F2"/>
          <w:lang w:eastAsia="en-GB"/>
        </w:rPr>
        <w:t>-</w:t>
      </w:r>
      <w:r w:rsidRPr="00770F9D">
        <w:rPr>
          <w:rFonts w:ascii="Garamond" w:hAnsi="Garamond" w:cstheme="majorBidi"/>
          <w:color w:val="0D0D0D" w:themeColor="text1" w:themeTint="F2"/>
          <w:lang w:eastAsia="en-GB"/>
        </w:rPr>
        <w:t xml:space="preserve">eve, duke nxitur krijimin e një mjedisi të favorshëm dhe duke synuar përthithjen e aktorëve që aktualisht mungojnë, kryesisht subjektet që ofrojnë inkubimin e </w:t>
      </w:r>
      <w:r w:rsidRPr="00770F9D">
        <w:rPr>
          <w:rFonts w:ascii="Garamond" w:hAnsi="Garamond" w:cstheme="majorBidi"/>
          <w:i/>
          <w:iCs/>
          <w:color w:val="0D0D0D" w:themeColor="text1" w:themeTint="F2"/>
          <w:lang w:eastAsia="en-GB"/>
        </w:rPr>
        <w:t>startup</w:t>
      </w:r>
      <w:r w:rsidR="00DE5EF7" w:rsidRPr="00770F9D">
        <w:rPr>
          <w:rFonts w:ascii="Garamond" w:hAnsi="Garamond" w:cstheme="majorBidi"/>
          <w:color w:val="0D0D0D" w:themeColor="text1" w:themeTint="F2"/>
          <w:lang w:eastAsia="en-GB"/>
        </w:rPr>
        <w:t>-</w:t>
      </w:r>
      <w:r w:rsidRPr="00770F9D">
        <w:rPr>
          <w:rFonts w:ascii="Garamond" w:hAnsi="Garamond" w:cstheme="majorBidi"/>
          <w:color w:val="0D0D0D" w:themeColor="text1" w:themeTint="F2"/>
          <w:lang w:eastAsia="en-GB"/>
        </w:rPr>
        <w:t xml:space="preserve">eve, mentorimin dhe financimin. Ligji krijon kuadrin e nevojshëm institucional, duke përcaktuar organet shtetërore përkatëse dhe kompetencat e tyre, në veçanti duke krijuar Këshillin e </w:t>
      </w:r>
      <w:r w:rsidRPr="00770F9D">
        <w:rPr>
          <w:rFonts w:ascii="Garamond" w:hAnsi="Garamond" w:cstheme="majorBidi"/>
          <w:i/>
          <w:iCs/>
          <w:color w:val="0D0D0D" w:themeColor="text1" w:themeTint="F2"/>
          <w:lang w:eastAsia="en-GB"/>
        </w:rPr>
        <w:t>Startup</w:t>
      </w:r>
      <w:r w:rsidRPr="00770F9D">
        <w:rPr>
          <w:rFonts w:ascii="Garamond" w:hAnsi="Garamond" w:cstheme="majorBidi"/>
          <w:color w:val="0D0D0D" w:themeColor="text1" w:themeTint="F2"/>
          <w:lang w:eastAsia="en-GB"/>
        </w:rPr>
        <w:t xml:space="preserve">-eve. Ekosistemi i </w:t>
      </w:r>
      <w:r w:rsidRPr="00770F9D">
        <w:rPr>
          <w:rFonts w:ascii="Garamond" w:hAnsi="Garamond" w:cstheme="majorBidi"/>
          <w:i/>
          <w:iCs/>
          <w:color w:val="0D0D0D" w:themeColor="text1" w:themeTint="F2"/>
          <w:lang w:eastAsia="en-GB"/>
        </w:rPr>
        <w:t>startup</w:t>
      </w:r>
      <w:r w:rsidRPr="00770F9D">
        <w:rPr>
          <w:rFonts w:ascii="Garamond" w:hAnsi="Garamond" w:cstheme="majorBidi"/>
          <w:color w:val="0D0D0D" w:themeColor="text1" w:themeTint="F2"/>
          <w:lang w:eastAsia="en-GB"/>
        </w:rPr>
        <w:t xml:space="preserve">-eve shqiptare është mbështetur nga iniciativa të huaja dhe </w:t>
      </w:r>
      <w:r w:rsidR="002A4878" w:rsidRPr="00770F9D">
        <w:rPr>
          <w:rFonts w:ascii="Garamond" w:hAnsi="Garamond" w:cstheme="majorBidi"/>
          <w:color w:val="0D0D0D" w:themeColor="text1" w:themeTint="F2"/>
          <w:lang w:eastAsia="en-GB"/>
        </w:rPr>
        <w:t>vendës</w:t>
      </w:r>
      <w:r w:rsidRPr="00770F9D">
        <w:rPr>
          <w:rFonts w:ascii="Garamond" w:hAnsi="Garamond" w:cstheme="majorBidi"/>
          <w:color w:val="0D0D0D" w:themeColor="text1" w:themeTint="F2"/>
          <w:lang w:eastAsia="en-GB"/>
        </w:rPr>
        <w:t xml:space="preserve">e në dy vitet e fundit. Qëllimi kryesor i këtyre nismave dhe projekteve është përmirësimi i ekosistemit të </w:t>
      </w:r>
      <w:r w:rsidRPr="00770F9D">
        <w:rPr>
          <w:rFonts w:ascii="Garamond" w:hAnsi="Garamond" w:cstheme="majorBidi"/>
          <w:i/>
          <w:iCs/>
          <w:color w:val="0D0D0D" w:themeColor="text1" w:themeTint="F2"/>
          <w:lang w:eastAsia="en-GB"/>
        </w:rPr>
        <w:t>startup</w:t>
      </w:r>
      <w:r w:rsidRPr="00770F9D">
        <w:rPr>
          <w:rFonts w:ascii="Garamond" w:hAnsi="Garamond" w:cstheme="majorBidi"/>
          <w:color w:val="0D0D0D" w:themeColor="text1" w:themeTint="F2"/>
          <w:lang w:eastAsia="en-GB"/>
        </w:rPr>
        <w:t xml:space="preserve">-eve dhe promovimi i </w:t>
      </w:r>
      <w:r w:rsidRPr="00770F9D">
        <w:rPr>
          <w:rFonts w:ascii="Garamond" w:hAnsi="Garamond" w:cstheme="majorBidi"/>
          <w:i/>
          <w:iCs/>
          <w:color w:val="0D0D0D" w:themeColor="text1" w:themeTint="F2"/>
          <w:lang w:eastAsia="en-GB"/>
        </w:rPr>
        <w:t>startup</w:t>
      </w:r>
      <w:r w:rsidRPr="00770F9D">
        <w:rPr>
          <w:rFonts w:ascii="Garamond" w:hAnsi="Garamond" w:cstheme="majorBidi"/>
          <w:color w:val="0D0D0D" w:themeColor="text1" w:themeTint="F2"/>
          <w:lang w:eastAsia="en-GB"/>
        </w:rPr>
        <w:t>-eve në Shqipëri</w:t>
      </w:r>
      <w:r w:rsidR="001C5F48" w:rsidRPr="00770F9D">
        <w:rPr>
          <w:rFonts w:ascii="Garamond" w:hAnsi="Garamond" w:cstheme="majorBidi"/>
          <w:color w:val="0D0D0D" w:themeColor="text1" w:themeTint="F2"/>
          <w:lang w:eastAsia="en-GB"/>
        </w:rPr>
        <w:t>,</w:t>
      </w:r>
      <w:r w:rsidRPr="00770F9D">
        <w:rPr>
          <w:rFonts w:ascii="Garamond" w:hAnsi="Garamond" w:cstheme="majorBidi"/>
          <w:color w:val="0D0D0D" w:themeColor="text1" w:themeTint="F2"/>
          <w:lang w:eastAsia="en-GB"/>
        </w:rPr>
        <w:t xml:space="preserve"> duke ndihmuar në rritjen dhe shkallëzimin e tyre nd</w:t>
      </w:r>
      <w:r w:rsidR="001C5F48" w:rsidRPr="00770F9D">
        <w:rPr>
          <w:rFonts w:ascii="Garamond" w:hAnsi="Garamond" w:cstheme="majorBidi"/>
          <w:color w:val="0D0D0D" w:themeColor="text1" w:themeTint="F2"/>
          <w:lang w:eastAsia="en-GB"/>
        </w:rPr>
        <w:t>ë</w:t>
      </w:r>
      <w:r w:rsidRPr="00770F9D">
        <w:rPr>
          <w:rFonts w:ascii="Garamond" w:hAnsi="Garamond" w:cstheme="majorBidi"/>
          <w:color w:val="0D0D0D" w:themeColor="text1" w:themeTint="F2"/>
          <w:lang w:eastAsia="en-GB"/>
        </w:rPr>
        <w:t>rkomb</w:t>
      </w:r>
      <w:r w:rsidR="001C5F48" w:rsidRPr="00770F9D">
        <w:rPr>
          <w:rFonts w:ascii="Garamond" w:hAnsi="Garamond" w:cstheme="majorBidi"/>
          <w:color w:val="0D0D0D" w:themeColor="text1" w:themeTint="F2"/>
          <w:lang w:eastAsia="en-GB"/>
        </w:rPr>
        <w:t>ë</w:t>
      </w:r>
      <w:r w:rsidRPr="00770F9D">
        <w:rPr>
          <w:rFonts w:ascii="Garamond" w:hAnsi="Garamond" w:cstheme="majorBidi"/>
          <w:color w:val="0D0D0D" w:themeColor="text1" w:themeTint="F2"/>
          <w:lang w:eastAsia="en-GB"/>
        </w:rPr>
        <w:t>tarisht</w:t>
      </w:r>
      <w:r w:rsidR="001C5F48" w:rsidRPr="00770F9D">
        <w:rPr>
          <w:rFonts w:ascii="Garamond" w:hAnsi="Garamond" w:cstheme="majorBidi"/>
          <w:color w:val="0D0D0D" w:themeColor="text1" w:themeTint="F2"/>
          <w:lang w:eastAsia="en-GB"/>
        </w:rPr>
        <w:t>,</w:t>
      </w:r>
      <w:r w:rsidRPr="00770F9D">
        <w:rPr>
          <w:rFonts w:ascii="Garamond" w:hAnsi="Garamond" w:cstheme="majorBidi"/>
          <w:color w:val="0D0D0D" w:themeColor="text1" w:themeTint="F2"/>
          <w:lang w:eastAsia="en-GB"/>
        </w:rPr>
        <w:t xml:space="preserve"> duke krijuar një databazë të </w:t>
      </w:r>
      <w:r w:rsidR="001C5F48" w:rsidRPr="00770F9D">
        <w:rPr>
          <w:rFonts w:ascii="Garamond" w:hAnsi="Garamond" w:cstheme="majorBidi"/>
          <w:color w:val="0D0D0D" w:themeColor="text1" w:themeTint="F2"/>
          <w:lang w:eastAsia="en-GB"/>
        </w:rPr>
        <w:t xml:space="preserve">të </w:t>
      </w:r>
      <w:r w:rsidRPr="00770F9D">
        <w:rPr>
          <w:rFonts w:ascii="Garamond" w:hAnsi="Garamond" w:cstheme="majorBidi"/>
          <w:color w:val="0D0D0D" w:themeColor="text1" w:themeTint="F2"/>
          <w:lang w:eastAsia="en-GB"/>
        </w:rPr>
        <w:t>gjith</w:t>
      </w:r>
      <w:r w:rsidR="001C5F48" w:rsidRPr="00770F9D">
        <w:rPr>
          <w:rFonts w:ascii="Garamond" w:hAnsi="Garamond" w:cstheme="majorBidi"/>
          <w:color w:val="0D0D0D" w:themeColor="text1" w:themeTint="F2"/>
          <w:lang w:eastAsia="en-GB"/>
        </w:rPr>
        <w:t>a</w:t>
      </w:r>
      <w:r w:rsidRPr="00770F9D">
        <w:rPr>
          <w:rFonts w:ascii="Garamond" w:hAnsi="Garamond" w:cstheme="majorBidi"/>
          <w:color w:val="0D0D0D" w:themeColor="text1" w:themeTint="F2"/>
          <w:lang w:eastAsia="en-GB"/>
        </w:rPr>
        <w:t xml:space="preserve"> </w:t>
      </w:r>
      <w:r w:rsidRPr="00770F9D">
        <w:rPr>
          <w:rFonts w:ascii="Garamond" w:hAnsi="Garamond" w:cstheme="majorBidi"/>
          <w:i/>
          <w:iCs/>
          <w:color w:val="0D0D0D" w:themeColor="text1" w:themeTint="F2"/>
          <w:lang w:eastAsia="en-GB"/>
        </w:rPr>
        <w:t>startup</w:t>
      </w:r>
      <w:r w:rsidRPr="00770F9D">
        <w:rPr>
          <w:rFonts w:ascii="Garamond" w:hAnsi="Garamond" w:cstheme="majorBidi"/>
          <w:color w:val="0D0D0D" w:themeColor="text1" w:themeTint="F2"/>
          <w:lang w:eastAsia="en-GB"/>
        </w:rPr>
        <w:t>-eve të reja të krijuara dhe që hidhen në treg.</w:t>
      </w:r>
    </w:p>
    <w:p w14:paraId="048A7FD0" w14:textId="46607E86" w:rsidR="002C35C9" w:rsidRPr="00770F9D" w:rsidRDefault="00E43001"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lang w:eastAsia="en-GB"/>
        </w:rPr>
        <w:t xml:space="preserve">Ministri i Shtetit për Mbrojtjen e Sipërmarrjes punoi për hartimin dhe miratimin e ligjit të miratuar nga një grup pune ndërministror. Ligji u hartua si rrjedhojë e nevojës për të krijuar një kuadër ligjor që favorizon krijimin dhe zhvillimin e </w:t>
      </w:r>
      <w:r w:rsidRPr="00770F9D">
        <w:rPr>
          <w:rFonts w:ascii="Garamond" w:hAnsi="Garamond" w:cstheme="majorBidi"/>
          <w:i/>
          <w:iCs/>
          <w:color w:val="0D0D0D" w:themeColor="text1" w:themeTint="F2"/>
          <w:lang w:eastAsia="en-GB"/>
        </w:rPr>
        <w:t>startup</w:t>
      </w:r>
      <w:r w:rsidRPr="00770F9D">
        <w:rPr>
          <w:rFonts w:ascii="Garamond" w:hAnsi="Garamond" w:cstheme="majorBidi"/>
          <w:color w:val="0D0D0D" w:themeColor="text1" w:themeTint="F2"/>
          <w:lang w:eastAsia="en-GB"/>
        </w:rPr>
        <w:t xml:space="preserve">-eve dhe mbështetjen e ekosistemit </w:t>
      </w:r>
      <w:r w:rsidRPr="00770F9D">
        <w:rPr>
          <w:rFonts w:ascii="Garamond" w:hAnsi="Garamond" w:cstheme="majorBidi"/>
          <w:i/>
          <w:iCs/>
          <w:color w:val="0D0D0D" w:themeColor="text1" w:themeTint="F2"/>
          <w:lang w:eastAsia="en-GB"/>
        </w:rPr>
        <w:t>startup</w:t>
      </w:r>
      <w:r w:rsidRPr="00770F9D">
        <w:rPr>
          <w:rFonts w:ascii="Garamond" w:hAnsi="Garamond" w:cstheme="majorBidi"/>
          <w:color w:val="0D0D0D" w:themeColor="text1" w:themeTint="F2"/>
          <w:lang w:eastAsia="en-GB"/>
        </w:rPr>
        <w:t xml:space="preserve"> në Shqipëri, ai përcakton masat mbështetëse, organet shtetërore, kriteret, rregullat dhe procedurat. që zbatohen për vetëdeklarimin dhe mbështetjen </w:t>
      </w:r>
      <w:r w:rsidRPr="00770F9D">
        <w:rPr>
          <w:rFonts w:ascii="Garamond" w:hAnsi="Garamond" w:cstheme="majorBidi"/>
          <w:i/>
          <w:iCs/>
          <w:color w:val="0D0D0D" w:themeColor="text1" w:themeTint="F2"/>
          <w:lang w:eastAsia="en-GB"/>
        </w:rPr>
        <w:t>online</w:t>
      </w:r>
      <w:r w:rsidRPr="00770F9D">
        <w:rPr>
          <w:rFonts w:ascii="Garamond" w:hAnsi="Garamond" w:cstheme="majorBidi"/>
          <w:color w:val="0D0D0D" w:themeColor="text1" w:themeTint="F2"/>
          <w:lang w:eastAsia="en-GB"/>
        </w:rPr>
        <w:t xml:space="preserve"> të </w:t>
      </w:r>
      <w:r w:rsidR="005C50A9" w:rsidRPr="00770F9D">
        <w:rPr>
          <w:rFonts w:ascii="Garamond" w:hAnsi="Garamond" w:cstheme="majorBidi"/>
          <w:i/>
          <w:iCs/>
          <w:color w:val="0D0D0D" w:themeColor="text1" w:themeTint="F2"/>
          <w:lang w:eastAsia="en-GB"/>
        </w:rPr>
        <w:t>startup</w:t>
      </w:r>
      <w:r w:rsidRPr="00770F9D">
        <w:rPr>
          <w:rFonts w:ascii="Garamond" w:hAnsi="Garamond" w:cstheme="majorBidi"/>
          <w:color w:val="0D0D0D" w:themeColor="text1" w:themeTint="F2"/>
          <w:lang w:eastAsia="en-GB"/>
        </w:rPr>
        <w:t xml:space="preserve">-ve dhe ngritjen e një ekosistemi të favorshëm për to në Republikën e Shqipërisë. Pas miratimit të këtij ligji aktivitetet që pasuan ishin: hartimi i akteve nënligjore të ligjit të miratuar për </w:t>
      </w:r>
      <w:r w:rsidRPr="00770F9D">
        <w:rPr>
          <w:rFonts w:ascii="Garamond" w:hAnsi="Garamond" w:cstheme="majorBidi"/>
          <w:i/>
          <w:iCs/>
          <w:color w:val="0D0D0D" w:themeColor="text1" w:themeTint="F2"/>
          <w:lang w:eastAsia="en-GB"/>
        </w:rPr>
        <w:t>startup</w:t>
      </w:r>
      <w:r w:rsidRPr="00770F9D">
        <w:rPr>
          <w:rFonts w:ascii="Garamond" w:hAnsi="Garamond" w:cstheme="majorBidi"/>
          <w:color w:val="0D0D0D" w:themeColor="text1" w:themeTint="F2"/>
          <w:lang w:eastAsia="en-GB"/>
        </w:rPr>
        <w:t xml:space="preserve">-et, krijimi i këshillit të </w:t>
      </w:r>
      <w:r w:rsidRPr="00770F9D">
        <w:rPr>
          <w:rFonts w:ascii="Garamond" w:hAnsi="Garamond" w:cstheme="majorBidi"/>
          <w:i/>
          <w:iCs/>
          <w:color w:val="0D0D0D" w:themeColor="text1" w:themeTint="F2"/>
          <w:lang w:eastAsia="en-GB"/>
        </w:rPr>
        <w:t>startup</w:t>
      </w:r>
      <w:r w:rsidRPr="00770F9D">
        <w:rPr>
          <w:rFonts w:ascii="Garamond" w:hAnsi="Garamond" w:cstheme="majorBidi"/>
          <w:color w:val="0D0D0D" w:themeColor="text1" w:themeTint="F2"/>
          <w:lang w:eastAsia="en-GB"/>
        </w:rPr>
        <w:t xml:space="preserve">-eve, lëshimi periodik i pasaportave për </w:t>
      </w:r>
      <w:r w:rsidRPr="00770F9D">
        <w:rPr>
          <w:rFonts w:ascii="Garamond" w:hAnsi="Garamond" w:cstheme="majorBidi"/>
          <w:i/>
          <w:iCs/>
          <w:color w:val="0D0D0D" w:themeColor="text1" w:themeTint="F2"/>
          <w:lang w:eastAsia="en-GB"/>
        </w:rPr>
        <w:t>startup</w:t>
      </w:r>
      <w:r w:rsidRPr="00770F9D">
        <w:rPr>
          <w:rFonts w:ascii="Garamond" w:hAnsi="Garamond" w:cstheme="majorBidi"/>
          <w:color w:val="0D0D0D" w:themeColor="text1" w:themeTint="F2"/>
          <w:lang w:eastAsia="en-GB"/>
        </w:rPr>
        <w:t>-et dhe lehtësuesit</w:t>
      </w:r>
      <w:r w:rsidR="005C50A9" w:rsidRPr="00770F9D">
        <w:rPr>
          <w:rFonts w:ascii="Garamond" w:hAnsi="Garamond" w:cstheme="majorBidi"/>
          <w:color w:val="0D0D0D" w:themeColor="text1" w:themeTint="F2"/>
          <w:lang w:eastAsia="en-GB"/>
        </w:rPr>
        <w:t>,</w:t>
      </w:r>
      <w:r w:rsidRPr="00770F9D">
        <w:rPr>
          <w:rFonts w:ascii="Garamond" w:hAnsi="Garamond" w:cstheme="majorBidi"/>
          <w:color w:val="0D0D0D" w:themeColor="text1" w:themeTint="F2"/>
          <w:lang w:eastAsia="en-GB"/>
        </w:rPr>
        <w:t xml:space="preserve"> si edhe </w:t>
      </w:r>
      <w:r w:rsidR="005C50A9" w:rsidRPr="00770F9D">
        <w:rPr>
          <w:rFonts w:ascii="Garamond" w:hAnsi="Garamond" w:cstheme="majorBidi"/>
          <w:color w:val="0D0D0D" w:themeColor="text1" w:themeTint="F2"/>
          <w:lang w:eastAsia="en-GB"/>
        </w:rPr>
        <w:t xml:space="preserve">thirrja </w:t>
      </w:r>
      <w:r w:rsidRPr="00770F9D">
        <w:rPr>
          <w:rFonts w:ascii="Garamond" w:hAnsi="Garamond" w:cstheme="majorBidi"/>
          <w:color w:val="0D0D0D" w:themeColor="text1" w:themeTint="F2"/>
          <w:lang w:eastAsia="en-GB"/>
        </w:rPr>
        <w:t>për grante</w:t>
      </w:r>
      <w:r w:rsidR="005C50A9" w:rsidRPr="00770F9D">
        <w:rPr>
          <w:rFonts w:ascii="Garamond" w:hAnsi="Garamond" w:cstheme="majorBidi"/>
          <w:color w:val="0D0D0D" w:themeColor="text1" w:themeTint="F2"/>
          <w:lang w:eastAsia="en-GB"/>
        </w:rPr>
        <w:t>,</w:t>
      </w:r>
      <w:r w:rsidRPr="00770F9D">
        <w:rPr>
          <w:rFonts w:ascii="Garamond" w:hAnsi="Garamond" w:cstheme="majorBidi"/>
          <w:color w:val="0D0D0D" w:themeColor="text1" w:themeTint="F2"/>
          <w:lang w:eastAsia="en-GB"/>
        </w:rPr>
        <w:t xml:space="preserve"> e hapur p</w:t>
      </w:r>
      <w:r w:rsidR="005C50A9" w:rsidRPr="00770F9D">
        <w:rPr>
          <w:rFonts w:ascii="Garamond" w:hAnsi="Garamond" w:cstheme="majorBidi"/>
          <w:color w:val="0D0D0D" w:themeColor="text1" w:themeTint="F2"/>
          <w:lang w:eastAsia="en-GB"/>
        </w:rPr>
        <w:t>ë</w:t>
      </w:r>
      <w:r w:rsidRPr="00770F9D">
        <w:rPr>
          <w:rFonts w:ascii="Garamond" w:hAnsi="Garamond" w:cstheme="majorBidi"/>
          <w:color w:val="0D0D0D" w:themeColor="text1" w:themeTint="F2"/>
          <w:lang w:eastAsia="en-GB"/>
        </w:rPr>
        <w:t xml:space="preserve">r </w:t>
      </w:r>
      <w:r w:rsidRPr="00770F9D">
        <w:rPr>
          <w:rFonts w:ascii="Garamond" w:hAnsi="Garamond" w:cstheme="majorBidi"/>
          <w:i/>
          <w:iCs/>
          <w:color w:val="0D0D0D" w:themeColor="text1" w:themeTint="F2"/>
          <w:lang w:eastAsia="en-GB"/>
        </w:rPr>
        <w:t>startup</w:t>
      </w:r>
      <w:r w:rsidRPr="00770F9D">
        <w:rPr>
          <w:rFonts w:ascii="Garamond" w:hAnsi="Garamond" w:cstheme="majorBidi"/>
          <w:color w:val="0D0D0D" w:themeColor="text1" w:themeTint="F2"/>
          <w:lang w:eastAsia="en-GB"/>
        </w:rPr>
        <w:t>-et dhe ekosistemin e tyre</w:t>
      </w:r>
      <w:r w:rsidR="002C35C9" w:rsidRPr="00770F9D">
        <w:rPr>
          <w:rFonts w:ascii="Garamond" w:hAnsi="Garamond" w:cstheme="majorBidi"/>
          <w:color w:val="0D0D0D" w:themeColor="text1" w:themeTint="F2"/>
        </w:rPr>
        <w:t>.</w:t>
      </w:r>
    </w:p>
    <w:p w14:paraId="1CD4F958" w14:textId="0442DAA5" w:rsidR="009D37E3" w:rsidRPr="00770F9D" w:rsidRDefault="009D37E3" w:rsidP="000F6F7A">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a</w:t>
      </w:r>
      <w:r w:rsidR="005C50A9" w:rsidRPr="00770F9D">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 xml:space="preserve">Aktivitete të planifikuara </w:t>
      </w:r>
      <w:r w:rsidR="000F6F7A">
        <w:rPr>
          <w:rFonts w:ascii="Garamond" w:hAnsi="Garamond"/>
          <w:b/>
          <w:bCs/>
          <w:color w:val="0D0D0D"/>
          <w:sz w:val="24"/>
          <w:szCs w:val="24"/>
          <w:lang w:val="sq-AL"/>
        </w:rPr>
        <w:t>m</w:t>
      </w:r>
      <w:r w:rsidRPr="00770F9D">
        <w:rPr>
          <w:rFonts w:ascii="Garamond" w:hAnsi="Garamond"/>
          <w:b/>
          <w:bCs/>
          <w:color w:val="0D0D0D"/>
          <w:sz w:val="24"/>
          <w:szCs w:val="24"/>
          <w:lang w:val="sq-AL"/>
        </w:rPr>
        <w:t>ë 2023</w:t>
      </w:r>
      <w:r w:rsidR="005C50A9" w:rsidRPr="00770F9D">
        <w:rPr>
          <w:rFonts w:ascii="Garamond" w:hAnsi="Garamond"/>
          <w:b/>
          <w:bCs/>
          <w:color w:val="0D0D0D"/>
          <w:sz w:val="24"/>
          <w:szCs w:val="24"/>
          <w:lang w:val="sq-AL"/>
        </w:rPr>
        <w:t>-shin</w:t>
      </w:r>
    </w:p>
    <w:p w14:paraId="316E7076" w14:textId="60D4213A"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a</w:t>
      </w:r>
      <w:r w:rsidR="005C50A9"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Miratimi i ndryshimeve në ligjin “Për mbështetjen dhe zhvillimin e </w:t>
      </w:r>
      <w:r w:rsidRPr="00770F9D">
        <w:rPr>
          <w:rFonts w:ascii="Garamond" w:hAnsi="Garamond"/>
          <w:i/>
          <w:iCs/>
          <w:color w:val="0D0D0D"/>
          <w:sz w:val="24"/>
          <w:szCs w:val="24"/>
          <w:lang w:val="sq-AL"/>
        </w:rPr>
        <w:t>startup</w:t>
      </w:r>
      <w:r w:rsidR="005C50A9" w:rsidRPr="00770F9D">
        <w:rPr>
          <w:rFonts w:ascii="Garamond" w:hAnsi="Garamond"/>
          <w:color w:val="0D0D0D"/>
          <w:sz w:val="24"/>
          <w:szCs w:val="24"/>
          <w:lang w:val="sq-AL"/>
        </w:rPr>
        <w:t>-</w:t>
      </w:r>
      <w:r w:rsidRPr="00770F9D">
        <w:rPr>
          <w:rFonts w:ascii="Garamond" w:hAnsi="Garamond"/>
          <w:color w:val="0D0D0D"/>
          <w:sz w:val="24"/>
          <w:szCs w:val="24"/>
          <w:lang w:val="sq-AL"/>
        </w:rPr>
        <w:t>eve”</w:t>
      </w:r>
      <w:r w:rsidR="005C50A9" w:rsidRPr="00770F9D">
        <w:rPr>
          <w:rFonts w:ascii="Garamond" w:hAnsi="Garamond"/>
          <w:color w:val="0D0D0D"/>
          <w:sz w:val="24"/>
          <w:szCs w:val="24"/>
          <w:lang w:val="sq-AL"/>
        </w:rPr>
        <w:t>;</w:t>
      </w:r>
    </w:p>
    <w:p w14:paraId="74DD25A2" w14:textId="672D3E85"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b</w:t>
      </w:r>
      <w:r w:rsidR="005C50A9"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Akte nënligjore bazuar në ndryshimet e reja të miratuara në ligj</w:t>
      </w:r>
      <w:r w:rsidR="005C50A9" w:rsidRPr="00770F9D">
        <w:rPr>
          <w:rFonts w:ascii="Garamond" w:hAnsi="Garamond"/>
          <w:color w:val="0D0D0D"/>
          <w:sz w:val="24"/>
          <w:szCs w:val="24"/>
          <w:lang w:val="sq-AL"/>
        </w:rPr>
        <w:t>;</w:t>
      </w:r>
    </w:p>
    <w:p w14:paraId="62F9BA56" w14:textId="0E09B787"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c</w:t>
      </w:r>
      <w:r w:rsidR="005C50A9"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Në bashkëpunim me AKSHI</w:t>
      </w:r>
      <w:r w:rsidR="005C50A9" w:rsidRPr="00770F9D">
        <w:rPr>
          <w:rFonts w:ascii="Garamond" w:hAnsi="Garamond"/>
          <w:color w:val="0D0D0D"/>
          <w:sz w:val="24"/>
          <w:szCs w:val="24"/>
          <w:lang w:val="sq-AL"/>
        </w:rPr>
        <w:t>-n</w:t>
      </w:r>
      <w:r w:rsidRPr="00770F9D">
        <w:rPr>
          <w:rFonts w:ascii="Garamond" w:hAnsi="Garamond"/>
          <w:color w:val="0D0D0D"/>
          <w:sz w:val="24"/>
          <w:szCs w:val="24"/>
          <w:lang w:val="sq-AL"/>
        </w:rPr>
        <w:t>, do t</w:t>
      </w:r>
      <w:r w:rsidR="005C50A9" w:rsidRPr="00770F9D">
        <w:rPr>
          <w:rFonts w:ascii="Garamond" w:hAnsi="Garamond"/>
          <w:color w:val="0D0D0D"/>
          <w:sz w:val="24"/>
          <w:szCs w:val="24"/>
          <w:lang w:val="sq-AL"/>
        </w:rPr>
        <w:t>ë</w:t>
      </w:r>
      <w:r w:rsidRPr="00770F9D">
        <w:rPr>
          <w:rFonts w:ascii="Garamond" w:hAnsi="Garamond"/>
          <w:color w:val="0D0D0D"/>
          <w:sz w:val="24"/>
          <w:szCs w:val="24"/>
          <w:lang w:val="sq-AL"/>
        </w:rPr>
        <w:t xml:space="preserve"> punohet për gjenerimin e pasaportave automatike të </w:t>
      </w:r>
      <w:r w:rsidRPr="00770F9D">
        <w:rPr>
          <w:rFonts w:ascii="Garamond" w:hAnsi="Garamond"/>
          <w:i/>
          <w:iCs/>
          <w:color w:val="0D0D0D"/>
          <w:sz w:val="24"/>
          <w:szCs w:val="24"/>
          <w:lang w:val="sq-AL"/>
        </w:rPr>
        <w:t>startup</w:t>
      </w:r>
      <w:r w:rsidRPr="00770F9D">
        <w:rPr>
          <w:rFonts w:ascii="Garamond" w:hAnsi="Garamond"/>
          <w:color w:val="0D0D0D"/>
          <w:sz w:val="24"/>
          <w:szCs w:val="24"/>
          <w:lang w:val="sq-AL"/>
        </w:rPr>
        <w:t>-eve dhe lehtësuesve</w:t>
      </w:r>
      <w:r w:rsidR="005C50A9" w:rsidRPr="00770F9D">
        <w:rPr>
          <w:rFonts w:ascii="Garamond" w:hAnsi="Garamond"/>
          <w:color w:val="0D0D0D"/>
          <w:sz w:val="24"/>
          <w:szCs w:val="24"/>
          <w:lang w:val="sq-AL"/>
        </w:rPr>
        <w:t>;</w:t>
      </w:r>
    </w:p>
    <w:p w14:paraId="216E6EDA" w14:textId="13636DC9"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d</w:t>
      </w:r>
      <w:r w:rsidR="005C50A9"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Filloi me sukses një tjetër thirrje të hapur për grante për </w:t>
      </w:r>
      <w:r w:rsidRPr="00770F9D">
        <w:rPr>
          <w:rFonts w:ascii="Garamond" w:hAnsi="Garamond"/>
          <w:i/>
          <w:iCs/>
          <w:color w:val="0D0D0D"/>
          <w:sz w:val="24"/>
          <w:szCs w:val="24"/>
          <w:lang w:val="sq-AL"/>
        </w:rPr>
        <w:t>startup</w:t>
      </w:r>
      <w:r w:rsidR="005C50A9" w:rsidRPr="00770F9D">
        <w:rPr>
          <w:rFonts w:ascii="Garamond" w:hAnsi="Garamond"/>
          <w:color w:val="0D0D0D"/>
          <w:sz w:val="24"/>
          <w:szCs w:val="24"/>
          <w:lang w:val="sq-AL"/>
        </w:rPr>
        <w:t>-</w:t>
      </w:r>
      <w:r w:rsidRPr="00770F9D">
        <w:rPr>
          <w:rFonts w:ascii="Garamond" w:hAnsi="Garamond"/>
          <w:color w:val="0D0D0D"/>
          <w:sz w:val="24"/>
          <w:szCs w:val="24"/>
          <w:lang w:val="sq-AL"/>
        </w:rPr>
        <w:t>et dhe lehtësuesit</w:t>
      </w:r>
      <w:r w:rsidR="005C50A9" w:rsidRPr="00770F9D">
        <w:rPr>
          <w:rFonts w:ascii="Garamond" w:hAnsi="Garamond"/>
          <w:color w:val="0D0D0D"/>
          <w:sz w:val="24"/>
          <w:szCs w:val="24"/>
          <w:lang w:val="sq-AL"/>
        </w:rPr>
        <w:t>.</w:t>
      </w:r>
    </w:p>
    <w:p w14:paraId="249F7378" w14:textId="616C255B" w:rsidR="009D37E3" w:rsidRPr="00770F9D" w:rsidRDefault="009D37E3" w:rsidP="000F6F7A">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b</w:t>
      </w:r>
      <w:r w:rsidR="005C50A9" w:rsidRPr="00770F9D">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 xml:space="preserve">Aktivitete të planifikuara </w:t>
      </w:r>
      <w:r w:rsidR="000F6F7A">
        <w:rPr>
          <w:rFonts w:ascii="Garamond" w:hAnsi="Garamond"/>
          <w:b/>
          <w:bCs/>
          <w:color w:val="0D0D0D"/>
          <w:sz w:val="24"/>
          <w:szCs w:val="24"/>
          <w:lang w:val="sq-AL"/>
        </w:rPr>
        <w:t>m</w:t>
      </w:r>
      <w:r w:rsidRPr="00770F9D">
        <w:rPr>
          <w:rFonts w:ascii="Garamond" w:hAnsi="Garamond"/>
          <w:b/>
          <w:bCs/>
          <w:color w:val="0D0D0D"/>
          <w:sz w:val="24"/>
          <w:szCs w:val="24"/>
          <w:lang w:val="sq-AL"/>
        </w:rPr>
        <w:t>ë 2024</w:t>
      </w:r>
      <w:r w:rsidR="005C50A9" w:rsidRPr="00770F9D">
        <w:rPr>
          <w:rFonts w:ascii="Garamond" w:hAnsi="Garamond"/>
          <w:b/>
          <w:bCs/>
          <w:color w:val="0D0D0D"/>
          <w:sz w:val="24"/>
          <w:szCs w:val="24"/>
          <w:lang w:val="sq-AL"/>
        </w:rPr>
        <w:t>-n</w:t>
      </w:r>
    </w:p>
    <w:p w14:paraId="141D8702" w14:textId="4BEFA196"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a</w:t>
      </w:r>
      <w:r w:rsidR="005C50A9"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Nisja</w:t>
      </w:r>
      <w:r w:rsidR="005C50A9" w:rsidRPr="00770F9D">
        <w:rPr>
          <w:rFonts w:ascii="Garamond" w:hAnsi="Garamond"/>
          <w:color w:val="0D0D0D"/>
          <w:sz w:val="24"/>
          <w:szCs w:val="24"/>
          <w:lang w:val="sq-AL"/>
        </w:rPr>
        <w:t xml:space="preserve"> </w:t>
      </w:r>
      <w:r w:rsidRPr="00770F9D">
        <w:rPr>
          <w:rFonts w:ascii="Garamond" w:hAnsi="Garamond"/>
          <w:color w:val="0D0D0D"/>
          <w:sz w:val="24"/>
          <w:szCs w:val="24"/>
          <w:lang w:val="sq-AL"/>
        </w:rPr>
        <w:t>e shërbimit</w:t>
      </w:r>
      <w:r w:rsidR="005C50A9" w:rsidRPr="00770F9D">
        <w:rPr>
          <w:rFonts w:ascii="Garamond" w:hAnsi="Garamond"/>
          <w:color w:val="0D0D0D"/>
          <w:sz w:val="24"/>
          <w:szCs w:val="24"/>
          <w:lang w:val="sq-AL"/>
        </w:rPr>
        <w:t xml:space="preserve"> </w:t>
      </w:r>
      <w:r w:rsidR="005C50A9" w:rsidRPr="00770F9D">
        <w:rPr>
          <w:rFonts w:ascii="Garamond" w:hAnsi="Garamond"/>
          <w:i/>
          <w:iCs/>
          <w:color w:val="0D0D0D"/>
          <w:sz w:val="24"/>
          <w:szCs w:val="24"/>
          <w:lang w:val="sq-AL"/>
        </w:rPr>
        <w:t>“</w:t>
      </w:r>
      <w:r w:rsidRPr="00770F9D">
        <w:rPr>
          <w:rFonts w:ascii="Garamond" w:hAnsi="Garamond"/>
          <w:i/>
          <w:iCs/>
          <w:color w:val="0D0D0D"/>
          <w:sz w:val="24"/>
          <w:szCs w:val="24"/>
          <w:lang w:val="sq-AL"/>
        </w:rPr>
        <w:t>One-stop-shop”</w:t>
      </w:r>
      <w:r w:rsidR="005C50A9" w:rsidRPr="00770F9D">
        <w:rPr>
          <w:rFonts w:ascii="Garamond" w:hAnsi="Garamond"/>
          <w:i/>
          <w:iCs/>
          <w:color w:val="0D0D0D"/>
          <w:sz w:val="24"/>
          <w:szCs w:val="24"/>
          <w:lang w:val="sq-AL"/>
        </w:rPr>
        <w:t>;</w:t>
      </w:r>
    </w:p>
    <w:p w14:paraId="4BD104FC" w14:textId="687776BB"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b</w:t>
      </w:r>
      <w:r w:rsidR="005C50A9"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Vazhdimi i zbatimit të ligjit dhe ofrimi i mbështetjes për bizneset fillestare</w:t>
      </w:r>
      <w:r w:rsidR="005C50A9" w:rsidRPr="00770F9D">
        <w:rPr>
          <w:rFonts w:ascii="Garamond" w:hAnsi="Garamond"/>
          <w:color w:val="0D0D0D"/>
          <w:sz w:val="24"/>
          <w:szCs w:val="24"/>
          <w:lang w:val="sq-AL"/>
        </w:rPr>
        <w:t>,</w:t>
      </w:r>
      <w:r w:rsidRPr="00770F9D">
        <w:rPr>
          <w:rFonts w:ascii="Garamond" w:hAnsi="Garamond"/>
          <w:color w:val="0D0D0D"/>
          <w:sz w:val="24"/>
          <w:szCs w:val="24"/>
          <w:lang w:val="sq-AL"/>
        </w:rPr>
        <w:t xml:space="preserve"> siç kërkohet nga ky ligj</w:t>
      </w:r>
      <w:r w:rsidR="005C50A9" w:rsidRPr="00770F9D">
        <w:rPr>
          <w:rFonts w:ascii="Garamond" w:hAnsi="Garamond"/>
          <w:color w:val="0D0D0D"/>
          <w:sz w:val="24"/>
          <w:szCs w:val="24"/>
          <w:lang w:val="sq-AL"/>
        </w:rPr>
        <w:t>;</w:t>
      </w:r>
    </w:p>
    <w:p w14:paraId="2CB9064C" w14:textId="4A12E569"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c</w:t>
      </w:r>
      <w:r w:rsidR="005C50A9"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Menaxhimi dhe mirëmbajtja e portalit </w:t>
      </w:r>
      <w:r w:rsidRPr="00770F9D">
        <w:rPr>
          <w:rFonts w:ascii="Garamond" w:hAnsi="Garamond"/>
          <w:i/>
          <w:iCs/>
          <w:color w:val="0D0D0D"/>
          <w:sz w:val="24"/>
          <w:szCs w:val="24"/>
          <w:lang w:val="sq-AL"/>
        </w:rPr>
        <w:t>online</w:t>
      </w:r>
      <w:r w:rsidRPr="00770F9D">
        <w:rPr>
          <w:rFonts w:ascii="Garamond" w:hAnsi="Garamond"/>
          <w:color w:val="0D0D0D"/>
          <w:sz w:val="24"/>
          <w:szCs w:val="24"/>
          <w:lang w:val="sq-AL"/>
        </w:rPr>
        <w:t xml:space="preserve"> të pasaportave të </w:t>
      </w:r>
      <w:r w:rsidRPr="00770F9D">
        <w:rPr>
          <w:rFonts w:ascii="Garamond" w:hAnsi="Garamond"/>
          <w:i/>
          <w:iCs/>
          <w:color w:val="0D0D0D"/>
          <w:sz w:val="24"/>
          <w:szCs w:val="24"/>
          <w:lang w:val="sq-AL"/>
        </w:rPr>
        <w:t>startup</w:t>
      </w:r>
      <w:r w:rsidRPr="00770F9D">
        <w:rPr>
          <w:rFonts w:ascii="Garamond" w:hAnsi="Garamond"/>
          <w:color w:val="0D0D0D"/>
          <w:sz w:val="24"/>
          <w:szCs w:val="24"/>
          <w:lang w:val="sq-AL"/>
        </w:rPr>
        <w:t xml:space="preserve"> dhe lehtësuesve</w:t>
      </w:r>
      <w:r w:rsidR="005C50A9" w:rsidRPr="00770F9D">
        <w:rPr>
          <w:rFonts w:ascii="Garamond" w:hAnsi="Garamond"/>
          <w:color w:val="0D0D0D"/>
          <w:sz w:val="24"/>
          <w:szCs w:val="24"/>
          <w:lang w:val="sq-AL"/>
        </w:rPr>
        <w:t>;</w:t>
      </w:r>
    </w:p>
    <w:p w14:paraId="513367C7" w14:textId="28E18B7F"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d</w:t>
      </w:r>
      <w:r w:rsidR="005C50A9"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Hapja dhe përfundimi me sukses i thirrjes se tretë të propozimeve për </w:t>
      </w:r>
      <w:r w:rsidRPr="00770F9D">
        <w:rPr>
          <w:rFonts w:ascii="Garamond" w:hAnsi="Garamond"/>
          <w:i/>
          <w:iCs/>
          <w:color w:val="0D0D0D"/>
          <w:sz w:val="24"/>
          <w:szCs w:val="24"/>
          <w:lang w:val="sq-AL"/>
        </w:rPr>
        <w:t>startup</w:t>
      </w:r>
      <w:r w:rsidRPr="00770F9D">
        <w:rPr>
          <w:rFonts w:ascii="Garamond" w:hAnsi="Garamond"/>
          <w:color w:val="0D0D0D"/>
          <w:sz w:val="24"/>
          <w:szCs w:val="24"/>
          <w:lang w:val="sq-AL"/>
        </w:rPr>
        <w:t>-et dhe lehtësuesit</w:t>
      </w:r>
      <w:r w:rsidR="005C50A9" w:rsidRPr="00770F9D">
        <w:rPr>
          <w:rFonts w:ascii="Garamond" w:hAnsi="Garamond"/>
          <w:color w:val="0D0D0D"/>
          <w:sz w:val="24"/>
          <w:szCs w:val="24"/>
          <w:lang w:val="sq-AL"/>
        </w:rPr>
        <w:t>.</w:t>
      </w:r>
    </w:p>
    <w:p w14:paraId="3C2112C9" w14:textId="579D869B" w:rsidR="009D37E3" w:rsidRPr="00770F9D" w:rsidRDefault="009D37E3" w:rsidP="000F6F7A">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c</w:t>
      </w:r>
      <w:r w:rsidR="005C50A9" w:rsidRPr="00770F9D">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 xml:space="preserve">Aktivitete të planifikuara </w:t>
      </w:r>
      <w:r w:rsidR="000F6F7A">
        <w:rPr>
          <w:rFonts w:ascii="Garamond" w:hAnsi="Garamond"/>
          <w:b/>
          <w:bCs/>
          <w:color w:val="0D0D0D"/>
          <w:sz w:val="24"/>
          <w:szCs w:val="24"/>
          <w:lang w:val="sq-AL"/>
        </w:rPr>
        <w:t>m</w:t>
      </w:r>
      <w:r w:rsidRPr="00770F9D">
        <w:rPr>
          <w:rFonts w:ascii="Garamond" w:hAnsi="Garamond"/>
          <w:b/>
          <w:bCs/>
          <w:color w:val="0D0D0D"/>
          <w:sz w:val="24"/>
          <w:szCs w:val="24"/>
          <w:lang w:val="sq-AL"/>
        </w:rPr>
        <w:t>ë 2025</w:t>
      </w:r>
      <w:r w:rsidR="005C50A9" w:rsidRPr="00770F9D">
        <w:rPr>
          <w:rFonts w:ascii="Garamond" w:hAnsi="Garamond"/>
          <w:b/>
          <w:bCs/>
          <w:color w:val="0D0D0D"/>
          <w:sz w:val="24"/>
          <w:szCs w:val="24"/>
          <w:lang w:val="sq-AL"/>
        </w:rPr>
        <w:t>-n</w:t>
      </w:r>
    </w:p>
    <w:p w14:paraId="5BDA8C86" w14:textId="46ED2557"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a</w:t>
      </w:r>
      <w:r w:rsidR="005C50A9"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Ofrimi i mbështetjes për </w:t>
      </w:r>
      <w:r w:rsidRPr="00770F9D">
        <w:rPr>
          <w:rFonts w:ascii="Garamond" w:hAnsi="Garamond"/>
          <w:i/>
          <w:iCs/>
          <w:color w:val="0D0D0D"/>
          <w:sz w:val="24"/>
          <w:szCs w:val="24"/>
          <w:lang w:val="sq-AL"/>
        </w:rPr>
        <w:t>startup</w:t>
      </w:r>
      <w:r w:rsidRPr="00770F9D">
        <w:rPr>
          <w:rFonts w:ascii="Garamond" w:hAnsi="Garamond"/>
          <w:color w:val="0D0D0D"/>
          <w:sz w:val="24"/>
          <w:szCs w:val="24"/>
          <w:lang w:val="sq-AL"/>
        </w:rPr>
        <w:t>-et</w:t>
      </w:r>
      <w:r w:rsidR="005C50A9" w:rsidRPr="00770F9D">
        <w:rPr>
          <w:rFonts w:ascii="Garamond" w:hAnsi="Garamond"/>
          <w:color w:val="0D0D0D"/>
          <w:sz w:val="24"/>
          <w:szCs w:val="24"/>
          <w:lang w:val="sq-AL"/>
        </w:rPr>
        <w:t>,</w:t>
      </w:r>
      <w:r w:rsidRPr="00770F9D">
        <w:rPr>
          <w:rFonts w:ascii="Garamond" w:hAnsi="Garamond"/>
          <w:color w:val="0D0D0D"/>
          <w:sz w:val="24"/>
          <w:szCs w:val="24"/>
          <w:lang w:val="sq-AL"/>
        </w:rPr>
        <w:t xml:space="preserve"> siç kërkohet nga ligji për </w:t>
      </w:r>
      <w:r w:rsidRPr="00770F9D">
        <w:rPr>
          <w:rFonts w:ascii="Garamond" w:hAnsi="Garamond"/>
          <w:i/>
          <w:iCs/>
          <w:color w:val="0D0D0D"/>
          <w:sz w:val="24"/>
          <w:szCs w:val="24"/>
          <w:lang w:val="sq-AL"/>
        </w:rPr>
        <w:t>startup</w:t>
      </w:r>
      <w:r w:rsidRPr="00770F9D">
        <w:rPr>
          <w:rFonts w:ascii="Garamond" w:hAnsi="Garamond"/>
          <w:color w:val="0D0D0D"/>
          <w:sz w:val="24"/>
          <w:szCs w:val="24"/>
          <w:lang w:val="sq-AL"/>
        </w:rPr>
        <w:t>-et</w:t>
      </w:r>
      <w:r w:rsidR="005C50A9" w:rsidRPr="00770F9D">
        <w:rPr>
          <w:rFonts w:ascii="Garamond" w:hAnsi="Garamond"/>
          <w:color w:val="0D0D0D"/>
          <w:sz w:val="24"/>
          <w:szCs w:val="24"/>
          <w:lang w:val="sq-AL"/>
        </w:rPr>
        <w:t>;</w:t>
      </w:r>
    </w:p>
    <w:p w14:paraId="6A4DD2E9" w14:textId="0C190E2D"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b</w:t>
      </w:r>
      <w:r w:rsidR="005C50A9"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Mirëmbajtja e portalit</w:t>
      </w:r>
      <w:r w:rsidR="005C50A9" w:rsidRPr="00770F9D">
        <w:rPr>
          <w:rFonts w:ascii="Garamond" w:hAnsi="Garamond"/>
          <w:color w:val="0D0D0D"/>
          <w:sz w:val="24"/>
          <w:szCs w:val="24"/>
          <w:lang w:val="sq-AL"/>
        </w:rPr>
        <w:t xml:space="preserve"> </w:t>
      </w:r>
      <w:r w:rsidRPr="00770F9D">
        <w:rPr>
          <w:rFonts w:ascii="Garamond" w:hAnsi="Garamond"/>
          <w:i/>
          <w:iCs/>
          <w:color w:val="0D0D0D"/>
          <w:sz w:val="24"/>
          <w:szCs w:val="24"/>
          <w:lang w:val="sq-AL"/>
        </w:rPr>
        <w:t>online</w:t>
      </w:r>
      <w:r w:rsidRPr="00770F9D">
        <w:rPr>
          <w:rFonts w:ascii="Garamond" w:hAnsi="Garamond"/>
          <w:color w:val="0D0D0D"/>
          <w:sz w:val="24"/>
          <w:szCs w:val="24"/>
          <w:lang w:val="sq-AL"/>
        </w:rPr>
        <w:t xml:space="preserve"> të pasaportave të të </w:t>
      </w:r>
      <w:r w:rsidRPr="00770F9D">
        <w:rPr>
          <w:rFonts w:ascii="Garamond" w:hAnsi="Garamond"/>
          <w:i/>
          <w:iCs/>
          <w:color w:val="0D0D0D"/>
          <w:sz w:val="24"/>
          <w:szCs w:val="24"/>
          <w:lang w:val="sq-AL"/>
        </w:rPr>
        <w:t>startup</w:t>
      </w:r>
      <w:r w:rsidRPr="00770F9D">
        <w:rPr>
          <w:rFonts w:ascii="Garamond" w:hAnsi="Garamond"/>
          <w:color w:val="0D0D0D"/>
          <w:sz w:val="24"/>
          <w:szCs w:val="24"/>
          <w:lang w:val="sq-AL"/>
        </w:rPr>
        <w:t xml:space="preserve"> dhe lehtësuesve</w:t>
      </w:r>
      <w:r w:rsidR="005C50A9" w:rsidRPr="00770F9D">
        <w:rPr>
          <w:rFonts w:ascii="Garamond" w:hAnsi="Garamond"/>
          <w:color w:val="0D0D0D"/>
          <w:sz w:val="24"/>
          <w:szCs w:val="24"/>
          <w:lang w:val="sq-AL"/>
        </w:rPr>
        <w:t>;</w:t>
      </w:r>
    </w:p>
    <w:p w14:paraId="46A11381" w14:textId="2927FD31"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c</w:t>
      </w:r>
      <w:r w:rsidR="005C50A9"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Përfundimi me sukses i thirrjes se katërt të propozimeve për </w:t>
      </w:r>
      <w:r w:rsidRPr="00770F9D">
        <w:rPr>
          <w:rFonts w:ascii="Garamond" w:hAnsi="Garamond"/>
          <w:i/>
          <w:iCs/>
          <w:color w:val="0D0D0D"/>
          <w:sz w:val="24"/>
          <w:szCs w:val="24"/>
          <w:lang w:val="sq-AL"/>
        </w:rPr>
        <w:t>startup</w:t>
      </w:r>
      <w:r w:rsidRPr="00770F9D">
        <w:rPr>
          <w:rFonts w:ascii="Garamond" w:hAnsi="Garamond"/>
          <w:color w:val="0D0D0D"/>
          <w:sz w:val="24"/>
          <w:szCs w:val="24"/>
          <w:lang w:val="sq-AL"/>
        </w:rPr>
        <w:t>-et dhe lehtësuesit</w:t>
      </w:r>
      <w:r w:rsidR="005C50A9" w:rsidRPr="00770F9D">
        <w:rPr>
          <w:rFonts w:ascii="Garamond" w:hAnsi="Garamond"/>
          <w:color w:val="0D0D0D"/>
          <w:sz w:val="24"/>
          <w:szCs w:val="24"/>
          <w:lang w:val="sq-AL"/>
        </w:rPr>
        <w:t>;</w:t>
      </w:r>
    </w:p>
    <w:p w14:paraId="2C76140E" w14:textId="03A92677"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d</w:t>
      </w:r>
      <w:r w:rsidR="005C50A9"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Zgjerimi i rrjetit ndërkombëtar të </w:t>
      </w:r>
      <w:r w:rsidRPr="00770F9D">
        <w:rPr>
          <w:rFonts w:ascii="Garamond" w:hAnsi="Garamond"/>
          <w:i/>
          <w:iCs/>
          <w:color w:val="0D0D0D"/>
          <w:sz w:val="24"/>
          <w:szCs w:val="24"/>
          <w:lang w:val="sq-AL"/>
        </w:rPr>
        <w:t>startup</w:t>
      </w:r>
      <w:r w:rsidRPr="00770F9D">
        <w:rPr>
          <w:rFonts w:ascii="Garamond" w:hAnsi="Garamond"/>
          <w:color w:val="0D0D0D"/>
          <w:sz w:val="24"/>
          <w:szCs w:val="24"/>
          <w:lang w:val="sq-AL"/>
        </w:rPr>
        <w:t xml:space="preserve">-eve dhe ekosistemit inovativ që ndërvepron me </w:t>
      </w:r>
      <w:r w:rsidRPr="00770F9D">
        <w:rPr>
          <w:rFonts w:ascii="Garamond" w:hAnsi="Garamond"/>
          <w:i/>
          <w:iCs/>
          <w:color w:val="0D0D0D"/>
          <w:sz w:val="24"/>
          <w:szCs w:val="24"/>
          <w:lang w:val="sq-AL"/>
        </w:rPr>
        <w:t>startup</w:t>
      </w:r>
      <w:r w:rsidRPr="00770F9D">
        <w:rPr>
          <w:rFonts w:ascii="Garamond" w:hAnsi="Garamond"/>
          <w:color w:val="0D0D0D"/>
          <w:sz w:val="24"/>
          <w:szCs w:val="24"/>
          <w:lang w:val="sq-AL"/>
        </w:rPr>
        <w:t>-et shqiptare.</w:t>
      </w:r>
    </w:p>
    <w:p w14:paraId="27D0619C" w14:textId="4EEA3008" w:rsidR="009D37E3" w:rsidRPr="00770F9D" w:rsidRDefault="00060FB2"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2</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Treguesit e rezultateve</w:t>
      </w:r>
    </w:p>
    <w:tbl>
      <w:tblPr>
        <w:tblStyle w:val="TableGrid"/>
        <w:tblW w:w="5000" w:type="pct"/>
        <w:tblLook w:val="04A0" w:firstRow="1" w:lastRow="0" w:firstColumn="1" w:lastColumn="0" w:noHBand="0" w:noVBand="1"/>
      </w:tblPr>
      <w:tblGrid>
        <w:gridCol w:w="5154"/>
        <w:gridCol w:w="1371"/>
        <w:gridCol w:w="1371"/>
        <w:gridCol w:w="1391"/>
      </w:tblGrid>
      <w:tr w:rsidR="00E43001" w:rsidRPr="00770F9D" w14:paraId="02C69145" w14:textId="77777777" w:rsidTr="00060FB2">
        <w:tc>
          <w:tcPr>
            <w:tcW w:w="2775" w:type="pct"/>
          </w:tcPr>
          <w:p w14:paraId="64428A8F" w14:textId="77777777" w:rsidR="00E43001" w:rsidRPr="00770F9D" w:rsidRDefault="00E43001" w:rsidP="00060FB2">
            <w:pPr>
              <w:snapToGrid w:val="0"/>
              <w:rPr>
                <w:rFonts w:ascii="Garamond" w:hAnsi="Garamond" w:cstheme="majorBidi"/>
                <w:b/>
                <w:bCs/>
                <w:color w:val="0D0D0D" w:themeColor="text1" w:themeTint="F2"/>
                <w:sz w:val="18"/>
                <w:szCs w:val="20"/>
              </w:rPr>
            </w:pPr>
            <w:r w:rsidRPr="00770F9D">
              <w:rPr>
                <w:rFonts w:ascii="Garamond" w:hAnsi="Garamond" w:cstheme="majorBidi"/>
                <w:b/>
                <w:bCs/>
                <w:color w:val="0D0D0D" w:themeColor="text1" w:themeTint="F2"/>
                <w:sz w:val="18"/>
                <w:szCs w:val="20"/>
              </w:rPr>
              <w:t>Treguesi</w:t>
            </w:r>
          </w:p>
        </w:tc>
        <w:tc>
          <w:tcPr>
            <w:tcW w:w="738" w:type="pct"/>
          </w:tcPr>
          <w:p w14:paraId="67CA7D44" w14:textId="77777777" w:rsidR="00E43001" w:rsidRPr="00770F9D" w:rsidRDefault="00E43001" w:rsidP="00060FB2">
            <w:pPr>
              <w:snapToGrid w:val="0"/>
              <w:rPr>
                <w:rFonts w:ascii="Garamond" w:hAnsi="Garamond" w:cstheme="majorBidi"/>
                <w:b/>
                <w:bCs/>
                <w:color w:val="0D0D0D" w:themeColor="text1" w:themeTint="F2"/>
                <w:sz w:val="18"/>
                <w:szCs w:val="20"/>
              </w:rPr>
            </w:pPr>
            <w:r w:rsidRPr="00770F9D">
              <w:rPr>
                <w:rFonts w:ascii="Garamond" w:hAnsi="Garamond" w:cstheme="majorBidi"/>
                <w:b/>
                <w:bCs/>
                <w:color w:val="0D0D0D" w:themeColor="text1" w:themeTint="F2"/>
                <w:sz w:val="18"/>
                <w:szCs w:val="20"/>
              </w:rPr>
              <w:t>Bazë</w:t>
            </w:r>
          </w:p>
        </w:tc>
        <w:tc>
          <w:tcPr>
            <w:tcW w:w="738" w:type="pct"/>
          </w:tcPr>
          <w:p w14:paraId="5E349A6E" w14:textId="77777777" w:rsidR="00E43001" w:rsidRPr="00770F9D" w:rsidRDefault="00E43001" w:rsidP="00060FB2">
            <w:pPr>
              <w:snapToGrid w:val="0"/>
              <w:rPr>
                <w:rFonts w:ascii="Garamond" w:hAnsi="Garamond" w:cstheme="majorBidi"/>
                <w:b/>
                <w:bCs/>
                <w:color w:val="0D0D0D" w:themeColor="text1" w:themeTint="F2"/>
                <w:sz w:val="18"/>
                <w:szCs w:val="20"/>
              </w:rPr>
            </w:pPr>
            <w:r w:rsidRPr="00770F9D">
              <w:rPr>
                <w:rFonts w:ascii="Garamond" w:hAnsi="Garamond" w:cstheme="majorBidi"/>
                <w:b/>
                <w:bCs/>
                <w:color w:val="0D0D0D" w:themeColor="text1" w:themeTint="F2"/>
                <w:sz w:val="18"/>
                <w:szCs w:val="20"/>
              </w:rPr>
              <w:t>I ndërmjetëm</w:t>
            </w:r>
          </w:p>
        </w:tc>
        <w:tc>
          <w:tcPr>
            <w:tcW w:w="749" w:type="pct"/>
          </w:tcPr>
          <w:p w14:paraId="23154A0D" w14:textId="77777777" w:rsidR="00E43001" w:rsidRPr="00770F9D" w:rsidRDefault="000B786B" w:rsidP="00060FB2">
            <w:pPr>
              <w:snapToGrid w:val="0"/>
              <w:rPr>
                <w:rFonts w:ascii="Garamond" w:hAnsi="Garamond" w:cstheme="majorBidi"/>
                <w:b/>
                <w:bCs/>
                <w:color w:val="0D0D0D" w:themeColor="text1" w:themeTint="F2"/>
                <w:sz w:val="18"/>
                <w:szCs w:val="20"/>
              </w:rPr>
            </w:pPr>
            <w:r w:rsidRPr="00770F9D">
              <w:rPr>
                <w:rFonts w:ascii="Garamond" w:hAnsi="Garamond" w:cstheme="majorBidi"/>
                <w:b/>
                <w:bCs/>
                <w:color w:val="0D0D0D" w:themeColor="text1" w:themeTint="F2"/>
                <w:sz w:val="18"/>
                <w:szCs w:val="20"/>
              </w:rPr>
              <w:t>Synimi</w:t>
            </w:r>
          </w:p>
        </w:tc>
      </w:tr>
      <w:tr w:rsidR="00E43001" w:rsidRPr="00770F9D" w14:paraId="379E1C55" w14:textId="77777777" w:rsidTr="00C52054">
        <w:tc>
          <w:tcPr>
            <w:tcW w:w="2775" w:type="pct"/>
          </w:tcPr>
          <w:p w14:paraId="16BFAE8E" w14:textId="77777777" w:rsidR="00E43001" w:rsidRPr="00770F9D" w:rsidRDefault="00E43001" w:rsidP="00060FB2">
            <w:pPr>
              <w:rPr>
                <w:rFonts w:ascii="Garamond" w:hAnsi="Garamond" w:cstheme="majorBidi"/>
                <w:color w:val="0D0D0D" w:themeColor="text1" w:themeTint="F2"/>
                <w:sz w:val="18"/>
                <w:szCs w:val="20"/>
              </w:rPr>
            </w:pPr>
            <w:r w:rsidRPr="00770F9D">
              <w:rPr>
                <w:rFonts w:ascii="Garamond" w:hAnsi="Garamond" w:cstheme="majorBidi"/>
                <w:color w:val="0D0D0D" w:themeColor="text1" w:themeTint="F2"/>
                <w:sz w:val="18"/>
                <w:szCs w:val="20"/>
              </w:rPr>
              <w:t xml:space="preserve">Miratimi i ligjit të ri “Për </w:t>
            </w:r>
            <w:r w:rsidRPr="00770F9D">
              <w:rPr>
                <w:rFonts w:ascii="Garamond" w:hAnsi="Garamond" w:cstheme="majorBidi"/>
                <w:i/>
                <w:iCs/>
                <w:color w:val="0D0D0D" w:themeColor="text1" w:themeTint="F2"/>
                <w:sz w:val="18"/>
                <w:szCs w:val="20"/>
              </w:rPr>
              <w:t>st</w:t>
            </w:r>
            <w:r w:rsidR="000B786B" w:rsidRPr="00770F9D">
              <w:rPr>
                <w:rFonts w:ascii="Garamond" w:hAnsi="Garamond" w:cstheme="majorBidi"/>
                <w:i/>
                <w:iCs/>
                <w:color w:val="0D0D0D" w:themeColor="text1" w:themeTint="F2"/>
                <w:sz w:val="18"/>
                <w:szCs w:val="20"/>
              </w:rPr>
              <w:t>artup</w:t>
            </w:r>
            <w:r w:rsidR="000B786B" w:rsidRPr="00770F9D">
              <w:rPr>
                <w:rFonts w:ascii="Garamond" w:hAnsi="Garamond" w:cstheme="majorBidi"/>
                <w:color w:val="0D0D0D" w:themeColor="text1" w:themeTint="F2"/>
                <w:sz w:val="18"/>
                <w:szCs w:val="20"/>
              </w:rPr>
              <w:t>-et” dhe akteve nënligjore</w:t>
            </w:r>
          </w:p>
        </w:tc>
        <w:tc>
          <w:tcPr>
            <w:tcW w:w="738" w:type="pct"/>
            <w:vAlign w:val="center"/>
          </w:tcPr>
          <w:p w14:paraId="529830B0" w14:textId="77777777" w:rsidR="00E43001" w:rsidRPr="00770F9D" w:rsidRDefault="000B786B" w:rsidP="00060FB2">
            <w:pPr>
              <w:rPr>
                <w:rFonts w:ascii="Garamond" w:hAnsi="Garamond" w:cstheme="majorBidi"/>
                <w:color w:val="0D0D0D" w:themeColor="text1" w:themeTint="F2"/>
                <w:sz w:val="18"/>
                <w:szCs w:val="20"/>
              </w:rPr>
            </w:pPr>
            <w:r w:rsidRPr="00770F9D">
              <w:rPr>
                <w:rFonts w:ascii="Garamond" w:hAnsi="Garamond" w:cstheme="majorBidi"/>
                <w:color w:val="0D0D0D" w:themeColor="text1" w:themeTint="F2"/>
                <w:sz w:val="18"/>
                <w:szCs w:val="20"/>
              </w:rPr>
              <w:t>Mungon k</w:t>
            </w:r>
            <w:r w:rsidR="00E43001" w:rsidRPr="00770F9D">
              <w:rPr>
                <w:rFonts w:ascii="Garamond" w:hAnsi="Garamond" w:cstheme="majorBidi"/>
                <w:color w:val="0D0D0D" w:themeColor="text1" w:themeTint="F2"/>
                <w:sz w:val="18"/>
                <w:szCs w:val="20"/>
              </w:rPr>
              <w:t xml:space="preserve">uadri rregullator për </w:t>
            </w:r>
            <w:r w:rsidR="00E43001" w:rsidRPr="00770F9D">
              <w:rPr>
                <w:rFonts w:ascii="Garamond" w:hAnsi="Garamond" w:cstheme="majorBidi"/>
                <w:i/>
                <w:iCs/>
                <w:color w:val="0D0D0D" w:themeColor="text1" w:themeTint="F2"/>
                <w:sz w:val="18"/>
                <w:szCs w:val="20"/>
              </w:rPr>
              <w:t>startup</w:t>
            </w:r>
            <w:r w:rsidR="00E43001" w:rsidRPr="00770F9D">
              <w:rPr>
                <w:rFonts w:ascii="Garamond" w:hAnsi="Garamond" w:cstheme="majorBidi"/>
                <w:color w:val="0D0D0D" w:themeColor="text1" w:themeTint="F2"/>
                <w:sz w:val="18"/>
                <w:szCs w:val="20"/>
              </w:rPr>
              <w:t>-</w:t>
            </w:r>
            <w:r w:rsidRPr="00770F9D">
              <w:rPr>
                <w:rFonts w:ascii="Garamond" w:hAnsi="Garamond" w:cstheme="majorBidi"/>
                <w:color w:val="0D0D0D" w:themeColor="text1" w:themeTint="F2"/>
                <w:sz w:val="18"/>
                <w:szCs w:val="20"/>
              </w:rPr>
              <w:t>et dhe ekosistemin në Shqipëri</w:t>
            </w:r>
          </w:p>
        </w:tc>
        <w:tc>
          <w:tcPr>
            <w:tcW w:w="738" w:type="pct"/>
          </w:tcPr>
          <w:p w14:paraId="3390BC23" w14:textId="6ACE3290" w:rsidR="00E43001" w:rsidRPr="00770F9D" w:rsidRDefault="000B786B" w:rsidP="00C52054">
            <w:pPr>
              <w:snapToGrid w:val="0"/>
              <w:rPr>
                <w:rFonts w:ascii="Garamond" w:hAnsi="Garamond" w:cstheme="majorBidi"/>
                <w:color w:val="0D0D0D" w:themeColor="text1" w:themeTint="F2"/>
                <w:sz w:val="18"/>
                <w:szCs w:val="20"/>
              </w:rPr>
            </w:pPr>
            <w:r w:rsidRPr="00770F9D">
              <w:rPr>
                <w:rFonts w:ascii="Garamond" w:hAnsi="Garamond" w:cstheme="majorBidi"/>
                <w:color w:val="0D0D0D" w:themeColor="text1" w:themeTint="F2"/>
                <w:sz w:val="18"/>
                <w:szCs w:val="20"/>
              </w:rPr>
              <w:t>Miratimi</w:t>
            </w:r>
            <w:r w:rsidR="00E43001" w:rsidRPr="00770F9D">
              <w:rPr>
                <w:rFonts w:ascii="Garamond" w:hAnsi="Garamond" w:cstheme="majorBidi"/>
                <w:color w:val="0D0D0D" w:themeColor="text1" w:themeTint="F2"/>
                <w:sz w:val="18"/>
                <w:szCs w:val="20"/>
              </w:rPr>
              <w:t xml:space="preserve"> i ligjit në Kuvend në 2022</w:t>
            </w:r>
            <w:r w:rsidR="00C52054" w:rsidRPr="00770F9D">
              <w:rPr>
                <w:rFonts w:ascii="Garamond" w:hAnsi="Garamond" w:cstheme="majorBidi"/>
                <w:color w:val="0D0D0D" w:themeColor="text1" w:themeTint="F2"/>
                <w:sz w:val="18"/>
                <w:szCs w:val="20"/>
              </w:rPr>
              <w:t>-shin</w:t>
            </w:r>
          </w:p>
        </w:tc>
        <w:tc>
          <w:tcPr>
            <w:tcW w:w="749" w:type="pct"/>
          </w:tcPr>
          <w:p w14:paraId="528E4947" w14:textId="6F64B49E" w:rsidR="00E43001" w:rsidRPr="00770F9D" w:rsidRDefault="00E43001" w:rsidP="00C52054">
            <w:pPr>
              <w:snapToGrid w:val="0"/>
              <w:rPr>
                <w:rFonts w:ascii="Garamond" w:hAnsi="Garamond" w:cstheme="majorBidi"/>
                <w:color w:val="0D0D0D" w:themeColor="text1" w:themeTint="F2"/>
                <w:sz w:val="18"/>
                <w:szCs w:val="20"/>
              </w:rPr>
            </w:pPr>
            <w:r w:rsidRPr="00770F9D">
              <w:rPr>
                <w:rFonts w:ascii="Garamond" w:hAnsi="Garamond" w:cstheme="majorBidi"/>
                <w:color w:val="0D0D0D" w:themeColor="text1" w:themeTint="F2"/>
                <w:sz w:val="18"/>
                <w:szCs w:val="20"/>
              </w:rPr>
              <w:t>Miratimi i ligjit me disa ndryshime brenda 2022</w:t>
            </w:r>
            <w:r w:rsidR="00C52054" w:rsidRPr="00770F9D">
              <w:rPr>
                <w:rFonts w:ascii="Garamond" w:hAnsi="Garamond" w:cstheme="majorBidi"/>
                <w:color w:val="0D0D0D" w:themeColor="text1" w:themeTint="F2"/>
                <w:sz w:val="18"/>
                <w:szCs w:val="20"/>
              </w:rPr>
              <w:t>-shit</w:t>
            </w:r>
          </w:p>
        </w:tc>
      </w:tr>
      <w:tr w:rsidR="00E43001" w:rsidRPr="00770F9D" w14:paraId="51B301E4" w14:textId="77777777" w:rsidTr="00C52054">
        <w:tc>
          <w:tcPr>
            <w:tcW w:w="2775" w:type="pct"/>
          </w:tcPr>
          <w:p w14:paraId="47B1C62A" w14:textId="6FB15BBA" w:rsidR="00E43001" w:rsidRPr="00770F9D" w:rsidRDefault="00E43001" w:rsidP="00060FB2">
            <w:pPr>
              <w:rPr>
                <w:rFonts w:ascii="Garamond" w:hAnsi="Garamond" w:cstheme="majorBidi"/>
                <w:color w:val="0D0D0D" w:themeColor="text1" w:themeTint="F2"/>
                <w:sz w:val="18"/>
                <w:szCs w:val="20"/>
              </w:rPr>
            </w:pPr>
            <w:r w:rsidRPr="00770F9D">
              <w:rPr>
                <w:rFonts w:ascii="Garamond" w:hAnsi="Garamond" w:cstheme="majorBidi"/>
                <w:color w:val="0D0D0D" w:themeColor="text1" w:themeTint="F2"/>
                <w:sz w:val="18"/>
                <w:szCs w:val="20"/>
              </w:rPr>
              <w:t xml:space="preserve">Po punohet për gjenerimin automatik të pasaportave të </w:t>
            </w:r>
            <w:r w:rsidRPr="00770F9D">
              <w:rPr>
                <w:rFonts w:ascii="Garamond" w:hAnsi="Garamond" w:cstheme="majorBidi"/>
                <w:i/>
                <w:iCs/>
                <w:color w:val="0D0D0D" w:themeColor="text1" w:themeTint="F2"/>
                <w:sz w:val="18"/>
                <w:szCs w:val="20"/>
              </w:rPr>
              <w:t>startu</w:t>
            </w:r>
            <w:r w:rsidR="000B786B" w:rsidRPr="00770F9D">
              <w:rPr>
                <w:rFonts w:ascii="Garamond" w:hAnsi="Garamond" w:cstheme="majorBidi"/>
                <w:i/>
                <w:iCs/>
                <w:color w:val="0D0D0D" w:themeColor="text1" w:themeTint="F2"/>
                <w:sz w:val="18"/>
                <w:szCs w:val="20"/>
              </w:rPr>
              <w:t>p</w:t>
            </w:r>
            <w:r w:rsidR="005C50A9" w:rsidRPr="00770F9D">
              <w:rPr>
                <w:rFonts w:ascii="Garamond" w:hAnsi="Garamond" w:cstheme="majorBidi"/>
                <w:color w:val="0D0D0D" w:themeColor="text1" w:themeTint="F2"/>
                <w:sz w:val="18"/>
                <w:szCs w:val="20"/>
              </w:rPr>
              <w:t>-</w:t>
            </w:r>
            <w:r w:rsidR="000B786B" w:rsidRPr="00770F9D">
              <w:rPr>
                <w:rFonts w:ascii="Garamond" w:hAnsi="Garamond" w:cstheme="majorBidi"/>
                <w:color w:val="0D0D0D" w:themeColor="text1" w:themeTint="F2"/>
                <w:sz w:val="18"/>
                <w:szCs w:val="20"/>
              </w:rPr>
              <w:t>eve dhe të lehtësuesve</w:t>
            </w:r>
          </w:p>
        </w:tc>
        <w:tc>
          <w:tcPr>
            <w:tcW w:w="738" w:type="pct"/>
            <w:vAlign w:val="center"/>
          </w:tcPr>
          <w:p w14:paraId="0A0C1892" w14:textId="77777777" w:rsidR="00E43001" w:rsidRPr="00770F9D" w:rsidRDefault="00E43001" w:rsidP="00060FB2">
            <w:pPr>
              <w:rPr>
                <w:rFonts w:ascii="Garamond" w:hAnsi="Garamond" w:cstheme="majorBidi"/>
                <w:color w:val="0D0D0D" w:themeColor="text1" w:themeTint="F2"/>
                <w:sz w:val="18"/>
                <w:szCs w:val="20"/>
              </w:rPr>
            </w:pPr>
            <w:r w:rsidRPr="00770F9D">
              <w:rPr>
                <w:rFonts w:ascii="Garamond" w:hAnsi="Garamond" w:cstheme="majorBidi"/>
                <w:color w:val="0D0D0D" w:themeColor="text1" w:themeTint="F2"/>
                <w:sz w:val="18"/>
                <w:szCs w:val="20"/>
              </w:rPr>
              <w:t xml:space="preserve">Gjenerimi manual i 1700 pasaportave fillestare </w:t>
            </w:r>
            <w:r w:rsidR="000B786B" w:rsidRPr="00770F9D">
              <w:rPr>
                <w:rFonts w:ascii="Garamond" w:hAnsi="Garamond" w:cstheme="majorBidi"/>
                <w:color w:val="0D0D0D" w:themeColor="text1" w:themeTint="F2"/>
                <w:sz w:val="18"/>
                <w:szCs w:val="20"/>
              </w:rPr>
              <w:t>dhe 224 pasaportave lehtësuese</w:t>
            </w:r>
          </w:p>
        </w:tc>
        <w:tc>
          <w:tcPr>
            <w:tcW w:w="738" w:type="pct"/>
          </w:tcPr>
          <w:p w14:paraId="0D174E51" w14:textId="308D3070" w:rsidR="00E43001" w:rsidRPr="00770F9D" w:rsidRDefault="000B786B" w:rsidP="00C52054">
            <w:pPr>
              <w:snapToGrid w:val="0"/>
              <w:rPr>
                <w:rFonts w:ascii="Garamond" w:eastAsia="Times New Roman" w:hAnsi="Garamond" w:cstheme="majorBidi"/>
                <w:color w:val="0D0D0D" w:themeColor="text1" w:themeTint="F2"/>
                <w:sz w:val="18"/>
                <w:szCs w:val="20"/>
              </w:rPr>
            </w:pPr>
            <w:r w:rsidRPr="00770F9D">
              <w:rPr>
                <w:rFonts w:ascii="Garamond" w:hAnsi="Garamond" w:cstheme="majorBidi"/>
                <w:color w:val="0D0D0D" w:themeColor="text1" w:themeTint="F2"/>
                <w:sz w:val="18"/>
                <w:szCs w:val="20"/>
              </w:rPr>
              <w:t>N</w:t>
            </w:r>
            <w:r w:rsidR="00E43001" w:rsidRPr="00770F9D">
              <w:rPr>
                <w:rFonts w:ascii="Garamond" w:hAnsi="Garamond" w:cstheme="majorBidi"/>
                <w:color w:val="0D0D0D" w:themeColor="text1" w:themeTint="F2"/>
                <w:sz w:val="18"/>
                <w:szCs w:val="20"/>
              </w:rPr>
              <w:t>jë sis</w:t>
            </w:r>
            <w:r w:rsidRPr="00770F9D">
              <w:rPr>
                <w:rFonts w:ascii="Garamond" w:hAnsi="Garamond" w:cstheme="majorBidi"/>
                <w:color w:val="0D0D0D" w:themeColor="text1" w:themeTint="F2"/>
                <w:sz w:val="18"/>
                <w:szCs w:val="20"/>
              </w:rPr>
              <w:t>tem gjenerimi gjysmautomatik i</w:t>
            </w:r>
            <w:r w:rsidR="00E43001" w:rsidRPr="00770F9D">
              <w:rPr>
                <w:rFonts w:ascii="Garamond" w:hAnsi="Garamond" w:cstheme="majorBidi"/>
                <w:color w:val="0D0D0D" w:themeColor="text1" w:themeTint="F2"/>
                <w:sz w:val="18"/>
                <w:szCs w:val="20"/>
              </w:rPr>
              <w:t xml:space="preserve"> pasaportave brenda 2023</w:t>
            </w:r>
            <w:r w:rsidR="00C52054" w:rsidRPr="00770F9D">
              <w:rPr>
                <w:rFonts w:ascii="Garamond" w:hAnsi="Garamond" w:cstheme="majorBidi"/>
                <w:color w:val="0D0D0D" w:themeColor="text1" w:themeTint="F2"/>
                <w:sz w:val="18"/>
                <w:szCs w:val="20"/>
              </w:rPr>
              <w:t>-shit</w:t>
            </w:r>
          </w:p>
        </w:tc>
        <w:tc>
          <w:tcPr>
            <w:tcW w:w="749" w:type="pct"/>
          </w:tcPr>
          <w:p w14:paraId="52243285" w14:textId="77777777" w:rsidR="00E43001" w:rsidRPr="00770F9D" w:rsidRDefault="00E43001" w:rsidP="00C52054">
            <w:pPr>
              <w:snapToGrid w:val="0"/>
              <w:rPr>
                <w:rFonts w:ascii="Garamond" w:eastAsia="Times New Roman" w:hAnsi="Garamond" w:cstheme="majorBidi"/>
                <w:color w:val="0D0D0D" w:themeColor="text1" w:themeTint="F2"/>
                <w:sz w:val="18"/>
                <w:szCs w:val="20"/>
              </w:rPr>
            </w:pPr>
            <w:r w:rsidRPr="00770F9D">
              <w:rPr>
                <w:rFonts w:ascii="Garamond" w:hAnsi="Garamond" w:cstheme="majorBidi"/>
                <w:color w:val="0D0D0D" w:themeColor="text1" w:themeTint="F2"/>
                <w:sz w:val="18"/>
                <w:szCs w:val="20"/>
              </w:rPr>
              <w:t>Brenda 2024 gjener</w:t>
            </w:r>
            <w:r w:rsidR="000B786B" w:rsidRPr="00770F9D">
              <w:rPr>
                <w:rFonts w:ascii="Garamond" w:hAnsi="Garamond" w:cstheme="majorBidi"/>
                <w:color w:val="0D0D0D" w:themeColor="text1" w:themeTint="F2"/>
                <w:sz w:val="18"/>
                <w:szCs w:val="20"/>
              </w:rPr>
              <w:t>imi automatik i të gjitha pasaportave</w:t>
            </w:r>
          </w:p>
        </w:tc>
      </w:tr>
      <w:tr w:rsidR="00E43001" w:rsidRPr="00770F9D" w14:paraId="0CEE7D65" w14:textId="77777777" w:rsidTr="00C52054">
        <w:tc>
          <w:tcPr>
            <w:tcW w:w="2775" w:type="pct"/>
          </w:tcPr>
          <w:p w14:paraId="5B5C5F0B" w14:textId="5D12B5A9" w:rsidR="00E43001" w:rsidRPr="00770F9D" w:rsidRDefault="000B786B" w:rsidP="00EB64CA">
            <w:pPr>
              <w:rPr>
                <w:rFonts w:ascii="Garamond" w:hAnsi="Garamond" w:cstheme="majorBidi"/>
                <w:color w:val="0D0D0D" w:themeColor="text1" w:themeTint="F2"/>
                <w:sz w:val="18"/>
                <w:szCs w:val="20"/>
              </w:rPr>
            </w:pPr>
            <w:r w:rsidRPr="00770F9D">
              <w:rPr>
                <w:rFonts w:ascii="Garamond" w:hAnsi="Garamond" w:cstheme="majorBidi"/>
                <w:color w:val="0D0D0D" w:themeColor="text1" w:themeTint="F2"/>
                <w:sz w:val="18"/>
                <w:szCs w:val="20"/>
              </w:rPr>
              <w:t>T</w:t>
            </w:r>
            <w:r w:rsidR="00E43001" w:rsidRPr="00770F9D">
              <w:rPr>
                <w:rFonts w:ascii="Garamond" w:hAnsi="Garamond" w:cstheme="majorBidi"/>
                <w:color w:val="0D0D0D" w:themeColor="text1" w:themeTint="F2"/>
                <w:sz w:val="18"/>
                <w:szCs w:val="20"/>
              </w:rPr>
              <w:t xml:space="preserve">hirrje për grante </w:t>
            </w:r>
            <w:r w:rsidRPr="00770F9D">
              <w:rPr>
                <w:rFonts w:ascii="Garamond" w:hAnsi="Garamond" w:cstheme="majorBidi"/>
                <w:color w:val="0D0D0D" w:themeColor="text1" w:themeTint="F2"/>
                <w:sz w:val="18"/>
                <w:szCs w:val="20"/>
              </w:rPr>
              <w:t>n</w:t>
            </w:r>
            <w:r w:rsidR="00EB64CA">
              <w:rPr>
                <w:rFonts w:ascii="Garamond" w:hAnsi="Garamond" w:cstheme="majorBidi"/>
                <w:color w:val="0D0D0D" w:themeColor="text1" w:themeTint="F2"/>
                <w:sz w:val="18"/>
                <w:szCs w:val="20"/>
              </w:rPr>
              <w:t>ë</w:t>
            </w:r>
            <w:r w:rsidR="00E43001" w:rsidRPr="00770F9D">
              <w:rPr>
                <w:rFonts w:ascii="Garamond" w:hAnsi="Garamond" w:cstheme="majorBidi"/>
                <w:color w:val="0D0D0D" w:themeColor="text1" w:themeTint="F2"/>
                <w:sz w:val="18"/>
                <w:szCs w:val="20"/>
              </w:rPr>
              <w:t xml:space="preserve"> mbështetje </w:t>
            </w:r>
            <w:r w:rsidRPr="00770F9D">
              <w:rPr>
                <w:rFonts w:ascii="Garamond" w:hAnsi="Garamond" w:cstheme="majorBidi"/>
                <w:color w:val="0D0D0D" w:themeColor="text1" w:themeTint="F2"/>
                <w:sz w:val="18"/>
                <w:szCs w:val="20"/>
              </w:rPr>
              <w:t>t</w:t>
            </w:r>
            <w:r w:rsidR="00EB64CA">
              <w:rPr>
                <w:rFonts w:ascii="Garamond" w:hAnsi="Garamond" w:cstheme="majorBidi"/>
                <w:color w:val="0D0D0D" w:themeColor="text1" w:themeTint="F2"/>
                <w:sz w:val="18"/>
                <w:szCs w:val="20"/>
              </w:rPr>
              <w:t>ë</w:t>
            </w:r>
            <w:r w:rsidRPr="00770F9D">
              <w:rPr>
                <w:rFonts w:ascii="Garamond" w:hAnsi="Garamond" w:cstheme="majorBidi"/>
                <w:color w:val="0D0D0D" w:themeColor="text1" w:themeTint="F2"/>
                <w:sz w:val="18"/>
                <w:szCs w:val="20"/>
              </w:rPr>
              <w:t xml:space="preserve"> </w:t>
            </w:r>
            <w:r w:rsidRPr="00770F9D">
              <w:rPr>
                <w:rFonts w:ascii="Garamond" w:hAnsi="Garamond" w:cstheme="majorBidi"/>
                <w:i/>
                <w:iCs/>
                <w:color w:val="0D0D0D" w:themeColor="text1" w:themeTint="F2"/>
                <w:sz w:val="18"/>
                <w:szCs w:val="20"/>
              </w:rPr>
              <w:t>startup</w:t>
            </w:r>
            <w:r w:rsidRPr="00770F9D">
              <w:rPr>
                <w:rFonts w:ascii="Garamond" w:hAnsi="Garamond" w:cstheme="majorBidi"/>
                <w:color w:val="0D0D0D" w:themeColor="text1" w:themeTint="F2"/>
                <w:sz w:val="18"/>
                <w:szCs w:val="20"/>
              </w:rPr>
              <w:t>-eve dhe ekosistemit</w:t>
            </w:r>
          </w:p>
        </w:tc>
        <w:tc>
          <w:tcPr>
            <w:tcW w:w="738" w:type="pct"/>
          </w:tcPr>
          <w:p w14:paraId="01B71353" w14:textId="66E216AE" w:rsidR="00E43001" w:rsidRPr="00770F9D" w:rsidRDefault="000B786B" w:rsidP="00C52054">
            <w:pPr>
              <w:widowControl/>
              <w:rPr>
                <w:rFonts w:ascii="Garamond" w:hAnsi="Garamond" w:cstheme="majorBidi"/>
                <w:color w:val="0D0D0D" w:themeColor="text1" w:themeTint="F2"/>
                <w:sz w:val="18"/>
                <w:szCs w:val="20"/>
              </w:rPr>
            </w:pPr>
            <w:r w:rsidRPr="00770F9D">
              <w:rPr>
                <w:rFonts w:ascii="Garamond" w:hAnsi="Garamond" w:cstheme="majorBidi"/>
                <w:color w:val="0D0D0D" w:themeColor="text1" w:themeTint="F2"/>
                <w:sz w:val="18"/>
                <w:szCs w:val="20"/>
              </w:rPr>
              <w:t xml:space="preserve">29 </w:t>
            </w:r>
            <w:r w:rsidRPr="00770F9D">
              <w:rPr>
                <w:rFonts w:ascii="Garamond" w:hAnsi="Garamond" w:cstheme="majorBidi"/>
                <w:i/>
                <w:iCs/>
                <w:color w:val="0D0D0D" w:themeColor="text1" w:themeTint="F2"/>
                <w:sz w:val="18"/>
                <w:szCs w:val="20"/>
              </w:rPr>
              <w:t>startup</w:t>
            </w:r>
            <w:r w:rsidR="00E43001" w:rsidRPr="00770F9D">
              <w:rPr>
                <w:rFonts w:ascii="Garamond" w:hAnsi="Garamond" w:cstheme="majorBidi"/>
                <w:color w:val="0D0D0D" w:themeColor="text1" w:themeTint="F2"/>
                <w:sz w:val="18"/>
                <w:szCs w:val="20"/>
              </w:rPr>
              <w:t xml:space="preserve"> dhe 29 </w:t>
            </w:r>
            <w:r w:rsidRPr="00770F9D">
              <w:rPr>
                <w:rFonts w:ascii="Garamond" w:hAnsi="Garamond" w:cstheme="majorBidi"/>
                <w:color w:val="0D0D0D" w:themeColor="text1" w:themeTint="F2"/>
                <w:sz w:val="18"/>
                <w:szCs w:val="20"/>
              </w:rPr>
              <w:t>lehtësues</w:t>
            </w:r>
            <w:r w:rsidR="005C50A9" w:rsidRPr="00770F9D">
              <w:rPr>
                <w:rFonts w:ascii="Garamond" w:hAnsi="Garamond" w:cstheme="majorBidi"/>
                <w:color w:val="0D0D0D" w:themeColor="text1" w:themeTint="F2"/>
                <w:sz w:val="18"/>
                <w:szCs w:val="20"/>
              </w:rPr>
              <w:t xml:space="preserve"> </w:t>
            </w:r>
            <w:r w:rsidRPr="00770F9D">
              <w:rPr>
                <w:rFonts w:ascii="Garamond" w:hAnsi="Garamond" w:cstheme="majorBidi"/>
                <w:color w:val="0D0D0D" w:themeColor="text1" w:themeTint="F2"/>
                <w:sz w:val="18"/>
                <w:szCs w:val="20"/>
              </w:rPr>
              <w:t>u mbështetën me grante në 2022</w:t>
            </w:r>
            <w:r w:rsidR="00C52054" w:rsidRPr="00770F9D">
              <w:rPr>
                <w:rFonts w:ascii="Garamond" w:hAnsi="Garamond" w:cstheme="majorBidi"/>
                <w:color w:val="0D0D0D" w:themeColor="text1" w:themeTint="F2"/>
                <w:sz w:val="18"/>
                <w:szCs w:val="20"/>
              </w:rPr>
              <w:t>-shn</w:t>
            </w:r>
          </w:p>
        </w:tc>
        <w:tc>
          <w:tcPr>
            <w:tcW w:w="738" w:type="pct"/>
            <w:vAlign w:val="center"/>
          </w:tcPr>
          <w:p w14:paraId="676D00F6" w14:textId="6570FE91" w:rsidR="00E43001" w:rsidRPr="00770F9D" w:rsidRDefault="00E43001" w:rsidP="000F6F7A">
            <w:pPr>
              <w:snapToGrid w:val="0"/>
              <w:rPr>
                <w:rFonts w:ascii="Garamond" w:hAnsi="Garamond" w:cstheme="majorBidi"/>
                <w:color w:val="0D0D0D" w:themeColor="text1" w:themeTint="F2"/>
                <w:sz w:val="18"/>
                <w:szCs w:val="20"/>
              </w:rPr>
            </w:pPr>
            <w:r w:rsidRPr="00770F9D">
              <w:rPr>
                <w:rFonts w:ascii="Garamond" w:hAnsi="Garamond" w:cstheme="majorBidi"/>
                <w:color w:val="0D0D0D" w:themeColor="text1" w:themeTint="F2"/>
                <w:sz w:val="18"/>
                <w:szCs w:val="20"/>
              </w:rPr>
              <w:t xml:space="preserve">50 </w:t>
            </w:r>
            <w:r w:rsidRPr="00770F9D">
              <w:rPr>
                <w:rFonts w:ascii="Garamond" w:hAnsi="Garamond" w:cstheme="majorBidi"/>
                <w:i/>
                <w:iCs/>
                <w:color w:val="0D0D0D" w:themeColor="text1" w:themeTint="F2"/>
                <w:sz w:val="18"/>
                <w:szCs w:val="20"/>
              </w:rPr>
              <w:t>startup</w:t>
            </w:r>
            <w:r w:rsidRPr="00770F9D">
              <w:rPr>
                <w:rFonts w:ascii="Garamond" w:hAnsi="Garamond" w:cstheme="majorBidi"/>
                <w:color w:val="0D0D0D" w:themeColor="text1" w:themeTint="F2"/>
                <w:sz w:val="18"/>
                <w:szCs w:val="20"/>
              </w:rPr>
              <w:t xml:space="preserve"> dhe 40 </w:t>
            </w:r>
            <w:r w:rsidR="000B786B" w:rsidRPr="00770F9D">
              <w:rPr>
                <w:rFonts w:ascii="Garamond" w:hAnsi="Garamond" w:cstheme="majorBidi"/>
                <w:color w:val="0D0D0D" w:themeColor="text1" w:themeTint="F2"/>
                <w:sz w:val="18"/>
                <w:szCs w:val="20"/>
              </w:rPr>
              <w:t>lehtësues</w:t>
            </w:r>
            <w:r w:rsidRPr="00770F9D">
              <w:rPr>
                <w:rFonts w:ascii="Garamond" w:hAnsi="Garamond" w:cstheme="majorBidi"/>
                <w:color w:val="0D0D0D" w:themeColor="text1" w:themeTint="F2"/>
                <w:sz w:val="18"/>
                <w:szCs w:val="20"/>
              </w:rPr>
              <w:t xml:space="preserve"> pritet të mbështeten me asistencë financiare </w:t>
            </w:r>
            <w:r w:rsidR="000F6F7A">
              <w:rPr>
                <w:rFonts w:ascii="Garamond" w:hAnsi="Garamond" w:cstheme="majorBidi"/>
                <w:color w:val="0D0D0D" w:themeColor="text1" w:themeTint="F2"/>
                <w:sz w:val="18"/>
                <w:szCs w:val="20"/>
              </w:rPr>
              <w:t>m</w:t>
            </w:r>
            <w:r w:rsidRPr="00770F9D">
              <w:rPr>
                <w:rFonts w:ascii="Garamond" w:hAnsi="Garamond" w:cstheme="majorBidi"/>
                <w:color w:val="0D0D0D" w:themeColor="text1" w:themeTint="F2"/>
                <w:sz w:val="18"/>
                <w:szCs w:val="20"/>
              </w:rPr>
              <w:t>ë 2023</w:t>
            </w:r>
            <w:r w:rsidR="00C52054" w:rsidRPr="00770F9D">
              <w:rPr>
                <w:rFonts w:ascii="Garamond" w:hAnsi="Garamond" w:cstheme="majorBidi"/>
                <w:color w:val="0D0D0D" w:themeColor="text1" w:themeTint="F2"/>
                <w:sz w:val="18"/>
                <w:szCs w:val="20"/>
              </w:rPr>
              <w:t>-shin</w:t>
            </w:r>
          </w:p>
        </w:tc>
        <w:tc>
          <w:tcPr>
            <w:tcW w:w="749" w:type="pct"/>
            <w:vAlign w:val="center"/>
          </w:tcPr>
          <w:p w14:paraId="5BCAC4D8" w14:textId="00AD5A37" w:rsidR="00E43001" w:rsidRPr="00770F9D" w:rsidRDefault="00E43001" w:rsidP="00060FB2">
            <w:pPr>
              <w:rPr>
                <w:rFonts w:ascii="Garamond" w:hAnsi="Garamond" w:cstheme="majorBidi"/>
                <w:color w:val="0D0D0D" w:themeColor="text1" w:themeTint="F2"/>
                <w:sz w:val="18"/>
                <w:szCs w:val="20"/>
              </w:rPr>
            </w:pPr>
            <w:r w:rsidRPr="00770F9D">
              <w:rPr>
                <w:rFonts w:ascii="Garamond" w:hAnsi="Garamond" w:cstheme="majorBidi"/>
                <w:color w:val="0D0D0D" w:themeColor="text1" w:themeTint="F2"/>
                <w:sz w:val="18"/>
                <w:szCs w:val="20"/>
              </w:rPr>
              <w:t xml:space="preserve">100 </w:t>
            </w:r>
            <w:r w:rsidRPr="00770F9D">
              <w:rPr>
                <w:rFonts w:ascii="Garamond" w:hAnsi="Garamond" w:cstheme="majorBidi"/>
                <w:i/>
                <w:iCs/>
                <w:color w:val="0D0D0D" w:themeColor="text1" w:themeTint="F2"/>
                <w:sz w:val="18"/>
                <w:szCs w:val="20"/>
              </w:rPr>
              <w:t>startup</w:t>
            </w:r>
            <w:r w:rsidRPr="00770F9D">
              <w:rPr>
                <w:rFonts w:ascii="Garamond" w:hAnsi="Garamond" w:cstheme="majorBidi"/>
                <w:color w:val="0D0D0D" w:themeColor="text1" w:themeTint="F2"/>
                <w:sz w:val="18"/>
                <w:szCs w:val="20"/>
              </w:rPr>
              <w:t xml:space="preserve"> dhe 100 </w:t>
            </w:r>
            <w:r w:rsidR="000B786B" w:rsidRPr="00770F9D">
              <w:rPr>
                <w:rFonts w:ascii="Garamond" w:hAnsi="Garamond" w:cstheme="majorBidi"/>
                <w:color w:val="0D0D0D" w:themeColor="text1" w:themeTint="F2"/>
                <w:sz w:val="18"/>
                <w:szCs w:val="20"/>
              </w:rPr>
              <w:t>lehtësues</w:t>
            </w:r>
            <w:r w:rsidRPr="00770F9D">
              <w:rPr>
                <w:rFonts w:ascii="Garamond" w:hAnsi="Garamond" w:cstheme="majorBidi"/>
                <w:color w:val="0D0D0D" w:themeColor="text1" w:themeTint="F2"/>
                <w:sz w:val="18"/>
                <w:szCs w:val="20"/>
              </w:rPr>
              <w:t xml:space="preserve"> pritet të mbështet</w:t>
            </w:r>
            <w:r w:rsidR="000B786B" w:rsidRPr="00770F9D">
              <w:rPr>
                <w:rFonts w:ascii="Garamond" w:hAnsi="Garamond" w:cstheme="majorBidi"/>
                <w:color w:val="0D0D0D" w:themeColor="text1" w:themeTint="F2"/>
                <w:sz w:val="18"/>
                <w:szCs w:val="20"/>
              </w:rPr>
              <w:t>en me ndihmë financiare në 2024</w:t>
            </w:r>
            <w:r w:rsidR="00C52054" w:rsidRPr="00770F9D">
              <w:rPr>
                <w:rFonts w:ascii="Garamond" w:hAnsi="Garamond" w:cstheme="majorBidi"/>
                <w:color w:val="0D0D0D" w:themeColor="text1" w:themeTint="F2"/>
                <w:sz w:val="18"/>
                <w:szCs w:val="20"/>
              </w:rPr>
              <w:t>-n</w:t>
            </w:r>
          </w:p>
        </w:tc>
      </w:tr>
    </w:tbl>
    <w:p w14:paraId="167B0C87" w14:textId="3305D5DC" w:rsidR="009D37E3" w:rsidRPr="00770F9D" w:rsidRDefault="00060FB2"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3</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Ndikimi i pritshëm në konkurrueshmëri</w:t>
      </w:r>
    </w:p>
    <w:p w14:paraId="099C467A" w14:textId="3BA0D650" w:rsidR="009D37E3" w:rsidRPr="00770F9D" w:rsidRDefault="009D37E3" w:rsidP="00EB64CA">
      <w:pPr>
        <w:ind w:firstLine="284"/>
        <w:jc w:val="both"/>
        <w:rPr>
          <w:rFonts w:ascii="Garamond" w:hAnsi="Garamond"/>
          <w:color w:val="0D0D0D"/>
        </w:rPr>
      </w:pPr>
      <w:r w:rsidRPr="00770F9D">
        <w:rPr>
          <w:rFonts w:ascii="Garamond" w:hAnsi="Garamond"/>
          <w:color w:val="0D0D0D"/>
        </w:rPr>
        <w:t xml:space="preserve">Ligji favorizon krijimin dhe zhvillimin e </w:t>
      </w:r>
      <w:r w:rsidRPr="00770F9D">
        <w:rPr>
          <w:rFonts w:ascii="Garamond" w:hAnsi="Garamond"/>
          <w:i/>
          <w:iCs/>
          <w:color w:val="0D0D0D"/>
        </w:rPr>
        <w:t>startup</w:t>
      </w:r>
      <w:r w:rsidRPr="00770F9D">
        <w:rPr>
          <w:rFonts w:ascii="Garamond" w:hAnsi="Garamond"/>
          <w:color w:val="0D0D0D"/>
        </w:rPr>
        <w:t>-eve dhe mbështetjen e ekosistemit t</w:t>
      </w:r>
      <w:r w:rsidR="00EB64CA">
        <w:rPr>
          <w:rFonts w:ascii="Garamond" w:hAnsi="Garamond"/>
          <w:color w:val="0D0D0D"/>
        </w:rPr>
        <w:t>ë</w:t>
      </w:r>
      <w:r w:rsidRPr="00770F9D">
        <w:rPr>
          <w:rFonts w:ascii="Garamond" w:hAnsi="Garamond"/>
          <w:color w:val="0D0D0D"/>
        </w:rPr>
        <w:t xml:space="preserve"> </w:t>
      </w:r>
      <w:r w:rsidRPr="00770F9D">
        <w:rPr>
          <w:rFonts w:ascii="Garamond" w:hAnsi="Garamond"/>
          <w:i/>
          <w:iCs/>
          <w:color w:val="0D0D0D"/>
        </w:rPr>
        <w:t>startup</w:t>
      </w:r>
      <w:r w:rsidRPr="00770F9D">
        <w:rPr>
          <w:rFonts w:ascii="Garamond" w:hAnsi="Garamond"/>
          <w:color w:val="0D0D0D"/>
        </w:rPr>
        <w:t xml:space="preserve">-eve në Shqipëri. Në nivel global, vitet e fundit, është pranuar se inovacioni në idetë e </w:t>
      </w:r>
      <w:r w:rsidRPr="00770F9D">
        <w:rPr>
          <w:rFonts w:ascii="Garamond" w:hAnsi="Garamond"/>
          <w:i/>
          <w:iCs/>
          <w:color w:val="0D0D0D"/>
        </w:rPr>
        <w:t>startup</w:t>
      </w:r>
      <w:r w:rsidRPr="00770F9D">
        <w:rPr>
          <w:rFonts w:ascii="Garamond" w:hAnsi="Garamond"/>
          <w:color w:val="0D0D0D"/>
        </w:rPr>
        <w:t xml:space="preserve">-eve konsiderohet si faktor kryesor i rritjes ekonomike dhe punësimit dhe është vërtetuar se kompanitë e reja të zhvilluara fillimisht si </w:t>
      </w:r>
      <w:r w:rsidRPr="00770F9D">
        <w:rPr>
          <w:rFonts w:ascii="Garamond" w:hAnsi="Garamond"/>
          <w:i/>
          <w:iCs/>
          <w:color w:val="0D0D0D"/>
        </w:rPr>
        <w:t>startup</w:t>
      </w:r>
      <w:r w:rsidRPr="00770F9D">
        <w:rPr>
          <w:rFonts w:ascii="Garamond" w:hAnsi="Garamond"/>
          <w:color w:val="0D0D0D"/>
        </w:rPr>
        <w:t xml:space="preserve"> tani renditen ndër bizneset më të mëdha në botë.</w:t>
      </w:r>
    </w:p>
    <w:p w14:paraId="4B4868F9" w14:textId="57C22624" w:rsidR="009D37E3" w:rsidRPr="00770F9D" w:rsidRDefault="009D37E3" w:rsidP="00400806">
      <w:pPr>
        <w:ind w:firstLine="284"/>
        <w:jc w:val="both"/>
        <w:rPr>
          <w:rFonts w:ascii="Garamond" w:hAnsi="Garamond"/>
          <w:color w:val="0D0D0D"/>
        </w:rPr>
      </w:pPr>
      <w:r w:rsidRPr="00770F9D">
        <w:rPr>
          <w:rFonts w:ascii="Garamond" w:hAnsi="Garamond"/>
          <w:color w:val="0D0D0D"/>
        </w:rPr>
        <w:t xml:space="preserve">Idetë dhe risitë e zbatuara nga </w:t>
      </w:r>
      <w:r w:rsidRPr="00770F9D">
        <w:rPr>
          <w:rFonts w:ascii="Garamond" w:hAnsi="Garamond"/>
          <w:i/>
          <w:iCs/>
          <w:color w:val="0D0D0D"/>
        </w:rPr>
        <w:t>startup</w:t>
      </w:r>
      <w:r w:rsidRPr="00770F9D">
        <w:rPr>
          <w:rFonts w:ascii="Garamond" w:hAnsi="Garamond"/>
          <w:color w:val="0D0D0D"/>
        </w:rPr>
        <w:t>-et kanë revolucionarizuar modelet e biznesit</w:t>
      </w:r>
      <w:r w:rsidR="00DD3D29" w:rsidRPr="00770F9D">
        <w:rPr>
          <w:rFonts w:ascii="Garamond" w:hAnsi="Garamond"/>
          <w:color w:val="0D0D0D"/>
        </w:rPr>
        <w:t>,</w:t>
      </w:r>
      <w:r w:rsidRPr="00770F9D">
        <w:rPr>
          <w:rFonts w:ascii="Garamond" w:hAnsi="Garamond"/>
          <w:color w:val="0D0D0D"/>
        </w:rPr>
        <w:t xml:space="preserve"> duke sjellë produkte dhe shërbime të reja në treg. </w:t>
      </w:r>
      <w:r w:rsidRPr="00770F9D">
        <w:rPr>
          <w:rFonts w:ascii="Garamond" w:hAnsi="Garamond"/>
          <w:i/>
          <w:iCs/>
          <w:color w:val="0D0D0D"/>
        </w:rPr>
        <w:t>Startup</w:t>
      </w:r>
      <w:r w:rsidR="005C50A9" w:rsidRPr="00770F9D">
        <w:rPr>
          <w:rFonts w:ascii="Garamond" w:hAnsi="Garamond"/>
          <w:color w:val="0D0D0D"/>
        </w:rPr>
        <w:t>-</w:t>
      </w:r>
      <w:r w:rsidRPr="00770F9D">
        <w:rPr>
          <w:rFonts w:ascii="Garamond" w:hAnsi="Garamond"/>
          <w:color w:val="0D0D0D"/>
        </w:rPr>
        <w:t xml:space="preserve">et janë të lidhura ngushtë me inovacionin dhe zhvillimin ekonomik që sjellin, ndaj lindi nevoja në Shqipëri për të zhvilluar instrumente ligjore për t’i stimuluar ato. Me fokusin e tyre në idetë dhe shërbimet e reja të biznesit, </w:t>
      </w:r>
      <w:r w:rsidRPr="00770F9D">
        <w:rPr>
          <w:rFonts w:ascii="Garamond" w:hAnsi="Garamond"/>
          <w:i/>
          <w:iCs/>
          <w:color w:val="0D0D0D"/>
        </w:rPr>
        <w:t>startup</w:t>
      </w:r>
      <w:r w:rsidRPr="00770F9D">
        <w:rPr>
          <w:rFonts w:ascii="Garamond" w:hAnsi="Garamond"/>
          <w:color w:val="0D0D0D"/>
        </w:rPr>
        <w:t>-et përfaqësojnë një segment specifik të ekonomisë, i cili ka potencialin të përcaktojë suksesin dhe mirëqenien e ekonomisë në afat të gjatë. Pra, duke i mbështetur ata, ky ligj i ri dhe skema e granteve lehtëson krijimin e vendeve të punës, inovacionit dhe sipërmarrjes.</w:t>
      </w:r>
    </w:p>
    <w:p w14:paraId="15F8AD40" w14:textId="3EEF749E" w:rsidR="009D37E3" w:rsidRPr="00770F9D" w:rsidRDefault="00060FB2"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4</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Kosto</w:t>
      </w:r>
      <w:r w:rsidR="00DD3D29" w:rsidRPr="00770F9D">
        <w:rPr>
          <w:rFonts w:ascii="Garamond" w:hAnsi="Garamond"/>
          <w:color w:val="0D0D0D"/>
          <w:u w:val="none"/>
        </w:rPr>
        <w:t>ja</w:t>
      </w:r>
      <w:r w:rsidR="009D37E3" w:rsidRPr="00770F9D">
        <w:rPr>
          <w:rFonts w:ascii="Garamond" w:hAnsi="Garamond"/>
          <w:color w:val="0D0D0D"/>
          <w:u w:val="none"/>
        </w:rPr>
        <w:t xml:space="preserve"> e parashikuar e aktiviteteve dhe burimi i financimit</w:t>
      </w:r>
    </w:p>
    <w:p w14:paraId="001B3A5C" w14:textId="63FB3960" w:rsidR="009D37E3" w:rsidRPr="00770F9D" w:rsidRDefault="009D37E3" w:rsidP="00400806">
      <w:pPr>
        <w:ind w:firstLine="284"/>
        <w:jc w:val="both"/>
        <w:rPr>
          <w:rFonts w:ascii="Garamond" w:hAnsi="Garamond"/>
          <w:color w:val="0D0D0D"/>
        </w:rPr>
      </w:pPr>
      <w:r w:rsidRPr="00770F9D">
        <w:rPr>
          <w:rFonts w:ascii="Garamond" w:hAnsi="Garamond"/>
          <w:color w:val="0D0D0D"/>
        </w:rPr>
        <w:t xml:space="preserve">Buxheti i parashikuar për këtë reformë është akorduar vetëm për Fondin për ekosistemin </w:t>
      </w:r>
      <w:r w:rsidRPr="00770F9D">
        <w:rPr>
          <w:rFonts w:ascii="Garamond" w:hAnsi="Garamond"/>
          <w:i/>
          <w:iCs/>
          <w:color w:val="0D0D0D"/>
        </w:rPr>
        <w:t>startup</w:t>
      </w:r>
      <w:r w:rsidRPr="00770F9D">
        <w:rPr>
          <w:rFonts w:ascii="Garamond" w:hAnsi="Garamond"/>
          <w:color w:val="0D0D0D"/>
        </w:rPr>
        <w:t xml:space="preserve"> në Shqipëri, nga buxheti i shtetit, me shumën 10 milionë euro të shpërndara në një kohëzgjatje prej 4 v</w:t>
      </w:r>
      <w:r w:rsidR="00975657" w:rsidRPr="00770F9D">
        <w:rPr>
          <w:rFonts w:ascii="Garamond" w:hAnsi="Garamond"/>
          <w:color w:val="0D0D0D"/>
        </w:rPr>
        <w:t>jetësh</w:t>
      </w:r>
      <w:r w:rsidRPr="00770F9D">
        <w:rPr>
          <w:rFonts w:ascii="Garamond" w:hAnsi="Garamond"/>
          <w:color w:val="0D0D0D"/>
        </w:rPr>
        <w:t xml:space="preserve"> në formën e granteve për </w:t>
      </w:r>
      <w:r w:rsidRPr="00770F9D">
        <w:rPr>
          <w:rFonts w:ascii="Garamond" w:hAnsi="Garamond"/>
          <w:i/>
          <w:iCs/>
          <w:color w:val="0D0D0D"/>
        </w:rPr>
        <w:t>startup</w:t>
      </w:r>
      <w:r w:rsidRPr="00770F9D">
        <w:rPr>
          <w:rFonts w:ascii="Garamond" w:hAnsi="Garamond"/>
          <w:color w:val="0D0D0D"/>
        </w:rPr>
        <w:t xml:space="preserve">-et dhe lehtësuesit. </w:t>
      </w:r>
    </w:p>
    <w:p w14:paraId="555AD6E5" w14:textId="7D2CF3B5" w:rsidR="009D37E3" w:rsidRPr="00770F9D" w:rsidRDefault="00060FB2"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5</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Ndikimi i pritshëm në përfundimet sociale si punësimi, ulja e varfërisë, barazia gjinore dhe aksesi në kujdesin shëndetësor</w:t>
      </w:r>
    </w:p>
    <w:p w14:paraId="18F2E9DB" w14:textId="01C22EB4" w:rsidR="009D37E3" w:rsidRPr="00770F9D" w:rsidRDefault="009D37E3" w:rsidP="00400806">
      <w:pPr>
        <w:ind w:firstLine="284"/>
        <w:jc w:val="both"/>
        <w:rPr>
          <w:rFonts w:ascii="Garamond" w:hAnsi="Garamond"/>
          <w:color w:val="0D0D0D"/>
        </w:rPr>
      </w:pPr>
      <w:r w:rsidRPr="00770F9D">
        <w:rPr>
          <w:rFonts w:ascii="Garamond" w:hAnsi="Garamond"/>
          <w:i/>
          <w:iCs/>
          <w:color w:val="0D0D0D"/>
        </w:rPr>
        <w:t>Startup</w:t>
      </w:r>
      <w:r w:rsidRPr="00770F9D">
        <w:rPr>
          <w:rFonts w:ascii="Garamond" w:hAnsi="Garamond"/>
          <w:color w:val="0D0D0D"/>
        </w:rPr>
        <w:t xml:space="preserve">-et janë qendrat e inovacionit; ato krijojnë vende pune që do të thotë më shumë punësim, dhe më shumë punësim do të thotë një ekonomi e përmirësuar. Ministri i Shtetit për Mbrojtjen e Sipërmarrjes miraton dhe </w:t>
      </w:r>
      <w:r w:rsidR="00975657" w:rsidRPr="00770F9D">
        <w:rPr>
          <w:rFonts w:ascii="Garamond" w:hAnsi="Garamond"/>
          <w:color w:val="0D0D0D"/>
        </w:rPr>
        <w:t>u</w:t>
      </w:r>
      <w:r w:rsidRPr="00770F9D">
        <w:rPr>
          <w:rFonts w:ascii="Garamond" w:hAnsi="Garamond"/>
          <w:color w:val="0D0D0D"/>
        </w:rPr>
        <w:t xml:space="preserve"> jep prioritet projekteve që mbështesin inovacionin, gratë sipërmarrëse, projekte të drejtuara nga të rinjtë që kanë një ndikim pozitiv mjedisor.</w:t>
      </w:r>
    </w:p>
    <w:p w14:paraId="3A024828" w14:textId="6D96D8C8" w:rsidR="009D37E3" w:rsidRPr="00770F9D" w:rsidRDefault="009D37E3" w:rsidP="00400806">
      <w:pPr>
        <w:ind w:firstLine="284"/>
        <w:jc w:val="both"/>
        <w:rPr>
          <w:rFonts w:ascii="Garamond" w:hAnsi="Garamond"/>
          <w:color w:val="0D0D0D"/>
        </w:rPr>
      </w:pPr>
      <w:r w:rsidRPr="00770F9D">
        <w:rPr>
          <w:rFonts w:ascii="Garamond" w:hAnsi="Garamond"/>
          <w:color w:val="0D0D0D"/>
        </w:rPr>
        <w:t xml:space="preserve">Parimet e mbështetjes së </w:t>
      </w:r>
      <w:r w:rsidRPr="00770F9D">
        <w:rPr>
          <w:rFonts w:ascii="Garamond" w:hAnsi="Garamond"/>
          <w:i/>
          <w:iCs/>
          <w:color w:val="0D0D0D"/>
        </w:rPr>
        <w:t>startup</w:t>
      </w:r>
      <w:r w:rsidR="00975657" w:rsidRPr="00770F9D">
        <w:rPr>
          <w:rFonts w:ascii="Garamond" w:hAnsi="Garamond"/>
          <w:color w:val="0D0D0D"/>
        </w:rPr>
        <w:t>-</w:t>
      </w:r>
      <w:r w:rsidRPr="00770F9D">
        <w:rPr>
          <w:rFonts w:ascii="Garamond" w:hAnsi="Garamond"/>
          <w:color w:val="0D0D0D"/>
        </w:rPr>
        <w:t>eve, konkretisht janë</w:t>
      </w:r>
      <w:r w:rsidR="00975657" w:rsidRPr="00770F9D">
        <w:rPr>
          <w:rFonts w:ascii="Garamond" w:hAnsi="Garamond"/>
          <w:color w:val="0D0D0D"/>
        </w:rPr>
        <w:t>,</w:t>
      </w:r>
      <w:r w:rsidRPr="00770F9D">
        <w:rPr>
          <w:rFonts w:ascii="Garamond" w:hAnsi="Garamond"/>
          <w:color w:val="0D0D0D"/>
        </w:rPr>
        <w:t xml:space="preserve"> në:</w:t>
      </w:r>
    </w:p>
    <w:p w14:paraId="0496F8F5" w14:textId="77777777" w:rsidR="009D37E3" w:rsidRPr="00770F9D" w:rsidRDefault="009D37E3" w:rsidP="00400806">
      <w:pPr>
        <w:ind w:firstLine="284"/>
        <w:jc w:val="both"/>
        <w:rPr>
          <w:rFonts w:ascii="Garamond" w:hAnsi="Garamond"/>
          <w:color w:val="0D0D0D"/>
        </w:rPr>
      </w:pPr>
      <w:r w:rsidRPr="00770F9D">
        <w:rPr>
          <w:rFonts w:ascii="Garamond" w:hAnsi="Garamond"/>
          <w:color w:val="0D0D0D"/>
        </w:rPr>
        <w:t xml:space="preserve">a) lehtësimin e krijimit, hyrjes në treg dhe ushtrimit të aktivitetit </w:t>
      </w:r>
      <w:r w:rsidRPr="00770F9D">
        <w:rPr>
          <w:rFonts w:ascii="Garamond" w:hAnsi="Garamond"/>
          <w:i/>
          <w:iCs/>
          <w:color w:val="0D0D0D"/>
        </w:rPr>
        <w:t>startup</w:t>
      </w:r>
      <w:r w:rsidRPr="00770F9D">
        <w:rPr>
          <w:rFonts w:ascii="Garamond" w:hAnsi="Garamond"/>
          <w:color w:val="0D0D0D"/>
        </w:rPr>
        <w:t>;</w:t>
      </w:r>
    </w:p>
    <w:p w14:paraId="2ED97AFD" w14:textId="77777777" w:rsidR="009D37E3" w:rsidRPr="00770F9D" w:rsidRDefault="009D37E3" w:rsidP="00400806">
      <w:pPr>
        <w:ind w:firstLine="284"/>
        <w:jc w:val="both"/>
        <w:rPr>
          <w:rFonts w:ascii="Garamond" w:hAnsi="Garamond"/>
          <w:color w:val="0D0D0D"/>
        </w:rPr>
      </w:pPr>
      <w:r w:rsidRPr="00770F9D">
        <w:rPr>
          <w:rFonts w:ascii="Garamond" w:hAnsi="Garamond"/>
          <w:color w:val="0D0D0D"/>
        </w:rPr>
        <w:t>b) tërheqjen dhe mbajtjen e talenteve dhe burimeve njerëzore;</w:t>
      </w:r>
    </w:p>
    <w:p w14:paraId="68500749" w14:textId="77777777" w:rsidR="009D37E3" w:rsidRPr="00770F9D" w:rsidRDefault="009D37E3" w:rsidP="00400806">
      <w:pPr>
        <w:ind w:firstLine="284"/>
        <w:jc w:val="both"/>
        <w:rPr>
          <w:rFonts w:ascii="Garamond" w:hAnsi="Garamond"/>
          <w:color w:val="0D0D0D"/>
        </w:rPr>
      </w:pPr>
      <w:r w:rsidRPr="00770F9D">
        <w:rPr>
          <w:rFonts w:ascii="Garamond" w:hAnsi="Garamond"/>
          <w:color w:val="0D0D0D"/>
        </w:rPr>
        <w:t>c) risi në kuadrin rregullator dhe procedurat e prokurimit;</w:t>
      </w:r>
    </w:p>
    <w:p w14:paraId="61347161" w14:textId="77777777" w:rsidR="009D37E3" w:rsidRPr="00770F9D" w:rsidRDefault="009D37E3" w:rsidP="00400806">
      <w:pPr>
        <w:ind w:firstLine="284"/>
        <w:jc w:val="both"/>
        <w:rPr>
          <w:rFonts w:ascii="Garamond" w:hAnsi="Garamond"/>
          <w:color w:val="0D0D0D"/>
        </w:rPr>
      </w:pPr>
      <w:r w:rsidRPr="00770F9D">
        <w:rPr>
          <w:rFonts w:ascii="Garamond" w:hAnsi="Garamond"/>
          <w:color w:val="0D0D0D"/>
        </w:rPr>
        <w:t>d) lehtësimin dhe mbështetjen në aksesin e burimeve financiare;</w:t>
      </w:r>
    </w:p>
    <w:p w14:paraId="33EE8BBA" w14:textId="77777777" w:rsidR="009D37E3" w:rsidRPr="00770F9D" w:rsidRDefault="009D37E3" w:rsidP="00400806">
      <w:pPr>
        <w:ind w:firstLine="284"/>
        <w:jc w:val="both"/>
        <w:rPr>
          <w:rFonts w:ascii="Garamond" w:hAnsi="Garamond"/>
          <w:color w:val="0D0D0D"/>
        </w:rPr>
      </w:pPr>
      <w:r w:rsidRPr="00770F9D">
        <w:rPr>
          <w:rFonts w:ascii="Garamond" w:hAnsi="Garamond"/>
          <w:color w:val="0D0D0D"/>
        </w:rPr>
        <w:t>e) përfshirjen sociale dhe diversitetin në mbrojtje të vlerave demokratike.</w:t>
      </w:r>
    </w:p>
    <w:p w14:paraId="1B33F23C" w14:textId="322795B8" w:rsidR="009D37E3" w:rsidRPr="00770F9D" w:rsidRDefault="00060FB2"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6</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Ndikimi i pritshëm në mjedis dhe ndryshimi i klimës</w:t>
      </w:r>
    </w:p>
    <w:p w14:paraId="32E0A6D0" w14:textId="6BB81749" w:rsidR="009D37E3" w:rsidRPr="00770F9D" w:rsidRDefault="009D37E3" w:rsidP="00400806">
      <w:pPr>
        <w:ind w:firstLine="284"/>
        <w:jc w:val="both"/>
        <w:rPr>
          <w:rFonts w:ascii="Garamond" w:hAnsi="Garamond"/>
          <w:color w:val="0D0D0D"/>
        </w:rPr>
      </w:pPr>
      <w:r w:rsidRPr="00770F9D">
        <w:rPr>
          <w:rFonts w:ascii="Garamond" w:hAnsi="Garamond"/>
          <w:color w:val="0D0D0D"/>
        </w:rPr>
        <w:t>Ligji synon çështjet mjedisore</w:t>
      </w:r>
      <w:r w:rsidR="00975657" w:rsidRPr="00770F9D">
        <w:rPr>
          <w:rFonts w:ascii="Garamond" w:hAnsi="Garamond"/>
          <w:color w:val="0D0D0D"/>
        </w:rPr>
        <w:t>,</w:t>
      </w:r>
      <w:r w:rsidRPr="00770F9D">
        <w:rPr>
          <w:rFonts w:ascii="Garamond" w:hAnsi="Garamond"/>
          <w:color w:val="0D0D0D"/>
        </w:rPr>
        <w:t xml:space="preserve"> duke mbështetur dhe financuar projekte që kanë ndikim dhe fokusojnë misionin dhe fushën e tyre të punës në ndikimin mjedisor dhe ndryshimet klimatike. Këto mund të jenë </w:t>
      </w:r>
      <w:r w:rsidRPr="00770F9D">
        <w:rPr>
          <w:rFonts w:ascii="Garamond" w:hAnsi="Garamond"/>
          <w:i/>
          <w:iCs/>
          <w:color w:val="0D0D0D"/>
        </w:rPr>
        <w:t>startup</w:t>
      </w:r>
      <w:r w:rsidR="00975657" w:rsidRPr="00770F9D">
        <w:rPr>
          <w:rFonts w:ascii="Garamond" w:hAnsi="Garamond"/>
          <w:color w:val="0D0D0D"/>
        </w:rPr>
        <w:t>-</w:t>
      </w:r>
      <w:r w:rsidRPr="00770F9D">
        <w:rPr>
          <w:rFonts w:ascii="Garamond" w:hAnsi="Garamond"/>
          <w:color w:val="0D0D0D"/>
        </w:rPr>
        <w:t>e ose programe të drejtuara nga lehtësuesit.</w:t>
      </w:r>
    </w:p>
    <w:p w14:paraId="2866D800" w14:textId="39FC91E6" w:rsidR="009D37E3" w:rsidRPr="00770F9D" w:rsidRDefault="00060FB2"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7</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Rreziqet e mundshme</w:t>
      </w:r>
    </w:p>
    <w:tbl>
      <w:tblPr>
        <w:tblStyle w:val="TableGrid"/>
        <w:tblW w:w="5000" w:type="pct"/>
        <w:jc w:val="center"/>
        <w:tblLook w:val="04A0" w:firstRow="1" w:lastRow="0" w:firstColumn="1" w:lastColumn="0" w:noHBand="0" w:noVBand="1"/>
      </w:tblPr>
      <w:tblGrid>
        <w:gridCol w:w="3260"/>
        <w:gridCol w:w="1532"/>
        <w:gridCol w:w="4495"/>
      </w:tblGrid>
      <w:tr w:rsidR="00FA29AB" w:rsidRPr="00770F9D" w14:paraId="390E4039" w14:textId="77777777" w:rsidTr="00975657">
        <w:trPr>
          <w:jc w:val="center"/>
        </w:trPr>
        <w:tc>
          <w:tcPr>
            <w:tcW w:w="1755" w:type="pct"/>
            <w:vAlign w:val="center"/>
          </w:tcPr>
          <w:p w14:paraId="371321EF" w14:textId="77777777" w:rsidR="00CC1612" w:rsidRPr="00770F9D" w:rsidRDefault="00B2062A" w:rsidP="00975657">
            <w:pPr>
              <w:snapToGrid w:val="0"/>
              <w:jc w:val="center"/>
              <w:rPr>
                <w:rFonts w:ascii="Garamond" w:hAnsi="Garamond" w:cstheme="majorBidi"/>
                <w:b/>
                <w:bCs/>
                <w:color w:val="0D0D0D" w:themeColor="text1" w:themeTint="F2"/>
                <w:sz w:val="20"/>
              </w:rPr>
            </w:pPr>
            <w:r w:rsidRPr="00770F9D">
              <w:rPr>
                <w:rFonts w:ascii="Garamond" w:hAnsi="Garamond" w:cstheme="majorBidi"/>
                <w:b/>
                <w:bCs/>
                <w:color w:val="0D0D0D" w:themeColor="text1" w:themeTint="F2"/>
                <w:sz w:val="20"/>
              </w:rPr>
              <w:t>Rreziku</w:t>
            </w:r>
          </w:p>
        </w:tc>
        <w:tc>
          <w:tcPr>
            <w:tcW w:w="825" w:type="pct"/>
            <w:vAlign w:val="center"/>
          </w:tcPr>
          <w:p w14:paraId="066AFDCA" w14:textId="77777777" w:rsidR="00975657" w:rsidRPr="00770F9D" w:rsidRDefault="00B2062A" w:rsidP="00975657">
            <w:pPr>
              <w:snapToGrid w:val="0"/>
              <w:jc w:val="center"/>
              <w:rPr>
                <w:rFonts w:ascii="Garamond" w:hAnsi="Garamond" w:cstheme="majorBidi"/>
                <w:b/>
                <w:bCs/>
                <w:color w:val="0D0D0D" w:themeColor="text1" w:themeTint="F2"/>
                <w:sz w:val="20"/>
              </w:rPr>
            </w:pPr>
            <w:r w:rsidRPr="00770F9D">
              <w:rPr>
                <w:rFonts w:ascii="Garamond" w:hAnsi="Garamond" w:cstheme="majorBidi"/>
                <w:b/>
                <w:bCs/>
                <w:color w:val="0D0D0D" w:themeColor="text1" w:themeTint="F2"/>
                <w:sz w:val="20"/>
              </w:rPr>
              <w:t>Mundësia</w:t>
            </w:r>
            <w:r w:rsidR="00CC1612" w:rsidRPr="00770F9D">
              <w:rPr>
                <w:rFonts w:ascii="Garamond" w:hAnsi="Garamond" w:cstheme="majorBidi"/>
                <w:b/>
                <w:bCs/>
                <w:color w:val="0D0D0D" w:themeColor="text1" w:themeTint="F2"/>
                <w:sz w:val="20"/>
              </w:rPr>
              <w:t xml:space="preserve"> </w:t>
            </w:r>
          </w:p>
          <w:p w14:paraId="7409A87C" w14:textId="6417F6FC" w:rsidR="00CC1612" w:rsidRPr="00770F9D" w:rsidRDefault="00CC1612" w:rsidP="00975657">
            <w:pPr>
              <w:snapToGrid w:val="0"/>
              <w:jc w:val="center"/>
              <w:rPr>
                <w:rFonts w:ascii="Garamond" w:hAnsi="Garamond" w:cstheme="majorBidi"/>
                <w:b/>
                <w:bCs/>
                <w:color w:val="0D0D0D" w:themeColor="text1" w:themeTint="F2"/>
                <w:sz w:val="20"/>
              </w:rPr>
            </w:pPr>
            <w:r w:rsidRPr="00770F9D">
              <w:rPr>
                <w:rFonts w:ascii="Garamond" w:hAnsi="Garamond" w:cstheme="majorBidi"/>
                <w:b/>
                <w:bCs/>
                <w:color w:val="0D0D0D" w:themeColor="text1" w:themeTint="F2"/>
                <w:sz w:val="20"/>
              </w:rPr>
              <w:t>(</w:t>
            </w:r>
            <w:r w:rsidR="00B2062A" w:rsidRPr="00770F9D">
              <w:rPr>
                <w:rFonts w:ascii="Garamond" w:hAnsi="Garamond" w:cstheme="majorBidi"/>
                <w:b/>
                <w:bCs/>
                <w:color w:val="0D0D0D" w:themeColor="text1" w:themeTint="F2"/>
                <w:sz w:val="20"/>
              </w:rPr>
              <w:t>e ulët, e lartë</w:t>
            </w:r>
            <w:r w:rsidRPr="00770F9D">
              <w:rPr>
                <w:rFonts w:ascii="Garamond" w:hAnsi="Garamond" w:cstheme="majorBidi"/>
                <w:b/>
                <w:bCs/>
                <w:color w:val="0D0D0D" w:themeColor="text1" w:themeTint="F2"/>
                <w:sz w:val="20"/>
              </w:rPr>
              <w:t>)</w:t>
            </w:r>
          </w:p>
        </w:tc>
        <w:tc>
          <w:tcPr>
            <w:tcW w:w="2420" w:type="pct"/>
            <w:vAlign w:val="center"/>
          </w:tcPr>
          <w:p w14:paraId="31919502" w14:textId="77777777" w:rsidR="00CC1612" w:rsidRPr="00770F9D" w:rsidRDefault="00B2062A" w:rsidP="00975657">
            <w:pPr>
              <w:snapToGrid w:val="0"/>
              <w:jc w:val="center"/>
              <w:rPr>
                <w:rFonts w:ascii="Garamond" w:hAnsi="Garamond" w:cstheme="majorBidi"/>
                <w:b/>
                <w:bCs/>
                <w:color w:val="0D0D0D" w:themeColor="text1" w:themeTint="F2"/>
                <w:sz w:val="20"/>
              </w:rPr>
            </w:pPr>
            <w:r w:rsidRPr="00770F9D">
              <w:rPr>
                <w:rFonts w:ascii="Garamond" w:hAnsi="Garamond" w:cstheme="majorBidi"/>
                <w:b/>
                <w:bCs/>
                <w:color w:val="0D0D0D" w:themeColor="text1" w:themeTint="F2"/>
                <w:sz w:val="20"/>
              </w:rPr>
              <w:t>Veprimi zbutës i parashikuar</w:t>
            </w:r>
          </w:p>
        </w:tc>
      </w:tr>
      <w:tr w:rsidR="002C35C9" w:rsidRPr="00770F9D" w14:paraId="3CD880C9" w14:textId="77777777" w:rsidTr="00975657">
        <w:trPr>
          <w:jc w:val="center"/>
        </w:trPr>
        <w:tc>
          <w:tcPr>
            <w:tcW w:w="1755" w:type="pct"/>
          </w:tcPr>
          <w:p w14:paraId="72C2A405" w14:textId="2216411C" w:rsidR="002C35C9" w:rsidRPr="00770F9D" w:rsidRDefault="002C35C9" w:rsidP="00060FB2">
            <w:pPr>
              <w:snapToGrid w:val="0"/>
              <w:rPr>
                <w:rFonts w:ascii="Garamond" w:hAnsi="Garamond" w:cstheme="majorBidi"/>
                <w:color w:val="0D0D0D" w:themeColor="text1" w:themeTint="F2"/>
                <w:sz w:val="20"/>
              </w:rPr>
            </w:pPr>
            <w:r w:rsidRPr="00770F9D">
              <w:rPr>
                <w:rFonts w:ascii="Garamond" w:hAnsi="Garamond" w:cstheme="majorBidi"/>
                <w:color w:val="0D0D0D" w:themeColor="text1" w:themeTint="F2"/>
                <w:sz w:val="20"/>
              </w:rPr>
              <w:t>Pamundësia për të krijuar sistemin automatik brenda vitit 2024.</w:t>
            </w:r>
          </w:p>
        </w:tc>
        <w:tc>
          <w:tcPr>
            <w:tcW w:w="825" w:type="pct"/>
          </w:tcPr>
          <w:p w14:paraId="301B4170" w14:textId="77777777" w:rsidR="002C35C9" w:rsidRPr="00770F9D" w:rsidRDefault="002C35C9" w:rsidP="00060FB2">
            <w:pPr>
              <w:snapToGrid w:val="0"/>
              <w:rPr>
                <w:rFonts w:ascii="Garamond" w:hAnsi="Garamond" w:cstheme="majorBidi"/>
                <w:color w:val="0D0D0D" w:themeColor="text1" w:themeTint="F2"/>
                <w:sz w:val="20"/>
              </w:rPr>
            </w:pPr>
            <w:r w:rsidRPr="00770F9D">
              <w:rPr>
                <w:rFonts w:ascii="Garamond" w:hAnsi="Garamond" w:cstheme="majorBidi"/>
                <w:color w:val="0D0D0D" w:themeColor="text1" w:themeTint="F2"/>
                <w:sz w:val="20"/>
              </w:rPr>
              <w:t>E ulet</w:t>
            </w:r>
          </w:p>
        </w:tc>
        <w:tc>
          <w:tcPr>
            <w:tcW w:w="2420" w:type="pct"/>
          </w:tcPr>
          <w:p w14:paraId="20AA35A3" w14:textId="77777777" w:rsidR="002C35C9" w:rsidRPr="00770F9D" w:rsidRDefault="00AD6AF4" w:rsidP="00060FB2">
            <w:pPr>
              <w:snapToGrid w:val="0"/>
              <w:rPr>
                <w:rFonts w:ascii="Garamond" w:hAnsi="Garamond" w:cstheme="majorBidi"/>
                <w:color w:val="0D0D0D" w:themeColor="text1" w:themeTint="F2"/>
                <w:sz w:val="20"/>
              </w:rPr>
            </w:pPr>
            <w:r w:rsidRPr="00770F9D">
              <w:rPr>
                <w:rFonts w:ascii="Garamond" w:hAnsi="Garamond" w:cstheme="majorBidi"/>
                <w:color w:val="0D0D0D" w:themeColor="text1" w:themeTint="F2"/>
                <w:sz w:val="20"/>
              </w:rPr>
              <w:t>Duke pasur një sistem të mirë planifikuar dhe listë të burimeve të nevojshme për këtë ndryshim, në mënyrë që të planifikojmë dhe zhvillojmë më mirë prototipin, të testojmë prototipin dhe të marrim reagime në kohë reale nga përdoruesit</w:t>
            </w:r>
            <w:r w:rsidR="002C35C9" w:rsidRPr="00770F9D">
              <w:rPr>
                <w:rFonts w:ascii="Garamond" w:hAnsi="Garamond" w:cstheme="majorBidi"/>
                <w:color w:val="0D0D0D" w:themeColor="text1" w:themeTint="F2"/>
                <w:sz w:val="20"/>
              </w:rPr>
              <w:t>.</w:t>
            </w:r>
          </w:p>
        </w:tc>
      </w:tr>
    </w:tbl>
    <w:p w14:paraId="58D17F4D" w14:textId="77777777" w:rsidR="00CC1612" w:rsidRPr="00770F9D" w:rsidRDefault="00CC1612" w:rsidP="005674F2">
      <w:pPr>
        <w:snapToGrid w:val="0"/>
        <w:ind w:firstLine="284"/>
        <w:rPr>
          <w:rFonts w:ascii="Garamond" w:hAnsi="Garamond" w:cstheme="majorBidi"/>
          <w:color w:val="0D0D0D" w:themeColor="text1" w:themeTint="F2"/>
        </w:rPr>
      </w:pPr>
    </w:p>
    <w:p w14:paraId="3C527035" w14:textId="2978FF17" w:rsidR="00DB22AB" w:rsidRPr="00770F9D" w:rsidRDefault="00B2062A" w:rsidP="00400806">
      <w:pPr>
        <w:pStyle w:val="Heading5"/>
        <w:snapToGrid w:val="0"/>
        <w:ind w:left="0" w:firstLine="284"/>
        <w:jc w:val="both"/>
        <w:rPr>
          <w:rFonts w:ascii="Garamond" w:hAnsi="Garamond" w:cstheme="majorBidi"/>
          <w:i w:val="0"/>
          <w:color w:val="0D0D0D" w:themeColor="text1" w:themeTint="F2"/>
          <w:sz w:val="24"/>
          <w:szCs w:val="24"/>
        </w:rPr>
      </w:pPr>
      <w:r w:rsidRPr="00770F9D">
        <w:rPr>
          <w:rFonts w:ascii="Garamond" w:hAnsi="Garamond" w:cstheme="majorBidi"/>
          <w:i w:val="0"/>
          <w:color w:val="0D0D0D" w:themeColor="text1" w:themeTint="F2"/>
          <w:sz w:val="24"/>
          <w:szCs w:val="24"/>
        </w:rPr>
        <w:t>Masa e reformës</w:t>
      </w:r>
      <w:r w:rsidR="00975657" w:rsidRPr="00770F9D">
        <w:rPr>
          <w:rFonts w:ascii="Garamond" w:hAnsi="Garamond" w:cstheme="majorBidi"/>
          <w:i w:val="0"/>
          <w:color w:val="0D0D0D" w:themeColor="text1" w:themeTint="F2"/>
          <w:sz w:val="24"/>
          <w:szCs w:val="24"/>
        </w:rPr>
        <w:t xml:space="preserve"> </w:t>
      </w:r>
      <w:r w:rsidR="005358F8" w:rsidRPr="00770F9D">
        <w:rPr>
          <w:rFonts w:ascii="Garamond" w:hAnsi="Garamond" w:cstheme="majorBidi"/>
          <w:i w:val="0"/>
          <w:color w:val="0D0D0D" w:themeColor="text1" w:themeTint="F2"/>
          <w:sz w:val="24"/>
          <w:szCs w:val="24"/>
        </w:rPr>
        <w:t>08</w:t>
      </w:r>
      <w:r w:rsidR="00DB22AB" w:rsidRPr="00770F9D">
        <w:rPr>
          <w:rFonts w:ascii="Garamond" w:hAnsi="Garamond" w:cstheme="majorBidi"/>
          <w:i w:val="0"/>
          <w:color w:val="0D0D0D" w:themeColor="text1" w:themeTint="F2"/>
          <w:sz w:val="24"/>
          <w:szCs w:val="24"/>
        </w:rPr>
        <w:t xml:space="preserve">: </w:t>
      </w:r>
      <w:r w:rsidR="001E4FC2" w:rsidRPr="00770F9D">
        <w:rPr>
          <w:rFonts w:ascii="Garamond" w:hAnsi="Garamond" w:cstheme="majorBidi"/>
          <w:i w:val="0"/>
          <w:color w:val="0D0D0D" w:themeColor="text1" w:themeTint="F2"/>
          <w:sz w:val="24"/>
          <w:szCs w:val="24"/>
        </w:rPr>
        <w:t>Masat mbështetëse për NMVM</w:t>
      </w:r>
      <w:r w:rsidR="00975657" w:rsidRPr="00770F9D">
        <w:rPr>
          <w:rFonts w:ascii="Garamond" w:hAnsi="Garamond" w:cstheme="majorBidi"/>
          <w:i w:val="0"/>
          <w:color w:val="0D0D0D" w:themeColor="text1" w:themeTint="F2"/>
          <w:sz w:val="24"/>
          <w:szCs w:val="24"/>
        </w:rPr>
        <w:t>-në</w:t>
      </w:r>
    </w:p>
    <w:p w14:paraId="16CF7D95" w14:textId="1B3BDC66" w:rsidR="009D37E3" w:rsidRPr="00770F9D" w:rsidRDefault="009D37E3"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1.</w:t>
      </w:r>
      <w:r w:rsidR="00BA4F1A" w:rsidRPr="00770F9D">
        <w:rPr>
          <w:rFonts w:ascii="Garamond" w:hAnsi="Garamond"/>
          <w:color w:val="0D0D0D"/>
          <w:u w:val="none"/>
        </w:rPr>
        <w:t xml:space="preserve"> </w:t>
      </w:r>
      <w:r w:rsidRPr="00770F9D">
        <w:rPr>
          <w:rFonts w:ascii="Garamond" w:hAnsi="Garamond"/>
          <w:color w:val="0D0D0D"/>
          <w:u w:val="none"/>
        </w:rPr>
        <w:t>Përshkrimi i masës</w:t>
      </w:r>
    </w:p>
    <w:p w14:paraId="31117E51" w14:textId="3199600C" w:rsidR="009D37E3" w:rsidRPr="00770F9D" w:rsidRDefault="009D37E3" w:rsidP="00400806">
      <w:pPr>
        <w:ind w:firstLine="284"/>
        <w:jc w:val="both"/>
        <w:rPr>
          <w:rFonts w:ascii="Garamond" w:hAnsi="Garamond"/>
          <w:color w:val="0D0D0D"/>
        </w:rPr>
      </w:pPr>
      <w:r w:rsidRPr="00770F9D">
        <w:rPr>
          <w:rFonts w:ascii="Garamond" w:hAnsi="Garamond"/>
          <w:color w:val="0D0D0D"/>
        </w:rPr>
        <w:t>Në vitin 2021 janë miratuar Strategjia e Investimeve dhe Zhvillimit të Biznesit për periudhën 2021</w:t>
      </w:r>
      <w:r w:rsidR="001B1B7B" w:rsidRPr="00770F9D">
        <w:rPr>
          <w:rFonts w:ascii="Garamond" w:hAnsi="Garamond"/>
          <w:color w:val="0D0D0D"/>
        </w:rPr>
        <w:t>–</w:t>
      </w:r>
      <w:r w:rsidRPr="00770F9D">
        <w:rPr>
          <w:rFonts w:ascii="Garamond" w:hAnsi="Garamond"/>
          <w:color w:val="0D0D0D"/>
        </w:rPr>
        <w:t>2027 dhe Plani i Veprimit për zbatimin e Strategjisë në periudhën 2021</w:t>
      </w:r>
      <w:r w:rsidR="00CA6B38" w:rsidRPr="00770F9D">
        <w:rPr>
          <w:rFonts w:ascii="Garamond" w:hAnsi="Garamond"/>
          <w:color w:val="0D0D0D"/>
        </w:rPr>
        <w:t>–</w:t>
      </w:r>
      <w:r w:rsidRPr="00770F9D">
        <w:rPr>
          <w:rFonts w:ascii="Garamond" w:hAnsi="Garamond"/>
          <w:color w:val="0D0D0D"/>
        </w:rPr>
        <w:t>2023. Miratimi i ligjit nr. 43/2022, datë 21.4.2022</w:t>
      </w:r>
      <w:r w:rsidR="00CA6B38" w:rsidRPr="00770F9D">
        <w:rPr>
          <w:rFonts w:ascii="Garamond" w:hAnsi="Garamond"/>
          <w:color w:val="0D0D0D"/>
        </w:rPr>
        <w:t>,</w:t>
      </w:r>
      <w:r w:rsidRPr="00770F9D">
        <w:rPr>
          <w:rFonts w:ascii="Garamond" w:hAnsi="Garamond"/>
          <w:color w:val="0D0D0D"/>
        </w:rPr>
        <w:t xml:space="preserve"> “Për zhvillimin e sipërmarrjeve mikro, të vogla dhe të mesme” mundëson rritjen e granteve të mbështetjes shtetërore.</w:t>
      </w:r>
    </w:p>
    <w:p w14:paraId="1BA31791" w14:textId="64068C0A" w:rsidR="009D37E3" w:rsidRPr="00770F9D" w:rsidRDefault="009D37E3" w:rsidP="00400806">
      <w:pPr>
        <w:ind w:firstLine="284"/>
        <w:jc w:val="both"/>
        <w:rPr>
          <w:rFonts w:ascii="Garamond" w:hAnsi="Garamond"/>
          <w:color w:val="0D0D0D"/>
        </w:rPr>
      </w:pPr>
      <w:r w:rsidRPr="00770F9D">
        <w:rPr>
          <w:rFonts w:ascii="Garamond" w:hAnsi="Garamond"/>
          <w:color w:val="0D0D0D"/>
        </w:rPr>
        <w:t>Në periudhën e ardhshme vëmendje e veçantë do t’i kushtohet zhvillimit të shërbimeve mbështetëse (trajnime, trajnime etj.). Sipas planit të veprimit BIDS, në periudhën në vijim do të bëhet një vlerësim i nevojave për trajnime të NVM-ve, për të avancuar me shërbimet e mbështetjes publike për bizneset. Gjithashtu do të hartohet dhe zbatohet një skemë granti për të rritur aksesin në financa.</w:t>
      </w:r>
    </w:p>
    <w:p w14:paraId="59B98EC4" w14:textId="7AC608EB" w:rsidR="009D37E3" w:rsidRPr="00770F9D" w:rsidRDefault="009D37E3" w:rsidP="00400806">
      <w:pPr>
        <w:ind w:firstLine="284"/>
        <w:jc w:val="both"/>
        <w:rPr>
          <w:rFonts w:ascii="Garamond" w:hAnsi="Garamond"/>
          <w:color w:val="0D0D0D"/>
        </w:rPr>
      </w:pPr>
      <w:r w:rsidRPr="00770F9D">
        <w:rPr>
          <w:rFonts w:ascii="Garamond" w:hAnsi="Garamond"/>
          <w:color w:val="0D0D0D"/>
        </w:rPr>
        <w:t xml:space="preserve">Nëpërmjet programit </w:t>
      </w:r>
      <w:r w:rsidRPr="00770F9D">
        <w:rPr>
          <w:rFonts w:ascii="Garamond" w:hAnsi="Garamond"/>
          <w:i/>
          <w:iCs/>
          <w:color w:val="0D0D0D"/>
        </w:rPr>
        <w:t>Proseed</w:t>
      </w:r>
      <w:r w:rsidRPr="00770F9D">
        <w:rPr>
          <w:rFonts w:ascii="Garamond" w:hAnsi="Garamond"/>
          <w:color w:val="0D0D0D"/>
        </w:rPr>
        <w:t>, gjatë vitit 2023</w:t>
      </w:r>
      <w:r w:rsidR="00CA6B38" w:rsidRPr="00770F9D">
        <w:rPr>
          <w:rFonts w:ascii="Garamond" w:hAnsi="Garamond"/>
          <w:color w:val="0D0D0D"/>
        </w:rPr>
        <w:t>,</w:t>
      </w:r>
      <w:r w:rsidRPr="00770F9D">
        <w:rPr>
          <w:rFonts w:ascii="Garamond" w:hAnsi="Garamond"/>
          <w:color w:val="0D0D0D"/>
        </w:rPr>
        <w:t xml:space="preserve"> “Marrëveshja </w:t>
      </w:r>
      <w:r w:rsidR="00CA6B38" w:rsidRPr="00770F9D">
        <w:rPr>
          <w:rFonts w:ascii="Garamond" w:hAnsi="Garamond"/>
          <w:color w:val="0D0D0D"/>
        </w:rPr>
        <w:t>financiare</w:t>
      </w:r>
      <w:r w:rsidRPr="00770F9D">
        <w:rPr>
          <w:rFonts w:ascii="Garamond" w:hAnsi="Garamond"/>
          <w:color w:val="0D0D0D"/>
        </w:rPr>
        <w:t xml:space="preserve">” do të ofrojë grante për ide inovative të biznesit të gjelbër dhe </w:t>
      </w:r>
      <w:r w:rsidR="003F4C96" w:rsidRPr="00770F9D">
        <w:rPr>
          <w:rFonts w:ascii="Garamond" w:hAnsi="Garamond"/>
          <w:color w:val="0D0D0D"/>
        </w:rPr>
        <w:t>digjital</w:t>
      </w:r>
      <w:r w:rsidRPr="00770F9D">
        <w:rPr>
          <w:rFonts w:ascii="Garamond" w:hAnsi="Garamond"/>
          <w:color w:val="0D0D0D"/>
        </w:rPr>
        <w:t xml:space="preserve">. Gjatë vitit 2022, Programi CoSOLVE dha këshilla (502) dhe grante (228) për MSME-të. Në vitin 2023, 230 të tjera do të marrin këshillim, 90 do të marrin shërbime në </w:t>
      </w:r>
      <w:r w:rsidR="003F4C96" w:rsidRPr="00770F9D">
        <w:rPr>
          <w:rFonts w:ascii="Garamond" w:hAnsi="Garamond"/>
          <w:color w:val="0D0D0D"/>
        </w:rPr>
        <w:t>digjital</w:t>
      </w:r>
      <w:r w:rsidRPr="00770F9D">
        <w:rPr>
          <w:rFonts w:ascii="Garamond" w:hAnsi="Garamond"/>
          <w:color w:val="0D0D0D"/>
        </w:rPr>
        <w:t>izim dhe rreth 70 MSME do të marrin grant.</w:t>
      </w:r>
    </w:p>
    <w:p w14:paraId="226153A6" w14:textId="2DB496CE" w:rsidR="009D37E3" w:rsidRPr="00770F9D" w:rsidRDefault="009D37E3" w:rsidP="000F6F7A">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a</w:t>
      </w:r>
      <w:r w:rsidR="00CA6B38" w:rsidRPr="00770F9D">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 xml:space="preserve">Aktivitete të planifikuara </w:t>
      </w:r>
      <w:r w:rsidR="000F6F7A">
        <w:rPr>
          <w:rFonts w:ascii="Garamond" w:hAnsi="Garamond"/>
          <w:b/>
          <w:bCs/>
          <w:color w:val="0D0D0D"/>
          <w:sz w:val="24"/>
          <w:szCs w:val="24"/>
          <w:lang w:val="sq-AL"/>
        </w:rPr>
        <w:t>m</w:t>
      </w:r>
      <w:r w:rsidRPr="00770F9D">
        <w:rPr>
          <w:rFonts w:ascii="Garamond" w:hAnsi="Garamond"/>
          <w:b/>
          <w:bCs/>
          <w:color w:val="0D0D0D"/>
          <w:sz w:val="24"/>
          <w:szCs w:val="24"/>
          <w:lang w:val="sq-AL"/>
        </w:rPr>
        <w:t>ë 2023</w:t>
      </w:r>
      <w:r w:rsidR="00CA6B38" w:rsidRPr="00770F9D">
        <w:rPr>
          <w:rFonts w:ascii="Garamond" w:hAnsi="Garamond"/>
          <w:b/>
          <w:bCs/>
          <w:color w:val="0D0D0D"/>
          <w:sz w:val="24"/>
          <w:szCs w:val="24"/>
          <w:lang w:val="sq-AL"/>
        </w:rPr>
        <w:t>-shin</w:t>
      </w:r>
    </w:p>
    <w:p w14:paraId="0AD2DC0D" w14:textId="0D84FA51" w:rsidR="009D37E3" w:rsidRPr="00770F9D" w:rsidRDefault="009D37E3" w:rsidP="00400806">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a</w:t>
      </w:r>
      <w:r w:rsidR="00CA6B38"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Hartimi i strategjisë së eksportit (objektivat dhe masat)</w:t>
      </w:r>
      <w:r w:rsidR="00CA6B38" w:rsidRPr="00770F9D">
        <w:rPr>
          <w:rFonts w:ascii="Garamond" w:hAnsi="Garamond"/>
          <w:color w:val="0D0D0D"/>
          <w:sz w:val="24"/>
          <w:szCs w:val="24"/>
          <w:lang w:val="sq-AL"/>
        </w:rPr>
        <w:t>:</w:t>
      </w:r>
    </w:p>
    <w:p w14:paraId="5650A2E8" w14:textId="7B4E384A"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i/>
          <w:iCs/>
          <w:color w:val="0D0D0D"/>
          <w:sz w:val="24"/>
          <w:szCs w:val="24"/>
          <w:lang w:val="sq-AL"/>
        </w:rPr>
        <w:t>i.</w:t>
      </w:r>
      <w:r w:rsidR="00BA4F1A" w:rsidRPr="00770F9D">
        <w:rPr>
          <w:rFonts w:ascii="Garamond" w:hAnsi="Garamond"/>
          <w:i/>
          <w:iCs/>
          <w:color w:val="0D0D0D"/>
          <w:sz w:val="24"/>
          <w:szCs w:val="24"/>
          <w:lang w:val="sq-AL"/>
        </w:rPr>
        <w:t xml:space="preserve"> </w:t>
      </w:r>
      <w:r w:rsidRPr="00770F9D">
        <w:rPr>
          <w:rFonts w:ascii="Garamond" w:hAnsi="Garamond"/>
          <w:i/>
          <w:iCs/>
          <w:color w:val="0D0D0D"/>
          <w:sz w:val="24"/>
          <w:szCs w:val="24"/>
          <w:lang w:val="sq-AL"/>
        </w:rPr>
        <w:t>Organizimi i info days/webinars mbi rregullat dhe kriteret për</w:t>
      </w:r>
      <w:r w:rsidR="00CA6B38" w:rsidRPr="00770F9D">
        <w:rPr>
          <w:rFonts w:ascii="Garamond" w:hAnsi="Garamond"/>
          <w:i/>
          <w:iCs/>
          <w:color w:val="0D0D0D"/>
          <w:sz w:val="24"/>
          <w:szCs w:val="24"/>
          <w:lang w:val="sq-AL"/>
        </w:rPr>
        <w:t xml:space="preserve"> </w:t>
      </w:r>
      <w:r w:rsidRPr="00770F9D">
        <w:rPr>
          <w:rFonts w:ascii="Garamond" w:hAnsi="Garamond"/>
          <w:i/>
          <w:iCs/>
          <w:color w:val="0D0D0D"/>
          <w:sz w:val="24"/>
          <w:szCs w:val="24"/>
          <w:lang w:val="sq-AL"/>
        </w:rPr>
        <w:t>eksport</w:t>
      </w:r>
      <w:r w:rsidR="00CA6B38" w:rsidRPr="00770F9D">
        <w:rPr>
          <w:rFonts w:ascii="Garamond" w:hAnsi="Garamond"/>
          <w:i/>
          <w:iCs/>
          <w:color w:val="0D0D0D"/>
          <w:sz w:val="24"/>
          <w:szCs w:val="24"/>
          <w:lang w:val="sq-AL"/>
        </w:rPr>
        <w:t>;</w:t>
      </w:r>
    </w:p>
    <w:p w14:paraId="6E86835B" w14:textId="02D25CE2"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i/>
          <w:iCs/>
          <w:color w:val="0D0D0D"/>
          <w:sz w:val="24"/>
          <w:szCs w:val="24"/>
          <w:lang w:val="sq-AL"/>
        </w:rPr>
        <w:t>ii.</w:t>
      </w:r>
      <w:r w:rsidR="00BA4F1A" w:rsidRPr="00770F9D">
        <w:rPr>
          <w:rFonts w:ascii="Garamond" w:hAnsi="Garamond"/>
          <w:i/>
          <w:iCs/>
          <w:color w:val="0D0D0D"/>
          <w:sz w:val="24"/>
          <w:szCs w:val="24"/>
          <w:lang w:val="sq-AL"/>
        </w:rPr>
        <w:t xml:space="preserve"> </w:t>
      </w:r>
      <w:r w:rsidRPr="00770F9D">
        <w:rPr>
          <w:rFonts w:ascii="Garamond" w:hAnsi="Garamond"/>
          <w:i/>
          <w:iCs/>
          <w:color w:val="0D0D0D"/>
          <w:sz w:val="24"/>
          <w:szCs w:val="24"/>
          <w:lang w:val="sq-AL"/>
        </w:rPr>
        <w:t>Takime me eksportuesit aktual dhe potencial</w:t>
      </w:r>
      <w:r w:rsidR="00CA6B38" w:rsidRPr="00770F9D">
        <w:rPr>
          <w:rFonts w:ascii="Garamond" w:hAnsi="Garamond"/>
          <w:i/>
          <w:iCs/>
          <w:color w:val="0D0D0D"/>
          <w:sz w:val="24"/>
          <w:szCs w:val="24"/>
          <w:lang w:val="sq-AL"/>
        </w:rPr>
        <w:t>;</w:t>
      </w:r>
    </w:p>
    <w:p w14:paraId="396A3B89" w14:textId="5B41F017"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i/>
          <w:iCs/>
          <w:color w:val="0D0D0D"/>
          <w:sz w:val="24"/>
          <w:szCs w:val="24"/>
          <w:lang w:val="sq-AL"/>
        </w:rPr>
        <w:t>iii.</w:t>
      </w:r>
      <w:r w:rsidR="00BA4F1A" w:rsidRPr="00770F9D">
        <w:rPr>
          <w:rFonts w:ascii="Garamond" w:hAnsi="Garamond"/>
          <w:i/>
          <w:iCs/>
          <w:color w:val="0D0D0D"/>
          <w:sz w:val="24"/>
          <w:szCs w:val="24"/>
          <w:lang w:val="sq-AL"/>
        </w:rPr>
        <w:t xml:space="preserve"> </w:t>
      </w:r>
      <w:r w:rsidRPr="00770F9D">
        <w:rPr>
          <w:rFonts w:ascii="Garamond" w:hAnsi="Garamond"/>
          <w:i/>
          <w:iCs/>
          <w:color w:val="0D0D0D"/>
          <w:sz w:val="24"/>
          <w:szCs w:val="24"/>
          <w:lang w:val="sq-AL"/>
        </w:rPr>
        <w:t>Krijimi i një portal dedikuar eksportuesve pjesë e strategjisë së eksportit</w:t>
      </w:r>
      <w:r w:rsidR="00CA6B38" w:rsidRPr="00770F9D">
        <w:rPr>
          <w:rFonts w:ascii="Garamond" w:hAnsi="Garamond"/>
          <w:i/>
          <w:iCs/>
          <w:color w:val="0D0D0D"/>
          <w:sz w:val="24"/>
          <w:szCs w:val="24"/>
          <w:lang w:val="sq-AL"/>
        </w:rPr>
        <w:t>;</w:t>
      </w:r>
    </w:p>
    <w:p w14:paraId="3B7ACBD0" w14:textId="0BA47FB9" w:rsidR="009D37E3" w:rsidRPr="00770F9D" w:rsidRDefault="009D37E3" w:rsidP="00400806">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b</w:t>
      </w:r>
      <w:r w:rsidR="00CA6B38"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Skema e konkurrueshmërisë mbështetur në konkurrencë</w:t>
      </w:r>
      <w:r w:rsidR="00CA6B38" w:rsidRPr="00770F9D">
        <w:rPr>
          <w:rFonts w:ascii="Garamond" w:hAnsi="Garamond"/>
          <w:color w:val="0D0D0D"/>
          <w:sz w:val="24"/>
          <w:szCs w:val="24"/>
          <w:lang w:val="sq-AL"/>
        </w:rPr>
        <w:t>;</w:t>
      </w:r>
    </w:p>
    <w:p w14:paraId="70E9CA9E" w14:textId="40C48CC3" w:rsidR="009D37E3" w:rsidRPr="00770F9D" w:rsidRDefault="009D37E3" w:rsidP="00400806">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c</w:t>
      </w:r>
      <w:r w:rsidR="00CA6B38"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Vlerësimi i nevojave për trajnim</w:t>
      </w:r>
      <w:r w:rsidR="00CA6B38" w:rsidRPr="00770F9D">
        <w:rPr>
          <w:rFonts w:ascii="Garamond" w:hAnsi="Garamond"/>
          <w:color w:val="0D0D0D"/>
          <w:sz w:val="24"/>
          <w:szCs w:val="24"/>
          <w:lang w:val="sq-AL"/>
        </w:rPr>
        <w:t>;</w:t>
      </w:r>
      <w:r w:rsidRPr="00770F9D">
        <w:rPr>
          <w:rFonts w:ascii="Garamond" w:hAnsi="Garamond"/>
          <w:color w:val="0D0D0D"/>
          <w:sz w:val="24"/>
          <w:szCs w:val="24"/>
          <w:lang w:val="sq-AL"/>
        </w:rPr>
        <w:t xml:space="preserve"> </w:t>
      </w:r>
    </w:p>
    <w:p w14:paraId="540F0A5B" w14:textId="3D374CAA" w:rsidR="009D37E3" w:rsidRPr="00770F9D" w:rsidRDefault="009D37E3" w:rsidP="00400806">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d</w:t>
      </w:r>
      <w:r w:rsidR="00CA6B38"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Aksesi në </w:t>
      </w:r>
      <w:r w:rsidR="00CA6B38" w:rsidRPr="00770F9D">
        <w:rPr>
          <w:rFonts w:ascii="Garamond" w:hAnsi="Garamond"/>
          <w:color w:val="0D0D0D"/>
          <w:sz w:val="24"/>
          <w:szCs w:val="24"/>
          <w:lang w:val="sq-AL"/>
        </w:rPr>
        <w:t>financë:</w:t>
      </w:r>
    </w:p>
    <w:p w14:paraId="600D21BE" w14:textId="41839FC3" w:rsidR="009D37E3" w:rsidRPr="00770F9D" w:rsidRDefault="009D37E3" w:rsidP="00400806">
      <w:pPr>
        <w:pStyle w:val="ListParagraph"/>
        <w:ind w:left="0" w:firstLine="284"/>
        <w:jc w:val="both"/>
        <w:rPr>
          <w:rFonts w:ascii="Garamond" w:hAnsi="Garamond"/>
          <w:i/>
          <w:iCs/>
          <w:color w:val="0D0D0D"/>
          <w:sz w:val="24"/>
          <w:szCs w:val="24"/>
          <w:lang w:val="sq-AL"/>
        </w:rPr>
      </w:pPr>
      <w:r w:rsidRPr="00770F9D">
        <w:rPr>
          <w:rFonts w:ascii="Garamond" w:hAnsi="Garamond"/>
          <w:i/>
          <w:iCs/>
          <w:color w:val="0D0D0D"/>
          <w:sz w:val="24"/>
          <w:szCs w:val="24"/>
          <w:lang w:val="sq-AL"/>
        </w:rPr>
        <w:t>i.</w:t>
      </w:r>
      <w:r w:rsidR="00BA4F1A" w:rsidRPr="00770F9D">
        <w:rPr>
          <w:rFonts w:ascii="Garamond" w:hAnsi="Garamond"/>
          <w:i/>
          <w:iCs/>
          <w:color w:val="0D0D0D"/>
          <w:sz w:val="24"/>
          <w:szCs w:val="24"/>
          <w:lang w:val="sq-AL"/>
        </w:rPr>
        <w:t xml:space="preserve"> </w:t>
      </w:r>
      <w:r w:rsidRPr="00770F9D">
        <w:rPr>
          <w:rFonts w:ascii="Garamond" w:hAnsi="Garamond"/>
          <w:i/>
          <w:iCs/>
          <w:color w:val="0D0D0D"/>
          <w:sz w:val="24"/>
          <w:szCs w:val="24"/>
          <w:lang w:val="sq-AL"/>
        </w:rPr>
        <w:t>Një menu e dedikuar për thirrjet që përfshijnë eksportues</w:t>
      </w:r>
      <w:r w:rsidR="00CA6B38" w:rsidRPr="00770F9D">
        <w:rPr>
          <w:rFonts w:ascii="Garamond" w:hAnsi="Garamond"/>
          <w:i/>
          <w:iCs/>
          <w:color w:val="0D0D0D"/>
          <w:sz w:val="24"/>
          <w:szCs w:val="24"/>
          <w:lang w:val="sq-AL"/>
        </w:rPr>
        <w:t>;</w:t>
      </w:r>
    </w:p>
    <w:p w14:paraId="72D46A4F" w14:textId="7194C75D" w:rsidR="009D37E3" w:rsidRPr="00770F9D" w:rsidRDefault="009D37E3" w:rsidP="00400806">
      <w:pPr>
        <w:pStyle w:val="ListParagraph"/>
        <w:ind w:left="0" w:firstLine="284"/>
        <w:jc w:val="both"/>
        <w:rPr>
          <w:rFonts w:ascii="Garamond" w:hAnsi="Garamond"/>
          <w:i/>
          <w:iCs/>
          <w:color w:val="0D0D0D"/>
          <w:sz w:val="24"/>
          <w:szCs w:val="24"/>
          <w:lang w:val="sq-AL"/>
        </w:rPr>
      </w:pPr>
      <w:r w:rsidRPr="00770F9D">
        <w:rPr>
          <w:rFonts w:ascii="Garamond" w:hAnsi="Garamond"/>
          <w:i/>
          <w:iCs/>
          <w:color w:val="0D0D0D"/>
          <w:sz w:val="24"/>
          <w:szCs w:val="24"/>
          <w:lang w:val="sq-AL"/>
        </w:rPr>
        <w:t>ii.</w:t>
      </w:r>
      <w:r w:rsidR="00BA4F1A" w:rsidRPr="00770F9D">
        <w:rPr>
          <w:rFonts w:ascii="Garamond" w:hAnsi="Garamond"/>
          <w:i/>
          <w:iCs/>
          <w:color w:val="0D0D0D"/>
          <w:sz w:val="24"/>
          <w:szCs w:val="24"/>
          <w:lang w:val="sq-AL"/>
        </w:rPr>
        <w:t xml:space="preserve"> </w:t>
      </w:r>
      <w:r w:rsidRPr="00770F9D">
        <w:rPr>
          <w:rFonts w:ascii="Garamond" w:hAnsi="Garamond"/>
          <w:i/>
          <w:iCs/>
          <w:color w:val="0D0D0D"/>
          <w:sz w:val="24"/>
          <w:szCs w:val="24"/>
          <w:lang w:val="sq-AL"/>
        </w:rPr>
        <w:t>Nxitja e bizneseve për të zbatuar praktika të ekonomisë së gjelbër dhe efikasitetit të energjisë</w:t>
      </w:r>
      <w:r w:rsidR="00CA6B38" w:rsidRPr="00770F9D">
        <w:rPr>
          <w:rFonts w:ascii="Garamond" w:hAnsi="Garamond"/>
          <w:i/>
          <w:iCs/>
          <w:color w:val="0D0D0D"/>
          <w:sz w:val="24"/>
          <w:szCs w:val="24"/>
          <w:lang w:val="sq-AL"/>
        </w:rPr>
        <w:t>;</w:t>
      </w:r>
    </w:p>
    <w:p w14:paraId="59FF554E" w14:textId="73B13E95" w:rsidR="009D37E3" w:rsidRPr="00770F9D" w:rsidRDefault="009D37E3" w:rsidP="00400806">
      <w:pPr>
        <w:pStyle w:val="ListParagraph"/>
        <w:ind w:left="0" w:firstLine="284"/>
        <w:jc w:val="both"/>
        <w:rPr>
          <w:rFonts w:ascii="Garamond" w:hAnsi="Garamond"/>
          <w:color w:val="0D0D0D"/>
          <w:sz w:val="24"/>
          <w:szCs w:val="24"/>
          <w:lang w:val="sq-AL"/>
        </w:rPr>
      </w:pPr>
      <w:r w:rsidRPr="00770F9D">
        <w:rPr>
          <w:rFonts w:ascii="Garamond" w:hAnsi="Garamond"/>
          <w:i/>
          <w:iCs/>
          <w:color w:val="0D0D0D"/>
          <w:sz w:val="24"/>
          <w:szCs w:val="24"/>
          <w:lang w:val="sq-AL"/>
        </w:rPr>
        <w:t>iii.</w:t>
      </w:r>
      <w:r w:rsidR="00BA4F1A" w:rsidRPr="00770F9D">
        <w:rPr>
          <w:rFonts w:ascii="Garamond" w:hAnsi="Garamond"/>
          <w:i/>
          <w:iCs/>
          <w:color w:val="0D0D0D"/>
          <w:sz w:val="24"/>
          <w:szCs w:val="24"/>
          <w:lang w:val="sq-AL"/>
        </w:rPr>
        <w:t xml:space="preserve"> </w:t>
      </w:r>
      <w:r w:rsidRPr="00770F9D">
        <w:rPr>
          <w:rFonts w:ascii="Garamond" w:hAnsi="Garamond"/>
          <w:i/>
          <w:iCs/>
          <w:color w:val="0D0D0D"/>
          <w:sz w:val="24"/>
          <w:szCs w:val="24"/>
          <w:lang w:val="sq-AL"/>
        </w:rPr>
        <w:t>Përfshirja e masave/mbështetja për ekonominë e gjelbër</w:t>
      </w:r>
      <w:r w:rsidR="00CA6B38" w:rsidRPr="00770F9D">
        <w:rPr>
          <w:rFonts w:ascii="Garamond" w:hAnsi="Garamond"/>
          <w:i/>
          <w:iCs/>
          <w:color w:val="0D0D0D"/>
          <w:sz w:val="24"/>
          <w:szCs w:val="24"/>
          <w:lang w:val="sq-AL"/>
        </w:rPr>
        <w:t>;</w:t>
      </w:r>
    </w:p>
    <w:p w14:paraId="33786DE0" w14:textId="71BAC772" w:rsidR="009D37E3" w:rsidRPr="00770F9D" w:rsidRDefault="009D37E3" w:rsidP="00400806">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e</w:t>
      </w:r>
      <w:r w:rsidR="00CA6B38"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Hartimi i skemës vjetore të granteve të buxhetit të shtetit për NVM-të</w:t>
      </w:r>
      <w:r w:rsidR="00CA6B38" w:rsidRPr="00770F9D">
        <w:rPr>
          <w:rFonts w:ascii="Garamond" w:hAnsi="Garamond"/>
          <w:color w:val="0D0D0D"/>
          <w:sz w:val="24"/>
          <w:szCs w:val="24"/>
          <w:lang w:val="sq-AL"/>
        </w:rPr>
        <w:t>;</w:t>
      </w:r>
      <w:r w:rsidRPr="00770F9D">
        <w:rPr>
          <w:rFonts w:ascii="Garamond" w:hAnsi="Garamond"/>
          <w:color w:val="0D0D0D"/>
          <w:sz w:val="24"/>
          <w:szCs w:val="24"/>
          <w:lang w:val="sq-AL"/>
        </w:rPr>
        <w:t xml:space="preserve"> </w:t>
      </w:r>
    </w:p>
    <w:p w14:paraId="2E1BEA5D" w14:textId="52B90136" w:rsidR="009D37E3" w:rsidRPr="00770F9D" w:rsidRDefault="009D37E3" w:rsidP="00400806">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f</w:t>
      </w:r>
      <w:r w:rsidR="00CA6B38"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Monitorimi i zbatimit të masave të BIDS 2021</w:t>
      </w:r>
      <w:r w:rsidR="00CA6B38" w:rsidRPr="00770F9D">
        <w:rPr>
          <w:rFonts w:ascii="Garamond" w:hAnsi="Garamond"/>
          <w:color w:val="0D0D0D"/>
          <w:sz w:val="24"/>
          <w:szCs w:val="24"/>
          <w:lang w:val="sq-AL"/>
        </w:rPr>
        <w:t>–</w:t>
      </w:r>
      <w:r w:rsidRPr="00770F9D">
        <w:rPr>
          <w:rFonts w:ascii="Garamond" w:hAnsi="Garamond"/>
          <w:color w:val="0D0D0D"/>
          <w:sz w:val="24"/>
          <w:szCs w:val="24"/>
          <w:lang w:val="sq-AL"/>
        </w:rPr>
        <w:t>2027</w:t>
      </w:r>
      <w:r w:rsidR="00CA6B38" w:rsidRPr="00770F9D">
        <w:rPr>
          <w:rFonts w:ascii="Garamond" w:hAnsi="Garamond"/>
          <w:color w:val="0D0D0D"/>
          <w:sz w:val="24"/>
          <w:szCs w:val="24"/>
          <w:lang w:val="sq-AL"/>
        </w:rPr>
        <w:t>.</w:t>
      </w:r>
    </w:p>
    <w:p w14:paraId="7FFAD044" w14:textId="151D10D4" w:rsidR="009D37E3" w:rsidRPr="00770F9D" w:rsidRDefault="009D37E3" w:rsidP="000F6F7A">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b</w:t>
      </w:r>
      <w:r w:rsidR="00CA6B38" w:rsidRPr="00770F9D">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 xml:space="preserve">Aktivitete të planifikuara </w:t>
      </w:r>
      <w:r w:rsidR="000F6F7A">
        <w:rPr>
          <w:rFonts w:ascii="Garamond" w:hAnsi="Garamond"/>
          <w:b/>
          <w:bCs/>
          <w:color w:val="0D0D0D"/>
          <w:sz w:val="24"/>
          <w:szCs w:val="24"/>
          <w:lang w:val="sq-AL"/>
        </w:rPr>
        <w:t>m</w:t>
      </w:r>
      <w:r w:rsidRPr="00770F9D">
        <w:rPr>
          <w:rFonts w:ascii="Garamond" w:hAnsi="Garamond"/>
          <w:b/>
          <w:bCs/>
          <w:color w:val="0D0D0D"/>
          <w:sz w:val="24"/>
          <w:szCs w:val="24"/>
          <w:lang w:val="sq-AL"/>
        </w:rPr>
        <w:t>ë 2024</w:t>
      </w:r>
      <w:r w:rsidR="00CA6B38" w:rsidRPr="00770F9D">
        <w:rPr>
          <w:rFonts w:ascii="Garamond" w:hAnsi="Garamond"/>
          <w:b/>
          <w:bCs/>
          <w:color w:val="0D0D0D"/>
          <w:sz w:val="24"/>
          <w:szCs w:val="24"/>
          <w:lang w:val="sq-AL"/>
        </w:rPr>
        <w:t>-n</w:t>
      </w:r>
    </w:p>
    <w:p w14:paraId="5414C2C7" w14:textId="050671A7"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a</w:t>
      </w:r>
      <w:r w:rsidR="000E5C06"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Hartimi i strategjisë së eksportit (objektivat dhe masat)</w:t>
      </w:r>
      <w:r w:rsidR="000E5C06" w:rsidRPr="00770F9D">
        <w:rPr>
          <w:rFonts w:ascii="Garamond" w:hAnsi="Garamond"/>
          <w:color w:val="0D0D0D"/>
          <w:sz w:val="24"/>
          <w:szCs w:val="24"/>
          <w:lang w:val="sq-AL"/>
        </w:rPr>
        <w:t>:</w:t>
      </w:r>
    </w:p>
    <w:p w14:paraId="3B8132B8" w14:textId="140CA60C"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i/>
          <w:iCs/>
          <w:color w:val="0D0D0D"/>
          <w:sz w:val="24"/>
          <w:szCs w:val="24"/>
          <w:lang w:val="sq-AL"/>
        </w:rPr>
        <w:t>i.</w:t>
      </w:r>
      <w:r w:rsidR="00BA4F1A" w:rsidRPr="00770F9D">
        <w:rPr>
          <w:rFonts w:ascii="Garamond" w:hAnsi="Garamond"/>
          <w:i/>
          <w:iCs/>
          <w:color w:val="0D0D0D"/>
          <w:sz w:val="24"/>
          <w:szCs w:val="24"/>
          <w:lang w:val="sq-AL"/>
        </w:rPr>
        <w:t xml:space="preserve"> </w:t>
      </w:r>
      <w:r w:rsidRPr="00770F9D">
        <w:rPr>
          <w:rFonts w:ascii="Garamond" w:hAnsi="Garamond"/>
          <w:i/>
          <w:iCs/>
          <w:color w:val="0D0D0D"/>
          <w:sz w:val="24"/>
          <w:szCs w:val="24"/>
          <w:lang w:val="sq-AL"/>
        </w:rPr>
        <w:t>Organizimi i info days/webinars mbi rregullat dhe kriteret për</w:t>
      </w:r>
      <w:r w:rsidR="000E5C06" w:rsidRPr="00770F9D">
        <w:rPr>
          <w:rFonts w:ascii="Garamond" w:hAnsi="Garamond"/>
          <w:i/>
          <w:iCs/>
          <w:color w:val="0D0D0D"/>
          <w:sz w:val="24"/>
          <w:szCs w:val="24"/>
          <w:lang w:val="sq-AL"/>
        </w:rPr>
        <w:t xml:space="preserve"> </w:t>
      </w:r>
      <w:r w:rsidRPr="00770F9D">
        <w:rPr>
          <w:rFonts w:ascii="Garamond" w:hAnsi="Garamond"/>
          <w:i/>
          <w:iCs/>
          <w:color w:val="0D0D0D"/>
          <w:sz w:val="24"/>
          <w:szCs w:val="24"/>
          <w:lang w:val="sq-AL"/>
        </w:rPr>
        <w:t>eksport</w:t>
      </w:r>
      <w:r w:rsidR="000E5C06" w:rsidRPr="00770F9D">
        <w:rPr>
          <w:rFonts w:ascii="Garamond" w:hAnsi="Garamond"/>
          <w:i/>
          <w:iCs/>
          <w:color w:val="0D0D0D"/>
          <w:sz w:val="24"/>
          <w:szCs w:val="24"/>
          <w:lang w:val="sq-AL"/>
        </w:rPr>
        <w:t>;</w:t>
      </w:r>
    </w:p>
    <w:p w14:paraId="6683A24B" w14:textId="444AD82D"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i/>
          <w:iCs/>
          <w:color w:val="0D0D0D"/>
          <w:sz w:val="24"/>
          <w:szCs w:val="24"/>
          <w:lang w:val="sq-AL"/>
        </w:rPr>
        <w:t>ii.</w:t>
      </w:r>
      <w:r w:rsidR="00BA4F1A" w:rsidRPr="00770F9D">
        <w:rPr>
          <w:rFonts w:ascii="Garamond" w:hAnsi="Garamond"/>
          <w:i/>
          <w:iCs/>
          <w:color w:val="0D0D0D"/>
          <w:sz w:val="24"/>
          <w:szCs w:val="24"/>
          <w:lang w:val="sq-AL"/>
        </w:rPr>
        <w:t xml:space="preserve"> </w:t>
      </w:r>
      <w:r w:rsidRPr="00770F9D">
        <w:rPr>
          <w:rFonts w:ascii="Garamond" w:hAnsi="Garamond"/>
          <w:i/>
          <w:iCs/>
          <w:color w:val="0D0D0D"/>
          <w:sz w:val="24"/>
          <w:szCs w:val="24"/>
          <w:lang w:val="sq-AL"/>
        </w:rPr>
        <w:t>Takime me eksportuesit aktual dhe potencial</w:t>
      </w:r>
      <w:r w:rsidR="000E5C06" w:rsidRPr="00770F9D">
        <w:rPr>
          <w:rFonts w:ascii="Garamond" w:hAnsi="Garamond"/>
          <w:i/>
          <w:iCs/>
          <w:color w:val="0D0D0D"/>
          <w:sz w:val="24"/>
          <w:szCs w:val="24"/>
          <w:lang w:val="sq-AL"/>
        </w:rPr>
        <w:t>;</w:t>
      </w:r>
    </w:p>
    <w:p w14:paraId="62F61533" w14:textId="06540A92"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i/>
          <w:iCs/>
          <w:color w:val="0D0D0D"/>
          <w:sz w:val="24"/>
          <w:szCs w:val="24"/>
          <w:lang w:val="sq-AL"/>
        </w:rPr>
        <w:t>iii.</w:t>
      </w:r>
      <w:r w:rsidR="00BA4F1A" w:rsidRPr="00770F9D">
        <w:rPr>
          <w:rFonts w:ascii="Garamond" w:hAnsi="Garamond"/>
          <w:i/>
          <w:iCs/>
          <w:color w:val="0D0D0D"/>
          <w:sz w:val="24"/>
          <w:szCs w:val="24"/>
          <w:lang w:val="sq-AL"/>
        </w:rPr>
        <w:t xml:space="preserve"> </w:t>
      </w:r>
      <w:r w:rsidRPr="00770F9D">
        <w:rPr>
          <w:rFonts w:ascii="Garamond" w:hAnsi="Garamond"/>
          <w:i/>
          <w:iCs/>
          <w:color w:val="0D0D0D"/>
          <w:sz w:val="24"/>
          <w:szCs w:val="24"/>
          <w:lang w:val="sq-AL"/>
        </w:rPr>
        <w:t>Krijimi i një portal dedikuar eksportuesve pjesë e strategjisë së eksportit</w:t>
      </w:r>
      <w:r w:rsidR="000E5C06" w:rsidRPr="00770F9D">
        <w:rPr>
          <w:rFonts w:ascii="Garamond" w:hAnsi="Garamond"/>
          <w:i/>
          <w:iCs/>
          <w:color w:val="0D0D0D"/>
          <w:sz w:val="24"/>
          <w:szCs w:val="24"/>
          <w:lang w:val="sq-AL"/>
        </w:rPr>
        <w:t>;</w:t>
      </w:r>
    </w:p>
    <w:p w14:paraId="15982C55" w14:textId="61263CCF" w:rsidR="009D37E3" w:rsidRPr="00770F9D" w:rsidRDefault="009D37E3" w:rsidP="00400806">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b</w:t>
      </w:r>
      <w:r w:rsidR="000E5C06"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Skema e konkurrueshmërisë mbështetur në konkurrencë</w:t>
      </w:r>
      <w:r w:rsidR="000E5C06" w:rsidRPr="00770F9D">
        <w:rPr>
          <w:rFonts w:ascii="Garamond" w:hAnsi="Garamond"/>
          <w:color w:val="0D0D0D"/>
          <w:sz w:val="24"/>
          <w:szCs w:val="24"/>
          <w:lang w:val="sq-AL"/>
        </w:rPr>
        <w:t>;</w:t>
      </w:r>
    </w:p>
    <w:p w14:paraId="09E97473" w14:textId="12F7ACC4"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c</w:t>
      </w:r>
      <w:r w:rsidR="00CA6B38"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Vlerësimi i nevojave për trajnim</w:t>
      </w:r>
      <w:r w:rsidR="000E5C06" w:rsidRPr="00770F9D">
        <w:rPr>
          <w:rFonts w:ascii="Garamond" w:hAnsi="Garamond"/>
          <w:color w:val="0D0D0D"/>
          <w:sz w:val="24"/>
          <w:szCs w:val="24"/>
          <w:lang w:val="sq-AL"/>
        </w:rPr>
        <w:t>;</w:t>
      </w:r>
      <w:r w:rsidRPr="00770F9D">
        <w:rPr>
          <w:rFonts w:ascii="Garamond" w:hAnsi="Garamond"/>
          <w:color w:val="0D0D0D"/>
          <w:sz w:val="24"/>
          <w:szCs w:val="24"/>
          <w:lang w:val="sq-AL"/>
        </w:rPr>
        <w:t xml:space="preserve"> </w:t>
      </w:r>
    </w:p>
    <w:p w14:paraId="5C2522C3" w14:textId="1A3CA843"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d</w:t>
      </w:r>
      <w:r w:rsidR="00CA6B38"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Aksesi në </w:t>
      </w:r>
      <w:r w:rsidR="000E5C06" w:rsidRPr="00770F9D">
        <w:rPr>
          <w:rFonts w:ascii="Garamond" w:hAnsi="Garamond"/>
          <w:color w:val="0D0D0D"/>
          <w:sz w:val="24"/>
          <w:szCs w:val="24"/>
          <w:lang w:val="sq-AL"/>
        </w:rPr>
        <w:t>financë:</w:t>
      </w:r>
    </w:p>
    <w:p w14:paraId="17B37B84" w14:textId="240FDF85" w:rsidR="009D37E3" w:rsidRPr="00770F9D" w:rsidRDefault="009D37E3" w:rsidP="00400806">
      <w:pPr>
        <w:pStyle w:val="ListParagraph"/>
        <w:ind w:left="0" w:firstLine="284"/>
        <w:jc w:val="both"/>
        <w:rPr>
          <w:rFonts w:ascii="Garamond" w:hAnsi="Garamond"/>
          <w:i/>
          <w:iCs/>
          <w:color w:val="0D0D0D"/>
          <w:sz w:val="24"/>
          <w:szCs w:val="24"/>
          <w:lang w:val="sq-AL"/>
        </w:rPr>
      </w:pPr>
      <w:r w:rsidRPr="00770F9D">
        <w:rPr>
          <w:rFonts w:ascii="Garamond" w:hAnsi="Garamond"/>
          <w:i/>
          <w:iCs/>
          <w:color w:val="0D0D0D"/>
          <w:sz w:val="24"/>
          <w:szCs w:val="24"/>
          <w:lang w:val="sq-AL"/>
        </w:rPr>
        <w:t>i.</w:t>
      </w:r>
      <w:r w:rsidR="00BA4F1A" w:rsidRPr="00770F9D">
        <w:rPr>
          <w:rFonts w:ascii="Garamond" w:hAnsi="Garamond"/>
          <w:i/>
          <w:iCs/>
          <w:color w:val="0D0D0D"/>
          <w:sz w:val="24"/>
          <w:szCs w:val="24"/>
          <w:lang w:val="sq-AL"/>
        </w:rPr>
        <w:t xml:space="preserve"> </w:t>
      </w:r>
      <w:r w:rsidRPr="00770F9D">
        <w:rPr>
          <w:rFonts w:ascii="Garamond" w:hAnsi="Garamond"/>
          <w:i/>
          <w:iCs/>
          <w:color w:val="0D0D0D"/>
          <w:sz w:val="24"/>
          <w:szCs w:val="24"/>
          <w:lang w:val="sq-AL"/>
        </w:rPr>
        <w:t>Një menu e dedikuar për thirrjet që përfshijnë eksportues</w:t>
      </w:r>
      <w:r w:rsidR="000E5C06" w:rsidRPr="00770F9D">
        <w:rPr>
          <w:rFonts w:ascii="Garamond" w:hAnsi="Garamond"/>
          <w:i/>
          <w:iCs/>
          <w:color w:val="0D0D0D"/>
          <w:sz w:val="24"/>
          <w:szCs w:val="24"/>
          <w:lang w:val="sq-AL"/>
        </w:rPr>
        <w:t>;</w:t>
      </w:r>
    </w:p>
    <w:p w14:paraId="5B964746" w14:textId="0FFEA83E" w:rsidR="009D37E3" w:rsidRPr="00770F9D" w:rsidRDefault="009D37E3" w:rsidP="00400806">
      <w:pPr>
        <w:pStyle w:val="ListParagraph"/>
        <w:ind w:left="0" w:firstLine="284"/>
        <w:jc w:val="both"/>
        <w:rPr>
          <w:rFonts w:ascii="Garamond" w:hAnsi="Garamond"/>
          <w:i/>
          <w:iCs/>
          <w:color w:val="0D0D0D"/>
          <w:sz w:val="24"/>
          <w:szCs w:val="24"/>
          <w:lang w:val="sq-AL"/>
        </w:rPr>
      </w:pPr>
      <w:r w:rsidRPr="00770F9D">
        <w:rPr>
          <w:rFonts w:ascii="Garamond" w:hAnsi="Garamond"/>
          <w:i/>
          <w:iCs/>
          <w:color w:val="0D0D0D"/>
          <w:sz w:val="24"/>
          <w:szCs w:val="24"/>
          <w:lang w:val="sq-AL"/>
        </w:rPr>
        <w:t>ii.</w:t>
      </w:r>
      <w:r w:rsidR="00BA4F1A" w:rsidRPr="00770F9D">
        <w:rPr>
          <w:rFonts w:ascii="Garamond" w:hAnsi="Garamond"/>
          <w:i/>
          <w:iCs/>
          <w:color w:val="0D0D0D"/>
          <w:sz w:val="24"/>
          <w:szCs w:val="24"/>
          <w:lang w:val="sq-AL"/>
        </w:rPr>
        <w:t xml:space="preserve"> </w:t>
      </w:r>
      <w:r w:rsidRPr="00770F9D">
        <w:rPr>
          <w:rFonts w:ascii="Garamond" w:hAnsi="Garamond"/>
          <w:i/>
          <w:iCs/>
          <w:color w:val="0D0D0D"/>
          <w:sz w:val="24"/>
          <w:szCs w:val="24"/>
          <w:lang w:val="sq-AL"/>
        </w:rPr>
        <w:t>Nxitja e bizneseve për të zbatuar praktika të ekonomisë së gjelbër dhe efikasitetit të energjisë</w:t>
      </w:r>
      <w:r w:rsidR="000E5C06" w:rsidRPr="00770F9D">
        <w:rPr>
          <w:rFonts w:ascii="Garamond" w:hAnsi="Garamond"/>
          <w:i/>
          <w:iCs/>
          <w:color w:val="0D0D0D"/>
          <w:sz w:val="24"/>
          <w:szCs w:val="24"/>
          <w:lang w:val="sq-AL"/>
        </w:rPr>
        <w:t>;</w:t>
      </w:r>
    </w:p>
    <w:p w14:paraId="2F393DD8" w14:textId="37890B78" w:rsidR="009D37E3" w:rsidRPr="00770F9D" w:rsidRDefault="009D37E3" w:rsidP="00400806">
      <w:pPr>
        <w:pStyle w:val="ListParagraph"/>
        <w:ind w:left="0" w:firstLine="284"/>
        <w:jc w:val="both"/>
        <w:rPr>
          <w:rFonts w:ascii="Garamond" w:hAnsi="Garamond"/>
          <w:color w:val="0D0D0D"/>
          <w:sz w:val="24"/>
          <w:szCs w:val="24"/>
          <w:lang w:val="sq-AL"/>
        </w:rPr>
      </w:pPr>
      <w:r w:rsidRPr="00770F9D">
        <w:rPr>
          <w:rFonts w:ascii="Garamond" w:hAnsi="Garamond"/>
          <w:i/>
          <w:iCs/>
          <w:color w:val="0D0D0D"/>
          <w:sz w:val="24"/>
          <w:szCs w:val="24"/>
          <w:lang w:val="sq-AL"/>
        </w:rPr>
        <w:t>iii.</w:t>
      </w:r>
      <w:r w:rsidR="00BA4F1A" w:rsidRPr="00770F9D">
        <w:rPr>
          <w:rFonts w:ascii="Garamond" w:hAnsi="Garamond"/>
          <w:i/>
          <w:iCs/>
          <w:color w:val="0D0D0D"/>
          <w:sz w:val="24"/>
          <w:szCs w:val="24"/>
          <w:lang w:val="sq-AL"/>
        </w:rPr>
        <w:t xml:space="preserve"> </w:t>
      </w:r>
      <w:r w:rsidRPr="00770F9D">
        <w:rPr>
          <w:rFonts w:ascii="Garamond" w:hAnsi="Garamond"/>
          <w:i/>
          <w:iCs/>
          <w:color w:val="0D0D0D"/>
          <w:sz w:val="24"/>
          <w:szCs w:val="24"/>
          <w:lang w:val="sq-AL"/>
        </w:rPr>
        <w:t>Përfshirja e masave/mbështetja për ekonominë e gjelbër</w:t>
      </w:r>
      <w:r w:rsidR="000E5C06" w:rsidRPr="00770F9D">
        <w:rPr>
          <w:rFonts w:ascii="Garamond" w:hAnsi="Garamond"/>
          <w:i/>
          <w:iCs/>
          <w:color w:val="0D0D0D"/>
          <w:sz w:val="24"/>
          <w:szCs w:val="24"/>
          <w:lang w:val="sq-AL"/>
        </w:rPr>
        <w:t>;</w:t>
      </w:r>
    </w:p>
    <w:p w14:paraId="42065326" w14:textId="05EC74E5"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e</w:t>
      </w:r>
      <w:r w:rsidR="00CA6B38"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Hartimi i skemës vjetore të granteve të buxhetit të shtetit për NVM-të</w:t>
      </w:r>
      <w:r w:rsidR="000E5C06" w:rsidRPr="00770F9D">
        <w:rPr>
          <w:rFonts w:ascii="Garamond" w:hAnsi="Garamond"/>
          <w:color w:val="0D0D0D"/>
          <w:sz w:val="24"/>
          <w:szCs w:val="24"/>
          <w:lang w:val="sq-AL"/>
        </w:rPr>
        <w:t>;</w:t>
      </w:r>
    </w:p>
    <w:p w14:paraId="07B09DD1" w14:textId="48892D03"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f</w:t>
      </w:r>
      <w:r w:rsidR="00CA6B38"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Monitorimi i zbatimit të masave të BIDS 2021</w:t>
      </w:r>
      <w:r w:rsidR="000E5C06" w:rsidRPr="00770F9D">
        <w:rPr>
          <w:rFonts w:ascii="Garamond" w:hAnsi="Garamond"/>
          <w:color w:val="0D0D0D"/>
          <w:sz w:val="24"/>
          <w:szCs w:val="24"/>
          <w:lang w:val="sq-AL"/>
        </w:rPr>
        <w:t>–</w:t>
      </w:r>
      <w:r w:rsidRPr="00770F9D">
        <w:rPr>
          <w:rFonts w:ascii="Garamond" w:hAnsi="Garamond"/>
          <w:color w:val="0D0D0D"/>
          <w:sz w:val="24"/>
          <w:szCs w:val="24"/>
          <w:lang w:val="sq-AL"/>
        </w:rPr>
        <w:t>2027</w:t>
      </w:r>
      <w:r w:rsidR="000E5C06" w:rsidRPr="00770F9D">
        <w:rPr>
          <w:rFonts w:ascii="Garamond" w:hAnsi="Garamond"/>
          <w:color w:val="0D0D0D"/>
          <w:sz w:val="24"/>
          <w:szCs w:val="24"/>
          <w:lang w:val="sq-AL"/>
        </w:rPr>
        <w:t>.</w:t>
      </w:r>
    </w:p>
    <w:p w14:paraId="1DA31991" w14:textId="17EA1E95"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c</w:t>
      </w:r>
      <w:r w:rsidR="00CA6B38" w:rsidRPr="00770F9D">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Aktivitete të planifikuara në 2025</w:t>
      </w:r>
      <w:r w:rsidR="00287B24" w:rsidRPr="00770F9D">
        <w:rPr>
          <w:rFonts w:ascii="Garamond" w:hAnsi="Garamond"/>
          <w:b/>
          <w:bCs/>
          <w:color w:val="0D0D0D"/>
          <w:sz w:val="24"/>
          <w:szCs w:val="24"/>
          <w:lang w:val="sq-AL"/>
        </w:rPr>
        <w:t>-n</w:t>
      </w:r>
    </w:p>
    <w:p w14:paraId="1518A3D3" w14:textId="0BA40487"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a</w:t>
      </w:r>
      <w:r w:rsidR="00CA6B38"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Hartimi i strategjisë së eksportit (objektivat dhe masat)</w:t>
      </w:r>
      <w:r w:rsidR="00287B24" w:rsidRPr="00770F9D">
        <w:rPr>
          <w:rFonts w:ascii="Garamond" w:hAnsi="Garamond"/>
          <w:color w:val="0D0D0D"/>
          <w:sz w:val="24"/>
          <w:szCs w:val="24"/>
          <w:lang w:val="sq-AL"/>
        </w:rPr>
        <w:t>:</w:t>
      </w:r>
    </w:p>
    <w:p w14:paraId="6D518874" w14:textId="6B5A18E2"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i/>
          <w:iCs/>
          <w:color w:val="0D0D0D"/>
          <w:sz w:val="24"/>
          <w:szCs w:val="24"/>
          <w:lang w:val="sq-AL"/>
        </w:rPr>
        <w:t>i.</w:t>
      </w:r>
      <w:r w:rsidR="00BA4F1A" w:rsidRPr="00770F9D">
        <w:rPr>
          <w:rFonts w:ascii="Garamond" w:hAnsi="Garamond"/>
          <w:i/>
          <w:iCs/>
          <w:color w:val="0D0D0D"/>
          <w:sz w:val="24"/>
          <w:szCs w:val="24"/>
          <w:lang w:val="sq-AL"/>
        </w:rPr>
        <w:t xml:space="preserve"> </w:t>
      </w:r>
      <w:r w:rsidRPr="00770F9D">
        <w:rPr>
          <w:rFonts w:ascii="Garamond" w:hAnsi="Garamond"/>
          <w:i/>
          <w:iCs/>
          <w:color w:val="0D0D0D"/>
          <w:sz w:val="24"/>
          <w:szCs w:val="24"/>
          <w:lang w:val="sq-AL"/>
        </w:rPr>
        <w:t>Organizimi i info days/webinars mbi rregullat dhe kriteret për</w:t>
      </w:r>
      <w:r w:rsidR="00287B24" w:rsidRPr="00770F9D">
        <w:rPr>
          <w:rFonts w:ascii="Garamond" w:hAnsi="Garamond"/>
          <w:i/>
          <w:iCs/>
          <w:color w:val="0D0D0D"/>
          <w:sz w:val="24"/>
          <w:szCs w:val="24"/>
          <w:lang w:val="sq-AL"/>
        </w:rPr>
        <w:t xml:space="preserve"> </w:t>
      </w:r>
      <w:r w:rsidRPr="00770F9D">
        <w:rPr>
          <w:rFonts w:ascii="Garamond" w:hAnsi="Garamond"/>
          <w:i/>
          <w:iCs/>
          <w:color w:val="0D0D0D"/>
          <w:sz w:val="24"/>
          <w:szCs w:val="24"/>
          <w:lang w:val="sq-AL"/>
        </w:rPr>
        <w:t>eksport</w:t>
      </w:r>
      <w:r w:rsidR="00287B24" w:rsidRPr="00770F9D">
        <w:rPr>
          <w:rFonts w:ascii="Garamond" w:hAnsi="Garamond"/>
          <w:i/>
          <w:iCs/>
          <w:color w:val="0D0D0D"/>
          <w:sz w:val="24"/>
          <w:szCs w:val="24"/>
          <w:lang w:val="sq-AL"/>
        </w:rPr>
        <w:t>;</w:t>
      </w:r>
    </w:p>
    <w:p w14:paraId="6BECA9D2" w14:textId="7A798541"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i/>
          <w:iCs/>
          <w:color w:val="0D0D0D"/>
          <w:sz w:val="24"/>
          <w:szCs w:val="24"/>
          <w:lang w:val="sq-AL"/>
        </w:rPr>
        <w:t>ii.</w:t>
      </w:r>
      <w:r w:rsidR="00BA4F1A" w:rsidRPr="00770F9D">
        <w:rPr>
          <w:rFonts w:ascii="Garamond" w:hAnsi="Garamond"/>
          <w:i/>
          <w:iCs/>
          <w:color w:val="0D0D0D"/>
          <w:sz w:val="24"/>
          <w:szCs w:val="24"/>
          <w:lang w:val="sq-AL"/>
        </w:rPr>
        <w:t xml:space="preserve"> </w:t>
      </w:r>
      <w:r w:rsidRPr="00770F9D">
        <w:rPr>
          <w:rFonts w:ascii="Garamond" w:hAnsi="Garamond"/>
          <w:i/>
          <w:iCs/>
          <w:color w:val="0D0D0D"/>
          <w:sz w:val="24"/>
          <w:szCs w:val="24"/>
          <w:lang w:val="sq-AL"/>
        </w:rPr>
        <w:t>Takime me eksportuesit aktual dhe potencial</w:t>
      </w:r>
      <w:r w:rsidR="00287B24" w:rsidRPr="00770F9D">
        <w:rPr>
          <w:rFonts w:ascii="Garamond" w:hAnsi="Garamond"/>
          <w:i/>
          <w:iCs/>
          <w:color w:val="0D0D0D"/>
          <w:sz w:val="24"/>
          <w:szCs w:val="24"/>
          <w:lang w:val="sq-AL"/>
        </w:rPr>
        <w:t>;</w:t>
      </w:r>
    </w:p>
    <w:p w14:paraId="713BDBD7" w14:textId="15CE93ED"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i/>
          <w:iCs/>
          <w:color w:val="0D0D0D"/>
          <w:sz w:val="24"/>
          <w:szCs w:val="24"/>
          <w:lang w:val="sq-AL"/>
        </w:rPr>
        <w:t>iii.</w:t>
      </w:r>
      <w:r w:rsidR="00BA4F1A" w:rsidRPr="00770F9D">
        <w:rPr>
          <w:rFonts w:ascii="Garamond" w:hAnsi="Garamond"/>
          <w:i/>
          <w:iCs/>
          <w:color w:val="0D0D0D"/>
          <w:sz w:val="24"/>
          <w:szCs w:val="24"/>
          <w:lang w:val="sq-AL"/>
        </w:rPr>
        <w:t xml:space="preserve"> </w:t>
      </w:r>
      <w:r w:rsidRPr="00770F9D">
        <w:rPr>
          <w:rFonts w:ascii="Garamond" w:hAnsi="Garamond"/>
          <w:i/>
          <w:iCs/>
          <w:color w:val="0D0D0D"/>
          <w:sz w:val="24"/>
          <w:szCs w:val="24"/>
          <w:lang w:val="sq-AL"/>
        </w:rPr>
        <w:t>Krijimi i një portal</w:t>
      </w:r>
      <w:r w:rsidR="00287B24" w:rsidRPr="00770F9D">
        <w:rPr>
          <w:rFonts w:ascii="Garamond" w:hAnsi="Garamond"/>
          <w:i/>
          <w:iCs/>
          <w:color w:val="0D0D0D"/>
          <w:sz w:val="24"/>
          <w:szCs w:val="24"/>
          <w:lang w:val="sq-AL"/>
        </w:rPr>
        <w:t>i</w:t>
      </w:r>
      <w:r w:rsidRPr="00770F9D">
        <w:rPr>
          <w:rFonts w:ascii="Garamond" w:hAnsi="Garamond"/>
          <w:i/>
          <w:iCs/>
          <w:color w:val="0D0D0D"/>
          <w:sz w:val="24"/>
          <w:szCs w:val="24"/>
          <w:lang w:val="sq-AL"/>
        </w:rPr>
        <w:t xml:space="preserve"> dedikuar eksportuesve pjesë e strategjisë së eksportit</w:t>
      </w:r>
      <w:r w:rsidR="00287B24" w:rsidRPr="00770F9D">
        <w:rPr>
          <w:rFonts w:ascii="Garamond" w:hAnsi="Garamond"/>
          <w:i/>
          <w:iCs/>
          <w:color w:val="0D0D0D"/>
          <w:sz w:val="24"/>
          <w:szCs w:val="24"/>
          <w:lang w:val="sq-AL"/>
        </w:rPr>
        <w:t>;</w:t>
      </w:r>
    </w:p>
    <w:p w14:paraId="206DBF5E" w14:textId="310DA9E4" w:rsidR="009D37E3" w:rsidRPr="00770F9D" w:rsidRDefault="009D37E3" w:rsidP="00400806">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b</w:t>
      </w:r>
      <w:r w:rsidR="00CA6B38"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Skema e konkurrueshmërisë mbështetur në konkurrencë</w:t>
      </w:r>
      <w:r w:rsidR="00287B24" w:rsidRPr="00770F9D">
        <w:rPr>
          <w:rFonts w:ascii="Garamond" w:hAnsi="Garamond"/>
          <w:color w:val="0D0D0D"/>
          <w:sz w:val="24"/>
          <w:szCs w:val="24"/>
          <w:lang w:val="sq-AL"/>
        </w:rPr>
        <w:t>;</w:t>
      </w:r>
    </w:p>
    <w:p w14:paraId="2D534128" w14:textId="743B4B8B" w:rsidR="009D37E3" w:rsidRPr="00770F9D" w:rsidRDefault="009D37E3" w:rsidP="00400806">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c</w:t>
      </w:r>
      <w:r w:rsidR="00CA6B38"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Vlerësimi i nevojave për trajnim</w:t>
      </w:r>
      <w:r w:rsidR="00287B24" w:rsidRPr="00770F9D">
        <w:rPr>
          <w:rFonts w:ascii="Garamond" w:hAnsi="Garamond"/>
          <w:color w:val="0D0D0D"/>
          <w:sz w:val="24"/>
          <w:szCs w:val="24"/>
          <w:lang w:val="sq-AL"/>
        </w:rPr>
        <w:t>;</w:t>
      </w:r>
    </w:p>
    <w:p w14:paraId="6DF7645C" w14:textId="0B4C3F82" w:rsidR="009D37E3" w:rsidRPr="00770F9D" w:rsidRDefault="009D37E3" w:rsidP="00400806">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d</w:t>
      </w:r>
      <w:r w:rsidR="00CA6B38" w:rsidRPr="00770F9D">
        <w:rPr>
          <w:rFonts w:ascii="Garamond" w:hAnsi="Garamond"/>
          <w:color w:val="0D0D0D"/>
          <w:sz w:val="24"/>
          <w:szCs w:val="24"/>
          <w:lang w:val="sq-AL"/>
        </w:rPr>
        <w:t>)</w:t>
      </w:r>
      <w:r w:rsidR="00287B24"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Aksesi në </w:t>
      </w:r>
      <w:r w:rsidR="00287B24" w:rsidRPr="00770F9D">
        <w:rPr>
          <w:rFonts w:ascii="Garamond" w:hAnsi="Garamond"/>
          <w:color w:val="0D0D0D"/>
          <w:sz w:val="24"/>
          <w:szCs w:val="24"/>
          <w:lang w:val="sq-AL"/>
        </w:rPr>
        <w:t>financë:</w:t>
      </w:r>
    </w:p>
    <w:p w14:paraId="46D20C8A" w14:textId="7C0B6E50" w:rsidR="009D37E3" w:rsidRPr="00770F9D" w:rsidRDefault="009D37E3" w:rsidP="00400806">
      <w:pPr>
        <w:pStyle w:val="ListParagraph"/>
        <w:ind w:left="0" w:firstLine="284"/>
        <w:jc w:val="both"/>
        <w:rPr>
          <w:rFonts w:ascii="Garamond" w:hAnsi="Garamond"/>
          <w:i/>
          <w:iCs/>
          <w:color w:val="0D0D0D"/>
          <w:sz w:val="24"/>
          <w:szCs w:val="24"/>
          <w:lang w:val="sq-AL"/>
        </w:rPr>
      </w:pPr>
      <w:r w:rsidRPr="00770F9D">
        <w:rPr>
          <w:rFonts w:ascii="Garamond" w:hAnsi="Garamond"/>
          <w:i/>
          <w:iCs/>
          <w:color w:val="0D0D0D"/>
          <w:sz w:val="24"/>
          <w:szCs w:val="24"/>
          <w:lang w:val="sq-AL"/>
        </w:rPr>
        <w:t>i.</w:t>
      </w:r>
      <w:r w:rsidR="00BA4F1A" w:rsidRPr="00770F9D">
        <w:rPr>
          <w:rFonts w:ascii="Garamond" w:hAnsi="Garamond"/>
          <w:i/>
          <w:iCs/>
          <w:color w:val="0D0D0D"/>
          <w:sz w:val="24"/>
          <w:szCs w:val="24"/>
          <w:lang w:val="sq-AL"/>
        </w:rPr>
        <w:t xml:space="preserve"> </w:t>
      </w:r>
      <w:r w:rsidRPr="00770F9D">
        <w:rPr>
          <w:rFonts w:ascii="Garamond" w:hAnsi="Garamond"/>
          <w:i/>
          <w:iCs/>
          <w:color w:val="0D0D0D"/>
          <w:sz w:val="24"/>
          <w:szCs w:val="24"/>
          <w:lang w:val="sq-AL"/>
        </w:rPr>
        <w:t>Një menu e dedikuar për thirrjet që përfshijnë eksportues</w:t>
      </w:r>
      <w:r w:rsidR="00D94FA0" w:rsidRPr="00770F9D">
        <w:rPr>
          <w:rFonts w:ascii="Garamond" w:hAnsi="Garamond"/>
          <w:i/>
          <w:iCs/>
          <w:color w:val="0D0D0D"/>
          <w:sz w:val="24"/>
          <w:szCs w:val="24"/>
          <w:lang w:val="sq-AL"/>
        </w:rPr>
        <w:t>;</w:t>
      </w:r>
    </w:p>
    <w:p w14:paraId="0337F25D" w14:textId="5D93FA75" w:rsidR="009D37E3" w:rsidRPr="00770F9D" w:rsidRDefault="009D37E3" w:rsidP="00400806">
      <w:pPr>
        <w:pStyle w:val="ListParagraph"/>
        <w:ind w:left="0" w:firstLine="284"/>
        <w:jc w:val="both"/>
        <w:rPr>
          <w:rFonts w:ascii="Garamond" w:hAnsi="Garamond"/>
          <w:i/>
          <w:iCs/>
          <w:color w:val="0D0D0D"/>
          <w:sz w:val="24"/>
          <w:szCs w:val="24"/>
          <w:lang w:val="sq-AL"/>
        </w:rPr>
      </w:pPr>
      <w:r w:rsidRPr="00770F9D">
        <w:rPr>
          <w:rFonts w:ascii="Garamond" w:hAnsi="Garamond"/>
          <w:i/>
          <w:iCs/>
          <w:color w:val="0D0D0D"/>
          <w:sz w:val="24"/>
          <w:szCs w:val="24"/>
          <w:lang w:val="sq-AL"/>
        </w:rPr>
        <w:t>ii.</w:t>
      </w:r>
      <w:r w:rsidR="00BA4F1A" w:rsidRPr="00770F9D">
        <w:rPr>
          <w:rFonts w:ascii="Garamond" w:hAnsi="Garamond"/>
          <w:i/>
          <w:iCs/>
          <w:color w:val="0D0D0D"/>
          <w:sz w:val="24"/>
          <w:szCs w:val="24"/>
          <w:lang w:val="sq-AL"/>
        </w:rPr>
        <w:t xml:space="preserve"> </w:t>
      </w:r>
      <w:r w:rsidRPr="00770F9D">
        <w:rPr>
          <w:rFonts w:ascii="Garamond" w:hAnsi="Garamond"/>
          <w:i/>
          <w:iCs/>
          <w:color w:val="0D0D0D"/>
          <w:sz w:val="24"/>
          <w:szCs w:val="24"/>
          <w:lang w:val="sq-AL"/>
        </w:rPr>
        <w:t>Nxitja e bizneseve për të zbatuar praktika të ekonomisë së gjelbër dhe efikasitetit të energjisë</w:t>
      </w:r>
      <w:r w:rsidR="00D94FA0" w:rsidRPr="00770F9D">
        <w:rPr>
          <w:rFonts w:ascii="Garamond" w:hAnsi="Garamond"/>
          <w:i/>
          <w:iCs/>
          <w:color w:val="0D0D0D"/>
          <w:sz w:val="24"/>
          <w:szCs w:val="24"/>
          <w:lang w:val="sq-AL"/>
        </w:rPr>
        <w:t>;</w:t>
      </w:r>
    </w:p>
    <w:p w14:paraId="1459804D" w14:textId="1C0E9949" w:rsidR="009D37E3" w:rsidRPr="00770F9D" w:rsidRDefault="009D37E3" w:rsidP="00400806">
      <w:pPr>
        <w:pStyle w:val="ListParagraph"/>
        <w:ind w:left="0" w:firstLine="284"/>
        <w:jc w:val="both"/>
        <w:rPr>
          <w:rFonts w:ascii="Garamond" w:hAnsi="Garamond"/>
          <w:i/>
          <w:iCs/>
          <w:color w:val="0D0D0D"/>
          <w:sz w:val="24"/>
          <w:szCs w:val="24"/>
          <w:lang w:val="sq-AL"/>
        </w:rPr>
      </w:pPr>
      <w:r w:rsidRPr="00770F9D">
        <w:rPr>
          <w:rFonts w:ascii="Garamond" w:hAnsi="Garamond"/>
          <w:i/>
          <w:iCs/>
          <w:color w:val="0D0D0D"/>
          <w:sz w:val="24"/>
          <w:szCs w:val="24"/>
          <w:lang w:val="sq-AL"/>
        </w:rPr>
        <w:t>iii.</w:t>
      </w:r>
      <w:r w:rsidR="00BA4F1A" w:rsidRPr="00770F9D">
        <w:rPr>
          <w:rFonts w:ascii="Garamond" w:hAnsi="Garamond"/>
          <w:i/>
          <w:iCs/>
          <w:color w:val="0D0D0D"/>
          <w:sz w:val="24"/>
          <w:szCs w:val="24"/>
          <w:lang w:val="sq-AL"/>
        </w:rPr>
        <w:t xml:space="preserve"> </w:t>
      </w:r>
      <w:r w:rsidRPr="00770F9D">
        <w:rPr>
          <w:rFonts w:ascii="Garamond" w:hAnsi="Garamond"/>
          <w:i/>
          <w:iCs/>
          <w:color w:val="0D0D0D"/>
          <w:sz w:val="24"/>
          <w:szCs w:val="24"/>
          <w:lang w:val="sq-AL"/>
        </w:rPr>
        <w:t>Përfshirja e masave/mbështetja për ekonominë e gjelbër</w:t>
      </w:r>
      <w:r w:rsidR="00D94FA0" w:rsidRPr="00770F9D">
        <w:rPr>
          <w:rFonts w:ascii="Garamond" w:hAnsi="Garamond"/>
          <w:i/>
          <w:iCs/>
          <w:color w:val="0D0D0D"/>
          <w:sz w:val="24"/>
          <w:szCs w:val="24"/>
          <w:lang w:val="sq-AL"/>
        </w:rPr>
        <w:t>;</w:t>
      </w:r>
    </w:p>
    <w:p w14:paraId="489BCB63" w14:textId="33B40B98"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e</w:t>
      </w:r>
      <w:r w:rsidR="00CA6B38"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Hartimi i skemës vjetore të granteve të buxhetit të shtetit për NVM-të </w:t>
      </w:r>
    </w:p>
    <w:p w14:paraId="1BD67566" w14:textId="47807450" w:rsidR="009D37E3" w:rsidRPr="00770F9D" w:rsidRDefault="009D37E3"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f</w:t>
      </w:r>
      <w:r w:rsidR="00CA6B38"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Monitorimi i zbatimit të masave të BIDS 2021</w:t>
      </w:r>
      <w:r w:rsidR="00D94FA0" w:rsidRPr="00770F9D">
        <w:rPr>
          <w:rFonts w:ascii="Garamond" w:hAnsi="Garamond"/>
          <w:color w:val="0D0D0D"/>
          <w:sz w:val="24"/>
          <w:szCs w:val="24"/>
          <w:lang w:val="sq-AL"/>
        </w:rPr>
        <w:t>–</w:t>
      </w:r>
      <w:r w:rsidRPr="00770F9D">
        <w:rPr>
          <w:rFonts w:ascii="Garamond" w:hAnsi="Garamond"/>
          <w:color w:val="0D0D0D"/>
          <w:sz w:val="24"/>
          <w:szCs w:val="24"/>
          <w:lang w:val="sq-AL"/>
        </w:rPr>
        <w:t>2027</w:t>
      </w:r>
    </w:p>
    <w:p w14:paraId="1AE608FF" w14:textId="281D1F3C" w:rsidR="009D37E3" w:rsidRPr="00770F9D" w:rsidRDefault="009D37E3"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2.</w:t>
      </w:r>
      <w:r w:rsidR="00BA4F1A" w:rsidRPr="00770F9D">
        <w:rPr>
          <w:rFonts w:ascii="Garamond" w:hAnsi="Garamond"/>
          <w:color w:val="0D0D0D"/>
          <w:u w:val="none"/>
        </w:rPr>
        <w:t xml:space="preserve"> </w:t>
      </w:r>
      <w:r w:rsidRPr="00770F9D">
        <w:rPr>
          <w:rFonts w:ascii="Garamond" w:hAnsi="Garamond"/>
          <w:color w:val="0D0D0D"/>
          <w:u w:val="none"/>
        </w:rPr>
        <w:t>Treguesit e rezultateve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4"/>
        <w:gridCol w:w="1360"/>
        <w:gridCol w:w="1495"/>
        <w:gridCol w:w="1088"/>
      </w:tblGrid>
      <w:tr w:rsidR="00FA29AB" w:rsidRPr="00770F9D" w14:paraId="0DB29F47" w14:textId="77777777" w:rsidTr="00D94FA0">
        <w:trPr>
          <w:trHeight w:val="589"/>
          <w:jc w:val="center"/>
        </w:trPr>
        <w:tc>
          <w:tcPr>
            <w:tcW w:w="2877" w:type="pct"/>
            <w:shd w:val="clear" w:color="auto" w:fill="auto"/>
            <w:vAlign w:val="center"/>
            <w:hideMark/>
          </w:tcPr>
          <w:p w14:paraId="055C5F0E" w14:textId="77777777" w:rsidR="00D51B02" w:rsidRPr="00770F9D" w:rsidRDefault="00B2062A" w:rsidP="00D94FA0">
            <w:pPr>
              <w:jc w:val="center"/>
              <w:rPr>
                <w:rFonts w:ascii="Garamond" w:eastAsia="Times New Roman" w:hAnsi="Garamond" w:cstheme="majorBidi"/>
                <w:b/>
                <w:bCs/>
                <w:color w:val="0D0D0D" w:themeColor="text1" w:themeTint="F2"/>
                <w:sz w:val="20"/>
                <w:szCs w:val="20"/>
              </w:rPr>
            </w:pPr>
            <w:r w:rsidRPr="00770F9D">
              <w:rPr>
                <w:rFonts w:ascii="Garamond" w:eastAsia="Times New Roman" w:hAnsi="Garamond" w:cstheme="majorBidi"/>
                <w:b/>
                <w:bCs/>
                <w:color w:val="0D0D0D" w:themeColor="text1" w:themeTint="F2"/>
                <w:sz w:val="20"/>
                <w:szCs w:val="20"/>
              </w:rPr>
              <w:t>Tregues</w:t>
            </w:r>
          </w:p>
        </w:tc>
        <w:tc>
          <w:tcPr>
            <w:tcW w:w="732" w:type="pct"/>
            <w:shd w:val="clear" w:color="auto" w:fill="auto"/>
            <w:vAlign w:val="center"/>
            <w:hideMark/>
          </w:tcPr>
          <w:p w14:paraId="43B74BD1" w14:textId="77777777" w:rsidR="00D51B02" w:rsidRPr="00770F9D" w:rsidRDefault="00B2062A" w:rsidP="00D94FA0">
            <w:pPr>
              <w:jc w:val="center"/>
              <w:rPr>
                <w:rFonts w:ascii="Garamond" w:eastAsia="Times New Roman" w:hAnsi="Garamond" w:cstheme="majorBidi"/>
                <w:b/>
                <w:bCs/>
                <w:color w:val="0D0D0D" w:themeColor="text1" w:themeTint="F2"/>
                <w:sz w:val="20"/>
                <w:szCs w:val="20"/>
              </w:rPr>
            </w:pPr>
            <w:r w:rsidRPr="00770F9D">
              <w:rPr>
                <w:rFonts w:ascii="Garamond" w:eastAsia="Times New Roman" w:hAnsi="Garamond" w:cstheme="majorBidi"/>
                <w:b/>
                <w:bCs/>
                <w:color w:val="0D0D0D" w:themeColor="text1" w:themeTint="F2"/>
                <w:sz w:val="20"/>
                <w:szCs w:val="20"/>
              </w:rPr>
              <w:t>Bazë</w:t>
            </w:r>
            <w:r w:rsidR="003E586A" w:rsidRPr="00770F9D">
              <w:rPr>
                <w:rFonts w:ascii="Garamond" w:eastAsia="Times New Roman" w:hAnsi="Garamond" w:cstheme="majorBidi"/>
                <w:b/>
                <w:bCs/>
                <w:color w:val="0D0D0D" w:themeColor="text1" w:themeTint="F2"/>
                <w:sz w:val="20"/>
                <w:szCs w:val="20"/>
              </w:rPr>
              <w:t xml:space="preserve"> (202</w:t>
            </w:r>
            <w:r w:rsidR="00EF5C0C" w:rsidRPr="00770F9D">
              <w:rPr>
                <w:rFonts w:ascii="Garamond" w:eastAsia="Times New Roman" w:hAnsi="Garamond" w:cstheme="majorBidi"/>
                <w:b/>
                <w:bCs/>
                <w:color w:val="0D0D0D" w:themeColor="text1" w:themeTint="F2"/>
                <w:sz w:val="20"/>
                <w:szCs w:val="20"/>
              </w:rPr>
              <w:t>0</w:t>
            </w:r>
            <w:r w:rsidR="003E586A" w:rsidRPr="00770F9D">
              <w:rPr>
                <w:rFonts w:ascii="Garamond" w:eastAsia="Times New Roman" w:hAnsi="Garamond" w:cstheme="majorBidi"/>
                <w:b/>
                <w:bCs/>
                <w:color w:val="0D0D0D" w:themeColor="text1" w:themeTint="F2"/>
                <w:sz w:val="20"/>
                <w:szCs w:val="20"/>
              </w:rPr>
              <w:t>)</w:t>
            </w:r>
          </w:p>
        </w:tc>
        <w:tc>
          <w:tcPr>
            <w:tcW w:w="805" w:type="pct"/>
            <w:shd w:val="clear" w:color="auto" w:fill="auto"/>
            <w:vAlign w:val="center"/>
            <w:hideMark/>
          </w:tcPr>
          <w:p w14:paraId="69E45F73" w14:textId="77777777" w:rsidR="00D51B02" w:rsidRPr="00770F9D" w:rsidRDefault="00B2062A" w:rsidP="00D94FA0">
            <w:pPr>
              <w:jc w:val="center"/>
              <w:rPr>
                <w:rFonts w:ascii="Garamond" w:eastAsia="Times New Roman" w:hAnsi="Garamond" w:cstheme="majorBidi"/>
                <w:b/>
                <w:bCs/>
                <w:color w:val="0D0D0D" w:themeColor="text1" w:themeTint="F2"/>
                <w:sz w:val="20"/>
                <w:szCs w:val="20"/>
              </w:rPr>
            </w:pPr>
            <w:r w:rsidRPr="00770F9D">
              <w:rPr>
                <w:rFonts w:ascii="Garamond" w:eastAsia="Times New Roman" w:hAnsi="Garamond" w:cstheme="majorBidi"/>
                <w:b/>
                <w:bCs/>
                <w:color w:val="0D0D0D" w:themeColor="text1" w:themeTint="F2"/>
                <w:sz w:val="20"/>
                <w:szCs w:val="20"/>
              </w:rPr>
              <w:t>I ndërmjetëm</w:t>
            </w:r>
            <w:r w:rsidR="003E586A" w:rsidRPr="00770F9D">
              <w:rPr>
                <w:rFonts w:ascii="Garamond" w:eastAsia="Times New Roman" w:hAnsi="Garamond" w:cstheme="majorBidi"/>
                <w:b/>
                <w:bCs/>
                <w:color w:val="0D0D0D" w:themeColor="text1" w:themeTint="F2"/>
                <w:sz w:val="20"/>
                <w:szCs w:val="20"/>
              </w:rPr>
              <w:t xml:space="preserve"> (202</w:t>
            </w:r>
            <w:r w:rsidR="00EF5C0C" w:rsidRPr="00770F9D">
              <w:rPr>
                <w:rFonts w:ascii="Garamond" w:eastAsia="Times New Roman" w:hAnsi="Garamond" w:cstheme="majorBidi"/>
                <w:b/>
                <w:bCs/>
                <w:color w:val="0D0D0D" w:themeColor="text1" w:themeTint="F2"/>
                <w:sz w:val="20"/>
                <w:szCs w:val="20"/>
              </w:rPr>
              <w:t>2</w:t>
            </w:r>
            <w:r w:rsidR="003E586A" w:rsidRPr="00770F9D">
              <w:rPr>
                <w:rFonts w:ascii="Garamond" w:eastAsia="Times New Roman" w:hAnsi="Garamond" w:cstheme="majorBidi"/>
                <w:b/>
                <w:bCs/>
                <w:color w:val="0D0D0D" w:themeColor="text1" w:themeTint="F2"/>
                <w:sz w:val="20"/>
                <w:szCs w:val="20"/>
              </w:rPr>
              <w:t>)</w:t>
            </w:r>
          </w:p>
        </w:tc>
        <w:tc>
          <w:tcPr>
            <w:tcW w:w="586" w:type="pct"/>
            <w:shd w:val="clear" w:color="auto" w:fill="auto"/>
            <w:vAlign w:val="center"/>
            <w:hideMark/>
          </w:tcPr>
          <w:p w14:paraId="792EA666" w14:textId="77777777" w:rsidR="00D51B02" w:rsidRPr="00770F9D" w:rsidRDefault="00DB3786" w:rsidP="00D94FA0">
            <w:pPr>
              <w:jc w:val="center"/>
              <w:rPr>
                <w:rFonts w:ascii="Garamond" w:eastAsia="Times New Roman" w:hAnsi="Garamond" w:cstheme="majorBidi"/>
                <w:b/>
                <w:bCs/>
                <w:color w:val="0D0D0D" w:themeColor="text1" w:themeTint="F2"/>
                <w:sz w:val="20"/>
                <w:szCs w:val="20"/>
              </w:rPr>
            </w:pPr>
            <w:r w:rsidRPr="00770F9D">
              <w:rPr>
                <w:rFonts w:ascii="Garamond" w:eastAsia="Times New Roman" w:hAnsi="Garamond" w:cstheme="majorBidi"/>
                <w:b/>
                <w:bCs/>
                <w:color w:val="0D0D0D" w:themeColor="text1" w:themeTint="F2"/>
                <w:sz w:val="20"/>
                <w:szCs w:val="20"/>
              </w:rPr>
              <w:t>Final</w:t>
            </w:r>
            <w:r w:rsidR="003E586A" w:rsidRPr="00770F9D">
              <w:rPr>
                <w:rFonts w:ascii="Garamond" w:eastAsia="Times New Roman" w:hAnsi="Garamond" w:cstheme="majorBidi"/>
                <w:b/>
                <w:bCs/>
                <w:color w:val="0D0D0D" w:themeColor="text1" w:themeTint="F2"/>
                <w:sz w:val="20"/>
                <w:szCs w:val="20"/>
              </w:rPr>
              <w:t xml:space="preserve"> (202</w:t>
            </w:r>
            <w:r w:rsidR="00EF5C0C" w:rsidRPr="00770F9D">
              <w:rPr>
                <w:rFonts w:ascii="Garamond" w:eastAsia="Times New Roman" w:hAnsi="Garamond" w:cstheme="majorBidi"/>
                <w:b/>
                <w:bCs/>
                <w:color w:val="0D0D0D" w:themeColor="text1" w:themeTint="F2"/>
                <w:sz w:val="20"/>
                <w:szCs w:val="20"/>
              </w:rPr>
              <w:t>5</w:t>
            </w:r>
            <w:r w:rsidR="003E586A" w:rsidRPr="00770F9D">
              <w:rPr>
                <w:rFonts w:ascii="Garamond" w:eastAsia="Times New Roman" w:hAnsi="Garamond" w:cstheme="majorBidi"/>
                <w:b/>
                <w:bCs/>
                <w:color w:val="0D0D0D" w:themeColor="text1" w:themeTint="F2"/>
                <w:sz w:val="20"/>
                <w:szCs w:val="20"/>
              </w:rPr>
              <w:t>)</w:t>
            </w:r>
          </w:p>
        </w:tc>
      </w:tr>
      <w:tr w:rsidR="003E586A" w:rsidRPr="00770F9D" w14:paraId="13A21AD6" w14:textId="77777777" w:rsidTr="00D94FA0">
        <w:trPr>
          <w:trHeight w:val="411"/>
          <w:jc w:val="center"/>
        </w:trPr>
        <w:tc>
          <w:tcPr>
            <w:tcW w:w="2877" w:type="pct"/>
            <w:shd w:val="clear" w:color="auto" w:fill="auto"/>
          </w:tcPr>
          <w:p w14:paraId="189522F7" w14:textId="77777777" w:rsidR="003E586A" w:rsidRPr="00770F9D" w:rsidRDefault="003E586A" w:rsidP="006902C9">
            <w:pPr>
              <w:rPr>
                <w:rFonts w:ascii="Garamond" w:eastAsia="Times New Roman" w:hAnsi="Garamond" w:cstheme="majorBidi"/>
                <w:color w:val="0D0D0D" w:themeColor="text1" w:themeTint="F2"/>
                <w:sz w:val="20"/>
                <w:szCs w:val="20"/>
              </w:rPr>
            </w:pPr>
            <w:r w:rsidRPr="00770F9D">
              <w:rPr>
                <w:rFonts w:ascii="Garamond" w:hAnsi="Garamond" w:cstheme="majorBidi"/>
                <w:color w:val="0D0D0D" w:themeColor="text1" w:themeTint="F2"/>
                <w:sz w:val="20"/>
                <w:szCs w:val="20"/>
              </w:rPr>
              <w:t>Numri i trajnimeve të ofruara nga AIDA</w:t>
            </w:r>
          </w:p>
        </w:tc>
        <w:tc>
          <w:tcPr>
            <w:tcW w:w="732" w:type="pct"/>
            <w:shd w:val="clear" w:color="auto" w:fill="auto"/>
            <w:vAlign w:val="center"/>
          </w:tcPr>
          <w:p w14:paraId="2C6B0BBD" w14:textId="77777777" w:rsidR="003E586A" w:rsidRPr="00770F9D" w:rsidRDefault="00EF5C0C" w:rsidP="00D94FA0">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0</w:t>
            </w:r>
          </w:p>
        </w:tc>
        <w:tc>
          <w:tcPr>
            <w:tcW w:w="805" w:type="pct"/>
            <w:shd w:val="clear" w:color="auto" w:fill="auto"/>
            <w:vAlign w:val="center"/>
          </w:tcPr>
          <w:p w14:paraId="21AE195E" w14:textId="77777777" w:rsidR="003E586A" w:rsidRPr="00770F9D" w:rsidRDefault="003E586A" w:rsidP="00D94FA0">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lang w:eastAsia="sq-AL"/>
              </w:rPr>
              <w:t>15</w:t>
            </w:r>
          </w:p>
        </w:tc>
        <w:tc>
          <w:tcPr>
            <w:tcW w:w="586" w:type="pct"/>
            <w:shd w:val="clear" w:color="auto" w:fill="auto"/>
            <w:vAlign w:val="center"/>
          </w:tcPr>
          <w:p w14:paraId="2F0FFE78" w14:textId="77777777" w:rsidR="003E586A" w:rsidRPr="00770F9D" w:rsidRDefault="003E586A" w:rsidP="00D94FA0">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lang w:eastAsia="sq-AL"/>
              </w:rPr>
              <w:t>20</w:t>
            </w:r>
          </w:p>
        </w:tc>
      </w:tr>
      <w:tr w:rsidR="003E586A" w:rsidRPr="00770F9D" w14:paraId="27D4C784" w14:textId="77777777" w:rsidTr="00D94FA0">
        <w:trPr>
          <w:trHeight w:val="411"/>
          <w:jc w:val="center"/>
        </w:trPr>
        <w:tc>
          <w:tcPr>
            <w:tcW w:w="2877" w:type="pct"/>
            <w:shd w:val="clear" w:color="auto" w:fill="auto"/>
          </w:tcPr>
          <w:p w14:paraId="4CEC4408" w14:textId="77777777" w:rsidR="003E586A" w:rsidRPr="00770F9D" w:rsidRDefault="003E586A" w:rsidP="006902C9">
            <w:pPr>
              <w:rPr>
                <w:rFonts w:ascii="Garamond" w:eastAsia="Times New Roman" w:hAnsi="Garamond" w:cstheme="majorBidi"/>
                <w:color w:val="0D0D0D" w:themeColor="text1" w:themeTint="F2"/>
                <w:sz w:val="20"/>
                <w:szCs w:val="20"/>
              </w:rPr>
            </w:pPr>
            <w:r w:rsidRPr="00770F9D">
              <w:rPr>
                <w:rFonts w:ascii="Garamond" w:hAnsi="Garamond" w:cstheme="majorBidi"/>
                <w:color w:val="0D0D0D" w:themeColor="text1" w:themeTint="F2"/>
                <w:sz w:val="20"/>
                <w:szCs w:val="20"/>
              </w:rPr>
              <w:t>Numri i përdoruesve të platformës së centralizuar të informacionit</w:t>
            </w:r>
          </w:p>
        </w:tc>
        <w:tc>
          <w:tcPr>
            <w:tcW w:w="732" w:type="pct"/>
            <w:shd w:val="clear" w:color="auto" w:fill="auto"/>
            <w:vAlign w:val="center"/>
          </w:tcPr>
          <w:p w14:paraId="1EFABAE7" w14:textId="77777777" w:rsidR="003E586A" w:rsidRPr="00770F9D" w:rsidRDefault="00EF5C0C" w:rsidP="00D94FA0">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lang w:eastAsia="sq-AL"/>
              </w:rPr>
              <w:t>0</w:t>
            </w:r>
          </w:p>
        </w:tc>
        <w:tc>
          <w:tcPr>
            <w:tcW w:w="805" w:type="pct"/>
            <w:shd w:val="clear" w:color="auto" w:fill="auto"/>
            <w:vAlign w:val="center"/>
          </w:tcPr>
          <w:p w14:paraId="13E0FB26" w14:textId="77777777" w:rsidR="003E586A" w:rsidRPr="00770F9D" w:rsidRDefault="00EF5C0C" w:rsidP="00D94FA0">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lang w:eastAsia="sq-AL"/>
              </w:rPr>
              <w:t>6200</w:t>
            </w:r>
          </w:p>
        </w:tc>
        <w:tc>
          <w:tcPr>
            <w:tcW w:w="586" w:type="pct"/>
            <w:shd w:val="clear" w:color="auto" w:fill="auto"/>
            <w:vAlign w:val="center"/>
          </w:tcPr>
          <w:p w14:paraId="390FA25E" w14:textId="77777777" w:rsidR="003E586A" w:rsidRPr="00770F9D" w:rsidRDefault="00EF5C0C" w:rsidP="00D94FA0">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lang w:eastAsia="sq-AL"/>
              </w:rPr>
              <w:t>10</w:t>
            </w:r>
            <w:r w:rsidR="003E586A" w:rsidRPr="00770F9D">
              <w:rPr>
                <w:rFonts w:ascii="Garamond" w:eastAsia="Times New Roman" w:hAnsi="Garamond" w:cstheme="majorBidi"/>
                <w:color w:val="0D0D0D" w:themeColor="text1" w:themeTint="F2"/>
                <w:sz w:val="20"/>
                <w:szCs w:val="20"/>
                <w:lang w:eastAsia="sq-AL"/>
              </w:rPr>
              <w:t>000</w:t>
            </w:r>
          </w:p>
        </w:tc>
      </w:tr>
      <w:tr w:rsidR="003E586A" w:rsidRPr="00770F9D" w14:paraId="33782051" w14:textId="77777777" w:rsidTr="00D94FA0">
        <w:trPr>
          <w:trHeight w:val="411"/>
          <w:jc w:val="center"/>
        </w:trPr>
        <w:tc>
          <w:tcPr>
            <w:tcW w:w="2877" w:type="pct"/>
            <w:shd w:val="clear" w:color="auto" w:fill="auto"/>
          </w:tcPr>
          <w:p w14:paraId="28F6E4DA" w14:textId="327C9FD9" w:rsidR="003E586A" w:rsidRPr="00770F9D" w:rsidRDefault="003E586A" w:rsidP="006902C9">
            <w:pPr>
              <w:rPr>
                <w:rFonts w:ascii="Garamond" w:eastAsia="Times New Roman" w:hAnsi="Garamond" w:cstheme="majorBidi"/>
                <w:color w:val="0D0D0D" w:themeColor="text1" w:themeTint="F2"/>
                <w:sz w:val="20"/>
                <w:szCs w:val="20"/>
              </w:rPr>
            </w:pPr>
            <w:r w:rsidRPr="00770F9D">
              <w:rPr>
                <w:rFonts w:ascii="Garamond" w:hAnsi="Garamond" w:cstheme="majorBidi"/>
                <w:color w:val="0D0D0D" w:themeColor="text1" w:themeTint="F2"/>
                <w:sz w:val="20"/>
                <w:szCs w:val="20"/>
              </w:rPr>
              <w:t>Zbatimi i skemës së mbështetjes së buxhetit të shtetit për NVM-të (</w:t>
            </w:r>
            <w:r w:rsidR="00D94FA0" w:rsidRPr="00770F9D">
              <w:rPr>
                <w:rFonts w:ascii="Garamond" w:hAnsi="Garamond" w:cstheme="majorBidi"/>
                <w:color w:val="0D0D0D" w:themeColor="text1" w:themeTint="F2"/>
                <w:sz w:val="20"/>
                <w:szCs w:val="20"/>
              </w:rPr>
              <w:t>nr</w:t>
            </w:r>
            <w:r w:rsidRPr="00770F9D">
              <w:rPr>
                <w:rFonts w:ascii="Garamond" w:hAnsi="Garamond" w:cstheme="majorBidi"/>
                <w:color w:val="0D0D0D" w:themeColor="text1" w:themeTint="F2"/>
                <w:sz w:val="20"/>
                <w:szCs w:val="20"/>
              </w:rPr>
              <w:t>. e NMVM-të përfituese nga grantet e AIDA-s)</w:t>
            </w:r>
          </w:p>
        </w:tc>
        <w:tc>
          <w:tcPr>
            <w:tcW w:w="732" w:type="pct"/>
            <w:shd w:val="clear" w:color="auto" w:fill="auto"/>
            <w:vAlign w:val="center"/>
          </w:tcPr>
          <w:p w14:paraId="22B64721" w14:textId="77777777" w:rsidR="003E586A" w:rsidRPr="00770F9D" w:rsidRDefault="00EF5C0C" w:rsidP="00D94FA0">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lang w:eastAsia="sq-AL"/>
              </w:rPr>
              <w:t>0</w:t>
            </w:r>
          </w:p>
        </w:tc>
        <w:tc>
          <w:tcPr>
            <w:tcW w:w="805" w:type="pct"/>
            <w:shd w:val="clear" w:color="auto" w:fill="auto"/>
            <w:vAlign w:val="center"/>
          </w:tcPr>
          <w:p w14:paraId="45D37EDA" w14:textId="77777777" w:rsidR="003E586A" w:rsidRPr="00770F9D" w:rsidRDefault="003E586A" w:rsidP="00D94FA0">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lang w:eastAsia="sq-AL"/>
              </w:rPr>
              <w:t>40-60</w:t>
            </w:r>
          </w:p>
        </w:tc>
        <w:tc>
          <w:tcPr>
            <w:tcW w:w="586" w:type="pct"/>
            <w:shd w:val="clear" w:color="auto" w:fill="auto"/>
            <w:vAlign w:val="center"/>
          </w:tcPr>
          <w:p w14:paraId="5DB63E12" w14:textId="77777777" w:rsidR="003E586A" w:rsidRPr="00770F9D" w:rsidRDefault="003E586A" w:rsidP="00D94FA0">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lang w:eastAsia="sq-AL"/>
              </w:rPr>
              <w:t>60-100</w:t>
            </w:r>
          </w:p>
        </w:tc>
      </w:tr>
      <w:tr w:rsidR="003E586A" w:rsidRPr="00770F9D" w14:paraId="6A3ED167" w14:textId="77777777" w:rsidTr="00D94FA0">
        <w:trPr>
          <w:trHeight w:val="411"/>
          <w:jc w:val="center"/>
        </w:trPr>
        <w:tc>
          <w:tcPr>
            <w:tcW w:w="2877" w:type="pct"/>
            <w:shd w:val="clear" w:color="auto" w:fill="auto"/>
          </w:tcPr>
          <w:p w14:paraId="227C8CDC" w14:textId="77777777" w:rsidR="003E586A" w:rsidRPr="00770F9D" w:rsidRDefault="003E586A" w:rsidP="006902C9">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Numri i vlerësimeve të nevojave për trajnim</w:t>
            </w:r>
          </w:p>
        </w:tc>
        <w:tc>
          <w:tcPr>
            <w:tcW w:w="732" w:type="pct"/>
            <w:shd w:val="clear" w:color="auto" w:fill="auto"/>
            <w:vAlign w:val="center"/>
          </w:tcPr>
          <w:p w14:paraId="1F3487B3" w14:textId="77777777" w:rsidR="003E586A" w:rsidRPr="00770F9D" w:rsidRDefault="00EF5C0C" w:rsidP="00D94FA0">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lang w:eastAsia="sq-AL"/>
              </w:rPr>
              <w:t>0</w:t>
            </w:r>
          </w:p>
        </w:tc>
        <w:tc>
          <w:tcPr>
            <w:tcW w:w="805" w:type="pct"/>
            <w:shd w:val="clear" w:color="auto" w:fill="auto"/>
            <w:vAlign w:val="center"/>
          </w:tcPr>
          <w:p w14:paraId="3D46A536" w14:textId="77777777" w:rsidR="003E586A" w:rsidRPr="00770F9D" w:rsidRDefault="00EF5C0C" w:rsidP="00D94FA0">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lang w:eastAsia="sq-AL"/>
              </w:rPr>
              <w:t>1</w:t>
            </w:r>
          </w:p>
        </w:tc>
        <w:tc>
          <w:tcPr>
            <w:tcW w:w="586" w:type="pct"/>
            <w:shd w:val="clear" w:color="auto" w:fill="auto"/>
            <w:vAlign w:val="center"/>
          </w:tcPr>
          <w:p w14:paraId="5A3CD185" w14:textId="77777777" w:rsidR="003E586A" w:rsidRPr="00770F9D" w:rsidRDefault="00EF5C0C" w:rsidP="00D94FA0">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5</w:t>
            </w:r>
          </w:p>
        </w:tc>
      </w:tr>
    </w:tbl>
    <w:p w14:paraId="06F44073" w14:textId="77777777" w:rsidR="00D51B02" w:rsidRPr="00770F9D" w:rsidRDefault="00D51B02" w:rsidP="005674F2">
      <w:pPr>
        <w:snapToGrid w:val="0"/>
        <w:ind w:firstLine="284"/>
        <w:rPr>
          <w:rFonts w:ascii="Garamond" w:hAnsi="Garamond" w:cstheme="majorBidi"/>
          <w:color w:val="0D0D0D" w:themeColor="text1" w:themeTint="F2"/>
        </w:rPr>
      </w:pPr>
    </w:p>
    <w:p w14:paraId="5391D842" w14:textId="7AAA0DFF" w:rsidR="009D37E3" w:rsidRPr="00770F9D" w:rsidRDefault="006902C9"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3</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Ndikimi i pritshëm në konkurrueshmëri</w:t>
      </w:r>
    </w:p>
    <w:p w14:paraId="1D224C5F" w14:textId="57C96E35" w:rsidR="009D37E3" w:rsidRPr="00770F9D" w:rsidRDefault="009D37E3" w:rsidP="00400806">
      <w:pPr>
        <w:ind w:firstLine="284"/>
        <w:jc w:val="both"/>
        <w:rPr>
          <w:rFonts w:ascii="Garamond" w:hAnsi="Garamond"/>
          <w:color w:val="0D0D0D"/>
        </w:rPr>
      </w:pPr>
      <w:r w:rsidRPr="00770F9D">
        <w:rPr>
          <w:rFonts w:ascii="Garamond" w:hAnsi="Garamond"/>
          <w:color w:val="0D0D0D"/>
        </w:rPr>
        <w:t>Forcimi i kapaciteteve të institucioneve kompetente, AIDA, të ngarkuara me ofrimin e shërbimeve mbështetëse publike krijon mundësi më të mëdha për që ekonomia të jetë më konkurruese përmes aksesit në shërbimet të reja të trajnimit. Aktivitetet e reformës do të intensifikojnë aktivitetet me fokus mbështetjen e bizneseve, gjë që mund t’i mundësojë rritjen e konkurrueshmërisë së tyre. Masa</w:t>
      </w:r>
      <w:r w:rsidR="00856653" w:rsidRPr="00770F9D">
        <w:rPr>
          <w:rFonts w:ascii="Garamond" w:hAnsi="Garamond"/>
          <w:color w:val="0D0D0D"/>
        </w:rPr>
        <w:t>,</w:t>
      </w:r>
      <w:r w:rsidRPr="00770F9D">
        <w:rPr>
          <w:rFonts w:ascii="Garamond" w:hAnsi="Garamond"/>
          <w:color w:val="0D0D0D"/>
        </w:rPr>
        <w:t xml:space="preserve"> gjithashtu</w:t>
      </w:r>
      <w:r w:rsidR="00856653" w:rsidRPr="00770F9D">
        <w:rPr>
          <w:rFonts w:ascii="Garamond" w:hAnsi="Garamond"/>
          <w:color w:val="0D0D0D"/>
        </w:rPr>
        <w:t>,</w:t>
      </w:r>
      <w:r w:rsidRPr="00770F9D">
        <w:rPr>
          <w:rFonts w:ascii="Garamond" w:hAnsi="Garamond"/>
          <w:color w:val="0D0D0D"/>
        </w:rPr>
        <w:t xml:space="preserve"> kontribuon në krijimin e një mjedisi stimulues për qasje në financa që është e dëshirueshme për të gjitha industritë, veçanërisht nga burimet lokale dhe ndërkombëtare. Në këtë mënyrë, ekonomia do të jetë më konkurruese</w:t>
      </w:r>
      <w:r w:rsidR="00856653" w:rsidRPr="00770F9D">
        <w:rPr>
          <w:rFonts w:ascii="Garamond" w:hAnsi="Garamond"/>
          <w:color w:val="0D0D0D"/>
        </w:rPr>
        <w:t>,</w:t>
      </w:r>
      <w:r w:rsidRPr="00770F9D">
        <w:rPr>
          <w:rFonts w:ascii="Garamond" w:hAnsi="Garamond"/>
          <w:color w:val="0D0D0D"/>
        </w:rPr>
        <w:t xml:space="preserve"> duke menaxhuar operacionet e biznesit.</w:t>
      </w:r>
    </w:p>
    <w:p w14:paraId="5C259C0F" w14:textId="67E384CD" w:rsidR="009D37E3" w:rsidRPr="00770F9D" w:rsidRDefault="006902C9"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4</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Kosto</w:t>
      </w:r>
      <w:r w:rsidR="002A7EC0" w:rsidRPr="00770F9D">
        <w:rPr>
          <w:rFonts w:ascii="Garamond" w:hAnsi="Garamond"/>
          <w:color w:val="0D0D0D"/>
          <w:u w:val="none"/>
        </w:rPr>
        <w:t>ja</w:t>
      </w:r>
      <w:r w:rsidR="009D37E3" w:rsidRPr="00770F9D">
        <w:rPr>
          <w:rFonts w:ascii="Garamond" w:hAnsi="Garamond"/>
          <w:color w:val="0D0D0D"/>
          <w:u w:val="none"/>
        </w:rPr>
        <w:t xml:space="preserve"> e parashikuar e aktiviteteve dhe burimi i financimit</w:t>
      </w:r>
    </w:p>
    <w:p w14:paraId="29E0DDB7" w14:textId="07435903" w:rsidR="009D37E3" w:rsidRPr="00770F9D" w:rsidRDefault="009D37E3" w:rsidP="00EB64CA">
      <w:pPr>
        <w:ind w:firstLine="284"/>
        <w:jc w:val="both"/>
        <w:rPr>
          <w:rFonts w:ascii="Garamond" w:hAnsi="Garamond"/>
          <w:color w:val="0D0D0D"/>
        </w:rPr>
      </w:pPr>
      <w:r w:rsidRPr="00770F9D">
        <w:rPr>
          <w:rFonts w:ascii="Garamond" w:hAnsi="Garamond"/>
          <w:color w:val="0D0D0D"/>
        </w:rPr>
        <w:t xml:space="preserve">Kostot e aktiviteteve dhe burimi </w:t>
      </w:r>
      <w:r w:rsidR="00856653" w:rsidRPr="00770F9D">
        <w:rPr>
          <w:rFonts w:ascii="Garamond" w:hAnsi="Garamond"/>
          <w:color w:val="0D0D0D"/>
        </w:rPr>
        <w:t>i</w:t>
      </w:r>
      <w:r w:rsidRPr="00770F9D">
        <w:rPr>
          <w:rFonts w:ascii="Garamond" w:hAnsi="Garamond"/>
          <w:color w:val="0D0D0D"/>
        </w:rPr>
        <w:t xml:space="preserve"> financimit detajohen n</w:t>
      </w:r>
      <w:r w:rsidR="00EB64CA">
        <w:rPr>
          <w:rFonts w:ascii="Garamond" w:hAnsi="Garamond"/>
          <w:color w:val="0D0D0D"/>
        </w:rPr>
        <w:t>ë</w:t>
      </w:r>
      <w:r w:rsidRPr="00770F9D">
        <w:rPr>
          <w:rFonts w:ascii="Garamond" w:hAnsi="Garamond"/>
          <w:color w:val="0D0D0D"/>
        </w:rPr>
        <w:t xml:space="preserve"> tabelën 10a dhe tabelën 10b në </w:t>
      </w:r>
      <w:r w:rsidR="00856653" w:rsidRPr="00770F9D">
        <w:rPr>
          <w:rFonts w:ascii="Garamond" w:hAnsi="Garamond"/>
          <w:color w:val="0D0D0D"/>
        </w:rPr>
        <w:t xml:space="preserve">aneksin </w:t>
      </w:r>
      <w:r w:rsidRPr="00770F9D">
        <w:rPr>
          <w:rFonts w:ascii="Garamond" w:hAnsi="Garamond"/>
          <w:color w:val="0D0D0D"/>
        </w:rPr>
        <w:t>1.</w:t>
      </w:r>
    </w:p>
    <w:p w14:paraId="3AD7EE55" w14:textId="2691CAD6" w:rsidR="009D37E3" w:rsidRPr="00770F9D" w:rsidRDefault="006902C9"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5</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Ndikimi i pritshëm në përfundimet sociale</w:t>
      </w:r>
      <w:r w:rsidR="00856653" w:rsidRPr="00770F9D">
        <w:rPr>
          <w:rFonts w:ascii="Garamond" w:hAnsi="Garamond"/>
          <w:color w:val="0D0D0D"/>
          <w:u w:val="none"/>
        </w:rPr>
        <w:t>,</w:t>
      </w:r>
      <w:r w:rsidR="009D37E3" w:rsidRPr="00770F9D">
        <w:rPr>
          <w:rFonts w:ascii="Garamond" w:hAnsi="Garamond"/>
          <w:color w:val="0D0D0D"/>
          <w:u w:val="none"/>
        </w:rPr>
        <w:t xml:space="preserve"> si punësimi, ulja e varfërisë, barazia gjinore dhe aksesi në kujdesin shëndetësor</w:t>
      </w:r>
    </w:p>
    <w:p w14:paraId="08DF0827" w14:textId="421F4018" w:rsidR="009D37E3" w:rsidRPr="00770F9D" w:rsidRDefault="009D37E3" w:rsidP="00400806">
      <w:pPr>
        <w:ind w:firstLine="284"/>
        <w:jc w:val="both"/>
        <w:rPr>
          <w:rFonts w:ascii="Garamond" w:hAnsi="Garamond"/>
          <w:color w:val="0D0D0D"/>
        </w:rPr>
      </w:pPr>
      <w:r w:rsidRPr="00770F9D">
        <w:rPr>
          <w:rFonts w:ascii="Garamond" w:hAnsi="Garamond"/>
          <w:color w:val="0D0D0D"/>
        </w:rPr>
        <w:t>Hartimi i masave për rritjen e shërbimeve mbështetëse të biznesit dhe aksesit në financa do të kontribuojë drejtpërdrejt në shkallën e rritjes së punësimit, uljes së varfërisë dhe aksesit në kujdesin shëndetësor. Ofrimi i temave të nevojshme të trajnimeve nga AIDA, krijon mundësi për punësim shtesë dhe zhvillim të kapaciteteve, që do të rezultojë në përmirësime shtesë në fushën e punësimit. Reforma është veçanërisht e rëndësishme</w:t>
      </w:r>
      <w:r w:rsidR="00856653" w:rsidRPr="00770F9D">
        <w:rPr>
          <w:rFonts w:ascii="Garamond" w:hAnsi="Garamond"/>
          <w:color w:val="0D0D0D"/>
        </w:rPr>
        <w:t>,</w:t>
      </w:r>
      <w:r w:rsidRPr="00770F9D">
        <w:rPr>
          <w:rFonts w:ascii="Garamond" w:hAnsi="Garamond"/>
          <w:color w:val="0D0D0D"/>
        </w:rPr>
        <w:t xml:space="preserve"> sepse do të ndihmojë në fuqizimin e sipërmarrjes së grave duke lehtësuar kanalet e komunikimit drejt financimit, gjë që është e rëndësishme për gratë sipërmarrëse.</w:t>
      </w:r>
    </w:p>
    <w:p w14:paraId="47DA2603" w14:textId="0A12AF43" w:rsidR="009D37E3" w:rsidRPr="00770F9D" w:rsidRDefault="006902C9"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6</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Ndikimi i pritshëm në mjedis dhe ndryshimi i klimës</w:t>
      </w:r>
    </w:p>
    <w:p w14:paraId="16F11ED4" w14:textId="77777777" w:rsidR="009D37E3" w:rsidRPr="00770F9D" w:rsidRDefault="009D37E3" w:rsidP="00400806">
      <w:pPr>
        <w:ind w:firstLine="284"/>
        <w:jc w:val="both"/>
        <w:rPr>
          <w:rFonts w:ascii="Garamond" w:hAnsi="Garamond"/>
          <w:color w:val="0D0D0D"/>
        </w:rPr>
      </w:pPr>
      <w:r w:rsidRPr="00770F9D">
        <w:rPr>
          <w:rFonts w:ascii="Garamond" w:hAnsi="Garamond"/>
          <w:color w:val="0D0D0D"/>
        </w:rPr>
        <w:t>Masa nuk pritet të ketë ndikim në mjedis.</w:t>
      </w:r>
    </w:p>
    <w:p w14:paraId="7DE3EA0D" w14:textId="168C3CE9" w:rsidR="009D37E3" w:rsidRPr="00770F9D" w:rsidRDefault="006902C9"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7</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Rreziqet e mundshme</w:t>
      </w:r>
    </w:p>
    <w:tbl>
      <w:tblPr>
        <w:tblStyle w:val="TableGrid"/>
        <w:tblW w:w="5000" w:type="pct"/>
        <w:tblLook w:val="04A0" w:firstRow="1" w:lastRow="0" w:firstColumn="1" w:lastColumn="0" w:noHBand="0" w:noVBand="1"/>
      </w:tblPr>
      <w:tblGrid>
        <w:gridCol w:w="4239"/>
        <w:gridCol w:w="1913"/>
        <w:gridCol w:w="3135"/>
      </w:tblGrid>
      <w:tr w:rsidR="00FA29AB" w:rsidRPr="00770F9D" w14:paraId="5BF57021" w14:textId="77777777" w:rsidTr="00856653">
        <w:tc>
          <w:tcPr>
            <w:tcW w:w="2282" w:type="pct"/>
            <w:vAlign w:val="center"/>
          </w:tcPr>
          <w:p w14:paraId="1DE6A9B0" w14:textId="77777777" w:rsidR="00CC1612" w:rsidRPr="00770F9D" w:rsidRDefault="00B2062A" w:rsidP="00856653">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Rreziku</w:t>
            </w:r>
          </w:p>
        </w:tc>
        <w:tc>
          <w:tcPr>
            <w:tcW w:w="1030" w:type="pct"/>
            <w:vAlign w:val="center"/>
          </w:tcPr>
          <w:p w14:paraId="6F358710" w14:textId="77777777" w:rsidR="00856653" w:rsidRPr="00770F9D" w:rsidRDefault="00B2062A" w:rsidP="00856653">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Mundësia</w:t>
            </w:r>
            <w:r w:rsidR="00CC1612" w:rsidRPr="00770F9D">
              <w:rPr>
                <w:rFonts w:ascii="Garamond" w:hAnsi="Garamond" w:cstheme="majorBidi"/>
                <w:b/>
                <w:bCs/>
                <w:color w:val="0D0D0D" w:themeColor="text1" w:themeTint="F2"/>
                <w:sz w:val="20"/>
                <w:szCs w:val="20"/>
              </w:rPr>
              <w:t xml:space="preserve"> </w:t>
            </w:r>
          </w:p>
          <w:p w14:paraId="35089111" w14:textId="0546263C" w:rsidR="00CC1612" w:rsidRPr="00770F9D" w:rsidRDefault="00CC1612" w:rsidP="00856653">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w:t>
            </w:r>
            <w:r w:rsidR="00B2062A" w:rsidRPr="00770F9D">
              <w:rPr>
                <w:rFonts w:ascii="Garamond" w:hAnsi="Garamond" w:cstheme="majorBidi"/>
                <w:b/>
                <w:bCs/>
                <w:color w:val="0D0D0D" w:themeColor="text1" w:themeTint="F2"/>
                <w:sz w:val="20"/>
                <w:szCs w:val="20"/>
              </w:rPr>
              <w:t>e ulët, e lartë</w:t>
            </w:r>
            <w:r w:rsidRPr="00770F9D">
              <w:rPr>
                <w:rFonts w:ascii="Garamond" w:hAnsi="Garamond" w:cstheme="majorBidi"/>
                <w:b/>
                <w:bCs/>
                <w:color w:val="0D0D0D" w:themeColor="text1" w:themeTint="F2"/>
                <w:sz w:val="20"/>
                <w:szCs w:val="20"/>
              </w:rPr>
              <w:t>)</w:t>
            </w:r>
          </w:p>
        </w:tc>
        <w:tc>
          <w:tcPr>
            <w:tcW w:w="1688" w:type="pct"/>
            <w:vAlign w:val="center"/>
          </w:tcPr>
          <w:p w14:paraId="24B201A2" w14:textId="77777777" w:rsidR="00CC1612" w:rsidRPr="00770F9D" w:rsidRDefault="00B2062A" w:rsidP="00856653">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Veprimi zbutës i parashikuar</w:t>
            </w:r>
          </w:p>
        </w:tc>
      </w:tr>
      <w:tr w:rsidR="003E586A" w:rsidRPr="00770F9D" w14:paraId="7039DD69" w14:textId="77777777" w:rsidTr="00856653">
        <w:tc>
          <w:tcPr>
            <w:tcW w:w="2282" w:type="pct"/>
          </w:tcPr>
          <w:p w14:paraId="71DB7861" w14:textId="77777777" w:rsidR="003E586A" w:rsidRPr="00770F9D" w:rsidRDefault="003E586A" w:rsidP="006902C9">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Shtyrja e miratimit të projekt-VKM-së për skemën e granteve</w:t>
            </w:r>
          </w:p>
        </w:tc>
        <w:tc>
          <w:tcPr>
            <w:tcW w:w="1030" w:type="pct"/>
          </w:tcPr>
          <w:p w14:paraId="0BA60BA4" w14:textId="1FD1E170" w:rsidR="003E586A" w:rsidRPr="00770F9D" w:rsidRDefault="003E586A" w:rsidP="006902C9">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E lar</w:t>
            </w:r>
            <w:r w:rsidR="00856653" w:rsidRPr="00770F9D">
              <w:rPr>
                <w:rFonts w:ascii="Garamond" w:hAnsi="Garamond" w:cstheme="majorBidi"/>
                <w:color w:val="0D0D0D" w:themeColor="text1" w:themeTint="F2"/>
                <w:sz w:val="20"/>
                <w:szCs w:val="20"/>
              </w:rPr>
              <w:t>të</w:t>
            </w:r>
          </w:p>
        </w:tc>
        <w:tc>
          <w:tcPr>
            <w:tcW w:w="1688" w:type="pct"/>
          </w:tcPr>
          <w:p w14:paraId="7C19435A" w14:textId="77777777" w:rsidR="003E586A" w:rsidRPr="00770F9D" w:rsidRDefault="003E586A" w:rsidP="006902C9">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Rritja e ndërgjegjësimit në nivel politik për nevojën e këtij akti ligjor</w:t>
            </w:r>
          </w:p>
        </w:tc>
      </w:tr>
      <w:tr w:rsidR="003E586A" w:rsidRPr="00770F9D" w14:paraId="42389993" w14:textId="77777777" w:rsidTr="00856653">
        <w:tc>
          <w:tcPr>
            <w:tcW w:w="2282" w:type="pct"/>
          </w:tcPr>
          <w:p w14:paraId="76EFFFF3" w14:textId="535FBCDF" w:rsidR="003E586A" w:rsidRPr="00770F9D" w:rsidRDefault="003E586A" w:rsidP="006902C9">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Vonesat në zbatimin e masave BIDS</w:t>
            </w:r>
          </w:p>
        </w:tc>
        <w:tc>
          <w:tcPr>
            <w:tcW w:w="1030" w:type="pct"/>
          </w:tcPr>
          <w:p w14:paraId="703B0263" w14:textId="32C3E26B" w:rsidR="003E586A" w:rsidRPr="00770F9D" w:rsidRDefault="003E586A" w:rsidP="006902C9">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E lart</w:t>
            </w:r>
            <w:r w:rsidR="00856653" w:rsidRPr="00770F9D">
              <w:rPr>
                <w:rFonts w:ascii="Garamond" w:hAnsi="Garamond" w:cstheme="majorBidi"/>
                <w:color w:val="0D0D0D" w:themeColor="text1" w:themeTint="F2"/>
                <w:sz w:val="20"/>
                <w:szCs w:val="20"/>
              </w:rPr>
              <w:t>ë</w:t>
            </w:r>
          </w:p>
        </w:tc>
        <w:tc>
          <w:tcPr>
            <w:tcW w:w="1688" w:type="pct"/>
          </w:tcPr>
          <w:p w14:paraId="22D78C93" w14:textId="358417CC" w:rsidR="003E586A" w:rsidRPr="00770F9D" w:rsidRDefault="003E586A" w:rsidP="006902C9">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Rritja e ndërgjegjësimit për rëndësinë BIDS</w:t>
            </w:r>
          </w:p>
        </w:tc>
      </w:tr>
    </w:tbl>
    <w:p w14:paraId="106882C2" w14:textId="77777777" w:rsidR="00CC1612" w:rsidRPr="00770F9D" w:rsidRDefault="00CC1612" w:rsidP="005674F2">
      <w:pPr>
        <w:snapToGrid w:val="0"/>
        <w:ind w:firstLine="284"/>
        <w:rPr>
          <w:rFonts w:ascii="Garamond" w:hAnsi="Garamond" w:cstheme="majorBidi"/>
          <w:color w:val="0D0D0D" w:themeColor="text1" w:themeTint="F2"/>
        </w:rPr>
      </w:pPr>
    </w:p>
    <w:p w14:paraId="787773DD" w14:textId="6DDFFCFA" w:rsidR="009D37E3" w:rsidRPr="00770F9D" w:rsidRDefault="006902C9" w:rsidP="00400806">
      <w:pPr>
        <w:pStyle w:val="Heading2"/>
        <w:ind w:left="0" w:firstLine="284"/>
        <w:jc w:val="both"/>
        <w:rPr>
          <w:rFonts w:ascii="Garamond" w:hAnsi="Garamond" w:cs="Garamond"/>
          <w:b/>
          <w:bCs/>
          <w:color w:val="0D0D0D"/>
        </w:rPr>
      </w:pPr>
      <w:bookmarkStart w:id="49" w:name="_Toc484076186"/>
      <w:bookmarkStart w:id="50" w:name="_Toc62805596"/>
      <w:r w:rsidRPr="00770F9D">
        <w:rPr>
          <w:rFonts w:ascii="Garamond" w:hAnsi="Garamond" w:cs="Garamond"/>
          <w:b/>
          <w:bCs/>
          <w:color w:val="0D0D0D"/>
        </w:rPr>
        <w:t>5</w:t>
      </w:r>
      <w:r w:rsidR="009D37E3" w:rsidRPr="00770F9D">
        <w:rPr>
          <w:rFonts w:ascii="Garamond" w:hAnsi="Garamond" w:cs="Garamond"/>
          <w:b/>
          <w:bCs/>
          <w:color w:val="0D0D0D"/>
        </w:rPr>
        <w:t>.</w:t>
      </w:r>
      <w:r w:rsidRPr="00770F9D">
        <w:rPr>
          <w:rFonts w:ascii="Garamond" w:hAnsi="Garamond" w:cs="Garamond"/>
          <w:b/>
          <w:bCs/>
          <w:color w:val="0D0D0D"/>
        </w:rPr>
        <w:t>2</w:t>
      </w:r>
      <w:r w:rsidR="00BA4F1A" w:rsidRPr="00770F9D">
        <w:rPr>
          <w:rFonts w:ascii="Garamond" w:hAnsi="Garamond" w:cs="Garamond"/>
          <w:b/>
          <w:bCs/>
          <w:color w:val="0D0D0D"/>
        </w:rPr>
        <w:t xml:space="preserve"> </w:t>
      </w:r>
      <w:r w:rsidR="009D37E3" w:rsidRPr="00770F9D">
        <w:rPr>
          <w:rFonts w:ascii="Garamond" w:hAnsi="Garamond" w:cs="Garamond"/>
          <w:b/>
          <w:bCs/>
          <w:color w:val="0D0D0D"/>
        </w:rPr>
        <w:t>Analiza e pengesave në fusha të tjera</w:t>
      </w:r>
    </w:p>
    <w:p w14:paraId="19A4E950" w14:textId="4652B469" w:rsidR="009D37E3" w:rsidRPr="00770F9D" w:rsidRDefault="006902C9" w:rsidP="00400806">
      <w:pPr>
        <w:pStyle w:val="Heading3"/>
        <w:ind w:left="0" w:firstLine="284"/>
        <w:jc w:val="both"/>
        <w:rPr>
          <w:rFonts w:ascii="Garamond" w:hAnsi="Garamond" w:cs="Garamond"/>
          <w:b/>
          <w:bCs/>
          <w:color w:val="0D0D0D"/>
          <w:sz w:val="24"/>
          <w:szCs w:val="24"/>
        </w:rPr>
      </w:pPr>
      <w:r w:rsidRPr="00770F9D">
        <w:rPr>
          <w:rFonts w:ascii="Garamond" w:hAnsi="Garamond" w:cs="Garamond"/>
          <w:b/>
          <w:bCs/>
          <w:color w:val="0D0D0D"/>
          <w:sz w:val="24"/>
          <w:szCs w:val="24"/>
        </w:rPr>
        <w:t>5</w:t>
      </w:r>
      <w:r w:rsidR="009D37E3" w:rsidRPr="00770F9D">
        <w:rPr>
          <w:rFonts w:ascii="Garamond" w:hAnsi="Garamond" w:cs="Garamond"/>
          <w:b/>
          <w:bCs/>
          <w:color w:val="0D0D0D"/>
          <w:sz w:val="24"/>
          <w:szCs w:val="24"/>
        </w:rPr>
        <w:t>.</w:t>
      </w:r>
      <w:r w:rsidRPr="00770F9D">
        <w:rPr>
          <w:rFonts w:ascii="Garamond" w:hAnsi="Garamond" w:cs="Garamond"/>
          <w:b/>
          <w:bCs/>
          <w:color w:val="0D0D0D"/>
          <w:sz w:val="24"/>
          <w:szCs w:val="24"/>
        </w:rPr>
        <w:t>2</w:t>
      </w:r>
      <w:r w:rsidR="009D37E3" w:rsidRPr="00770F9D">
        <w:rPr>
          <w:rFonts w:ascii="Garamond" w:hAnsi="Garamond" w:cs="Garamond"/>
          <w:b/>
          <w:bCs/>
          <w:color w:val="0D0D0D"/>
          <w:sz w:val="24"/>
          <w:szCs w:val="24"/>
        </w:rPr>
        <w:t>.1</w:t>
      </w:r>
      <w:r w:rsidR="00BA4F1A" w:rsidRPr="00770F9D">
        <w:rPr>
          <w:rFonts w:ascii="Garamond" w:hAnsi="Garamond" w:cs="Garamond"/>
          <w:b/>
          <w:bCs/>
          <w:color w:val="0D0D0D"/>
          <w:sz w:val="24"/>
          <w:szCs w:val="24"/>
        </w:rPr>
        <w:t xml:space="preserve"> </w:t>
      </w:r>
      <w:r w:rsidR="009D37E3" w:rsidRPr="00770F9D">
        <w:rPr>
          <w:rFonts w:ascii="Garamond" w:hAnsi="Garamond" w:cs="Garamond"/>
          <w:b/>
          <w:bCs/>
          <w:color w:val="0D0D0D"/>
          <w:sz w:val="24"/>
          <w:szCs w:val="24"/>
        </w:rPr>
        <w:t>Menaxhimi i financave publike</w:t>
      </w:r>
    </w:p>
    <w:p w14:paraId="669757A2" w14:textId="20436B83" w:rsidR="009D37E3" w:rsidRPr="00770F9D" w:rsidRDefault="009D37E3" w:rsidP="00400806">
      <w:pPr>
        <w:pStyle w:val="Heading4"/>
        <w:ind w:left="0" w:firstLine="284"/>
        <w:jc w:val="both"/>
        <w:rPr>
          <w:rFonts w:ascii="Garamond" w:hAnsi="Garamond" w:cs="Garamond"/>
          <w:b w:val="0"/>
          <w:bCs w:val="0"/>
          <w:i/>
          <w:iCs/>
          <w:color w:val="0D0D0D"/>
          <w:sz w:val="24"/>
          <w:szCs w:val="24"/>
        </w:rPr>
      </w:pPr>
      <w:r w:rsidRPr="00770F9D">
        <w:rPr>
          <w:rFonts w:ascii="Garamond" w:hAnsi="Garamond" w:cs="Garamond"/>
          <w:b w:val="0"/>
          <w:bCs w:val="0"/>
          <w:i/>
          <w:iCs/>
          <w:color w:val="0D0D0D"/>
          <w:sz w:val="24"/>
          <w:szCs w:val="24"/>
        </w:rPr>
        <w:t>a</w:t>
      </w:r>
      <w:r w:rsidR="006D7C1A" w:rsidRPr="00770F9D">
        <w:rPr>
          <w:rFonts w:ascii="Garamond" w:hAnsi="Garamond" w:cs="Garamond"/>
          <w:b w:val="0"/>
          <w:bCs w:val="0"/>
          <w:i/>
          <w:iCs/>
          <w:color w:val="0D0D0D"/>
          <w:sz w:val="24"/>
          <w:szCs w:val="24"/>
        </w:rPr>
        <w:t>)</w:t>
      </w:r>
      <w:r w:rsidR="00BA4F1A" w:rsidRPr="00770F9D">
        <w:rPr>
          <w:rFonts w:ascii="Garamond" w:hAnsi="Garamond" w:cs="Garamond"/>
          <w:b w:val="0"/>
          <w:bCs w:val="0"/>
          <w:i/>
          <w:iCs/>
          <w:color w:val="0D0D0D"/>
          <w:sz w:val="24"/>
          <w:szCs w:val="24"/>
        </w:rPr>
        <w:t xml:space="preserve"> </w:t>
      </w:r>
      <w:r w:rsidRPr="00770F9D">
        <w:rPr>
          <w:rFonts w:ascii="Garamond" w:hAnsi="Garamond" w:cs="Garamond"/>
          <w:b w:val="0"/>
          <w:bCs w:val="0"/>
          <w:i/>
          <w:iCs/>
          <w:color w:val="0D0D0D"/>
          <w:sz w:val="24"/>
          <w:szCs w:val="24"/>
        </w:rPr>
        <w:t>Analiza e pengesave kryesore</w:t>
      </w:r>
    </w:p>
    <w:p w14:paraId="5709DD2F" w14:textId="17FBA7FD" w:rsidR="009D37E3" w:rsidRPr="00770F9D" w:rsidRDefault="009D37E3" w:rsidP="00400806">
      <w:pPr>
        <w:ind w:firstLine="284"/>
        <w:jc w:val="both"/>
        <w:rPr>
          <w:rFonts w:ascii="Garamond" w:hAnsi="Garamond" w:cs="Garamond"/>
          <w:b/>
          <w:bCs/>
          <w:color w:val="0D0D0D"/>
        </w:rPr>
      </w:pPr>
      <w:r w:rsidRPr="00770F9D">
        <w:rPr>
          <w:rFonts w:ascii="Garamond" w:hAnsi="Garamond" w:cs="Garamond"/>
          <w:color w:val="0D0D0D"/>
        </w:rPr>
        <w:t xml:space="preserve">Pengesat kryesore që lidhen me </w:t>
      </w:r>
      <w:r w:rsidR="00575DCE" w:rsidRPr="00770F9D">
        <w:rPr>
          <w:rFonts w:ascii="Garamond" w:hAnsi="Garamond" w:cs="Garamond"/>
          <w:color w:val="0D0D0D"/>
        </w:rPr>
        <w:t xml:space="preserve">investimet strategjike publike </w:t>
      </w:r>
      <w:r w:rsidRPr="00770F9D">
        <w:rPr>
          <w:rFonts w:ascii="Garamond" w:hAnsi="Garamond" w:cs="Garamond"/>
          <w:color w:val="0D0D0D"/>
        </w:rPr>
        <w:t>janë renditur</w:t>
      </w:r>
      <w:r w:rsidR="00575DCE" w:rsidRPr="00770F9D">
        <w:rPr>
          <w:rFonts w:ascii="Garamond" w:hAnsi="Garamond" w:cs="Garamond"/>
          <w:color w:val="0D0D0D"/>
        </w:rPr>
        <w:t>,</w:t>
      </w:r>
      <w:r w:rsidRPr="00770F9D">
        <w:rPr>
          <w:rFonts w:ascii="Garamond" w:hAnsi="Garamond" w:cs="Garamond"/>
          <w:color w:val="0D0D0D"/>
        </w:rPr>
        <w:t xml:space="preserve"> si më poshtë: </w:t>
      </w:r>
    </w:p>
    <w:p w14:paraId="30772D2A" w14:textId="72DDBAB7" w:rsidR="009D37E3" w:rsidRPr="00770F9D" w:rsidRDefault="006902C9" w:rsidP="00400806">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009D37E3" w:rsidRPr="00770F9D">
        <w:rPr>
          <w:rFonts w:ascii="Garamond" w:hAnsi="Garamond" w:cs="Garamond"/>
          <w:color w:val="0D0D0D"/>
          <w:sz w:val="24"/>
          <w:szCs w:val="24"/>
          <w:lang w:val="sq-AL"/>
        </w:rPr>
        <w:t>Planet tepër optimiste, hartimi joadekuat i projekteve, mungesa e planifikimit të fondeve për projekte afatgjata, alokimet e shumta gjatë vitit, ndarja e projekteve dhe kapaciteti relativisht i dobët i menaxhimit të projekteve kanë kontribuar në joefikasitetin në ofrimin e Menaxhimit të Investimeve Publike (MIP).</w:t>
      </w:r>
    </w:p>
    <w:p w14:paraId="670C7CF9" w14:textId="1F338953" w:rsidR="009D37E3" w:rsidRPr="00770F9D" w:rsidRDefault="006902C9" w:rsidP="00400806">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009D37E3" w:rsidRPr="00770F9D">
        <w:rPr>
          <w:rFonts w:ascii="Garamond" w:hAnsi="Garamond" w:cs="Garamond"/>
          <w:color w:val="0D0D0D"/>
          <w:sz w:val="24"/>
          <w:szCs w:val="24"/>
          <w:lang w:val="sq-AL"/>
        </w:rPr>
        <w:t xml:space="preserve">Brenda MFE-së, kapaciteti për vlerësimin, monitorimin dhe menaxhimin e të gjitha investimeve publike duke përfshirë PPP-të është i fragmentuar. </w:t>
      </w:r>
    </w:p>
    <w:p w14:paraId="652338B1" w14:textId="01E76E3B" w:rsidR="009D37E3" w:rsidRPr="00770F9D" w:rsidRDefault="006902C9" w:rsidP="00400806">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009D37E3" w:rsidRPr="00770F9D">
        <w:rPr>
          <w:rFonts w:ascii="Garamond" w:hAnsi="Garamond" w:cs="Garamond"/>
          <w:color w:val="0D0D0D"/>
          <w:sz w:val="24"/>
          <w:szCs w:val="24"/>
          <w:lang w:val="sq-AL"/>
        </w:rPr>
        <w:t xml:space="preserve">Mungesa e rregullave/kritereve të qarta në lidhje me përzgjedhjen dhe përfshirjen e projekteve të propozuara në </w:t>
      </w:r>
      <w:r w:rsidR="00790B4F" w:rsidRPr="00770F9D">
        <w:rPr>
          <w:rFonts w:ascii="Garamond" w:hAnsi="Garamond" w:cs="Garamond"/>
          <w:color w:val="0D0D0D"/>
          <w:sz w:val="24"/>
          <w:szCs w:val="24"/>
          <w:lang w:val="sq-AL"/>
        </w:rPr>
        <w:t>programin buxhetor afatmesëm</w:t>
      </w:r>
      <w:r w:rsidR="009D37E3" w:rsidRPr="00770F9D">
        <w:rPr>
          <w:rFonts w:ascii="Garamond" w:hAnsi="Garamond" w:cs="Garamond"/>
          <w:color w:val="0D0D0D"/>
          <w:sz w:val="24"/>
          <w:szCs w:val="24"/>
          <w:lang w:val="sq-AL"/>
        </w:rPr>
        <w:t xml:space="preserve">. </w:t>
      </w:r>
    </w:p>
    <w:p w14:paraId="74294413" w14:textId="04256D75" w:rsidR="006B6BA8" w:rsidRPr="00770F9D" w:rsidRDefault="006B6BA8"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Koncepti i përgjegjshmërisë menaxheriale është i lidhur ngushtë me konceptin e kontrollit të brendshëm financiar publik dhe shërben për të përmirësuar cilësinë e menaxhimit të financave publike. Konkretisht, përgjegjshmëria menaxheriale është një proces ku menaxherët në të gjitha nivelet janë të përgjegjshëm dhe mund t’u kërkohet të shpjegojnë vendimet dhe veprimet e ndërmarra për të përmbushur objektivat e njësisë që ata menaxhojnë. Menaxheri është</w:t>
      </w:r>
      <w:r w:rsid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gjithashtu</w:t>
      </w:r>
      <w:r w:rsidR="00770F9D">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përgjegjës për krijimin e të gjitha parakushteve të nevojshme, veçanërisht për funksionimin efektiv të sistemit të menaxhimit financiar dhe kontrollit, për të siguruar përdorimin e ligjshëm, të qëllimshëm dhe të duhur të fondeve publike. Përgjegjshmëria menaxheriale nënkupton përgjegjësinë për menaxhim të shëndoshë financiar në të gjitha nivelet, domethënë organizimin, procedurat dhe raportimin e duhur të rezultateve të njësisë. </w:t>
      </w:r>
    </w:p>
    <w:p w14:paraId="2FA08DA2" w14:textId="689F3FE3" w:rsidR="006B6BA8" w:rsidRPr="00770F9D" w:rsidRDefault="006B6BA8" w:rsidP="00770F9D">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Në mënyrë të vazhdueshme, Ministria e Financave dhe Ekonomisë ofron mbështetjen e saj me synimin kryesor garantimin e një sistemi efektiv dhe funksional të kontrollit të brendshëm që promovon transparencën, llogaridhënien dhe efikasitetin në menaxhimin dhe përdorimin e burimeve publike. Kuadri ligjor dhe rregullator në fushën e kontrollit të brendshëm është krijuar në përputhje me standardet dhe praktikat më të mira ndërkombëtare. Ai përcakton konceptin e përgjegjshmërisë menaxheriale si dhe element</w:t>
      </w:r>
      <w:r w:rsidR="00770F9D">
        <w:rPr>
          <w:rFonts w:ascii="Garamond" w:hAnsi="Garamond" w:cstheme="majorBidi"/>
          <w:color w:val="0D0D0D" w:themeColor="text1" w:themeTint="F2"/>
        </w:rPr>
        <w:t>e</w:t>
      </w:r>
      <w:r w:rsidRPr="00770F9D">
        <w:rPr>
          <w:rFonts w:ascii="Garamond" w:hAnsi="Garamond" w:cstheme="majorBidi"/>
          <w:color w:val="0D0D0D" w:themeColor="text1" w:themeTint="F2"/>
        </w:rPr>
        <w:t xml:space="preserve"> të tjer</w:t>
      </w:r>
      <w:r w:rsidR="00770F9D">
        <w:rPr>
          <w:rFonts w:ascii="Garamond" w:hAnsi="Garamond" w:cstheme="majorBidi"/>
          <w:color w:val="0D0D0D" w:themeColor="text1" w:themeTint="F2"/>
        </w:rPr>
        <w:t>a,</w:t>
      </w:r>
      <w:r w:rsidRPr="00770F9D">
        <w:rPr>
          <w:rFonts w:ascii="Garamond" w:hAnsi="Garamond" w:cstheme="majorBidi"/>
          <w:color w:val="0D0D0D" w:themeColor="text1" w:themeTint="F2"/>
        </w:rPr>
        <w:t xml:space="preserve"> që lidhen me këtë koncept (përcaktimi i strukturave organizative, lidhja e objektivave strategjik</w:t>
      </w:r>
      <w:r w:rsidR="00770F9D">
        <w:rPr>
          <w:rFonts w:ascii="Garamond" w:hAnsi="Garamond" w:cstheme="majorBidi"/>
          <w:color w:val="0D0D0D" w:themeColor="text1" w:themeTint="F2"/>
        </w:rPr>
        <w:t>ë</w:t>
      </w:r>
      <w:r w:rsidRPr="00770F9D">
        <w:rPr>
          <w:rFonts w:ascii="Garamond" w:hAnsi="Garamond" w:cstheme="majorBidi"/>
          <w:color w:val="0D0D0D" w:themeColor="text1" w:themeTint="F2"/>
        </w:rPr>
        <w:t xml:space="preserve"> dhe operacional</w:t>
      </w:r>
      <w:r w:rsidR="00770F9D">
        <w:rPr>
          <w:rFonts w:ascii="Garamond" w:hAnsi="Garamond" w:cstheme="majorBidi"/>
          <w:color w:val="0D0D0D" w:themeColor="text1" w:themeTint="F2"/>
        </w:rPr>
        <w:t>ë</w:t>
      </w:r>
      <w:r w:rsidRPr="00770F9D">
        <w:rPr>
          <w:rFonts w:ascii="Garamond" w:hAnsi="Garamond" w:cstheme="majorBidi"/>
          <w:color w:val="0D0D0D" w:themeColor="text1" w:themeTint="F2"/>
        </w:rPr>
        <w:t>, procedurat e delegimit, monitorimi i zbatimit të objektivave dhe linjat e raportimit). Gjithashtu, dhënia e asistencës teknike dhe aktivitetet e ndërmarra në kuadër të zbatimit të instrumenteve të menaxhimit financiar dhe kontrollit kanë ndihmuar në përmirësimin e performancës dhe funksionalitetit të sistemit të kontrollit të brendshëm në njësitë publike.</w:t>
      </w:r>
    </w:p>
    <w:p w14:paraId="2DCFEE35" w14:textId="792C1A07" w:rsidR="009D37E3" w:rsidRPr="00770F9D" w:rsidRDefault="009D37E3" w:rsidP="00400806">
      <w:pPr>
        <w:ind w:firstLine="284"/>
        <w:jc w:val="both"/>
        <w:rPr>
          <w:rFonts w:ascii="Garamond" w:hAnsi="Garamond" w:cs="Garamond"/>
          <w:color w:val="0D0D0D"/>
        </w:rPr>
      </w:pPr>
      <w:r w:rsidRPr="00770F9D">
        <w:rPr>
          <w:rFonts w:ascii="Garamond" w:hAnsi="Garamond" w:cs="Garamond"/>
          <w:color w:val="0D0D0D"/>
        </w:rPr>
        <w:t>Pavarësisht fazës aktuale të zhvillimit të sistemit të kontrollit të brendshëm dhe përgjegjshmërisë menaxheriale në veçanti, ka ende punë për të bërë në drejtim të forcimit të mekanizmave bazë të këtij sistemi.</w:t>
      </w:r>
      <w:r w:rsidR="00E428F5">
        <w:rPr>
          <w:rFonts w:ascii="Garamond" w:hAnsi="Garamond" w:cs="Garamond"/>
          <w:color w:val="0D0D0D"/>
        </w:rPr>
        <w:t xml:space="preserve"> </w:t>
      </w:r>
      <w:r w:rsidRPr="00770F9D">
        <w:rPr>
          <w:rFonts w:ascii="Garamond" w:hAnsi="Garamond" w:cs="Garamond"/>
          <w:color w:val="0D0D0D"/>
        </w:rPr>
        <w:t>Disa nga pengesat dhe sfidat kryesore</w:t>
      </w:r>
      <w:r w:rsidR="00E428F5">
        <w:rPr>
          <w:rFonts w:ascii="Garamond" w:hAnsi="Garamond" w:cs="Garamond"/>
          <w:color w:val="0D0D0D"/>
        </w:rPr>
        <w:t>,</w:t>
      </w:r>
      <w:r w:rsidRPr="00770F9D">
        <w:rPr>
          <w:rFonts w:ascii="Garamond" w:hAnsi="Garamond" w:cs="Garamond"/>
          <w:color w:val="0D0D0D"/>
        </w:rPr>
        <w:t xml:space="preserve"> në lidhje me zbatimin e llogaridhënies menaxheriale janë:</w:t>
      </w:r>
    </w:p>
    <w:p w14:paraId="1CF23C9A" w14:textId="18321338" w:rsidR="009D37E3" w:rsidRPr="00770F9D" w:rsidRDefault="00083A8B" w:rsidP="00400806">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009D37E3" w:rsidRPr="00770F9D">
        <w:rPr>
          <w:rFonts w:ascii="Garamond" w:hAnsi="Garamond" w:cs="Garamond"/>
          <w:color w:val="0D0D0D"/>
          <w:sz w:val="24"/>
          <w:szCs w:val="24"/>
          <w:lang w:val="sq-AL"/>
        </w:rPr>
        <w:t>Niveli i ulët i të kuptuarit të koncepteve dhe sistemit të përgjegjshmërisë menaxheriale (menaxherët përpiqen të kontrollojnë çdo detaj që çon në një sistem të centralizuar përgjegjësie);</w:t>
      </w:r>
    </w:p>
    <w:p w14:paraId="140B8F27" w14:textId="3A6ECF3E" w:rsidR="009D37E3" w:rsidRPr="00770F9D" w:rsidRDefault="00083A8B" w:rsidP="00400806">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009D37E3" w:rsidRPr="00770F9D">
        <w:rPr>
          <w:rFonts w:ascii="Garamond" w:hAnsi="Garamond" w:cs="Garamond"/>
          <w:color w:val="0D0D0D"/>
          <w:sz w:val="24"/>
          <w:szCs w:val="24"/>
          <w:lang w:val="sq-AL"/>
        </w:rPr>
        <w:t>Mungesa e delegimit ose procedurat e paqarta të delegimit që nuk lejojnë identifikimin e përgjegjshmërive menaxheriale dhe për rrjedhojë çojnë në mangësi në arritjen dhe raportimin e rezultateve;</w:t>
      </w:r>
    </w:p>
    <w:p w14:paraId="1A7F8F48" w14:textId="5B3A8900" w:rsidR="009D37E3" w:rsidRPr="00770F9D" w:rsidRDefault="00083A8B" w:rsidP="00400806">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009D37E3" w:rsidRPr="00770F9D">
        <w:rPr>
          <w:rFonts w:ascii="Garamond" w:hAnsi="Garamond" w:cs="Garamond"/>
          <w:color w:val="0D0D0D"/>
          <w:sz w:val="24"/>
          <w:szCs w:val="24"/>
          <w:lang w:val="sq-AL"/>
        </w:rPr>
        <w:t>Niveli i ulët i ndërgjegjësimit të menaxherëve për marrjen e masave për adresimin e problemeve dhe përcaktimin e qartë të termave, rregullave dhe procedurave që duhen ndjekur në procesin e delegimit të detyrave brenda njësisë publike;</w:t>
      </w:r>
    </w:p>
    <w:p w14:paraId="2AA874E8" w14:textId="688134BF" w:rsidR="009D37E3" w:rsidRPr="00770F9D" w:rsidRDefault="00083A8B" w:rsidP="00400806">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009D37E3" w:rsidRPr="00770F9D">
        <w:rPr>
          <w:rFonts w:ascii="Garamond" w:hAnsi="Garamond" w:cs="Garamond"/>
          <w:color w:val="0D0D0D"/>
          <w:sz w:val="24"/>
          <w:szCs w:val="24"/>
          <w:lang w:val="sq-AL"/>
        </w:rPr>
        <w:t>Mungesa në hartimin dhe miratimin e bazës rregullatore të brendshme për raportet e përhershme standarde, të cilat duhet t’i raportohen titullarit të institucionit dhe drejtuesve të tjerë të strukturave të institucionit;</w:t>
      </w:r>
    </w:p>
    <w:p w14:paraId="1B99A128" w14:textId="2BEF7E26" w:rsidR="009D37E3" w:rsidRPr="00770F9D" w:rsidRDefault="00083A8B" w:rsidP="00400806">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009D37E3" w:rsidRPr="00770F9D">
        <w:rPr>
          <w:rFonts w:ascii="Garamond" w:hAnsi="Garamond" w:cs="Garamond"/>
          <w:color w:val="0D0D0D"/>
          <w:sz w:val="24"/>
          <w:szCs w:val="24"/>
          <w:lang w:val="sq-AL"/>
        </w:rPr>
        <w:t>Zbatimi i gabuar i mekanizmave të llogaridhënies menaxheriale</w:t>
      </w:r>
      <w:r w:rsidR="00E428F5">
        <w:rPr>
          <w:rFonts w:ascii="Garamond" w:hAnsi="Garamond" w:cs="Garamond"/>
          <w:color w:val="0D0D0D"/>
          <w:sz w:val="24"/>
          <w:szCs w:val="24"/>
          <w:lang w:val="sq-AL"/>
        </w:rPr>
        <w:t>,</w:t>
      </w:r>
      <w:r w:rsidR="009D37E3" w:rsidRPr="00770F9D">
        <w:rPr>
          <w:rFonts w:ascii="Garamond" w:hAnsi="Garamond" w:cs="Garamond"/>
          <w:color w:val="0D0D0D"/>
          <w:sz w:val="24"/>
          <w:szCs w:val="24"/>
          <w:lang w:val="sq-AL"/>
        </w:rPr>
        <w:t xml:space="preserve"> si pasojë e ndryshimeve të shpeshta të drejtuesve apo stafit me përvojë të njësive publike.</w:t>
      </w:r>
    </w:p>
    <w:p w14:paraId="6CF9DA52" w14:textId="7EC2A495" w:rsidR="009D37E3" w:rsidRPr="00770F9D" w:rsidRDefault="00083A8B" w:rsidP="00E428F5">
      <w:pPr>
        <w:pStyle w:val="Heading4"/>
        <w:ind w:left="0" w:firstLine="284"/>
        <w:jc w:val="both"/>
        <w:rPr>
          <w:rFonts w:ascii="Garamond" w:hAnsi="Garamond" w:cs="Garamond"/>
          <w:b w:val="0"/>
          <w:bCs w:val="0"/>
          <w:i/>
          <w:iCs/>
          <w:color w:val="0D0D0D"/>
          <w:sz w:val="24"/>
          <w:szCs w:val="24"/>
        </w:rPr>
      </w:pPr>
      <w:r w:rsidRPr="00770F9D">
        <w:rPr>
          <w:rFonts w:ascii="Garamond" w:hAnsi="Garamond" w:cs="Garamond"/>
          <w:b w:val="0"/>
          <w:bCs w:val="0"/>
          <w:i/>
          <w:iCs/>
          <w:color w:val="0D0D0D"/>
          <w:sz w:val="24"/>
          <w:szCs w:val="24"/>
        </w:rPr>
        <w:t>b</w:t>
      </w:r>
      <w:r w:rsidR="00E428F5">
        <w:rPr>
          <w:rFonts w:ascii="Garamond" w:hAnsi="Garamond" w:cs="Garamond"/>
          <w:b w:val="0"/>
          <w:bCs w:val="0"/>
          <w:i/>
          <w:iCs/>
          <w:color w:val="0D0D0D"/>
          <w:sz w:val="24"/>
          <w:szCs w:val="24"/>
        </w:rPr>
        <w:t>)</w:t>
      </w:r>
      <w:r w:rsidR="00BA4F1A" w:rsidRPr="00770F9D">
        <w:rPr>
          <w:rFonts w:ascii="Garamond" w:hAnsi="Garamond" w:cs="Garamond"/>
          <w:b w:val="0"/>
          <w:bCs w:val="0"/>
          <w:i/>
          <w:iCs/>
          <w:color w:val="0D0D0D"/>
          <w:sz w:val="24"/>
          <w:szCs w:val="24"/>
        </w:rPr>
        <w:t xml:space="preserve"> </w:t>
      </w:r>
      <w:r w:rsidR="009D37E3" w:rsidRPr="00770F9D">
        <w:rPr>
          <w:rFonts w:ascii="Garamond" w:hAnsi="Garamond" w:cs="Garamond"/>
          <w:b w:val="0"/>
          <w:bCs w:val="0"/>
          <w:i/>
          <w:iCs/>
          <w:color w:val="0D0D0D"/>
          <w:sz w:val="24"/>
          <w:szCs w:val="24"/>
        </w:rPr>
        <w:t>Masat e reformës</w:t>
      </w:r>
    </w:p>
    <w:p w14:paraId="48396510" w14:textId="77777777" w:rsidR="009D37E3" w:rsidRPr="00770F9D" w:rsidRDefault="009D37E3" w:rsidP="00400806">
      <w:pPr>
        <w:pStyle w:val="Heading5"/>
        <w:ind w:left="0" w:firstLine="284"/>
        <w:jc w:val="both"/>
        <w:rPr>
          <w:rFonts w:ascii="Garamond" w:hAnsi="Garamond" w:cs="Garamond"/>
          <w:i w:val="0"/>
          <w:iCs/>
          <w:color w:val="0D0D0D"/>
          <w:sz w:val="24"/>
          <w:szCs w:val="24"/>
        </w:rPr>
      </w:pPr>
      <w:r w:rsidRPr="00770F9D">
        <w:rPr>
          <w:rFonts w:ascii="Garamond" w:hAnsi="Garamond" w:cs="Garamond"/>
          <w:i w:val="0"/>
          <w:iCs/>
          <w:color w:val="0D0D0D"/>
          <w:sz w:val="24"/>
          <w:szCs w:val="24"/>
        </w:rPr>
        <w:t>Masa e reformës 09: Investimet strategjike publike</w:t>
      </w:r>
    </w:p>
    <w:p w14:paraId="5CE6F898" w14:textId="6C6EDEBB" w:rsidR="009D37E3" w:rsidRPr="00770F9D" w:rsidRDefault="009D37E3" w:rsidP="00400806">
      <w:pPr>
        <w:pStyle w:val="Heading6"/>
        <w:numPr>
          <w:ilvl w:val="0"/>
          <w:numId w:val="0"/>
        </w:numPr>
        <w:ind w:firstLine="284"/>
        <w:rPr>
          <w:rFonts w:ascii="Garamond" w:hAnsi="Garamond" w:cs="Garamond"/>
          <w:color w:val="0D0D0D"/>
          <w:u w:val="none"/>
        </w:rPr>
      </w:pPr>
      <w:r w:rsidRPr="00770F9D">
        <w:rPr>
          <w:rFonts w:ascii="Garamond" w:hAnsi="Garamond" w:cs="Garamond"/>
          <w:color w:val="0D0D0D"/>
          <w:u w:val="none"/>
        </w:rPr>
        <w:t>1.</w:t>
      </w:r>
      <w:r w:rsidR="00BA4F1A" w:rsidRPr="00770F9D">
        <w:rPr>
          <w:rFonts w:ascii="Garamond" w:hAnsi="Garamond" w:cs="Garamond"/>
          <w:color w:val="0D0D0D"/>
          <w:u w:val="none"/>
        </w:rPr>
        <w:t xml:space="preserve"> </w:t>
      </w:r>
      <w:r w:rsidRPr="00770F9D">
        <w:rPr>
          <w:rFonts w:ascii="Garamond" w:hAnsi="Garamond" w:cs="Garamond"/>
          <w:color w:val="0D0D0D"/>
          <w:u w:val="none"/>
        </w:rPr>
        <w:t>Përshkrimi i masës</w:t>
      </w:r>
    </w:p>
    <w:p w14:paraId="23DBBAA2" w14:textId="77777777" w:rsidR="009D37E3" w:rsidRPr="00770F9D" w:rsidRDefault="009D37E3" w:rsidP="00400806">
      <w:pPr>
        <w:ind w:firstLine="284"/>
        <w:jc w:val="both"/>
        <w:rPr>
          <w:rFonts w:ascii="Garamond" w:hAnsi="Garamond" w:cs="Garamond"/>
          <w:color w:val="0D0D0D"/>
        </w:rPr>
      </w:pPr>
      <w:r w:rsidRPr="00770F9D">
        <w:rPr>
          <w:rFonts w:ascii="Garamond" w:hAnsi="Garamond" w:cs="Garamond"/>
          <w:color w:val="0D0D0D"/>
        </w:rPr>
        <w:t>Masa e propozuar e reformës për Investimet Strategjike Publike do të synojë:</w:t>
      </w:r>
    </w:p>
    <w:p w14:paraId="3F93A368" w14:textId="71D782D2" w:rsidR="009D37E3" w:rsidRPr="00770F9D" w:rsidRDefault="009D37E3" w:rsidP="00E428F5">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a</w:t>
      </w:r>
      <w:r w:rsidR="00E428F5">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Zhvillimin e një procedure të re MIP</w:t>
      </w:r>
      <w:r w:rsidR="00E428F5">
        <w:rPr>
          <w:rFonts w:ascii="Garamond" w:hAnsi="Garamond" w:cs="Garamond"/>
          <w:color w:val="0D0D0D"/>
          <w:sz w:val="24"/>
          <w:szCs w:val="24"/>
          <w:lang w:val="sq-AL"/>
        </w:rPr>
        <w:t>,</w:t>
      </w:r>
      <w:r w:rsidRPr="00770F9D">
        <w:rPr>
          <w:rFonts w:ascii="Garamond" w:hAnsi="Garamond" w:cs="Garamond"/>
          <w:color w:val="0D0D0D"/>
          <w:sz w:val="24"/>
          <w:szCs w:val="24"/>
          <w:lang w:val="sq-AL"/>
        </w:rPr>
        <w:t xml:space="preserve"> duke përfshirë PPP</w:t>
      </w:r>
      <w:r w:rsidR="00E428F5">
        <w:rPr>
          <w:rFonts w:ascii="Garamond" w:hAnsi="Garamond" w:cs="Garamond"/>
          <w:color w:val="0D0D0D"/>
          <w:sz w:val="24"/>
          <w:szCs w:val="24"/>
          <w:lang w:val="sq-AL"/>
        </w:rPr>
        <w:t>-në</w:t>
      </w:r>
      <w:r w:rsidRPr="00770F9D">
        <w:rPr>
          <w:rFonts w:ascii="Garamond" w:hAnsi="Garamond" w:cs="Garamond"/>
          <w:color w:val="0D0D0D"/>
          <w:sz w:val="24"/>
          <w:szCs w:val="24"/>
          <w:lang w:val="sq-AL"/>
        </w:rPr>
        <w:t>;</w:t>
      </w:r>
    </w:p>
    <w:p w14:paraId="1DF09C5C" w14:textId="78734475" w:rsidR="009D37E3" w:rsidRPr="00770F9D" w:rsidRDefault="009D37E3" w:rsidP="00E428F5">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b</w:t>
      </w:r>
      <w:r w:rsidR="00E428F5">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Forcimin e kapaciteteve në të gjithë qeverinë për të vlerësuar projektet e investimeve publike;</w:t>
      </w:r>
    </w:p>
    <w:p w14:paraId="32AB2527" w14:textId="73C2999D" w:rsidR="009D37E3" w:rsidRPr="00770F9D" w:rsidRDefault="009D37E3" w:rsidP="00E428F5">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c</w:t>
      </w:r>
      <w:r w:rsidR="00E428F5">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Përmirësimin e monitorimit të investimeve publike</w:t>
      </w:r>
      <w:r w:rsidR="00E428F5">
        <w:rPr>
          <w:rFonts w:ascii="Garamond" w:hAnsi="Garamond" w:cs="Garamond"/>
          <w:color w:val="0D0D0D"/>
          <w:sz w:val="24"/>
          <w:szCs w:val="24"/>
          <w:lang w:val="sq-AL"/>
        </w:rPr>
        <w:t>,</w:t>
      </w:r>
      <w:r w:rsidRPr="00770F9D">
        <w:rPr>
          <w:rFonts w:ascii="Garamond" w:hAnsi="Garamond" w:cs="Garamond"/>
          <w:color w:val="0D0D0D"/>
          <w:sz w:val="24"/>
          <w:szCs w:val="24"/>
          <w:lang w:val="sq-AL"/>
        </w:rPr>
        <w:t xml:space="preserve"> duke përfshirë projektet PPP dhe koncesionet.</w:t>
      </w:r>
    </w:p>
    <w:p w14:paraId="7342C8EC" w14:textId="59B92250" w:rsidR="009D37E3" w:rsidRPr="00770F9D" w:rsidRDefault="009D37E3" w:rsidP="00996F2C">
      <w:pPr>
        <w:ind w:firstLine="284"/>
        <w:jc w:val="both"/>
        <w:rPr>
          <w:rFonts w:ascii="Garamond" w:hAnsi="Garamond" w:cs="Garamond"/>
          <w:color w:val="0D0D0D"/>
        </w:rPr>
      </w:pPr>
      <w:r w:rsidRPr="00770F9D">
        <w:rPr>
          <w:rFonts w:ascii="Garamond" w:hAnsi="Garamond" w:cs="Garamond"/>
          <w:color w:val="0D0D0D"/>
        </w:rPr>
        <w:t>Në lidhje me forcimin e kapaciteteve të qeverisë për vlerësimin e projekteve të investimeve publike, Ministria e Financave dhe Ekonomisë, me mbështetjen e asistencës teknike të Bankës Botërore, kanë punuar dhe nga Këshilli i Ministrave është miratuar vendimi nr. 887, datë 27.12.2022</w:t>
      </w:r>
      <w:r w:rsidR="00E428F5">
        <w:rPr>
          <w:rFonts w:ascii="Garamond" w:hAnsi="Garamond" w:cs="Garamond"/>
          <w:color w:val="0D0D0D"/>
        </w:rPr>
        <w:t>,</w:t>
      </w:r>
      <w:r w:rsidRPr="00770F9D">
        <w:rPr>
          <w:rFonts w:ascii="Garamond" w:hAnsi="Garamond" w:cs="Garamond"/>
          <w:color w:val="0D0D0D"/>
        </w:rPr>
        <w:t xml:space="preserve"> “Për procedurat e menaxhimit të investimeve publike”</w:t>
      </w:r>
      <w:r w:rsidR="00E428F5">
        <w:rPr>
          <w:rFonts w:ascii="Garamond" w:hAnsi="Garamond" w:cs="Garamond"/>
          <w:color w:val="0D0D0D"/>
        </w:rPr>
        <w:t>,</w:t>
      </w:r>
      <w:r w:rsidRPr="00770F9D">
        <w:rPr>
          <w:rFonts w:ascii="Garamond" w:hAnsi="Garamond" w:cs="Garamond"/>
          <w:color w:val="0D0D0D"/>
        </w:rPr>
        <w:t xml:space="preserve"> i cili zëvendëson </w:t>
      </w:r>
      <w:r w:rsidR="00E428F5" w:rsidRPr="00770F9D">
        <w:rPr>
          <w:rFonts w:ascii="Garamond" w:hAnsi="Garamond" w:cs="Garamond"/>
          <w:color w:val="0D0D0D"/>
        </w:rPr>
        <w:t xml:space="preserve">vendimin </w:t>
      </w:r>
      <w:r w:rsidRPr="00770F9D">
        <w:rPr>
          <w:rFonts w:ascii="Garamond" w:hAnsi="Garamond" w:cs="Garamond"/>
          <w:color w:val="0D0D0D"/>
        </w:rPr>
        <w:t xml:space="preserve">e Këshillit </w:t>
      </w:r>
      <w:r w:rsidR="00E428F5">
        <w:rPr>
          <w:rFonts w:ascii="Garamond" w:hAnsi="Garamond" w:cs="Garamond"/>
          <w:color w:val="0D0D0D"/>
        </w:rPr>
        <w:t>të Ministrave nr. 185, datë 29.</w:t>
      </w:r>
      <w:r w:rsidRPr="00770F9D">
        <w:rPr>
          <w:rFonts w:ascii="Garamond" w:hAnsi="Garamond" w:cs="Garamond"/>
          <w:color w:val="0D0D0D"/>
        </w:rPr>
        <w:t>3.2018</w:t>
      </w:r>
      <w:r w:rsidR="00E428F5">
        <w:rPr>
          <w:rFonts w:ascii="Garamond" w:hAnsi="Garamond" w:cs="Garamond"/>
          <w:color w:val="0D0D0D"/>
        </w:rPr>
        <w:t>,</w:t>
      </w:r>
      <w:r w:rsidRPr="00770F9D">
        <w:rPr>
          <w:rFonts w:ascii="Garamond" w:hAnsi="Garamond" w:cs="Garamond"/>
          <w:color w:val="0D0D0D"/>
        </w:rPr>
        <w:t xml:space="preserve"> “Për procedurat e administrimit të investimeve publike”. </w:t>
      </w:r>
      <w:r w:rsidRPr="00770F9D">
        <w:rPr>
          <w:rFonts w:ascii="Garamond" w:hAnsi="Garamond" w:cs="Garamond"/>
        </w:rPr>
        <w:t>Një nga objektivat kryesor</w:t>
      </w:r>
      <w:r w:rsidR="00996F2C">
        <w:rPr>
          <w:rFonts w:ascii="Garamond" w:hAnsi="Garamond" w:cs="Garamond"/>
        </w:rPr>
        <w:t>ë</w:t>
      </w:r>
      <w:r w:rsidRPr="00770F9D">
        <w:rPr>
          <w:rFonts w:ascii="Garamond" w:hAnsi="Garamond" w:cs="Garamond"/>
        </w:rPr>
        <w:t xml:space="preserve"> të VKM-së së re është integrimi i procedurave të SASPAC</w:t>
      </w:r>
      <w:r w:rsidR="00C24E74">
        <w:rPr>
          <w:rFonts w:ascii="Garamond" w:hAnsi="Garamond" w:cs="Garamond"/>
        </w:rPr>
        <w:t>-së</w:t>
      </w:r>
      <w:r w:rsidRPr="00770F9D">
        <w:rPr>
          <w:rFonts w:ascii="Garamond" w:hAnsi="Garamond" w:cs="Garamond"/>
        </w:rPr>
        <w:t xml:space="preserve"> për vlerësimin e listës së projekteve strategjike (SKSP) dhe lidhja me Planifikimin Buxhetor Afatmesëm (PBA)</w:t>
      </w:r>
      <w:r w:rsidRPr="00770F9D">
        <w:rPr>
          <w:rFonts w:ascii="Garamond" w:hAnsi="Garamond" w:cs="Garamond"/>
          <w:color w:val="0D0D0D"/>
        </w:rPr>
        <w:t>;</w:t>
      </w:r>
    </w:p>
    <w:p w14:paraId="64230DF4" w14:textId="4E18A771" w:rsidR="009D37E3" w:rsidRPr="00770F9D" w:rsidRDefault="009D37E3" w:rsidP="00C24E74">
      <w:pPr>
        <w:ind w:firstLine="284"/>
        <w:jc w:val="both"/>
        <w:rPr>
          <w:rFonts w:ascii="Garamond" w:hAnsi="Garamond" w:cs="Garamond"/>
          <w:color w:val="0D0D0D"/>
        </w:rPr>
      </w:pPr>
      <w:r w:rsidRPr="00770F9D">
        <w:rPr>
          <w:rFonts w:ascii="Garamond" w:hAnsi="Garamond" w:cs="Garamond"/>
          <w:color w:val="0D0D0D"/>
        </w:rPr>
        <w:t>Objektiva të tjer</w:t>
      </w:r>
      <w:r w:rsidR="00C24E74">
        <w:rPr>
          <w:rFonts w:ascii="Garamond" w:hAnsi="Garamond" w:cs="Garamond"/>
          <w:color w:val="0D0D0D"/>
        </w:rPr>
        <w:t>ë</w:t>
      </w:r>
      <w:r w:rsidRPr="00770F9D">
        <w:rPr>
          <w:rFonts w:ascii="Garamond" w:hAnsi="Garamond" w:cs="Garamond"/>
          <w:color w:val="0D0D0D"/>
        </w:rPr>
        <w:t xml:space="preserve"> janë:</w:t>
      </w:r>
    </w:p>
    <w:p w14:paraId="2FDB2C2C" w14:textId="035327B4" w:rsidR="009D37E3" w:rsidRPr="00770F9D" w:rsidRDefault="00083A8B" w:rsidP="00C24E74">
      <w:pPr>
        <w:pStyle w:val="ListParagraph"/>
        <w:ind w:left="0" w:firstLine="284"/>
        <w:jc w:val="both"/>
        <w:rPr>
          <w:rFonts w:ascii="Garamond" w:hAnsi="Garamond" w:cs="Garamond"/>
          <w:color w:val="0D0D0D"/>
          <w:sz w:val="24"/>
          <w:szCs w:val="24"/>
          <w:lang w:val="sq-AL"/>
        </w:rPr>
      </w:pPr>
      <w:r w:rsidRPr="00770F9D">
        <w:rPr>
          <w:rFonts w:ascii="Garamond" w:hAnsi="Garamond" w:cs="Wingdings"/>
          <w:color w:val="0D0D0D"/>
          <w:sz w:val="24"/>
          <w:szCs w:val="24"/>
          <w:lang w:val="sq-AL"/>
        </w:rPr>
        <w:t>-</w:t>
      </w:r>
      <w:r w:rsidR="00BA4F1A" w:rsidRPr="00770F9D">
        <w:rPr>
          <w:rFonts w:ascii="Garamond" w:hAnsi="Garamond" w:cs="Wingdings"/>
          <w:color w:val="0D0D0D"/>
          <w:sz w:val="24"/>
          <w:szCs w:val="24"/>
          <w:lang w:val="sq-AL"/>
        </w:rPr>
        <w:t xml:space="preserve"> </w:t>
      </w:r>
      <w:r w:rsidR="009D37E3" w:rsidRPr="00770F9D">
        <w:rPr>
          <w:rFonts w:ascii="Garamond" w:hAnsi="Garamond" w:cs="Garamond"/>
          <w:color w:val="0D0D0D"/>
          <w:sz w:val="24"/>
          <w:szCs w:val="24"/>
          <w:lang w:val="sq-AL"/>
        </w:rPr>
        <w:t xml:space="preserve">Të përfshijë opsionin e financimit të PPP-së si seksion të veçantë në fazën e dorëzimit të </w:t>
      </w:r>
      <w:r w:rsidR="00C24E74" w:rsidRPr="00770F9D">
        <w:rPr>
          <w:rFonts w:ascii="Garamond" w:hAnsi="Garamond" w:cs="Garamond"/>
          <w:color w:val="0D0D0D"/>
          <w:sz w:val="24"/>
          <w:szCs w:val="24"/>
          <w:lang w:val="sq-AL"/>
        </w:rPr>
        <w:t>Formularit t</w:t>
      </w:r>
      <w:r w:rsidR="00C24E74">
        <w:rPr>
          <w:rFonts w:ascii="Garamond" w:hAnsi="Garamond" w:cs="Garamond"/>
          <w:color w:val="0D0D0D"/>
          <w:sz w:val="24"/>
          <w:szCs w:val="24"/>
          <w:lang w:val="sq-AL"/>
        </w:rPr>
        <w:t>ë</w:t>
      </w:r>
      <w:r w:rsidR="00C24E74" w:rsidRPr="00770F9D">
        <w:rPr>
          <w:rFonts w:ascii="Garamond" w:hAnsi="Garamond" w:cs="Garamond"/>
          <w:color w:val="0D0D0D"/>
          <w:sz w:val="24"/>
          <w:szCs w:val="24"/>
          <w:lang w:val="sq-AL"/>
        </w:rPr>
        <w:t xml:space="preserve"> propozimit </w:t>
      </w:r>
      <w:r w:rsidR="009D37E3" w:rsidRPr="00770F9D">
        <w:rPr>
          <w:rFonts w:ascii="Garamond" w:hAnsi="Garamond" w:cs="Garamond"/>
          <w:color w:val="0D0D0D"/>
          <w:sz w:val="24"/>
          <w:szCs w:val="24"/>
          <w:lang w:val="sq-AL"/>
        </w:rPr>
        <w:t>të Projektit, si dhe në studimin e fizibilitetit;</w:t>
      </w:r>
    </w:p>
    <w:p w14:paraId="063A685C" w14:textId="7F300CDC" w:rsidR="009D37E3" w:rsidRPr="00770F9D" w:rsidRDefault="00083A8B" w:rsidP="00EB64CA">
      <w:pPr>
        <w:pStyle w:val="ListParagraph"/>
        <w:ind w:left="0" w:firstLine="284"/>
        <w:jc w:val="both"/>
        <w:rPr>
          <w:rFonts w:ascii="Garamond" w:hAnsi="Garamond" w:cs="Garamond"/>
          <w:color w:val="0D0D0D"/>
          <w:sz w:val="24"/>
          <w:szCs w:val="24"/>
          <w:lang w:val="sq-AL"/>
        </w:rPr>
      </w:pPr>
      <w:r w:rsidRPr="00770F9D">
        <w:rPr>
          <w:rFonts w:ascii="Garamond" w:hAnsi="Garamond" w:cs="Wingdings"/>
          <w:color w:val="0D0D0D"/>
          <w:sz w:val="24"/>
          <w:szCs w:val="24"/>
          <w:lang w:val="sq-AL"/>
        </w:rPr>
        <w:t>-</w:t>
      </w:r>
      <w:r w:rsidR="00BA4F1A" w:rsidRPr="00770F9D">
        <w:rPr>
          <w:rFonts w:ascii="Garamond" w:hAnsi="Garamond" w:cs="Wingdings"/>
          <w:color w:val="0D0D0D"/>
          <w:sz w:val="24"/>
          <w:szCs w:val="24"/>
          <w:lang w:val="sq-AL"/>
        </w:rPr>
        <w:t xml:space="preserve"> </w:t>
      </w:r>
      <w:r w:rsidR="009D37E3" w:rsidRPr="00770F9D">
        <w:rPr>
          <w:rFonts w:ascii="Garamond" w:hAnsi="Garamond" w:cs="Garamond"/>
          <w:color w:val="0D0D0D"/>
          <w:sz w:val="24"/>
          <w:szCs w:val="24"/>
          <w:lang w:val="sq-AL"/>
        </w:rPr>
        <w:t xml:space="preserve">Përfshirja e </w:t>
      </w:r>
      <w:r w:rsidR="00C24E74" w:rsidRPr="00770F9D">
        <w:rPr>
          <w:rFonts w:ascii="Garamond" w:hAnsi="Garamond" w:cs="Garamond"/>
          <w:color w:val="0D0D0D"/>
          <w:sz w:val="24"/>
          <w:szCs w:val="24"/>
          <w:lang w:val="sq-AL"/>
        </w:rPr>
        <w:t xml:space="preserve">vlerësimit të ndikimit mjedisor </w:t>
      </w:r>
      <w:r w:rsidR="009D37E3" w:rsidRPr="00770F9D">
        <w:rPr>
          <w:rFonts w:ascii="Garamond" w:hAnsi="Garamond" w:cs="Garamond"/>
          <w:color w:val="0D0D0D"/>
          <w:sz w:val="24"/>
          <w:szCs w:val="24"/>
          <w:lang w:val="sq-AL"/>
        </w:rPr>
        <w:t xml:space="preserve">dhe </w:t>
      </w:r>
      <w:r w:rsidR="00C24E74" w:rsidRPr="00770F9D">
        <w:rPr>
          <w:rFonts w:ascii="Garamond" w:hAnsi="Garamond" w:cs="Garamond"/>
          <w:color w:val="0D0D0D"/>
          <w:sz w:val="24"/>
          <w:szCs w:val="24"/>
          <w:lang w:val="sq-AL"/>
        </w:rPr>
        <w:t xml:space="preserve">social </w:t>
      </w:r>
      <w:r w:rsidR="009D37E3" w:rsidRPr="00770F9D">
        <w:rPr>
          <w:rFonts w:ascii="Garamond" w:hAnsi="Garamond" w:cs="Garamond"/>
          <w:color w:val="0D0D0D"/>
          <w:sz w:val="24"/>
          <w:szCs w:val="24"/>
          <w:lang w:val="sq-AL"/>
        </w:rPr>
        <w:t xml:space="preserve">si pjesë e fazës së dorëzimit të </w:t>
      </w:r>
      <w:r w:rsidR="00C24E74" w:rsidRPr="00770F9D">
        <w:rPr>
          <w:rFonts w:ascii="Garamond" w:hAnsi="Garamond" w:cs="Garamond"/>
          <w:color w:val="0D0D0D"/>
          <w:sz w:val="24"/>
          <w:szCs w:val="24"/>
          <w:lang w:val="sq-AL"/>
        </w:rPr>
        <w:t xml:space="preserve">formularit </w:t>
      </w:r>
      <w:r w:rsidR="009D37E3" w:rsidRPr="00770F9D">
        <w:rPr>
          <w:rFonts w:ascii="Garamond" w:hAnsi="Garamond" w:cs="Garamond"/>
          <w:color w:val="0D0D0D"/>
          <w:sz w:val="24"/>
          <w:szCs w:val="24"/>
          <w:lang w:val="sq-AL"/>
        </w:rPr>
        <w:t>t</w:t>
      </w:r>
      <w:r w:rsidR="00EB64CA">
        <w:rPr>
          <w:rFonts w:ascii="Garamond" w:hAnsi="Garamond" w:cs="Garamond"/>
          <w:color w:val="0D0D0D"/>
          <w:sz w:val="24"/>
          <w:szCs w:val="24"/>
          <w:lang w:val="sq-AL"/>
        </w:rPr>
        <w:t xml:space="preserve">ë </w:t>
      </w:r>
      <w:r w:rsidR="00C24E74" w:rsidRPr="00770F9D">
        <w:rPr>
          <w:rFonts w:ascii="Garamond" w:hAnsi="Garamond" w:cs="Garamond"/>
          <w:color w:val="0D0D0D"/>
          <w:sz w:val="24"/>
          <w:szCs w:val="24"/>
          <w:lang w:val="sq-AL"/>
        </w:rPr>
        <w:t>propozimit të projektit</w:t>
      </w:r>
      <w:r w:rsidR="009D37E3" w:rsidRPr="00770F9D">
        <w:rPr>
          <w:rFonts w:ascii="Garamond" w:hAnsi="Garamond" w:cs="Garamond"/>
          <w:color w:val="0D0D0D"/>
          <w:sz w:val="24"/>
          <w:szCs w:val="24"/>
          <w:lang w:val="sq-AL"/>
        </w:rPr>
        <w:t>, si dhe në studimin e fizibilitetit;</w:t>
      </w:r>
    </w:p>
    <w:p w14:paraId="09C232C5" w14:textId="26A9BD36" w:rsidR="009D37E3" w:rsidRPr="00770F9D" w:rsidRDefault="00083A8B" w:rsidP="00400806">
      <w:pPr>
        <w:pStyle w:val="ListParagraph"/>
        <w:ind w:left="0" w:firstLine="284"/>
        <w:jc w:val="both"/>
        <w:rPr>
          <w:rFonts w:ascii="Garamond" w:hAnsi="Garamond" w:cs="Garamond"/>
          <w:color w:val="0D0D0D"/>
          <w:sz w:val="24"/>
          <w:szCs w:val="24"/>
          <w:lang w:val="sq-AL"/>
        </w:rPr>
      </w:pPr>
      <w:r w:rsidRPr="00770F9D">
        <w:rPr>
          <w:rFonts w:ascii="Garamond" w:hAnsi="Garamond" w:cs="Wingdings"/>
          <w:color w:val="0D0D0D"/>
          <w:sz w:val="24"/>
          <w:szCs w:val="24"/>
          <w:lang w:val="sq-AL"/>
        </w:rPr>
        <w:t>-</w:t>
      </w:r>
      <w:r w:rsidR="00BA4F1A" w:rsidRPr="00770F9D">
        <w:rPr>
          <w:rFonts w:ascii="Garamond" w:hAnsi="Garamond" w:cs="Wingdings"/>
          <w:color w:val="0D0D0D"/>
          <w:sz w:val="24"/>
          <w:szCs w:val="24"/>
          <w:lang w:val="sq-AL"/>
        </w:rPr>
        <w:t xml:space="preserve"> </w:t>
      </w:r>
      <w:r w:rsidR="009D37E3" w:rsidRPr="00770F9D">
        <w:rPr>
          <w:rFonts w:ascii="Garamond" w:hAnsi="Garamond" w:cs="Garamond"/>
          <w:color w:val="0D0D0D"/>
          <w:sz w:val="24"/>
          <w:szCs w:val="24"/>
          <w:lang w:val="sq-AL"/>
        </w:rPr>
        <w:t>Forcimi i procedurave për moslejimin e fragmentimit të projekteve;</w:t>
      </w:r>
    </w:p>
    <w:p w14:paraId="7A225C85" w14:textId="3A09A64D" w:rsidR="009D37E3" w:rsidRPr="00770F9D" w:rsidRDefault="00083A8B" w:rsidP="00400806">
      <w:pPr>
        <w:pStyle w:val="ListParagraph"/>
        <w:ind w:left="0" w:firstLine="284"/>
        <w:jc w:val="both"/>
        <w:rPr>
          <w:rFonts w:ascii="Garamond" w:hAnsi="Garamond" w:cs="Garamond"/>
          <w:color w:val="0D0D0D"/>
          <w:sz w:val="24"/>
          <w:szCs w:val="24"/>
          <w:lang w:val="sq-AL"/>
        </w:rPr>
      </w:pPr>
      <w:r w:rsidRPr="00770F9D">
        <w:rPr>
          <w:rFonts w:ascii="Garamond" w:hAnsi="Garamond" w:cs="Wingdings"/>
          <w:color w:val="0D0D0D"/>
          <w:sz w:val="24"/>
          <w:szCs w:val="24"/>
          <w:lang w:val="sq-AL"/>
        </w:rPr>
        <w:t>-</w:t>
      </w:r>
      <w:r w:rsidR="00BA4F1A" w:rsidRPr="00770F9D">
        <w:rPr>
          <w:rFonts w:ascii="Garamond" w:hAnsi="Garamond" w:cs="Wingdings"/>
          <w:color w:val="0D0D0D"/>
          <w:sz w:val="24"/>
          <w:szCs w:val="24"/>
          <w:lang w:val="sq-AL"/>
        </w:rPr>
        <w:t xml:space="preserve"> </w:t>
      </w:r>
      <w:r w:rsidR="009D37E3" w:rsidRPr="00770F9D">
        <w:rPr>
          <w:rFonts w:ascii="Garamond" w:hAnsi="Garamond" w:cs="Garamond"/>
          <w:color w:val="0D0D0D"/>
          <w:sz w:val="24"/>
          <w:szCs w:val="24"/>
          <w:lang w:val="sq-AL"/>
        </w:rPr>
        <w:t>Detyrim fondesh, jo vetëm në vitin e parë siç është në LOB (20%), por të paktën për vitin e dytë dhe të tretë, shuma prej të paktën 30%.</w:t>
      </w:r>
    </w:p>
    <w:p w14:paraId="403A7319" w14:textId="77777777" w:rsidR="009D37E3" w:rsidRPr="00770F9D" w:rsidRDefault="009D37E3" w:rsidP="00400806">
      <w:pPr>
        <w:ind w:firstLine="284"/>
        <w:jc w:val="both"/>
        <w:rPr>
          <w:rFonts w:ascii="Garamond" w:hAnsi="Garamond" w:cs="Garamond"/>
          <w:color w:val="0D0D0D"/>
        </w:rPr>
      </w:pPr>
      <w:r w:rsidRPr="00770F9D">
        <w:rPr>
          <w:rFonts w:ascii="Garamond" w:hAnsi="Garamond" w:cs="Garamond"/>
          <w:color w:val="0D0D0D"/>
        </w:rPr>
        <w:t xml:space="preserve">Ndryshimet përcaktojnë kuadrin rregullator dhe metodologjik për përgatitjen, miratimin, përditësimin, monitorimin dhe zbatimin e procedurave të MIP-së dhe procedurave të Listës Unike të Projekteve me Rëndësi Kombëtare. Miratimi i VKM-së do të pasohet nga të gjitha ndryshimet e nevojshme në udhëzimet </w:t>
      </w:r>
      <w:r w:rsidRPr="00770F9D">
        <w:rPr>
          <w:rFonts w:ascii="Garamond" w:hAnsi="Garamond" w:cs="Garamond"/>
        </w:rPr>
        <w:t>për institucionet qeveritare. Këto masa synohet të realizohen në gjysmën e parë të vitit 2023</w:t>
      </w:r>
      <w:r w:rsidRPr="00770F9D">
        <w:rPr>
          <w:rFonts w:ascii="Garamond" w:hAnsi="Garamond" w:cs="Garamond"/>
          <w:color w:val="0D0D0D"/>
        </w:rPr>
        <w:t>.</w:t>
      </w:r>
    </w:p>
    <w:p w14:paraId="1D5E610C" w14:textId="29F73746" w:rsidR="009D37E3" w:rsidRPr="00770F9D" w:rsidRDefault="009D37E3" w:rsidP="00400806">
      <w:pPr>
        <w:ind w:firstLine="284"/>
        <w:jc w:val="both"/>
        <w:rPr>
          <w:rFonts w:ascii="Garamond" w:hAnsi="Garamond" w:cs="Garamond"/>
          <w:color w:val="0D0D0D"/>
        </w:rPr>
      </w:pPr>
      <w:r w:rsidRPr="00770F9D">
        <w:rPr>
          <w:rFonts w:ascii="Garamond" w:hAnsi="Garamond" w:cs="Garamond"/>
          <w:color w:val="0D0D0D"/>
        </w:rPr>
        <w:t>Për të pasur një raport gjithëpërfshirës për investimet dhe koncesionet/PPP është e rëndësishme që të kemi një harmonizim të legjislacionit të MIP</w:t>
      </w:r>
      <w:r w:rsidR="00E51236">
        <w:rPr>
          <w:rFonts w:ascii="Garamond" w:hAnsi="Garamond" w:cs="Garamond"/>
          <w:color w:val="0D0D0D"/>
        </w:rPr>
        <w:t>-së</w:t>
      </w:r>
      <w:r w:rsidRPr="00770F9D">
        <w:rPr>
          <w:rFonts w:ascii="Garamond" w:hAnsi="Garamond" w:cs="Garamond"/>
          <w:color w:val="0D0D0D"/>
        </w:rPr>
        <w:t xml:space="preserve"> dhe PPP/Drejtoria e Koncesioneve, kështu që pas përfundimit të këtij procesi, ne mund të përgatisim një raport të plotë gjithëpërfshirës për investimet dhe koncesionet/PPP.</w:t>
      </w:r>
      <w:r w:rsidR="000D1CA5">
        <w:rPr>
          <w:rFonts w:ascii="Garamond" w:hAnsi="Garamond" w:cs="Garamond"/>
          <w:color w:val="0D0D0D"/>
        </w:rPr>
        <w:t xml:space="preserve"> </w:t>
      </w:r>
      <w:r w:rsidRPr="00770F9D">
        <w:rPr>
          <w:rFonts w:ascii="Garamond" w:hAnsi="Garamond" w:cs="Garamond"/>
          <w:color w:val="0D0D0D"/>
        </w:rPr>
        <w:t>Me mbështetjen e FMN-së, ky proces pritet të ndodhë në fund të vitit 2023.</w:t>
      </w:r>
    </w:p>
    <w:p w14:paraId="34F34D88" w14:textId="0BE14526" w:rsidR="009D37E3" w:rsidRPr="00770F9D" w:rsidRDefault="009D37E3" w:rsidP="000F6F7A">
      <w:pPr>
        <w:pStyle w:val="ListParagraph"/>
        <w:ind w:left="0" w:firstLine="284"/>
        <w:jc w:val="both"/>
        <w:rPr>
          <w:rFonts w:ascii="Garamond" w:hAnsi="Garamond" w:cs="Garamond"/>
          <w:b/>
          <w:bCs/>
          <w:color w:val="0D0D0D"/>
          <w:sz w:val="24"/>
          <w:szCs w:val="24"/>
          <w:lang w:val="sq-AL"/>
        </w:rPr>
      </w:pPr>
      <w:r w:rsidRPr="00770F9D">
        <w:rPr>
          <w:rFonts w:ascii="Garamond" w:hAnsi="Garamond" w:cs="Garamond"/>
          <w:b/>
          <w:bCs/>
          <w:color w:val="0D0D0D"/>
          <w:sz w:val="24"/>
          <w:szCs w:val="24"/>
          <w:lang w:val="sq-AL"/>
        </w:rPr>
        <w:t>a</w:t>
      </w:r>
      <w:r w:rsidR="006D6E8D" w:rsidRPr="00770F9D">
        <w:rPr>
          <w:rFonts w:ascii="Garamond" w:hAnsi="Garamond" w:cs="Garamond"/>
          <w:b/>
          <w:bCs/>
          <w:color w:val="0D0D0D"/>
          <w:sz w:val="24"/>
          <w:szCs w:val="24"/>
          <w:lang w:val="sq-AL"/>
        </w:rPr>
        <w:t>)</w:t>
      </w:r>
      <w:r w:rsidR="00BA4F1A" w:rsidRPr="00770F9D">
        <w:rPr>
          <w:rFonts w:ascii="Garamond" w:hAnsi="Garamond" w:cs="Garamond"/>
          <w:b/>
          <w:bCs/>
          <w:color w:val="0D0D0D"/>
          <w:sz w:val="24"/>
          <w:szCs w:val="24"/>
          <w:lang w:val="sq-AL"/>
        </w:rPr>
        <w:t xml:space="preserve"> </w:t>
      </w:r>
      <w:r w:rsidRPr="00770F9D">
        <w:rPr>
          <w:rFonts w:ascii="Garamond" w:hAnsi="Garamond" w:cs="Garamond"/>
          <w:b/>
          <w:bCs/>
          <w:color w:val="0D0D0D"/>
          <w:sz w:val="24"/>
          <w:szCs w:val="24"/>
          <w:lang w:val="sq-AL"/>
        </w:rPr>
        <w:t xml:space="preserve">Aktivitete të planifikuara </w:t>
      </w:r>
      <w:r w:rsidR="000F6F7A">
        <w:rPr>
          <w:rFonts w:ascii="Garamond" w:hAnsi="Garamond" w:cs="Garamond"/>
          <w:b/>
          <w:bCs/>
          <w:color w:val="0D0D0D"/>
          <w:sz w:val="24"/>
          <w:szCs w:val="24"/>
          <w:lang w:val="sq-AL"/>
        </w:rPr>
        <w:t>m</w:t>
      </w:r>
      <w:r w:rsidRPr="00770F9D">
        <w:rPr>
          <w:rFonts w:ascii="Garamond" w:hAnsi="Garamond" w:cs="Garamond"/>
          <w:b/>
          <w:bCs/>
          <w:color w:val="0D0D0D"/>
          <w:sz w:val="24"/>
          <w:szCs w:val="24"/>
          <w:lang w:val="sq-AL"/>
        </w:rPr>
        <w:t>ë 2023</w:t>
      </w:r>
      <w:r w:rsidR="000D1CA5">
        <w:rPr>
          <w:rFonts w:ascii="Garamond" w:hAnsi="Garamond" w:cs="Garamond"/>
          <w:b/>
          <w:bCs/>
          <w:color w:val="0D0D0D"/>
          <w:sz w:val="24"/>
          <w:szCs w:val="24"/>
          <w:lang w:val="sq-AL"/>
        </w:rPr>
        <w:t>-shin</w:t>
      </w:r>
    </w:p>
    <w:p w14:paraId="74F22E40" w14:textId="48A8B2A0" w:rsidR="009D37E3" w:rsidRPr="00770F9D" w:rsidRDefault="009D37E3" w:rsidP="00D55D3C">
      <w:pPr>
        <w:pStyle w:val="ListParagraph"/>
        <w:ind w:left="0" w:firstLine="284"/>
        <w:jc w:val="both"/>
        <w:rPr>
          <w:rFonts w:ascii="Garamond" w:hAnsi="Garamond" w:cs="Garamond"/>
          <w:b/>
          <w:bCs/>
          <w:color w:val="0D0D0D"/>
          <w:sz w:val="24"/>
          <w:szCs w:val="24"/>
          <w:lang w:val="sq-AL"/>
        </w:rPr>
      </w:pPr>
      <w:r w:rsidRPr="00770F9D">
        <w:rPr>
          <w:rFonts w:ascii="Garamond" w:hAnsi="Garamond" w:cs="Garamond"/>
          <w:color w:val="0D0D0D"/>
          <w:sz w:val="24"/>
          <w:szCs w:val="24"/>
          <w:lang w:val="sq-AL"/>
        </w:rPr>
        <w:t>a</w:t>
      </w:r>
      <w:r w:rsidR="006D6E8D"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Forcimi/zhvillimi i kapaciteteve në të gjithë qeverinë për të identifikuar, përgatitur dhe vlerësuar projektet e investimeve publike</w:t>
      </w:r>
      <w:r w:rsidR="00D55D3C">
        <w:rPr>
          <w:rFonts w:ascii="Garamond" w:hAnsi="Garamond" w:cs="Garamond"/>
          <w:color w:val="0D0D0D"/>
          <w:sz w:val="24"/>
          <w:szCs w:val="24"/>
          <w:lang w:val="sq-AL"/>
        </w:rPr>
        <w:t>;</w:t>
      </w:r>
    </w:p>
    <w:p w14:paraId="09E530E9" w14:textId="545DA2EE" w:rsidR="009D37E3" w:rsidRPr="00770F9D" w:rsidRDefault="009D37E3" w:rsidP="00D55D3C">
      <w:pPr>
        <w:pStyle w:val="ListParagraph"/>
        <w:ind w:left="0" w:firstLine="284"/>
        <w:jc w:val="both"/>
        <w:rPr>
          <w:rFonts w:ascii="Garamond" w:hAnsi="Garamond" w:cs="Garamond"/>
          <w:b/>
          <w:bCs/>
          <w:color w:val="0D0D0D"/>
          <w:sz w:val="24"/>
          <w:szCs w:val="24"/>
          <w:lang w:val="sq-AL"/>
        </w:rPr>
      </w:pPr>
      <w:r w:rsidRPr="00770F9D">
        <w:rPr>
          <w:rFonts w:ascii="Garamond" w:hAnsi="Garamond" w:cs="Garamond"/>
          <w:color w:val="0D0D0D"/>
          <w:sz w:val="24"/>
          <w:szCs w:val="24"/>
          <w:lang w:val="sq-AL"/>
        </w:rPr>
        <w:t>b</w:t>
      </w:r>
      <w:r w:rsidR="006D6E8D"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Zhvillimi i metodologjisë për alokimin/rishpërndarjen e fondeve buxhetore për investime strategjike</w:t>
      </w:r>
      <w:r w:rsidR="00D55D3C">
        <w:rPr>
          <w:rFonts w:ascii="Garamond" w:hAnsi="Garamond" w:cs="Garamond"/>
          <w:color w:val="0D0D0D"/>
          <w:sz w:val="24"/>
          <w:szCs w:val="24"/>
          <w:lang w:val="sq-AL"/>
        </w:rPr>
        <w:t>;</w:t>
      </w:r>
    </w:p>
    <w:p w14:paraId="3891FE3C" w14:textId="69FBB253" w:rsidR="009D37E3" w:rsidRPr="00770F9D" w:rsidRDefault="009D37E3" w:rsidP="00D55D3C">
      <w:pPr>
        <w:pStyle w:val="ListParagraph"/>
        <w:ind w:left="0" w:firstLine="284"/>
        <w:jc w:val="both"/>
        <w:rPr>
          <w:rFonts w:ascii="Garamond" w:hAnsi="Garamond" w:cs="Garamond"/>
          <w:b/>
          <w:bCs/>
          <w:color w:val="0D0D0D"/>
          <w:sz w:val="24"/>
          <w:szCs w:val="24"/>
          <w:lang w:val="sq-AL"/>
        </w:rPr>
      </w:pPr>
      <w:r w:rsidRPr="00770F9D">
        <w:rPr>
          <w:rFonts w:ascii="Garamond" w:hAnsi="Garamond" w:cs="Garamond"/>
          <w:color w:val="0D0D0D"/>
          <w:sz w:val="24"/>
          <w:szCs w:val="24"/>
          <w:lang w:val="sq-AL"/>
        </w:rPr>
        <w:t>c</w:t>
      </w:r>
      <w:r w:rsidR="006D6E8D"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Forcimi/zhvillimi i kapaciteteve nëpër institucionet qeveritare për të rritur thithjen e fondeve për investime strategjike</w:t>
      </w:r>
      <w:r w:rsidR="00D55D3C">
        <w:rPr>
          <w:rFonts w:ascii="Garamond" w:hAnsi="Garamond" w:cs="Garamond"/>
          <w:color w:val="0D0D0D"/>
          <w:sz w:val="24"/>
          <w:szCs w:val="24"/>
          <w:lang w:val="sq-AL"/>
        </w:rPr>
        <w:t>;</w:t>
      </w:r>
    </w:p>
    <w:p w14:paraId="53D3285A" w14:textId="101DD0F3" w:rsidR="009D37E3" w:rsidRPr="00770F9D" w:rsidRDefault="009D37E3" w:rsidP="00D55D3C">
      <w:pPr>
        <w:pStyle w:val="ListParagraph"/>
        <w:ind w:left="0" w:firstLine="284"/>
        <w:jc w:val="both"/>
        <w:rPr>
          <w:rFonts w:ascii="Garamond" w:hAnsi="Garamond" w:cs="Garamond"/>
          <w:b/>
          <w:bCs/>
          <w:color w:val="0D0D0D"/>
          <w:sz w:val="24"/>
          <w:szCs w:val="24"/>
          <w:lang w:val="sq-AL"/>
        </w:rPr>
      </w:pPr>
      <w:r w:rsidRPr="00770F9D">
        <w:rPr>
          <w:rFonts w:ascii="Garamond" w:hAnsi="Garamond" w:cs="Garamond"/>
          <w:color w:val="0D0D0D"/>
          <w:sz w:val="24"/>
          <w:szCs w:val="24"/>
          <w:lang w:val="sq-AL"/>
        </w:rPr>
        <w:t>d</w:t>
      </w:r>
      <w:r w:rsidR="006D6E8D"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Zbatimi i VKM-së së re për procedurat e menaxhimit të investimeve publike</w:t>
      </w:r>
      <w:r w:rsidR="00D55D3C">
        <w:rPr>
          <w:rFonts w:ascii="Garamond" w:hAnsi="Garamond" w:cs="Garamond"/>
          <w:color w:val="0D0D0D"/>
          <w:sz w:val="24"/>
          <w:szCs w:val="24"/>
          <w:lang w:val="sq-AL"/>
        </w:rPr>
        <w:t>;</w:t>
      </w:r>
      <w:r w:rsidRPr="00770F9D">
        <w:rPr>
          <w:rFonts w:ascii="Garamond" w:hAnsi="Garamond" w:cs="Garamond"/>
          <w:color w:val="0D0D0D"/>
          <w:sz w:val="24"/>
          <w:szCs w:val="24"/>
          <w:lang w:val="sq-AL"/>
        </w:rPr>
        <w:t xml:space="preserve"> </w:t>
      </w:r>
    </w:p>
    <w:p w14:paraId="66BFD564" w14:textId="2304F73B" w:rsidR="009D37E3" w:rsidRPr="00770F9D" w:rsidRDefault="009D37E3" w:rsidP="00D55D3C">
      <w:pPr>
        <w:pStyle w:val="ListParagraph"/>
        <w:ind w:left="0" w:firstLine="284"/>
        <w:jc w:val="both"/>
        <w:rPr>
          <w:rFonts w:ascii="Garamond" w:hAnsi="Garamond" w:cs="Garamond"/>
          <w:b/>
          <w:bCs/>
          <w:color w:val="0D0D0D"/>
          <w:sz w:val="24"/>
          <w:szCs w:val="24"/>
          <w:lang w:val="sq-AL"/>
        </w:rPr>
      </w:pPr>
      <w:r w:rsidRPr="00770F9D">
        <w:rPr>
          <w:rFonts w:ascii="Garamond" w:hAnsi="Garamond" w:cs="Garamond"/>
          <w:color w:val="0D0D0D"/>
          <w:sz w:val="24"/>
          <w:szCs w:val="24"/>
          <w:lang w:val="sq-AL"/>
        </w:rPr>
        <w:t>e</w:t>
      </w:r>
      <w:r w:rsidR="006D6E8D"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Përmirësimi i procesit të përfshirjes së investimeve publike në ciklin e PBA-së</w:t>
      </w:r>
      <w:r w:rsidR="00D55D3C">
        <w:rPr>
          <w:rFonts w:ascii="Garamond" w:hAnsi="Garamond" w:cs="Garamond"/>
          <w:color w:val="0D0D0D"/>
          <w:sz w:val="24"/>
          <w:szCs w:val="24"/>
          <w:lang w:val="sq-AL"/>
        </w:rPr>
        <w:t>;</w:t>
      </w:r>
    </w:p>
    <w:p w14:paraId="686A4F38" w14:textId="1B37D9D9" w:rsidR="009D37E3" w:rsidRPr="00770F9D" w:rsidRDefault="009D37E3" w:rsidP="00D55D3C">
      <w:pPr>
        <w:pStyle w:val="ListParagraph"/>
        <w:ind w:left="0" w:firstLine="284"/>
        <w:jc w:val="both"/>
        <w:rPr>
          <w:rFonts w:ascii="Garamond" w:hAnsi="Garamond" w:cs="Garamond"/>
          <w:b/>
          <w:bCs/>
          <w:color w:val="0D0D0D"/>
          <w:sz w:val="24"/>
          <w:szCs w:val="24"/>
          <w:lang w:val="sq-AL"/>
        </w:rPr>
      </w:pPr>
      <w:r w:rsidRPr="00770F9D">
        <w:rPr>
          <w:rFonts w:ascii="Garamond" w:hAnsi="Garamond" w:cs="Garamond"/>
          <w:color w:val="0D0D0D"/>
          <w:sz w:val="24"/>
          <w:szCs w:val="24"/>
          <w:lang w:val="sq-AL"/>
        </w:rPr>
        <w:t>f</w:t>
      </w:r>
      <w:r w:rsidR="006D6E8D"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Zhvillimi i metodologjisë për përgatitjen, miratimin, përditësimin, monitorimin dhe zbatimin e Listës Unike të Projekteve me Rëndësi Kombëtare</w:t>
      </w:r>
      <w:r w:rsidR="00D55D3C">
        <w:rPr>
          <w:rFonts w:ascii="Garamond" w:hAnsi="Garamond" w:cs="Garamond"/>
          <w:color w:val="0D0D0D"/>
          <w:sz w:val="24"/>
          <w:szCs w:val="24"/>
          <w:lang w:val="sq-AL"/>
        </w:rPr>
        <w:t>;</w:t>
      </w:r>
      <w:r w:rsidRPr="00770F9D">
        <w:rPr>
          <w:rFonts w:ascii="Garamond" w:hAnsi="Garamond" w:cs="Garamond"/>
          <w:color w:val="0D0D0D"/>
          <w:sz w:val="24"/>
          <w:szCs w:val="24"/>
          <w:lang w:val="sq-AL"/>
        </w:rPr>
        <w:t xml:space="preserve"> </w:t>
      </w:r>
    </w:p>
    <w:p w14:paraId="516DF4C7" w14:textId="333D51DA" w:rsidR="009D37E3" w:rsidRPr="00770F9D" w:rsidRDefault="009D37E3" w:rsidP="00D55D3C">
      <w:pPr>
        <w:pStyle w:val="ListParagraph"/>
        <w:ind w:left="0" w:firstLine="284"/>
        <w:jc w:val="both"/>
        <w:rPr>
          <w:rFonts w:ascii="Garamond" w:hAnsi="Garamond" w:cs="Garamond"/>
          <w:b/>
          <w:bCs/>
          <w:color w:val="0D0D0D"/>
          <w:sz w:val="24"/>
          <w:szCs w:val="24"/>
          <w:lang w:val="sq-AL"/>
        </w:rPr>
      </w:pPr>
      <w:r w:rsidRPr="00770F9D">
        <w:rPr>
          <w:rFonts w:ascii="Garamond" w:hAnsi="Garamond" w:cs="Garamond"/>
          <w:color w:val="0D0D0D"/>
          <w:sz w:val="24"/>
          <w:szCs w:val="24"/>
          <w:lang w:val="sq-AL"/>
        </w:rPr>
        <w:t>g</w:t>
      </w:r>
      <w:r w:rsidR="006D6E8D"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Plotësimi i bazës së plotë të të dhënave të kontratave të monitoruara ndjekja e procesit të monitorimit të kontratave të koncesionit/PPP</w:t>
      </w:r>
      <w:r w:rsidR="00D55D3C">
        <w:rPr>
          <w:rFonts w:ascii="Garamond" w:hAnsi="Garamond" w:cs="Garamond"/>
          <w:color w:val="0D0D0D"/>
          <w:sz w:val="24"/>
          <w:szCs w:val="24"/>
          <w:lang w:val="sq-AL"/>
        </w:rPr>
        <w:t>;</w:t>
      </w:r>
      <w:r w:rsidRPr="00770F9D">
        <w:rPr>
          <w:rFonts w:ascii="Garamond" w:hAnsi="Garamond" w:cs="Garamond"/>
          <w:color w:val="0D0D0D"/>
          <w:sz w:val="24"/>
          <w:szCs w:val="24"/>
          <w:lang w:val="sq-AL"/>
        </w:rPr>
        <w:t xml:space="preserve"> </w:t>
      </w:r>
    </w:p>
    <w:p w14:paraId="0254638B" w14:textId="125D61FB" w:rsidR="009D37E3" w:rsidRPr="00770F9D" w:rsidRDefault="009D37E3" w:rsidP="00400806">
      <w:pPr>
        <w:pStyle w:val="ListParagraph"/>
        <w:ind w:left="0" w:firstLine="284"/>
        <w:jc w:val="both"/>
        <w:rPr>
          <w:rFonts w:ascii="Garamond" w:hAnsi="Garamond" w:cs="Garamond"/>
          <w:b/>
          <w:bCs/>
          <w:color w:val="0D0D0D"/>
          <w:sz w:val="24"/>
          <w:szCs w:val="24"/>
          <w:lang w:val="sq-AL"/>
        </w:rPr>
      </w:pPr>
      <w:r w:rsidRPr="00770F9D">
        <w:rPr>
          <w:rFonts w:ascii="Garamond" w:hAnsi="Garamond" w:cs="Garamond"/>
          <w:color w:val="0D0D0D"/>
          <w:sz w:val="24"/>
          <w:szCs w:val="24"/>
          <w:lang w:val="sq-AL"/>
        </w:rPr>
        <w:t>h</w:t>
      </w:r>
      <w:r w:rsidR="006D6E8D"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Zhvillimi i metodologjisë</w:t>
      </w:r>
      <w:r w:rsidR="00D55D3C">
        <w:rPr>
          <w:rFonts w:ascii="Garamond" w:hAnsi="Garamond" w:cs="Garamond"/>
          <w:color w:val="0D0D0D"/>
          <w:sz w:val="24"/>
          <w:szCs w:val="24"/>
          <w:lang w:val="sq-AL"/>
        </w:rPr>
        <w:t>,</w:t>
      </w:r>
      <w:r w:rsidRPr="00770F9D">
        <w:rPr>
          <w:rFonts w:ascii="Garamond" w:hAnsi="Garamond" w:cs="Garamond"/>
          <w:color w:val="0D0D0D"/>
          <w:sz w:val="24"/>
          <w:szCs w:val="24"/>
          <w:lang w:val="sq-AL"/>
        </w:rPr>
        <w:t xml:space="preserve"> në lidhje me vlerësimin e projekteve të reja koncesionare/PPP.</w:t>
      </w:r>
    </w:p>
    <w:p w14:paraId="7A7B7886" w14:textId="5279F5C8" w:rsidR="009D37E3" w:rsidRPr="00770F9D" w:rsidRDefault="009D37E3" w:rsidP="00400806">
      <w:pPr>
        <w:pStyle w:val="ListParagraph"/>
        <w:ind w:left="0" w:firstLine="284"/>
        <w:jc w:val="both"/>
        <w:rPr>
          <w:rFonts w:ascii="Garamond" w:hAnsi="Garamond" w:cs="Garamond"/>
          <w:b/>
          <w:bCs/>
          <w:color w:val="0D0D0D"/>
          <w:sz w:val="24"/>
          <w:szCs w:val="24"/>
          <w:lang w:val="sq-AL"/>
        </w:rPr>
      </w:pPr>
      <w:r w:rsidRPr="00770F9D">
        <w:rPr>
          <w:rFonts w:ascii="Garamond" w:hAnsi="Garamond" w:cs="Garamond"/>
          <w:b/>
          <w:bCs/>
          <w:color w:val="0D0D0D"/>
          <w:sz w:val="24"/>
          <w:szCs w:val="24"/>
          <w:lang w:val="sq-AL"/>
        </w:rPr>
        <w:t>b</w:t>
      </w:r>
      <w:r w:rsidR="006D6E8D" w:rsidRPr="00770F9D">
        <w:rPr>
          <w:rFonts w:ascii="Garamond" w:hAnsi="Garamond" w:cs="Garamond"/>
          <w:b/>
          <w:bCs/>
          <w:color w:val="0D0D0D"/>
          <w:sz w:val="24"/>
          <w:szCs w:val="24"/>
          <w:lang w:val="sq-AL"/>
        </w:rPr>
        <w:t>)</w:t>
      </w:r>
      <w:r w:rsidR="00BA4F1A" w:rsidRPr="00770F9D">
        <w:rPr>
          <w:rFonts w:ascii="Garamond" w:hAnsi="Garamond" w:cs="Garamond"/>
          <w:b/>
          <w:bCs/>
          <w:color w:val="0D0D0D"/>
          <w:sz w:val="24"/>
          <w:szCs w:val="24"/>
          <w:lang w:val="sq-AL"/>
        </w:rPr>
        <w:t xml:space="preserve"> </w:t>
      </w:r>
      <w:r w:rsidRPr="00770F9D">
        <w:rPr>
          <w:rFonts w:ascii="Garamond" w:hAnsi="Garamond" w:cs="Garamond"/>
          <w:b/>
          <w:bCs/>
          <w:color w:val="0D0D0D"/>
          <w:sz w:val="24"/>
          <w:szCs w:val="24"/>
          <w:lang w:val="sq-AL"/>
        </w:rPr>
        <w:t>Aktivitete të planifikuara në 2024</w:t>
      </w:r>
      <w:r w:rsidR="00D55D3C">
        <w:rPr>
          <w:rFonts w:ascii="Garamond" w:hAnsi="Garamond" w:cs="Garamond"/>
          <w:b/>
          <w:bCs/>
          <w:color w:val="0D0D0D"/>
          <w:sz w:val="24"/>
          <w:szCs w:val="24"/>
          <w:lang w:val="sq-AL"/>
        </w:rPr>
        <w:t>-n</w:t>
      </w:r>
    </w:p>
    <w:p w14:paraId="6DCBB340" w14:textId="6ABBE979" w:rsidR="009D37E3" w:rsidRPr="00770F9D" w:rsidRDefault="009D37E3" w:rsidP="00D55D3C">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a</w:t>
      </w:r>
      <w:r w:rsidR="006D6E8D"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Forcimi/zhvillimi i kapaciteteve nëpër institucionet qeveritare për monitorimin e kontratave koncesionare/PPP</w:t>
      </w:r>
      <w:r w:rsidR="00D55D3C">
        <w:rPr>
          <w:rFonts w:ascii="Garamond" w:hAnsi="Garamond" w:cs="Garamond"/>
          <w:color w:val="0D0D0D"/>
          <w:sz w:val="24"/>
          <w:szCs w:val="24"/>
          <w:lang w:val="sq-AL"/>
        </w:rPr>
        <w:t>;</w:t>
      </w:r>
    </w:p>
    <w:p w14:paraId="3AA897DC" w14:textId="2BD873E8" w:rsidR="009D37E3" w:rsidRPr="00770F9D" w:rsidRDefault="009D37E3" w:rsidP="00FE0E15">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b</w:t>
      </w:r>
      <w:r w:rsidR="006D6E8D"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Konsolidimi dhe përmirësimi i metodologjisë së vlerësimit të projekteve të reja koncesionare/PPP</w:t>
      </w:r>
      <w:r w:rsidR="00FE0E15">
        <w:rPr>
          <w:rFonts w:ascii="Garamond" w:hAnsi="Garamond" w:cs="Garamond"/>
          <w:color w:val="0D0D0D"/>
          <w:sz w:val="24"/>
          <w:szCs w:val="24"/>
          <w:lang w:val="sq-AL"/>
        </w:rPr>
        <w:t>.</w:t>
      </w:r>
    </w:p>
    <w:p w14:paraId="70D6A544" w14:textId="3516B4A9" w:rsidR="009D37E3" w:rsidRPr="00770F9D" w:rsidRDefault="009D37E3" w:rsidP="00400806">
      <w:pPr>
        <w:pStyle w:val="ListParagraph"/>
        <w:ind w:left="0" w:firstLine="284"/>
        <w:jc w:val="both"/>
        <w:rPr>
          <w:rFonts w:ascii="Garamond" w:hAnsi="Garamond" w:cs="Garamond"/>
          <w:b/>
          <w:bCs/>
          <w:color w:val="0D0D0D"/>
          <w:sz w:val="24"/>
          <w:szCs w:val="24"/>
          <w:lang w:val="sq-AL"/>
        </w:rPr>
      </w:pPr>
      <w:r w:rsidRPr="00770F9D">
        <w:rPr>
          <w:rFonts w:ascii="Garamond" w:hAnsi="Garamond" w:cs="Garamond"/>
          <w:b/>
          <w:bCs/>
          <w:color w:val="0D0D0D"/>
          <w:sz w:val="24"/>
          <w:szCs w:val="24"/>
          <w:lang w:val="sq-AL"/>
        </w:rPr>
        <w:t>c</w:t>
      </w:r>
      <w:r w:rsidR="006D6E8D" w:rsidRPr="00770F9D">
        <w:rPr>
          <w:rFonts w:ascii="Garamond" w:hAnsi="Garamond" w:cs="Garamond"/>
          <w:b/>
          <w:bCs/>
          <w:color w:val="0D0D0D"/>
          <w:sz w:val="24"/>
          <w:szCs w:val="24"/>
          <w:lang w:val="sq-AL"/>
        </w:rPr>
        <w:t>)</w:t>
      </w:r>
      <w:r w:rsidR="00BA4F1A" w:rsidRPr="00770F9D">
        <w:rPr>
          <w:rFonts w:ascii="Garamond" w:hAnsi="Garamond" w:cs="Garamond"/>
          <w:b/>
          <w:bCs/>
          <w:color w:val="0D0D0D"/>
          <w:sz w:val="24"/>
          <w:szCs w:val="24"/>
          <w:lang w:val="sq-AL"/>
        </w:rPr>
        <w:t xml:space="preserve"> </w:t>
      </w:r>
      <w:r w:rsidRPr="00770F9D">
        <w:rPr>
          <w:rFonts w:ascii="Garamond" w:hAnsi="Garamond" w:cs="Garamond"/>
          <w:b/>
          <w:bCs/>
          <w:color w:val="0D0D0D"/>
          <w:sz w:val="24"/>
          <w:szCs w:val="24"/>
          <w:lang w:val="sq-AL"/>
        </w:rPr>
        <w:t>Aktivitete të planifikuara në 2025</w:t>
      </w:r>
      <w:r w:rsidR="00D55D3C">
        <w:rPr>
          <w:rFonts w:ascii="Garamond" w:hAnsi="Garamond" w:cs="Garamond"/>
          <w:b/>
          <w:bCs/>
          <w:color w:val="0D0D0D"/>
          <w:sz w:val="24"/>
          <w:szCs w:val="24"/>
          <w:lang w:val="sq-AL"/>
        </w:rPr>
        <w:t>-n</w:t>
      </w:r>
    </w:p>
    <w:p w14:paraId="758F1371" w14:textId="5E31954C" w:rsidR="009D37E3" w:rsidRPr="00770F9D" w:rsidRDefault="009D37E3" w:rsidP="00D55D3C">
      <w:pPr>
        <w:pStyle w:val="ListParagraph"/>
        <w:ind w:left="0" w:firstLine="284"/>
        <w:jc w:val="both"/>
        <w:rPr>
          <w:rFonts w:ascii="Garamond" w:hAnsi="Garamond" w:cs="Garamond"/>
          <w:b/>
          <w:bCs/>
          <w:color w:val="0D0D0D"/>
          <w:sz w:val="24"/>
          <w:szCs w:val="24"/>
          <w:lang w:val="sq-AL"/>
        </w:rPr>
      </w:pPr>
      <w:r w:rsidRPr="00770F9D">
        <w:rPr>
          <w:rFonts w:ascii="Garamond" w:hAnsi="Garamond" w:cs="Garamond"/>
          <w:color w:val="0D0D0D"/>
          <w:sz w:val="24"/>
          <w:szCs w:val="24"/>
          <w:lang w:val="sq-AL"/>
        </w:rPr>
        <w:t>a</w:t>
      </w:r>
      <w:r w:rsidR="006D6E8D"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Forcimi/zhvillimi i kapaciteteve nëpër institucionet qeveritare për monitorimin e kontratave koncesionare/PPP</w:t>
      </w:r>
      <w:r w:rsidR="00D55D3C">
        <w:rPr>
          <w:rFonts w:ascii="Garamond" w:hAnsi="Garamond" w:cs="Garamond"/>
          <w:color w:val="0D0D0D"/>
          <w:sz w:val="24"/>
          <w:szCs w:val="24"/>
          <w:lang w:val="sq-AL"/>
        </w:rPr>
        <w:t>;</w:t>
      </w:r>
    </w:p>
    <w:p w14:paraId="0CE9CC11" w14:textId="4A6FCAD7" w:rsidR="009D37E3" w:rsidRPr="00770F9D" w:rsidRDefault="009D37E3" w:rsidP="00D55D3C">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b</w:t>
      </w:r>
      <w:r w:rsidR="006D6E8D"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Konsolidimi dhe përmirësimi i metodologjisë së vlerësimit të projekteve të reja koncesionare/PPP</w:t>
      </w:r>
      <w:r w:rsidR="00D55D3C">
        <w:rPr>
          <w:rFonts w:ascii="Garamond" w:hAnsi="Garamond" w:cs="Garamond"/>
          <w:color w:val="0D0D0D"/>
          <w:sz w:val="24"/>
          <w:szCs w:val="24"/>
          <w:lang w:val="sq-AL"/>
        </w:rPr>
        <w:t>;</w:t>
      </w:r>
    </w:p>
    <w:p w14:paraId="00465EF4" w14:textId="5C794B83" w:rsidR="009D37E3" w:rsidRPr="00770F9D" w:rsidRDefault="009D37E3" w:rsidP="00D55D3C">
      <w:pPr>
        <w:pStyle w:val="ListParagraph"/>
        <w:ind w:left="0" w:firstLine="284"/>
        <w:jc w:val="both"/>
        <w:rPr>
          <w:rFonts w:ascii="Garamond" w:hAnsi="Garamond" w:cs="Garamond"/>
          <w:b/>
          <w:bCs/>
          <w:color w:val="0D0D0D"/>
          <w:sz w:val="24"/>
          <w:szCs w:val="24"/>
          <w:lang w:val="sq-AL"/>
        </w:rPr>
      </w:pPr>
      <w:r w:rsidRPr="00770F9D">
        <w:rPr>
          <w:rFonts w:ascii="Garamond" w:hAnsi="Garamond" w:cs="Garamond"/>
          <w:color w:val="0D0D0D"/>
          <w:sz w:val="24"/>
          <w:szCs w:val="24"/>
          <w:lang w:val="sq-AL"/>
        </w:rPr>
        <w:t>c</w:t>
      </w:r>
      <w:r w:rsidR="006D6E8D"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Forcimi i roleve të autoriteteve kontraktore në përcaktimin e procedurave që zgjidhen për kontratat publike, për të vlerësuar se cilat procedura maksimizojnë “vlerën më të mirë për paranë” dhe “vlerën për njerëzit”</w:t>
      </w:r>
      <w:r w:rsidR="00D55D3C">
        <w:rPr>
          <w:rFonts w:ascii="Garamond" w:hAnsi="Garamond" w:cs="Garamond"/>
          <w:color w:val="0D0D0D"/>
          <w:sz w:val="24"/>
          <w:szCs w:val="24"/>
          <w:lang w:val="sq-AL"/>
        </w:rPr>
        <w:t>;</w:t>
      </w:r>
      <w:r w:rsidRPr="00770F9D">
        <w:rPr>
          <w:rFonts w:ascii="Garamond" w:hAnsi="Garamond" w:cs="Garamond"/>
          <w:color w:val="0D0D0D"/>
          <w:sz w:val="24"/>
          <w:szCs w:val="24"/>
          <w:lang w:val="sq-AL"/>
        </w:rPr>
        <w:t xml:space="preserve"> </w:t>
      </w:r>
    </w:p>
    <w:p w14:paraId="26B561A7" w14:textId="228C9BD8" w:rsidR="009D37E3" w:rsidRPr="00770F9D" w:rsidRDefault="009D37E3" w:rsidP="00413E67">
      <w:pPr>
        <w:pStyle w:val="ListParagraph"/>
        <w:ind w:left="0" w:firstLine="284"/>
        <w:jc w:val="both"/>
        <w:rPr>
          <w:rFonts w:ascii="Garamond" w:hAnsi="Garamond" w:cs="Garamond"/>
          <w:b/>
          <w:bCs/>
          <w:color w:val="0D0D0D"/>
          <w:sz w:val="24"/>
          <w:szCs w:val="24"/>
          <w:lang w:val="sq-AL"/>
        </w:rPr>
      </w:pPr>
      <w:r w:rsidRPr="00770F9D">
        <w:rPr>
          <w:rFonts w:ascii="Garamond" w:hAnsi="Garamond" w:cs="Garamond"/>
          <w:color w:val="0D0D0D"/>
          <w:sz w:val="24"/>
          <w:szCs w:val="24"/>
          <w:lang w:val="sq-AL"/>
        </w:rPr>
        <w:t>d</w:t>
      </w:r>
      <w:r w:rsidR="006D6E8D"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 xml:space="preserve">Krijimi i mekanizmave </w:t>
      </w:r>
      <w:r w:rsidR="006B0EC5">
        <w:rPr>
          <w:rFonts w:ascii="Garamond" w:hAnsi="Garamond" w:cs="Garamond"/>
          <w:color w:val="0D0D0D"/>
          <w:sz w:val="24"/>
          <w:szCs w:val="24"/>
          <w:lang w:val="sq-AL"/>
        </w:rPr>
        <w:t>efikas</w:t>
      </w:r>
      <w:r w:rsidR="00413E67">
        <w:rPr>
          <w:rFonts w:ascii="Garamond" w:hAnsi="Garamond" w:cs="Garamond"/>
          <w:color w:val="0D0D0D"/>
          <w:sz w:val="24"/>
          <w:szCs w:val="24"/>
          <w:lang w:val="sq-AL"/>
        </w:rPr>
        <w:t>ë</w:t>
      </w:r>
      <w:r w:rsidR="006B0EC5">
        <w:rPr>
          <w:rFonts w:ascii="Garamond" w:hAnsi="Garamond" w:cs="Garamond"/>
          <w:color w:val="0D0D0D"/>
          <w:sz w:val="24"/>
          <w:szCs w:val="24"/>
          <w:lang w:val="sq-AL"/>
        </w:rPr>
        <w:t>,</w:t>
      </w:r>
      <w:r w:rsidRPr="00770F9D">
        <w:rPr>
          <w:rFonts w:ascii="Garamond" w:hAnsi="Garamond" w:cs="Garamond"/>
          <w:color w:val="0D0D0D"/>
          <w:sz w:val="24"/>
          <w:szCs w:val="24"/>
          <w:lang w:val="sq-AL"/>
        </w:rPr>
        <w:t xml:space="preserve"> në lidhje me monitorimin e kontratave koncesionare/PPP, në mënyrë që rreziqet e palëve kontraktuese, me fokus të shtuar tek autoritetet kontraktore, të jenë sa më të ulëta për të siguruar përfitimin dhe dobinë më të madhe të këtyre kontratave</w:t>
      </w:r>
      <w:r w:rsidR="00D55D3C">
        <w:rPr>
          <w:rFonts w:ascii="Garamond" w:hAnsi="Garamond" w:cs="Garamond"/>
          <w:color w:val="0D0D0D"/>
          <w:sz w:val="24"/>
          <w:szCs w:val="24"/>
          <w:lang w:val="sq-AL"/>
        </w:rPr>
        <w:t>;</w:t>
      </w:r>
    </w:p>
    <w:p w14:paraId="17700130" w14:textId="3D5BE98F" w:rsidR="009D37E3" w:rsidRPr="00770F9D" w:rsidRDefault="009D37E3" w:rsidP="00400806">
      <w:pPr>
        <w:pStyle w:val="ListParagraph"/>
        <w:ind w:left="0" w:firstLine="284"/>
        <w:jc w:val="both"/>
        <w:rPr>
          <w:rFonts w:ascii="Garamond" w:hAnsi="Garamond" w:cs="Garamond"/>
          <w:b/>
          <w:bCs/>
          <w:color w:val="0D0D0D"/>
          <w:sz w:val="24"/>
          <w:szCs w:val="24"/>
          <w:lang w:val="sq-AL"/>
        </w:rPr>
      </w:pPr>
      <w:r w:rsidRPr="00770F9D">
        <w:rPr>
          <w:rFonts w:ascii="Garamond" w:hAnsi="Garamond" w:cs="Garamond"/>
          <w:color w:val="0D0D0D"/>
          <w:sz w:val="24"/>
          <w:szCs w:val="24"/>
          <w:lang w:val="sq-AL"/>
        </w:rPr>
        <w:t>e</w:t>
      </w:r>
      <w:r w:rsidR="006D6E8D"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Plotësimi i bazës së të dhënave me të dhënat e kontratave të monitoruara dhe ndjekja e procesit të monitorimit të kontratave koncesionare/PPP.</w:t>
      </w:r>
    </w:p>
    <w:p w14:paraId="3ED23E71" w14:textId="2FE8F4F9" w:rsidR="009D37E3" w:rsidRPr="00770F9D" w:rsidRDefault="009D37E3" w:rsidP="00400806">
      <w:pPr>
        <w:pStyle w:val="Heading6"/>
        <w:numPr>
          <w:ilvl w:val="0"/>
          <w:numId w:val="0"/>
        </w:numPr>
        <w:ind w:firstLine="284"/>
        <w:rPr>
          <w:rFonts w:ascii="Garamond" w:hAnsi="Garamond" w:cs="Garamond"/>
          <w:color w:val="0D0D0D"/>
          <w:u w:val="none"/>
        </w:rPr>
      </w:pPr>
      <w:r w:rsidRPr="00770F9D">
        <w:rPr>
          <w:rFonts w:ascii="Garamond" w:hAnsi="Garamond" w:cs="Garamond"/>
          <w:color w:val="0D0D0D"/>
          <w:u w:val="none"/>
        </w:rPr>
        <w:t>2.</w:t>
      </w:r>
      <w:r w:rsidR="00BA4F1A" w:rsidRPr="00770F9D">
        <w:rPr>
          <w:rFonts w:ascii="Garamond" w:hAnsi="Garamond" w:cs="Garamond"/>
          <w:color w:val="0D0D0D"/>
          <w:u w:val="none"/>
        </w:rPr>
        <w:t xml:space="preserve"> </w:t>
      </w:r>
      <w:r w:rsidRPr="00770F9D">
        <w:rPr>
          <w:rFonts w:ascii="Garamond" w:hAnsi="Garamond" w:cs="Garamond"/>
          <w:color w:val="0D0D0D"/>
          <w:u w:val="none"/>
        </w:rPr>
        <w:t>Treguesit e rezultateve</w:t>
      </w:r>
    </w:p>
    <w:tbl>
      <w:tblPr>
        <w:tblStyle w:val="TableGrid"/>
        <w:tblW w:w="5000" w:type="pct"/>
        <w:jc w:val="center"/>
        <w:tblLook w:val="04A0" w:firstRow="1" w:lastRow="0" w:firstColumn="1" w:lastColumn="0" w:noHBand="0" w:noVBand="1"/>
      </w:tblPr>
      <w:tblGrid>
        <w:gridCol w:w="5088"/>
        <w:gridCol w:w="1272"/>
        <w:gridCol w:w="1400"/>
        <w:gridCol w:w="1527"/>
      </w:tblGrid>
      <w:tr w:rsidR="00FA29AB" w:rsidRPr="00D55D3C" w14:paraId="2170345F" w14:textId="77777777" w:rsidTr="00D55D3C">
        <w:trPr>
          <w:jc w:val="center"/>
        </w:trPr>
        <w:tc>
          <w:tcPr>
            <w:tcW w:w="2739" w:type="pct"/>
            <w:vAlign w:val="center"/>
          </w:tcPr>
          <w:p w14:paraId="4BBF9D57" w14:textId="77777777" w:rsidR="005721FF" w:rsidRPr="00D55D3C" w:rsidRDefault="005721FF" w:rsidP="00D55D3C">
            <w:pPr>
              <w:snapToGrid w:val="0"/>
              <w:jc w:val="center"/>
              <w:rPr>
                <w:rFonts w:ascii="Garamond" w:hAnsi="Garamond" w:cstheme="majorBidi"/>
                <w:b/>
                <w:bCs/>
                <w:color w:val="0D0D0D" w:themeColor="text1" w:themeTint="F2"/>
                <w:sz w:val="20"/>
                <w:szCs w:val="20"/>
              </w:rPr>
            </w:pPr>
            <w:r w:rsidRPr="00D55D3C">
              <w:rPr>
                <w:rFonts w:ascii="Garamond" w:hAnsi="Garamond" w:cstheme="majorBidi"/>
                <w:b/>
                <w:bCs/>
                <w:color w:val="0D0D0D" w:themeColor="text1" w:themeTint="F2"/>
                <w:sz w:val="20"/>
                <w:szCs w:val="20"/>
              </w:rPr>
              <w:t>Tregues</w:t>
            </w:r>
          </w:p>
        </w:tc>
        <w:tc>
          <w:tcPr>
            <w:tcW w:w="685" w:type="pct"/>
            <w:vAlign w:val="center"/>
          </w:tcPr>
          <w:p w14:paraId="1103F058" w14:textId="77777777" w:rsidR="005721FF" w:rsidRPr="00D55D3C" w:rsidRDefault="005721FF" w:rsidP="00D55D3C">
            <w:pPr>
              <w:snapToGrid w:val="0"/>
              <w:jc w:val="center"/>
              <w:rPr>
                <w:rFonts w:ascii="Garamond" w:hAnsi="Garamond" w:cstheme="majorBidi"/>
                <w:b/>
                <w:bCs/>
                <w:color w:val="0D0D0D" w:themeColor="text1" w:themeTint="F2"/>
                <w:sz w:val="20"/>
                <w:szCs w:val="20"/>
              </w:rPr>
            </w:pPr>
            <w:r w:rsidRPr="00D55D3C">
              <w:rPr>
                <w:rFonts w:ascii="Garamond" w:hAnsi="Garamond" w:cstheme="majorBidi"/>
                <w:b/>
                <w:bCs/>
                <w:color w:val="0D0D0D" w:themeColor="text1" w:themeTint="F2"/>
                <w:sz w:val="20"/>
                <w:szCs w:val="20"/>
              </w:rPr>
              <w:t>Bazë (2020)</w:t>
            </w:r>
          </w:p>
        </w:tc>
        <w:tc>
          <w:tcPr>
            <w:tcW w:w="754" w:type="pct"/>
            <w:vAlign w:val="center"/>
          </w:tcPr>
          <w:p w14:paraId="5F281C5C" w14:textId="77777777" w:rsidR="005721FF" w:rsidRPr="00D55D3C" w:rsidRDefault="005721FF" w:rsidP="00D55D3C">
            <w:pPr>
              <w:snapToGrid w:val="0"/>
              <w:jc w:val="center"/>
              <w:rPr>
                <w:rFonts w:ascii="Garamond" w:hAnsi="Garamond" w:cstheme="majorBidi"/>
                <w:b/>
                <w:bCs/>
                <w:color w:val="0D0D0D" w:themeColor="text1" w:themeTint="F2"/>
                <w:sz w:val="20"/>
                <w:szCs w:val="20"/>
              </w:rPr>
            </w:pPr>
            <w:r w:rsidRPr="00D55D3C">
              <w:rPr>
                <w:rFonts w:ascii="Garamond" w:hAnsi="Garamond" w:cstheme="majorBidi"/>
                <w:b/>
                <w:bCs/>
                <w:color w:val="0D0D0D" w:themeColor="text1" w:themeTint="F2"/>
                <w:sz w:val="20"/>
                <w:szCs w:val="20"/>
              </w:rPr>
              <w:t>I ndërmjetëm (</w:t>
            </w:r>
            <w:r w:rsidR="00DB3786" w:rsidRPr="00D55D3C">
              <w:rPr>
                <w:rFonts w:ascii="Garamond" w:hAnsi="Garamond" w:cstheme="majorBidi"/>
                <w:b/>
                <w:bCs/>
                <w:color w:val="0D0D0D" w:themeColor="text1" w:themeTint="F2"/>
                <w:sz w:val="20"/>
                <w:szCs w:val="20"/>
              </w:rPr>
              <w:t>2023</w:t>
            </w:r>
            <w:r w:rsidRPr="00D55D3C">
              <w:rPr>
                <w:rFonts w:ascii="Garamond" w:hAnsi="Garamond" w:cstheme="majorBidi"/>
                <w:b/>
                <w:bCs/>
                <w:color w:val="0D0D0D" w:themeColor="text1" w:themeTint="F2"/>
                <w:sz w:val="20"/>
                <w:szCs w:val="20"/>
              </w:rPr>
              <w:t>)</w:t>
            </w:r>
          </w:p>
        </w:tc>
        <w:tc>
          <w:tcPr>
            <w:tcW w:w="822" w:type="pct"/>
            <w:vAlign w:val="center"/>
          </w:tcPr>
          <w:p w14:paraId="20D4DEB3" w14:textId="77777777" w:rsidR="005721FF" w:rsidRPr="00D55D3C" w:rsidRDefault="00DB3786" w:rsidP="00D55D3C">
            <w:pPr>
              <w:snapToGrid w:val="0"/>
              <w:jc w:val="center"/>
              <w:rPr>
                <w:rFonts w:ascii="Garamond" w:hAnsi="Garamond" w:cstheme="majorBidi"/>
                <w:b/>
                <w:bCs/>
                <w:color w:val="0D0D0D" w:themeColor="text1" w:themeTint="F2"/>
                <w:sz w:val="20"/>
                <w:szCs w:val="20"/>
              </w:rPr>
            </w:pPr>
            <w:r w:rsidRPr="00D55D3C">
              <w:rPr>
                <w:rFonts w:ascii="Garamond" w:hAnsi="Garamond" w:cstheme="majorBidi"/>
                <w:b/>
                <w:bCs/>
                <w:color w:val="0D0D0D" w:themeColor="text1" w:themeTint="F2"/>
                <w:sz w:val="20"/>
                <w:szCs w:val="20"/>
              </w:rPr>
              <w:t>Final</w:t>
            </w:r>
            <w:r w:rsidR="005721FF" w:rsidRPr="00D55D3C">
              <w:rPr>
                <w:rFonts w:ascii="Garamond" w:hAnsi="Garamond" w:cstheme="majorBidi"/>
                <w:b/>
                <w:bCs/>
                <w:color w:val="0D0D0D" w:themeColor="text1" w:themeTint="F2"/>
                <w:sz w:val="20"/>
                <w:szCs w:val="20"/>
              </w:rPr>
              <w:t xml:space="preserve"> (</w:t>
            </w:r>
            <w:r w:rsidRPr="00D55D3C">
              <w:rPr>
                <w:rFonts w:ascii="Garamond" w:hAnsi="Garamond" w:cstheme="majorBidi"/>
                <w:b/>
                <w:bCs/>
                <w:color w:val="0D0D0D" w:themeColor="text1" w:themeTint="F2"/>
                <w:sz w:val="20"/>
                <w:szCs w:val="20"/>
              </w:rPr>
              <w:t>2025</w:t>
            </w:r>
            <w:r w:rsidR="005721FF" w:rsidRPr="00D55D3C">
              <w:rPr>
                <w:rFonts w:ascii="Garamond" w:hAnsi="Garamond" w:cstheme="majorBidi"/>
                <w:b/>
                <w:bCs/>
                <w:color w:val="0D0D0D" w:themeColor="text1" w:themeTint="F2"/>
                <w:sz w:val="20"/>
                <w:szCs w:val="20"/>
              </w:rPr>
              <w:t>)</w:t>
            </w:r>
          </w:p>
        </w:tc>
      </w:tr>
      <w:tr w:rsidR="00DE3917" w:rsidRPr="00770F9D" w14:paraId="7A78010F" w14:textId="77777777" w:rsidTr="00D55D3C">
        <w:trPr>
          <w:jc w:val="center"/>
        </w:trPr>
        <w:tc>
          <w:tcPr>
            <w:tcW w:w="2739" w:type="pct"/>
          </w:tcPr>
          <w:p w14:paraId="6895F4F4" w14:textId="77777777" w:rsidR="00DE3917" w:rsidRPr="00770F9D" w:rsidRDefault="00DE3917" w:rsidP="00083A8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Pjesa e projekteve të investimeve publike që propozohen në bazë të prioriteteve strategjike të qeverisë (vlera e projekteve në një vit të caktuar)</w:t>
            </w:r>
          </w:p>
        </w:tc>
        <w:tc>
          <w:tcPr>
            <w:tcW w:w="685" w:type="pct"/>
          </w:tcPr>
          <w:p w14:paraId="5BE329AD" w14:textId="77777777" w:rsidR="00DE3917" w:rsidRPr="00770F9D" w:rsidRDefault="00DE3917" w:rsidP="00083A8B">
            <w:pPr>
              <w:snapToGrid w:val="0"/>
              <w:jc w:val="cente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82%</w:t>
            </w:r>
          </w:p>
        </w:tc>
        <w:tc>
          <w:tcPr>
            <w:tcW w:w="754" w:type="pct"/>
          </w:tcPr>
          <w:p w14:paraId="34C2C769" w14:textId="77777777" w:rsidR="00DE3917" w:rsidRPr="00770F9D" w:rsidRDefault="00DE3917" w:rsidP="00083A8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&gt; (t-1)</w:t>
            </w:r>
          </w:p>
          <w:p w14:paraId="2F68E0C3" w14:textId="77777777" w:rsidR="00DE3917" w:rsidRPr="00770F9D" w:rsidRDefault="00DE3917" w:rsidP="00083A8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(trend rritës)</w:t>
            </w:r>
          </w:p>
        </w:tc>
        <w:tc>
          <w:tcPr>
            <w:tcW w:w="822" w:type="pct"/>
          </w:tcPr>
          <w:p w14:paraId="6583559B" w14:textId="77777777" w:rsidR="00DE3917" w:rsidRPr="00770F9D" w:rsidRDefault="00DE3917" w:rsidP="00083A8B">
            <w:pPr>
              <w:snapToGrid w:val="0"/>
              <w:rPr>
                <w:rFonts w:ascii="Garamond" w:hAnsi="Garamond" w:cstheme="majorBidi"/>
                <w:color w:val="0D0D0D" w:themeColor="text1" w:themeTint="F2"/>
                <w:sz w:val="20"/>
                <w:szCs w:val="20"/>
              </w:rPr>
            </w:pPr>
          </w:p>
        </w:tc>
      </w:tr>
      <w:tr w:rsidR="00DE3917" w:rsidRPr="00770F9D" w14:paraId="1715AF84" w14:textId="77777777" w:rsidTr="00D55D3C">
        <w:trPr>
          <w:jc w:val="center"/>
        </w:trPr>
        <w:tc>
          <w:tcPr>
            <w:tcW w:w="2739" w:type="pct"/>
          </w:tcPr>
          <w:p w14:paraId="68CD8FE9" w14:textId="77777777" w:rsidR="00DE3917" w:rsidRPr="00770F9D" w:rsidRDefault="00DE3917" w:rsidP="00083A8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Disbursimet aktuale për projektet e investimeve të mëdha krahasuar me disbursimet e planifikuara së bashku me shpjegimin e variacioneve</w:t>
            </w:r>
          </w:p>
        </w:tc>
        <w:tc>
          <w:tcPr>
            <w:tcW w:w="685" w:type="pct"/>
          </w:tcPr>
          <w:p w14:paraId="3116DA67" w14:textId="77777777" w:rsidR="00DE3917" w:rsidRPr="00770F9D" w:rsidRDefault="00DE3917" w:rsidP="00083A8B">
            <w:pPr>
              <w:snapToGrid w:val="0"/>
              <w:jc w:val="cente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95%</w:t>
            </w:r>
          </w:p>
        </w:tc>
        <w:tc>
          <w:tcPr>
            <w:tcW w:w="754" w:type="pct"/>
          </w:tcPr>
          <w:p w14:paraId="54C56574" w14:textId="77777777" w:rsidR="00DE3917" w:rsidRPr="00770F9D" w:rsidRDefault="00DE3917" w:rsidP="00083A8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98%</w:t>
            </w:r>
          </w:p>
        </w:tc>
        <w:tc>
          <w:tcPr>
            <w:tcW w:w="822" w:type="pct"/>
          </w:tcPr>
          <w:p w14:paraId="33D1EA49" w14:textId="77777777" w:rsidR="00DE3917" w:rsidRPr="00770F9D" w:rsidRDefault="00DE3917" w:rsidP="00083A8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trend rritës</w:t>
            </w:r>
          </w:p>
        </w:tc>
      </w:tr>
      <w:tr w:rsidR="00DE3917" w:rsidRPr="00770F9D" w14:paraId="1F5DF712" w14:textId="77777777" w:rsidTr="00D55D3C">
        <w:trPr>
          <w:jc w:val="center"/>
        </w:trPr>
        <w:tc>
          <w:tcPr>
            <w:tcW w:w="2739" w:type="pct"/>
          </w:tcPr>
          <w:p w14:paraId="35FB08E3" w14:textId="77777777" w:rsidR="00DE3917" w:rsidRPr="00770F9D" w:rsidRDefault="00DE3917" w:rsidP="00083A8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Raporti i investimeve të reja publike të paraqitura brenda ciklit të PBA-së kundrejt totalit të investimeve të reja publike të miratuara në një vit</w:t>
            </w:r>
          </w:p>
        </w:tc>
        <w:tc>
          <w:tcPr>
            <w:tcW w:w="685" w:type="pct"/>
          </w:tcPr>
          <w:p w14:paraId="7A90AD33" w14:textId="77777777" w:rsidR="00DE3917" w:rsidRPr="00770F9D" w:rsidRDefault="00DE3917" w:rsidP="00083A8B">
            <w:pPr>
              <w:snapToGrid w:val="0"/>
              <w:jc w:val="cente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46.35%</w:t>
            </w:r>
          </w:p>
        </w:tc>
        <w:tc>
          <w:tcPr>
            <w:tcW w:w="754" w:type="pct"/>
          </w:tcPr>
          <w:p w14:paraId="1B517B56" w14:textId="77777777" w:rsidR="00DE3917" w:rsidRPr="00770F9D" w:rsidRDefault="00DE3917" w:rsidP="00083A8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74.2%</w:t>
            </w:r>
          </w:p>
        </w:tc>
        <w:tc>
          <w:tcPr>
            <w:tcW w:w="822" w:type="pct"/>
          </w:tcPr>
          <w:p w14:paraId="1FF544D2" w14:textId="77777777" w:rsidR="00DE3917" w:rsidRPr="00770F9D" w:rsidRDefault="00DE3917" w:rsidP="00083A8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trend rritës</w:t>
            </w:r>
          </w:p>
        </w:tc>
      </w:tr>
      <w:tr w:rsidR="00DE3917" w:rsidRPr="00770F9D" w14:paraId="270B555D" w14:textId="77777777" w:rsidTr="00D55D3C">
        <w:trPr>
          <w:jc w:val="center"/>
        </w:trPr>
        <w:tc>
          <w:tcPr>
            <w:tcW w:w="2739" w:type="pct"/>
          </w:tcPr>
          <w:p w14:paraId="72DC2BA7" w14:textId="77777777" w:rsidR="00DE3917" w:rsidRPr="00770F9D" w:rsidRDefault="00DE3917" w:rsidP="00083A8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Numri i kontratave të monitoruara kundrejt totalit të kontratave ekzistuese</w:t>
            </w:r>
          </w:p>
        </w:tc>
        <w:tc>
          <w:tcPr>
            <w:tcW w:w="685" w:type="pct"/>
          </w:tcPr>
          <w:p w14:paraId="038395C4" w14:textId="77777777" w:rsidR="00DE3917" w:rsidRPr="00770F9D" w:rsidRDefault="00DE3917" w:rsidP="00083A8B">
            <w:pPr>
              <w:snapToGrid w:val="0"/>
              <w:jc w:val="cente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82%</w:t>
            </w:r>
          </w:p>
        </w:tc>
        <w:tc>
          <w:tcPr>
            <w:tcW w:w="754" w:type="pct"/>
          </w:tcPr>
          <w:p w14:paraId="6A15297D" w14:textId="77777777" w:rsidR="00DE3917" w:rsidRPr="00770F9D" w:rsidRDefault="00DE3917" w:rsidP="00083A8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100%</w:t>
            </w:r>
          </w:p>
        </w:tc>
        <w:tc>
          <w:tcPr>
            <w:tcW w:w="822" w:type="pct"/>
          </w:tcPr>
          <w:p w14:paraId="48E57D79" w14:textId="77777777" w:rsidR="00DE3917" w:rsidRPr="00770F9D" w:rsidRDefault="00DE3917" w:rsidP="00083A8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100%</w:t>
            </w:r>
          </w:p>
        </w:tc>
      </w:tr>
    </w:tbl>
    <w:p w14:paraId="2108EB1E" w14:textId="0384818A" w:rsidR="009D37E3" w:rsidRPr="00770F9D" w:rsidRDefault="00083A8B"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3</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Ndikimi i pritshëm në konkurrueshmëri</w:t>
      </w:r>
    </w:p>
    <w:p w14:paraId="6E309199" w14:textId="2A24E870" w:rsidR="009D37E3" w:rsidRPr="00770F9D" w:rsidRDefault="009D37E3" w:rsidP="00400806">
      <w:pPr>
        <w:ind w:firstLine="284"/>
        <w:jc w:val="both"/>
        <w:rPr>
          <w:rFonts w:ascii="Garamond" w:hAnsi="Garamond"/>
          <w:color w:val="0D0D0D"/>
        </w:rPr>
      </w:pPr>
      <w:r w:rsidRPr="00770F9D">
        <w:rPr>
          <w:rFonts w:ascii="Garamond" w:hAnsi="Garamond"/>
          <w:color w:val="0D0D0D"/>
        </w:rPr>
        <w:t xml:space="preserve">Integrimi i investimeve mund të përmirësojë konkurrencën përmes dy kanaleve: së pari, duke rritur madhësinë e tregut të disponueshëm për firmat </w:t>
      </w:r>
      <w:r w:rsidR="002A4878" w:rsidRPr="00770F9D">
        <w:rPr>
          <w:rFonts w:ascii="Garamond" w:hAnsi="Garamond"/>
          <w:color w:val="0D0D0D"/>
        </w:rPr>
        <w:t>vendës</w:t>
      </w:r>
      <w:r w:rsidRPr="00770F9D">
        <w:rPr>
          <w:rFonts w:ascii="Garamond" w:hAnsi="Garamond"/>
          <w:color w:val="0D0D0D"/>
        </w:rPr>
        <w:t>e; dhe së dyti, duke nxitur produktivitetin dhe inovacionin</w:t>
      </w:r>
      <w:r w:rsidR="00AF7264">
        <w:rPr>
          <w:rFonts w:ascii="Garamond" w:hAnsi="Garamond"/>
          <w:color w:val="0D0D0D"/>
        </w:rPr>
        <w:t>,</w:t>
      </w:r>
      <w:r w:rsidRPr="00770F9D">
        <w:rPr>
          <w:rFonts w:ascii="Garamond" w:hAnsi="Garamond"/>
          <w:color w:val="0D0D0D"/>
        </w:rPr>
        <w:t xml:space="preserve"> duke i ekspozuar firmat ndaj konkurrencës, ekspertizës dhe teknologjisë ndërkombëtare.</w:t>
      </w:r>
    </w:p>
    <w:p w14:paraId="584E8128" w14:textId="64F5C8F5" w:rsidR="009D37E3" w:rsidRPr="00770F9D" w:rsidRDefault="009D37E3" w:rsidP="00400806">
      <w:pPr>
        <w:ind w:firstLine="284"/>
        <w:jc w:val="both"/>
        <w:rPr>
          <w:rFonts w:ascii="Garamond" w:hAnsi="Garamond"/>
          <w:color w:val="0D0D0D"/>
        </w:rPr>
      </w:pPr>
      <w:r w:rsidRPr="00770F9D">
        <w:rPr>
          <w:rFonts w:ascii="Garamond" w:hAnsi="Garamond"/>
          <w:color w:val="0D0D0D"/>
        </w:rPr>
        <w:t>Perspektivat e konkurrencës janë kritike për politikat efektive për të nxitur rritjen dhe zhvillimin. Politikat fokusohen në krijimin e një klime tërheqëse investimi</w:t>
      </w:r>
      <w:r w:rsidR="00AF7264">
        <w:rPr>
          <w:rFonts w:ascii="Garamond" w:hAnsi="Garamond"/>
          <w:color w:val="0D0D0D"/>
        </w:rPr>
        <w:t>,</w:t>
      </w:r>
      <w:r w:rsidRPr="00770F9D">
        <w:rPr>
          <w:rFonts w:ascii="Garamond" w:hAnsi="Garamond"/>
          <w:color w:val="0D0D0D"/>
        </w:rPr>
        <w:t xml:space="preserve"> veçanërisht për ndërmarrjet e vogla dhe të mesme për të nxitur inovacionin dhe performancën konkurruese. Gjithashtu, politikat e fokusuara dhe partneritetet efektive të sektorit privat-publik nxisin inovacionin dhe lehtësojnë performancën konkurruese.</w:t>
      </w:r>
    </w:p>
    <w:p w14:paraId="4ABAE2F4" w14:textId="442B48A7" w:rsidR="009D37E3" w:rsidRPr="00770F9D" w:rsidRDefault="00083A8B"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4</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Kosto</w:t>
      </w:r>
      <w:r w:rsidR="00AF7264">
        <w:rPr>
          <w:rFonts w:ascii="Garamond" w:hAnsi="Garamond"/>
          <w:color w:val="0D0D0D"/>
          <w:u w:val="none"/>
        </w:rPr>
        <w:t>ja</w:t>
      </w:r>
      <w:r w:rsidR="009D37E3" w:rsidRPr="00770F9D">
        <w:rPr>
          <w:rFonts w:ascii="Garamond" w:hAnsi="Garamond"/>
          <w:color w:val="0D0D0D"/>
          <w:u w:val="none"/>
        </w:rPr>
        <w:t xml:space="preserve"> e parashikuar e aktiviteteve dhe burimi i financimit</w:t>
      </w:r>
    </w:p>
    <w:p w14:paraId="7EA18E11" w14:textId="77777777" w:rsidR="009D37E3" w:rsidRPr="00770F9D" w:rsidRDefault="009D37E3" w:rsidP="00400806">
      <w:pPr>
        <w:ind w:firstLine="284"/>
        <w:jc w:val="both"/>
        <w:rPr>
          <w:rFonts w:ascii="Garamond" w:hAnsi="Garamond"/>
          <w:color w:val="0D0D0D"/>
        </w:rPr>
      </w:pPr>
      <w:r w:rsidRPr="00770F9D">
        <w:rPr>
          <w:rFonts w:ascii="Garamond" w:hAnsi="Garamond"/>
          <w:color w:val="0D0D0D"/>
        </w:rPr>
        <w:t>Janë vetëm shpenzime administrative që mbulohen nga buxheti i shtetit.</w:t>
      </w:r>
    </w:p>
    <w:p w14:paraId="636E529A" w14:textId="7DFA7B93" w:rsidR="009D37E3" w:rsidRPr="00770F9D" w:rsidRDefault="00083A8B"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5</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Ndikimi i pritshëm në përfundimet sociale si punësimi, ulja e varfërisë, barazia gjinore dhe aksesi në kujdesin shëndetësor</w:t>
      </w:r>
    </w:p>
    <w:p w14:paraId="1A63C3B3" w14:textId="77777777" w:rsidR="009D37E3" w:rsidRPr="00770F9D" w:rsidRDefault="009D37E3" w:rsidP="00400806">
      <w:pPr>
        <w:ind w:firstLine="284"/>
        <w:jc w:val="both"/>
        <w:rPr>
          <w:rFonts w:ascii="Garamond" w:hAnsi="Garamond"/>
          <w:color w:val="0D0D0D"/>
        </w:rPr>
      </w:pPr>
      <w:r w:rsidRPr="00770F9D">
        <w:rPr>
          <w:rFonts w:ascii="Garamond" w:hAnsi="Garamond"/>
          <w:color w:val="0D0D0D"/>
        </w:rPr>
        <w:t>Investimi çon në përmirësime të produktivitetit, të cilat nga ana tjetër nxisin rritjen. Kjo më pas çon në fitime të përmirësuara dhe investime shtesë, dhe në një ekonomi ideale, cikli vazhdon. Kështu, investimi është disi pika kyçe kritike.</w:t>
      </w:r>
    </w:p>
    <w:p w14:paraId="00577722" w14:textId="29F205E7" w:rsidR="009D37E3" w:rsidRPr="00770F9D" w:rsidRDefault="009D37E3" w:rsidP="00400806">
      <w:pPr>
        <w:ind w:firstLine="284"/>
        <w:jc w:val="both"/>
        <w:rPr>
          <w:rFonts w:ascii="Garamond" w:hAnsi="Garamond"/>
          <w:color w:val="0D0D0D"/>
        </w:rPr>
      </w:pPr>
      <w:r w:rsidRPr="00770F9D">
        <w:rPr>
          <w:rFonts w:ascii="Garamond" w:hAnsi="Garamond"/>
          <w:color w:val="0D0D0D"/>
        </w:rPr>
        <w:t>Investimet publike mund të ndikojnë në një ekonomi kombëtare në mënyra të shumta. Së pari, investimi kapital duhet të rrisë kapacitetin dhe/ose efi</w:t>
      </w:r>
      <w:r w:rsidR="006D6E8D" w:rsidRPr="00770F9D">
        <w:rPr>
          <w:rFonts w:ascii="Garamond" w:hAnsi="Garamond"/>
          <w:color w:val="0D0D0D"/>
        </w:rPr>
        <w:t>ci</w:t>
      </w:r>
      <w:r w:rsidRPr="00770F9D">
        <w:rPr>
          <w:rFonts w:ascii="Garamond" w:hAnsi="Garamond"/>
          <w:color w:val="0D0D0D"/>
        </w:rPr>
        <w:t>encën e prodhimit, gjë që do të çojë në rritje ekonomike, e cila shfaqet në dy mënyra kritike. Së pari është aftësia e bizneseve për të riinvestuar fitimet e tyre për të vazhduar këtë rritje dhe së dyti, popullsia e punës dhe konsumatorët që punësohen</w:t>
      </w:r>
      <w:r w:rsidR="00360C8D">
        <w:rPr>
          <w:rFonts w:ascii="Garamond" w:hAnsi="Garamond"/>
          <w:color w:val="0D0D0D"/>
        </w:rPr>
        <w:t>,</w:t>
      </w:r>
      <w:r w:rsidRPr="00770F9D">
        <w:rPr>
          <w:rFonts w:ascii="Garamond" w:hAnsi="Garamond"/>
          <w:color w:val="0D0D0D"/>
        </w:rPr>
        <w:t xml:space="preserve"> për shkak të kësaj rritjeje do të kenë më shumë para në dorë, gjë që do të rrisë shpenzimet e tyre. Kjo siguron të ardhura dhe kapital shtesë për bizneset, dhe bizneset më pas mund të vazhdojnë ciklin e investimeve për të rritur prodhimin.</w:t>
      </w:r>
    </w:p>
    <w:p w14:paraId="3682034E" w14:textId="77777777" w:rsidR="009D37E3" w:rsidRPr="00770F9D" w:rsidRDefault="009D37E3" w:rsidP="00400806">
      <w:pPr>
        <w:ind w:firstLine="284"/>
        <w:jc w:val="both"/>
        <w:rPr>
          <w:rFonts w:ascii="Garamond" w:hAnsi="Garamond"/>
          <w:color w:val="0D0D0D"/>
        </w:rPr>
      </w:pPr>
      <w:r w:rsidRPr="00770F9D">
        <w:rPr>
          <w:rFonts w:ascii="Garamond" w:hAnsi="Garamond"/>
          <w:color w:val="0D0D0D"/>
        </w:rPr>
        <w:t>Investimet publike stimulojnë aktivitetin ekonomik nëpërmjet efekteve afatshkurtra në kërkesën agregate dhe rrit produktivitetin e kapitalit ekzistues privat (fizik dhe njerëzor). Investimet publike inkurajojnë gjithashtu investimet e reja private për të përfituar nga produktiviteti më i lartë që krijon, duke rritur rritjen ekonomike. Për këtë nevojitet një infrastrukturë më e mirë qeverisjeje, ku institucione më të forta të menaxhojnë investimet publike.</w:t>
      </w:r>
    </w:p>
    <w:p w14:paraId="34C5AAC5" w14:textId="77777777" w:rsidR="009D37E3" w:rsidRPr="00770F9D" w:rsidRDefault="009D37E3" w:rsidP="00400806">
      <w:pPr>
        <w:ind w:firstLine="284"/>
        <w:jc w:val="both"/>
        <w:rPr>
          <w:rFonts w:ascii="Garamond" w:hAnsi="Garamond"/>
          <w:color w:val="0D0D0D"/>
        </w:rPr>
      </w:pPr>
      <w:r w:rsidRPr="00770F9D">
        <w:rPr>
          <w:rFonts w:ascii="Garamond" w:hAnsi="Garamond"/>
          <w:color w:val="0D0D0D"/>
        </w:rPr>
        <w:t>Një rritje e konsiderueshme e investimeve publike do të krijonte vende pune në afat të shkurtër dhe do të rriste rritjen e standardeve mesatare të jetesës në dekadat e ardhshme.</w:t>
      </w:r>
    </w:p>
    <w:p w14:paraId="1E350ADB" w14:textId="77777777" w:rsidR="009D37E3" w:rsidRPr="00770F9D" w:rsidRDefault="009D37E3" w:rsidP="00400806">
      <w:pPr>
        <w:ind w:firstLine="284"/>
        <w:jc w:val="both"/>
        <w:rPr>
          <w:rFonts w:ascii="Garamond" w:hAnsi="Garamond"/>
          <w:color w:val="0D0D0D"/>
        </w:rPr>
      </w:pPr>
      <w:r w:rsidRPr="00770F9D">
        <w:rPr>
          <w:rFonts w:ascii="Garamond" w:hAnsi="Garamond"/>
          <w:color w:val="0D0D0D"/>
        </w:rPr>
        <w:t>Investimet publike në arsimin rural kanë ndikimin më të madh në varfëri, të ndjekura nga shpenzimet në bujqësi dhe në rrugët rurale.</w:t>
      </w:r>
    </w:p>
    <w:p w14:paraId="13030E72" w14:textId="456CA98A" w:rsidR="009D37E3" w:rsidRPr="00770F9D" w:rsidRDefault="00083A8B"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6</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Ndikimi i pritshëm në mjedis dhe ndryshimi i klimës</w:t>
      </w:r>
    </w:p>
    <w:p w14:paraId="774DD598" w14:textId="77777777" w:rsidR="009D37E3" w:rsidRPr="00770F9D" w:rsidRDefault="009D37E3" w:rsidP="00400806">
      <w:pPr>
        <w:ind w:firstLine="284"/>
        <w:jc w:val="both"/>
        <w:rPr>
          <w:rFonts w:ascii="Garamond" w:hAnsi="Garamond"/>
          <w:color w:val="0D0D0D"/>
        </w:rPr>
      </w:pPr>
      <w:r w:rsidRPr="00770F9D">
        <w:rPr>
          <w:rFonts w:ascii="Garamond" w:hAnsi="Garamond"/>
          <w:color w:val="0D0D0D"/>
        </w:rPr>
        <w:t>Politikat dhe investimet publike mund të mbyllin familjet dhe bizneset në aktivitetin ekonomik që kufizon fleksibilitetin e tyre dhe rrit cenueshmërinë. Autorizimi i termocentraleve të reja me qymyr bllokon nivele të larta emetimi për dekadat e ardhshme. Ndërtimi i një dige do të inkurajojë familjet dhe bizneset që të investojnë, punojnë dhe jetojnë në zonën e mbrojtur, duke i lënë ata të ekspozuar ndaj ngjarjeve ekstreme dhe duke i dekurajuar nga kërkimi i alternativave. Për të zbutur ndryshimet klimatike, sektori publik punon për të ndryshuar teknologjinë, prodhimin dhe konsumin në mënyrë që ato të reduktojnë emetimet e gazeve serrë. Të gjitha projektet e sektorit publik duhet të marrin parasysh ndikimet e ndryshimeve klimatike, duke kërkuar të minimizojnë ndikimet negative në klimë përmes zbutjes dhe të minimizojnë ndikimet e pafavorshme klimatike përmes përshtatjes. Kjo kërkon një vlerësim të kujdesshëm. Teknikat e vlerësimit duhet të integrojnë kostot direkte dhe sociale të ndryshimeve klimatike dhe të ndërtojnë fleksibilitet për t’iu përgjigjur ndikimeve të pasigurta të ndryshimeve klimatike. Investime të tilla kërkojnë një vlerësim të kujdesshëm të kostove, përfitimeve dhe rreziqeve të qenësishme në planet afatgjata të investimeve publike.</w:t>
      </w:r>
    </w:p>
    <w:p w14:paraId="55879799" w14:textId="41018F54" w:rsidR="009D37E3" w:rsidRPr="00770F9D" w:rsidRDefault="00083A8B"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7</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Rreziqet e mundshme</w:t>
      </w:r>
    </w:p>
    <w:tbl>
      <w:tblPr>
        <w:tblStyle w:val="TableGrid"/>
        <w:tblW w:w="5000" w:type="pct"/>
        <w:tblLook w:val="04A0" w:firstRow="1" w:lastRow="0" w:firstColumn="1" w:lastColumn="0" w:noHBand="0" w:noVBand="1"/>
      </w:tblPr>
      <w:tblGrid>
        <w:gridCol w:w="3408"/>
        <w:gridCol w:w="1787"/>
        <w:gridCol w:w="4092"/>
      </w:tblGrid>
      <w:tr w:rsidR="00FA29AB" w:rsidRPr="00770F9D" w14:paraId="51EB77C8" w14:textId="77777777" w:rsidTr="00E47C32">
        <w:tc>
          <w:tcPr>
            <w:tcW w:w="1835" w:type="pct"/>
            <w:vAlign w:val="center"/>
          </w:tcPr>
          <w:p w14:paraId="2C912CD8" w14:textId="77777777" w:rsidR="00DE0F32" w:rsidRPr="00E47C32" w:rsidRDefault="00B2062A" w:rsidP="00E47C32">
            <w:pPr>
              <w:snapToGrid w:val="0"/>
              <w:jc w:val="center"/>
              <w:rPr>
                <w:rFonts w:ascii="Garamond" w:hAnsi="Garamond" w:cstheme="majorBidi"/>
                <w:b/>
                <w:bCs/>
                <w:color w:val="0D0D0D" w:themeColor="text1" w:themeTint="F2"/>
                <w:sz w:val="20"/>
                <w:szCs w:val="20"/>
              </w:rPr>
            </w:pPr>
            <w:r w:rsidRPr="00E47C32">
              <w:rPr>
                <w:rFonts w:ascii="Garamond" w:hAnsi="Garamond" w:cstheme="majorBidi"/>
                <w:b/>
                <w:bCs/>
                <w:color w:val="0D0D0D" w:themeColor="text1" w:themeTint="F2"/>
                <w:sz w:val="20"/>
                <w:szCs w:val="20"/>
              </w:rPr>
              <w:t>Rreziku</w:t>
            </w:r>
          </w:p>
        </w:tc>
        <w:tc>
          <w:tcPr>
            <w:tcW w:w="962" w:type="pct"/>
            <w:vAlign w:val="center"/>
          </w:tcPr>
          <w:p w14:paraId="20D58EAC" w14:textId="11E07F54" w:rsidR="00E47C32" w:rsidRDefault="00B2062A" w:rsidP="00E47C32">
            <w:pPr>
              <w:snapToGrid w:val="0"/>
              <w:jc w:val="center"/>
              <w:rPr>
                <w:rFonts w:ascii="Garamond" w:hAnsi="Garamond" w:cstheme="majorBidi"/>
                <w:b/>
                <w:bCs/>
                <w:color w:val="0D0D0D" w:themeColor="text1" w:themeTint="F2"/>
                <w:sz w:val="20"/>
                <w:szCs w:val="20"/>
              </w:rPr>
            </w:pPr>
            <w:r w:rsidRPr="00E47C32">
              <w:rPr>
                <w:rFonts w:ascii="Garamond" w:hAnsi="Garamond" w:cstheme="majorBidi"/>
                <w:b/>
                <w:bCs/>
                <w:color w:val="0D0D0D" w:themeColor="text1" w:themeTint="F2"/>
                <w:sz w:val="20"/>
                <w:szCs w:val="20"/>
              </w:rPr>
              <w:t>Mundësia</w:t>
            </w:r>
          </w:p>
          <w:p w14:paraId="58722133" w14:textId="3BCF1189" w:rsidR="00DE0F32" w:rsidRPr="00E47C32" w:rsidRDefault="00DE0F32" w:rsidP="00E47C32">
            <w:pPr>
              <w:snapToGrid w:val="0"/>
              <w:jc w:val="center"/>
              <w:rPr>
                <w:rFonts w:ascii="Garamond" w:hAnsi="Garamond" w:cstheme="majorBidi"/>
                <w:b/>
                <w:bCs/>
                <w:color w:val="0D0D0D" w:themeColor="text1" w:themeTint="F2"/>
                <w:sz w:val="20"/>
                <w:szCs w:val="20"/>
              </w:rPr>
            </w:pPr>
            <w:r w:rsidRPr="00E47C32">
              <w:rPr>
                <w:rFonts w:ascii="Garamond" w:hAnsi="Garamond" w:cstheme="majorBidi"/>
                <w:b/>
                <w:bCs/>
                <w:color w:val="0D0D0D" w:themeColor="text1" w:themeTint="F2"/>
                <w:sz w:val="20"/>
                <w:szCs w:val="20"/>
              </w:rPr>
              <w:t>(</w:t>
            </w:r>
            <w:r w:rsidR="00B2062A" w:rsidRPr="00E47C32">
              <w:rPr>
                <w:rFonts w:ascii="Garamond" w:hAnsi="Garamond" w:cstheme="majorBidi"/>
                <w:b/>
                <w:bCs/>
                <w:color w:val="0D0D0D" w:themeColor="text1" w:themeTint="F2"/>
                <w:sz w:val="20"/>
                <w:szCs w:val="20"/>
              </w:rPr>
              <w:t>e ulët, e lartë</w:t>
            </w:r>
            <w:r w:rsidRPr="00E47C32">
              <w:rPr>
                <w:rFonts w:ascii="Garamond" w:hAnsi="Garamond" w:cstheme="majorBidi"/>
                <w:b/>
                <w:bCs/>
                <w:color w:val="0D0D0D" w:themeColor="text1" w:themeTint="F2"/>
                <w:sz w:val="20"/>
                <w:szCs w:val="20"/>
              </w:rPr>
              <w:t>)</w:t>
            </w:r>
          </w:p>
        </w:tc>
        <w:tc>
          <w:tcPr>
            <w:tcW w:w="2203" w:type="pct"/>
            <w:vAlign w:val="center"/>
          </w:tcPr>
          <w:p w14:paraId="2D708D5A" w14:textId="77777777" w:rsidR="00DE0F32" w:rsidRPr="00E47C32" w:rsidRDefault="00B2062A" w:rsidP="00E47C32">
            <w:pPr>
              <w:snapToGrid w:val="0"/>
              <w:jc w:val="center"/>
              <w:rPr>
                <w:rFonts w:ascii="Garamond" w:hAnsi="Garamond" w:cstheme="majorBidi"/>
                <w:b/>
                <w:bCs/>
                <w:color w:val="0D0D0D" w:themeColor="text1" w:themeTint="F2"/>
                <w:sz w:val="20"/>
                <w:szCs w:val="20"/>
              </w:rPr>
            </w:pPr>
            <w:r w:rsidRPr="00E47C32">
              <w:rPr>
                <w:rFonts w:ascii="Garamond" w:hAnsi="Garamond" w:cstheme="majorBidi"/>
                <w:b/>
                <w:bCs/>
                <w:color w:val="0D0D0D" w:themeColor="text1" w:themeTint="F2"/>
                <w:sz w:val="20"/>
                <w:szCs w:val="20"/>
              </w:rPr>
              <w:t>Veprimi zbutës i parashikuar</w:t>
            </w:r>
          </w:p>
        </w:tc>
      </w:tr>
      <w:tr w:rsidR="00DE3917" w:rsidRPr="00770F9D" w14:paraId="20D9EC93" w14:textId="77777777" w:rsidTr="00E47C32">
        <w:tc>
          <w:tcPr>
            <w:tcW w:w="1835" w:type="pct"/>
          </w:tcPr>
          <w:p w14:paraId="515F1570" w14:textId="77777777" w:rsidR="00DE3917" w:rsidRPr="00770F9D" w:rsidRDefault="00DE3917" w:rsidP="00083A8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Ndryshime të vonuara ligjore/rregullative</w:t>
            </w:r>
          </w:p>
        </w:tc>
        <w:tc>
          <w:tcPr>
            <w:tcW w:w="962" w:type="pct"/>
          </w:tcPr>
          <w:p w14:paraId="47C6451A" w14:textId="77777777" w:rsidR="00DE3917" w:rsidRPr="00770F9D" w:rsidRDefault="00DE3917" w:rsidP="00083A8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Mesme</w:t>
            </w:r>
          </w:p>
        </w:tc>
        <w:tc>
          <w:tcPr>
            <w:tcW w:w="2203" w:type="pct"/>
          </w:tcPr>
          <w:p w14:paraId="1C55C100" w14:textId="77777777" w:rsidR="00DE3917" w:rsidRPr="00770F9D" w:rsidRDefault="00DE3917" w:rsidP="00083A8B">
            <w:pPr>
              <w:snapToGrid w:val="0"/>
              <w:rPr>
                <w:rFonts w:ascii="Garamond" w:hAnsi="Garamond" w:cstheme="majorBidi"/>
                <w:color w:val="0D0D0D" w:themeColor="text1" w:themeTint="F2"/>
                <w:sz w:val="20"/>
                <w:szCs w:val="20"/>
              </w:rPr>
            </w:pPr>
          </w:p>
        </w:tc>
      </w:tr>
      <w:tr w:rsidR="00DE3917" w:rsidRPr="00770F9D" w14:paraId="06E413AD" w14:textId="77777777" w:rsidTr="00E47C32">
        <w:tc>
          <w:tcPr>
            <w:tcW w:w="1835" w:type="pct"/>
          </w:tcPr>
          <w:p w14:paraId="6355997E" w14:textId="77777777" w:rsidR="00DE3917" w:rsidRPr="00770F9D" w:rsidRDefault="00DE3917" w:rsidP="00083A8B">
            <w:pPr>
              <w:snapToGrid w:val="0"/>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Burimet njerëzore adekuate</w:t>
            </w:r>
          </w:p>
        </w:tc>
        <w:tc>
          <w:tcPr>
            <w:tcW w:w="962" w:type="pct"/>
          </w:tcPr>
          <w:p w14:paraId="65EE6BA9" w14:textId="77777777" w:rsidR="00DE3917" w:rsidRPr="00770F9D" w:rsidRDefault="00DE3917" w:rsidP="00083A8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Mesme</w:t>
            </w:r>
          </w:p>
        </w:tc>
        <w:tc>
          <w:tcPr>
            <w:tcW w:w="2203" w:type="pct"/>
          </w:tcPr>
          <w:p w14:paraId="06A51A06" w14:textId="77777777" w:rsidR="00DE3917" w:rsidRPr="00770F9D" w:rsidRDefault="00DE3917" w:rsidP="00083A8B">
            <w:pPr>
              <w:snapToGrid w:val="0"/>
              <w:rPr>
                <w:rFonts w:ascii="Garamond" w:hAnsi="Garamond" w:cstheme="majorBidi"/>
                <w:color w:val="0D0D0D" w:themeColor="text1" w:themeTint="F2"/>
                <w:sz w:val="20"/>
                <w:szCs w:val="20"/>
              </w:rPr>
            </w:pPr>
          </w:p>
        </w:tc>
      </w:tr>
      <w:tr w:rsidR="00DE3917" w:rsidRPr="00770F9D" w14:paraId="4F6C6F56" w14:textId="77777777" w:rsidTr="00E47C32">
        <w:trPr>
          <w:trHeight w:val="251"/>
        </w:trPr>
        <w:tc>
          <w:tcPr>
            <w:tcW w:w="1835" w:type="pct"/>
          </w:tcPr>
          <w:p w14:paraId="76D38FDD" w14:textId="77777777" w:rsidR="00DE3917" w:rsidRPr="00770F9D" w:rsidRDefault="00DE3917" w:rsidP="00083A8B">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Koordinim joadekuat</w:t>
            </w:r>
          </w:p>
        </w:tc>
        <w:tc>
          <w:tcPr>
            <w:tcW w:w="962" w:type="pct"/>
          </w:tcPr>
          <w:p w14:paraId="2D42FE15" w14:textId="77777777" w:rsidR="00DE3917" w:rsidRPr="00770F9D" w:rsidRDefault="00DE3917" w:rsidP="00083A8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Ulët</w:t>
            </w:r>
          </w:p>
        </w:tc>
        <w:tc>
          <w:tcPr>
            <w:tcW w:w="2203" w:type="pct"/>
            <w:vAlign w:val="center"/>
          </w:tcPr>
          <w:p w14:paraId="7E1A3B93" w14:textId="77777777" w:rsidR="00DE3917" w:rsidRPr="00770F9D" w:rsidRDefault="00DE3917" w:rsidP="00083A8B">
            <w:pPr>
              <w:snapToGrid w:val="0"/>
              <w:rPr>
                <w:rFonts w:ascii="Garamond" w:hAnsi="Garamond" w:cstheme="majorBidi"/>
                <w:color w:val="0D0D0D" w:themeColor="text1" w:themeTint="F2"/>
                <w:sz w:val="20"/>
                <w:szCs w:val="20"/>
              </w:rPr>
            </w:pPr>
          </w:p>
        </w:tc>
      </w:tr>
      <w:tr w:rsidR="00DE3917" w:rsidRPr="00770F9D" w14:paraId="482085DB" w14:textId="77777777" w:rsidTr="00E47C32">
        <w:tc>
          <w:tcPr>
            <w:tcW w:w="1835" w:type="pct"/>
          </w:tcPr>
          <w:p w14:paraId="0DF816AE" w14:textId="77777777" w:rsidR="00DE3917" w:rsidRPr="00770F9D" w:rsidRDefault="00DE3917" w:rsidP="00083A8B">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Rreziku i ndryshimeve të ligjit</w:t>
            </w:r>
          </w:p>
        </w:tc>
        <w:tc>
          <w:tcPr>
            <w:tcW w:w="962" w:type="pct"/>
          </w:tcPr>
          <w:p w14:paraId="018ABBED" w14:textId="77777777" w:rsidR="00DE3917" w:rsidRPr="00770F9D" w:rsidRDefault="00DE3917" w:rsidP="00083A8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Lartë</w:t>
            </w:r>
          </w:p>
        </w:tc>
        <w:tc>
          <w:tcPr>
            <w:tcW w:w="2203" w:type="pct"/>
            <w:vAlign w:val="center"/>
          </w:tcPr>
          <w:p w14:paraId="425814BE" w14:textId="77777777" w:rsidR="00DE3917" w:rsidRPr="00770F9D" w:rsidRDefault="00DE3917" w:rsidP="00083A8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Përshtatja e procedurave sa i takon ndryshimit të ligjit.</w:t>
            </w:r>
          </w:p>
        </w:tc>
      </w:tr>
    </w:tbl>
    <w:p w14:paraId="22BBF6C8" w14:textId="77777777" w:rsidR="00DE0F32" w:rsidRPr="00770F9D" w:rsidRDefault="00DE0F32" w:rsidP="00400806">
      <w:pPr>
        <w:snapToGrid w:val="0"/>
        <w:ind w:firstLine="284"/>
        <w:jc w:val="both"/>
        <w:rPr>
          <w:rFonts w:ascii="Garamond" w:hAnsi="Garamond" w:cstheme="majorBidi"/>
          <w:color w:val="0D0D0D" w:themeColor="text1" w:themeTint="F2"/>
        </w:rPr>
      </w:pPr>
    </w:p>
    <w:p w14:paraId="47EF4F40" w14:textId="77777777" w:rsidR="009D37E3" w:rsidRPr="00770F9D" w:rsidRDefault="009D37E3" w:rsidP="00400806">
      <w:pPr>
        <w:pStyle w:val="Heading5"/>
        <w:ind w:left="0" w:firstLine="284"/>
        <w:jc w:val="both"/>
        <w:rPr>
          <w:rFonts w:ascii="Garamond" w:hAnsi="Garamond" w:cs="Garamond"/>
          <w:i w:val="0"/>
          <w:iCs/>
          <w:color w:val="0D0D0D"/>
          <w:sz w:val="24"/>
          <w:szCs w:val="24"/>
        </w:rPr>
      </w:pPr>
      <w:r w:rsidRPr="00770F9D">
        <w:rPr>
          <w:rFonts w:ascii="Garamond" w:hAnsi="Garamond" w:cs="Garamond"/>
          <w:i w:val="0"/>
          <w:iCs/>
          <w:color w:val="0D0D0D"/>
          <w:sz w:val="24"/>
          <w:szCs w:val="24"/>
        </w:rPr>
        <w:t>Masa e reformës 10: Forcimi i përgjegjshmërisë menaxheriale në njësitë e qeverisjes së përgjithshme</w:t>
      </w:r>
    </w:p>
    <w:p w14:paraId="42C024C3" w14:textId="691792EF" w:rsidR="009D37E3" w:rsidRPr="00770F9D" w:rsidRDefault="009D37E3" w:rsidP="00400806">
      <w:pPr>
        <w:pStyle w:val="Heading6"/>
        <w:numPr>
          <w:ilvl w:val="0"/>
          <w:numId w:val="0"/>
        </w:numPr>
        <w:ind w:firstLine="284"/>
        <w:rPr>
          <w:rFonts w:ascii="Garamond" w:hAnsi="Garamond" w:cs="Garamond"/>
          <w:color w:val="0D0D0D"/>
          <w:u w:val="none"/>
        </w:rPr>
      </w:pPr>
      <w:r w:rsidRPr="00770F9D">
        <w:rPr>
          <w:rFonts w:ascii="Garamond" w:hAnsi="Garamond" w:cs="Garamond"/>
          <w:color w:val="0D0D0D"/>
          <w:u w:val="none"/>
        </w:rPr>
        <w:t>1.</w:t>
      </w:r>
      <w:r w:rsidR="00BA4F1A" w:rsidRPr="00770F9D">
        <w:rPr>
          <w:rFonts w:ascii="Garamond" w:hAnsi="Garamond" w:cs="Garamond"/>
          <w:color w:val="0D0D0D"/>
          <w:u w:val="none"/>
        </w:rPr>
        <w:t xml:space="preserve"> </w:t>
      </w:r>
      <w:r w:rsidRPr="00770F9D">
        <w:rPr>
          <w:rFonts w:ascii="Garamond" w:hAnsi="Garamond" w:cs="Garamond"/>
          <w:color w:val="0D0D0D"/>
          <w:u w:val="none"/>
        </w:rPr>
        <w:t>Përshkrimi i masës</w:t>
      </w:r>
    </w:p>
    <w:p w14:paraId="604F36DD" w14:textId="0B60C0A8" w:rsidR="009D37E3" w:rsidRPr="00770F9D" w:rsidRDefault="009D37E3" w:rsidP="00E47C32">
      <w:pPr>
        <w:ind w:firstLine="284"/>
        <w:jc w:val="both"/>
        <w:rPr>
          <w:rFonts w:ascii="Garamond" w:hAnsi="Garamond" w:cs="Garamond"/>
          <w:color w:val="0D0D0D"/>
        </w:rPr>
      </w:pPr>
      <w:r w:rsidRPr="00770F9D">
        <w:rPr>
          <w:rFonts w:ascii="Garamond" w:hAnsi="Garamond" w:cs="Garamond"/>
          <w:color w:val="0D0D0D"/>
        </w:rPr>
        <w:t>Objektivi i qeverisë është të forcojë përgjegjshmërinë menaxheriale, i cili është një proces ku menaxherët në të gjitha nivelet janë të përgjegjshëm dhe mund të justifikojnë/shpjegojnë vendimet dhe veprimet e ndërmarra për të përmbushur objektivat specifik</w:t>
      </w:r>
      <w:r w:rsidR="00E47C32">
        <w:rPr>
          <w:rFonts w:ascii="Garamond" w:hAnsi="Garamond" w:cs="Garamond"/>
          <w:color w:val="0D0D0D"/>
        </w:rPr>
        <w:t>ë</w:t>
      </w:r>
      <w:r w:rsidRPr="00770F9D">
        <w:rPr>
          <w:rFonts w:ascii="Garamond" w:hAnsi="Garamond" w:cs="Garamond"/>
          <w:color w:val="0D0D0D"/>
        </w:rPr>
        <w:t xml:space="preserve"> të njësisë që ata drejtojnë. Është e nevojshme të ekzistojë mekanizmi i duhur për të siguruar përgjegjshmërinë e organeve të administratës shtetërore, duke përfshirë përgjegjësinë dhe transparencën.</w:t>
      </w:r>
    </w:p>
    <w:p w14:paraId="59F896F2" w14:textId="04D8DE50" w:rsidR="009D37E3" w:rsidRPr="00770F9D" w:rsidRDefault="009D37E3" w:rsidP="00400806">
      <w:pPr>
        <w:ind w:firstLine="284"/>
        <w:jc w:val="both"/>
        <w:rPr>
          <w:rFonts w:ascii="Garamond" w:hAnsi="Garamond" w:cs="Garamond"/>
          <w:color w:val="0D0D0D"/>
        </w:rPr>
      </w:pPr>
      <w:r w:rsidRPr="00770F9D">
        <w:rPr>
          <w:rFonts w:ascii="Garamond" w:hAnsi="Garamond" w:cs="Garamond"/>
          <w:color w:val="0D0D0D"/>
        </w:rPr>
        <w:t>Menaxheri është përgjegjës për krijimin e të gjitha parakushteve të nevojshme, veçanërisht për funksionimin efikas dhe efektiv të sistemit të menaxhimit financiar dhe kontrollit, për të siguruar përdorimin e ligjshëm, të qëllimshëm dhe të përshtatshëm të fondeve. Përgjegjshmëria menaxheriale nënkupton përgjegjësinë për menaxhim të shëndoshë financiar në të gjitha nivelet, domethënë organizimin, procedurat dhe raportimin e duhur të rezultateve të njësisë. Lidhur me këtë çështje, në përputhje me ligjin për menaxhimin financiar dhe kontrollin, Qeveria ka mir</w:t>
      </w:r>
      <w:r w:rsidR="00E47C32">
        <w:rPr>
          <w:rFonts w:ascii="Garamond" w:hAnsi="Garamond" w:cs="Garamond"/>
          <w:color w:val="0D0D0D"/>
        </w:rPr>
        <w:t>atuar udhëzimin nr. 4, datë 29.</w:t>
      </w:r>
      <w:r w:rsidRPr="00770F9D">
        <w:rPr>
          <w:rFonts w:ascii="Garamond" w:hAnsi="Garamond" w:cs="Garamond"/>
          <w:color w:val="0D0D0D"/>
        </w:rPr>
        <w:t>1.2020</w:t>
      </w:r>
      <w:r w:rsidR="00E47C32">
        <w:rPr>
          <w:rFonts w:ascii="Garamond" w:hAnsi="Garamond" w:cs="Garamond"/>
          <w:color w:val="0D0D0D"/>
        </w:rPr>
        <w:t>,</w:t>
      </w:r>
      <w:r w:rsidRPr="00770F9D">
        <w:rPr>
          <w:rFonts w:ascii="Garamond" w:hAnsi="Garamond" w:cs="Garamond"/>
          <w:color w:val="0D0D0D"/>
        </w:rPr>
        <w:t xml:space="preserve"> “Për delegimin e detyrave në njësitë e qeverisjes së përgjithshme”</w:t>
      </w:r>
      <w:r w:rsidR="00813B28">
        <w:rPr>
          <w:rFonts w:ascii="Garamond" w:hAnsi="Garamond" w:cs="Garamond"/>
          <w:color w:val="0D0D0D"/>
        </w:rPr>
        <w:t>,</w:t>
      </w:r>
      <w:r w:rsidRPr="00770F9D">
        <w:rPr>
          <w:rFonts w:ascii="Garamond" w:hAnsi="Garamond" w:cs="Garamond"/>
          <w:color w:val="0D0D0D"/>
        </w:rPr>
        <w:t xml:space="preserve"> ku disa institucione të përzgjedhura janë asistuar në vend për testimin</w:t>
      </w:r>
      <w:r w:rsidR="00813B28">
        <w:rPr>
          <w:rFonts w:ascii="Garamond" w:hAnsi="Garamond" w:cs="Garamond"/>
          <w:color w:val="0D0D0D"/>
        </w:rPr>
        <w:t xml:space="preserve"> e zbatimit të këtij udhëzimi.</w:t>
      </w:r>
    </w:p>
    <w:p w14:paraId="5FBE98CB" w14:textId="012BA0E7" w:rsidR="009D37E3" w:rsidRPr="00770F9D" w:rsidRDefault="009D37E3" w:rsidP="00813B28">
      <w:pPr>
        <w:ind w:firstLine="284"/>
        <w:jc w:val="both"/>
        <w:rPr>
          <w:rFonts w:ascii="Garamond" w:hAnsi="Garamond" w:cs="Garamond"/>
          <w:color w:val="0D0D0D"/>
        </w:rPr>
      </w:pPr>
      <w:r w:rsidRPr="00770F9D">
        <w:rPr>
          <w:rFonts w:ascii="Garamond" w:hAnsi="Garamond" w:cs="Garamond"/>
          <w:color w:val="0D0D0D"/>
        </w:rPr>
        <w:t>Masa e reformës është në përputhje me Strategjinë e Menaxhimit të Financave Publike 2019</w:t>
      </w:r>
      <w:r w:rsidR="00813B28">
        <w:rPr>
          <w:rFonts w:ascii="Garamond" w:hAnsi="Garamond" w:cs="Garamond"/>
          <w:color w:val="0D0D0D"/>
        </w:rPr>
        <w:t>–</w:t>
      </w:r>
      <w:r w:rsidRPr="00770F9D">
        <w:rPr>
          <w:rFonts w:ascii="Garamond" w:hAnsi="Garamond" w:cs="Garamond"/>
          <w:color w:val="0D0D0D"/>
        </w:rPr>
        <w:t>2022 (objektivi specifik nr.</w:t>
      </w:r>
      <w:r w:rsidR="00813B28">
        <w:rPr>
          <w:rFonts w:ascii="Garamond" w:hAnsi="Garamond" w:cs="Garamond"/>
          <w:color w:val="0D0D0D"/>
        </w:rPr>
        <w:t xml:space="preserve"> </w:t>
      </w:r>
      <w:r w:rsidRPr="00770F9D">
        <w:rPr>
          <w:rFonts w:ascii="Garamond" w:hAnsi="Garamond" w:cs="Garamond"/>
          <w:color w:val="0D0D0D"/>
        </w:rPr>
        <w:t xml:space="preserve">6 “Kontrolli i brendshëm efektiv”) dhe </w:t>
      </w:r>
      <w:r w:rsidR="00126440" w:rsidRPr="00770F9D">
        <w:rPr>
          <w:rFonts w:ascii="Garamond" w:hAnsi="Garamond" w:cs="Garamond"/>
          <w:color w:val="0D0D0D"/>
        </w:rPr>
        <w:t xml:space="preserve">dokumentin e politikave </w:t>
      </w:r>
      <w:r w:rsidRPr="00770F9D">
        <w:rPr>
          <w:rFonts w:ascii="Garamond" w:hAnsi="Garamond" w:cs="Garamond"/>
          <w:color w:val="0D0D0D"/>
        </w:rPr>
        <w:t xml:space="preserve">për zhvillimin e mëtejshëm të </w:t>
      </w:r>
      <w:r w:rsidR="00126440" w:rsidRPr="00770F9D">
        <w:rPr>
          <w:rFonts w:ascii="Garamond" w:hAnsi="Garamond" w:cs="Garamond"/>
          <w:color w:val="0D0D0D"/>
        </w:rPr>
        <w:t xml:space="preserve">kontrollit të brendshëm financiar publik </w:t>
      </w:r>
      <w:r w:rsidRPr="00770F9D">
        <w:rPr>
          <w:rFonts w:ascii="Garamond" w:hAnsi="Garamond" w:cs="Garamond"/>
          <w:color w:val="0D0D0D"/>
        </w:rPr>
        <w:t>2021</w:t>
      </w:r>
      <w:r w:rsidR="00813B28">
        <w:rPr>
          <w:rFonts w:ascii="Garamond" w:hAnsi="Garamond" w:cs="Garamond"/>
          <w:color w:val="0D0D0D"/>
        </w:rPr>
        <w:t>–</w:t>
      </w:r>
      <w:r w:rsidRPr="00770F9D">
        <w:rPr>
          <w:rFonts w:ascii="Garamond" w:hAnsi="Garamond" w:cs="Garamond"/>
          <w:color w:val="0D0D0D"/>
        </w:rPr>
        <w:t>2022. Kjo masë është përfshirë edhe në Planin Kombëtar për Integrimin Evropian 2022</w:t>
      </w:r>
      <w:r w:rsidR="00813B28">
        <w:rPr>
          <w:rFonts w:ascii="Garamond" w:hAnsi="Garamond" w:cs="Garamond"/>
          <w:color w:val="0D0D0D"/>
        </w:rPr>
        <w:t>–</w:t>
      </w:r>
      <w:r w:rsidRPr="00770F9D">
        <w:rPr>
          <w:rFonts w:ascii="Garamond" w:hAnsi="Garamond" w:cs="Garamond"/>
          <w:color w:val="0D0D0D"/>
        </w:rPr>
        <w:t xml:space="preserve">2024 për </w:t>
      </w:r>
      <w:r w:rsidR="00813B28" w:rsidRPr="00770F9D">
        <w:rPr>
          <w:rFonts w:ascii="Garamond" w:hAnsi="Garamond" w:cs="Garamond"/>
          <w:color w:val="0D0D0D"/>
        </w:rPr>
        <w:t xml:space="preserve">kapitullin </w:t>
      </w:r>
      <w:r w:rsidRPr="00770F9D">
        <w:rPr>
          <w:rFonts w:ascii="Garamond" w:hAnsi="Garamond" w:cs="Garamond"/>
          <w:color w:val="0D0D0D"/>
        </w:rPr>
        <w:t xml:space="preserve">32 “Kontrolli </w:t>
      </w:r>
      <w:r w:rsidR="00813B28" w:rsidRPr="00770F9D">
        <w:rPr>
          <w:rFonts w:ascii="Garamond" w:hAnsi="Garamond" w:cs="Garamond"/>
          <w:color w:val="0D0D0D"/>
        </w:rPr>
        <w:t>financiar</w:t>
      </w:r>
      <w:r w:rsidRPr="00770F9D">
        <w:rPr>
          <w:rFonts w:ascii="Garamond" w:hAnsi="Garamond" w:cs="Garamond"/>
          <w:color w:val="0D0D0D"/>
        </w:rPr>
        <w:t>”.</w:t>
      </w:r>
    </w:p>
    <w:p w14:paraId="2DF89C75" w14:textId="7BEF06E4" w:rsidR="009D37E3" w:rsidRPr="00770F9D" w:rsidRDefault="009D37E3" w:rsidP="00400806">
      <w:pPr>
        <w:ind w:firstLine="284"/>
        <w:jc w:val="both"/>
        <w:rPr>
          <w:rFonts w:ascii="Garamond" w:hAnsi="Garamond" w:cs="Garamond"/>
          <w:color w:val="0D0D0D"/>
        </w:rPr>
      </w:pPr>
      <w:r w:rsidRPr="00770F9D">
        <w:rPr>
          <w:rFonts w:ascii="Garamond" w:hAnsi="Garamond" w:cs="Garamond"/>
          <w:color w:val="0D0D0D"/>
        </w:rPr>
        <w:t>Duke marrë në konsideratë evoluimin e funksionimit dhe menaxhimit të njësive publike</w:t>
      </w:r>
      <w:r w:rsidR="00126440">
        <w:rPr>
          <w:rFonts w:ascii="Garamond" w:hAnsi="Garamond" w:cs="Garamond"/>
          <w:color w:val="0D0D0D"/>
        </w:rPr>
        <w:t>,</w:t>
      </w:r>
      <w:r w:rsidRPr="00770F9D">
        <w:rPr>
          <w:rFonts w:ascii="Garamond" w:hAnsi="Garamond" w:cs="Garamond"/>
          <w:color w:val="0D0D0D"/>
        </w:rPr>
        <w:t xml:space="preserve"> si dhe vlerësimet e vazhdueshme të kryera nga Ministria e Financave dhe Ekonomisë apo organizatat ndërkombëtare, evidentohet se ka ende vështirësi për institucionet publike për të kuptuar ose zbatuar konceptin e përgjegjshmërisë menaxheriale, për arsye të ndryshme</w:t>
      </w:r>
      <w:r w:rsidR="00907F17">
        <w:rPr>
          <w:rFonts w:ascii="Garamond" w:hAnsi="Garamond" w:cs="Garamond"/>
          <w:color w:val="0D0D0D"/>
        </w:rPr>
        <w:t>,</w:t>
      </w:r>
      <w:r w:rsidRPr="00770F9D">
        <w:rPr>
          <w:rFonts w:ascii="Garamond" w:hAnsi="Garamond" w:cs="Garamond"/>
          <w:color w:val="0D0D0D"/>
        </w:rPr>
        <w:t xml:space="preserve"> si më poshtë:</w:t>
      </w:r>
    </w:p>
    <w:p w14:paraId="3596FFE2" w14:textId="24715708" w:rsidR="009D37E3" w:rsidRPr="00770F9D" w:rsidRDefault="00C001FA" w:rsidP="00400806">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009D37E3" w:rsidRPr="00770F9D">
        <w:rPr>
          <w:rFonts w:ascii="Garamond" w:hAnsi="Garamond" w:cs="Garamond"/>
          <w:color w:val="0D0D0D"/>
          <w:sz w:val="24"/>
          <w:szCs w:val="24"/>
          <w:lang w:val="sq-AL"/>
        </w:rPr>
        <w:t>Mungesa e informacionit lidhur me konceptin e përgjegjshmërisë menaxheriale nga menaxherët;</w:t>
      </w:r>
    </w:p>
    <w:p w14:paraId="7CE35099" w14:textId="75C3D5A5" w:rsidR="009D37E3" w:rsidRPr="00770F9D" w:rsidRDefault="00C001FA" w:rsidP="00400806">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009D37E3" w:rsidRPr="00770F9D">
        <w:rPr>
          <w:rFonts w:ascii="Garamond" w:hAnsi="Garamond" w:cs="Garamond"/>
          <w:color w:val="0D0D0D"/>
          <w:sz w:val="24"/>
          <w:szCs w:val="24"/>
          <w:lang w:val="sq-AL"/>
        </w:rPr>
        <w:t>Menaxherët janë të mbingarkuar</w:t>
      </w:r>
      <w:r w:rsidR="00907F17">
        <w:rPr>
          <w:rFonts w:ascii="Garamond" w:hAnsi="Garamond" w:cs="Garamond"/>
          <w:color w:val="0D0D0D"/>
          <w:sz w:val="24"/>
          <w:szCs w:val="24"/>
          <w:lang w:val="sq-AL"/>
        </w:rPr>
        <w:t>,</w:t>
      </w:r>
      <w:r w:rsidR="009D37E3" w:rsidRPr="00770F9D">
        <w:rPr>
          <w:rFonts w:ascii="Garamond" w:hAnsi="Garamond" w:cs="Garamond"/>
          <w:color w:val="0D0D0D"/>
          <w:sz w:val="24"/>
          <w:szCs w:val="24"/>
          <w:lang w:val="sq-AL"/>
        </w:rPr>
        <w:t xml:space="preserve"> për shkak të nevojës për të miratuar të gjitha vendimet dhe dokumentet e dërguara jashtë njësisë;</w:t>
      </w:r>
    </w:p>
    <w:p w14:paraId="3797F312" w14:textId="16919AAB" w:rsidR="009D37E3" w:rsidRPr="00770F9D" w:rsidRDefault="00C001FA" w:rsidP="00400806">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009D37E3" w:rsidRPr="00770F9D">
        <w:rPr>
          <w:rFonts w:ascii="Garamond" w:hAnsi="Garamond" w:cs="Garamond"/>
          <w:color w:val="0D0D0D"/>
          <w:sz w:val="24"/>
          <w:szCs w:val="24"/>
          <w:lang w:val="sq-AL"/>
        </w:rPr>
        <w:t>Mungesa e zhvillimit të mekanizmave për delegimin e kompetencave dhe përgjegjësive;</w:t>
      </w:r>
    </w:p>
    <w:p w14:paraId="5B54CC2F" w14:textId="4759F9C0" w:rsidR="009D37E3" w:rsidRPr="00770F9D" w:rsidRDefault="00C001FA" w:rsidP="00400806">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009D37E3" w:rsidRPr="00770F9D">
        <w:rPr>
          <w:rFonts w:ascii="Garamond" w:hAnsi="Garamond" w:cs="Garamond"/>
          <w:color w:val="0D0D0D"/>
          <w:sz w:val="24"/>
          <w:szCs w:val="24"/>
          <w:lang w:val="sq-AL"/>
        </w:rPr>
        <w:t>Struktura joadekuate organizative ose mungesa e kapaciteteve në burime njerëzore;</w:t>
      </w:r>
    </w:p>
    <w:p w14:paraId="5F2A0E53" w14:textId="4D1711D0" w:rsidR="009D37E3" w:rsidRPr="00770F9D" w:rsidRDefault="00C001FA" w:rsidP="00400806">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 xml:space="preserve">- </w:t>
      </w:r>
      <w:r w:rsidR="009D37E3" w:rsidRPr="00770F9D">
        <w:rPr>
          <w:rFonts w:ascii="Garamond" w:hAnsi="Garamond" w:cs="Garamond"/>
          <w:color w:val="0D0D0D"/>
          <w:sz w:val="24"/>
          <w:szCs w:val="24"/>
          <w:lang w:val="sq-AL"/>
        </w:rPr>
        <w:t>Mungesa e besimit dhe kohës për t’iu kushtuar ngritjes së kapaciteteve të punonjësve;</w:t>
      </w:r>
    </w:p>
    <w:p w14:paraId="6B746B87" w14:textId="418CBF10" w:rsidR="009D37E3" w:rsidRPr="00770F9D" w:rsidRDefault="00C001FA" w:rsidP="00400806">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009D37E3" w:rsidRPr="00770F9D">
        <w:rPr>
          <w:rFonts w:ascii="Garamond" w:hAnsi="Garamond" w:cs="Garamond"/>
          <w:color w:val="0D0D0D"/>
          <w:sz w:val="24"/>
          <w:szCs w:val="24"/>
          <w:lang w:val="sq-AL"/>
        </w:rPr>
        <w:t>Vlerësimi i riskut, i cili duhet të jetë një tipar thelbësor i vendimmarrjes së menaxhimit, konsiderohet vetëm një kërkesë burokratike;</w:t>
      </w:r>
    </w:p>
    <w:p w14:paraId="6C4E1107" w14:textId="148BD279" w:rsidR="009D37E3" w:rsidRPr="00770F9D" w:rsidRDefault="00C001FA" w:rsidP="00400806">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009D37E3" w:rsidRPr="00770F9D">
        <w:rPr>
          <w:rFonts w:ascii="Garamond" w:hAnsi="Garamond" w:cs="Garamond"/>
          <w:color w:val="0D0D0D"/>
          <w:sz w:val="24"/>
          <w:szCs w:val="24"/>
          <w:lang w:val="sq-AL"/>
        </w:rPr>
        <w:t>Mangësitë në planifikimin strategjik financiar dhe përcaktimin e qartë të objektivave.</w:t>
      </w:r>
    </w:p>
    <w:p w14:paraId="5CB3CADC" w14:textId="4AD696DA" w:rsidR="009D37E3" w:rsidRPr="00770F9D" w:rsidRDefault="009D37E3" w:rsidP="000F6F7A">
      <w:pPr>
        <w:pStyle w:val="ListParagraph"/>
        <w:ind w:left="0" w:firstLine="284"/>
        <w:jc w:val="both"/>
        <w:rPr>
          <w:rFonts w:ascii="Garamond" w:hAnsi="Garamond" w:cs="Garamond"/>
          <w:b/>
          <w:bCs/>
          <w:color w:val="0D0D0D"/>
          <w:sz w:val="24"/>
          <w:szCs w:val="24"/>
          <w:lang w:val="sq-AL"/>
        </w:rPr>
      </w:pPr>
      <w:r w:rsidRPr="00770F9D">
        <w:rPr>
          <w:rFonts w:ascii="Garamond" w:hAnsi="Garamond" w:cs="Garamond"/>
          <w:b/>
          <w:bCs/>
          <w:color w:val="0D0D0D"/>
          <w:sz w:val="24"/>
          <w:szCs w:val="24"/>
          <w:lang w:val="sq-AL"/>
        </w:rPr>
        <w:t>a</w:t>
      </w:r>
      <w:r w:rsidR="00777B96" w:rsidRPr="00770F9D">
        <w:rPr>
          <w:rFonts w:ascii="Garamond" w:hAnsi="Garamond" w:cs="Garamond"/>
          <w:b/>
          <w:bCs/>
          <w:color w:val="0D0D0D"/>
          <w:sz w:val="24"/>
          <w:szCs w:val="24"/>
          <w:lang w:val="sq-AL"/>
        </w:rPr>
        <w:t>)</w:t>
      </w:r>
      <w:r w:rsidR="00BA4F1A" w:rsidRPr="00770F9D">
        <w:rPr>
          <w:rFonts w:ascii="Garamond" w:hAnsi="Garamond" w:cs="Garamond"/>
          <w:b/>
          <w:bCs/>
          <w:color w:val="0D0D0D"/>
          <w:sz w:val="24"/>
          <w:szCs w:val="24"/>
          <w:lang w:val="sq-AL"/>
        </w:rPr>
        <w:t xml:space="preserve"> </w:t>
      </w:r>
      <w:r w:rsidRPr="00770F9D">
        <w:rPr>
          <w:rFonts w:ascii="Garamond" w:hAnsi="Garamond" w:cs="Garamond"/>
          <w:b/>
          <w:bCs/>
          <w:color w:val="0D0D0D"/>
          <w:sz w:val="24"/>
          <w:szCs w:val="24"/>
          <w:lang w:val="sq-AL"/>
        </w:rPr>
        <w:t xml:space="preserve">Aktivitete të planifikuara </w:t>
      </w:r>
      <w:r w:rsidR="000F6F7A">
        <w:rPr>
          <w:rFonts w:ascii="Garamond" w:hAnsi="Garamond" w:cs="Garamond"/>
          <w:b/>
          <w:bCs/>
          <w:color w:val="0D0D0D"/>
          <w:sz w:val="24"/>
          <w:szCs w:val="24"/>
          <w:lang w:val="sq-AL"/>
        </w:rPr>
        <w:t>m</w:t>
      </w:r>
      <w:r w:rsidRPr="00770F9D">
        <w:rPr>
          <w:rFonts w:ascii="Garamond" w:hAnsi="Garamond" w:cs="Garamond"/>
          <w:b/>
          <w:bCs/>
          <w:color w:val="0D0D0D"/>
          <w:sz w:val="24"/>
          <w:szCs w:val="24"/>
          <w:lang w:val="sq-AL"/>
        </w:rPr>
        <w:t>ë 2023</w:t>
      </w:r>
      <w:r w:rsidR="00907F17">
        <w:rPr>
          <w:rFonts w:ascii="Garamond" w:hAnsi="Garamond" w:cs="Garamond"/>
          <w:b/>
          <w:bCs/>
          <w:color w:val="0D0D0D"/>
          <w:sz w:val="24"/>
          <w:szCs w:val="24"/>
          <w:lang w:val="sq-AL"/>
        </w:rPr>
        <w:t>-shin</w:t>
      </w:r>
    </w:p>
    <w:p w14:paraId="787A4DC2" w14:textId="0C95483A" w:rsidR="009D37E3" w:rsidRPr="00770F9D" w:rsidRDefault="009D37E3" w:rsidP="00400806">
      <w:pPr>
        <w:pStyle w:val="ListParagraph"/>
        <w:ind w:left="0" w:firstLine="284"/>
        <w:jc w:val="both"/>
        <w:rPr>
          <w:rFonts w:ascii="Garamond" w:hAnsi="Garamond" w:cs="Garamond"/>
          <w:b/>
          <w:bCs/>
          <w:color w:val="0D0D0D"/>
          <w:sz w:val="24"/>
          <w:szCs w:val="24"/>
          <w:lang w:val="sq-AL"/>
        </w:rPr>
      </w:pPr>
      <w:r w:rsidRPr="00770F9D">
        <w:rPr>
          <w:rFonts w:ascii="Garamond" w:hAnsi="Garamond" w:cs="Garamond"/>
          <w:color w:val="0D0D0D"/>
          <w:sz w:val="24"/>
          <w:szCs w:val="24"/>
          <w:lang w:val="sq-AL"/>
        </w:rPr>
        <w:t>a</w:t>
      </w:r>
      <w:r w:rsidR="00777B96"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Vënia në dispozicion e një kuadri rregullator të përmirësuar për zbatimin e procedurave për zhvillimin e një sistemi efektiv të përgjegjshmërisë menaxheriale dhe lehtësimin e mekanizmave për qëllime të mirëmenaxhimit të fondeve publike.</w:t>
      </w:r>
    </w:p>
    <w:p w14:paraId="070604A4" w14:textId="5DE29E1D" w:rsidR="009D37E3" w:rsidRPr="00770F9D" w:rsidRDefault="009D37E3" w:rsidP="008F42BC">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b</w:t>
      </w:r>
      <w:r w:rsidR="00777B96"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Vlerësimi i vazhdueshëm i cilësisë së sistemit të kontrollit të brendshëm</w:t>
      </w:r>
      <w:r w:rsidR="008F42BC">
        <w:rPr>
          <w:rFonts w:ascii="Garamond" w:hAnsi="Garamond" w:cs="Garamond"/>
          <w:color w:val="0D0D0D"/>
          <w:sz w:val="24"/>
          <w:szCs w:val="24"/>
          <w:lang w:val="sq-AL"/>
        </w:rPr>
        <w:t>,</w:t>
      </w:r>
      <w:r w:rsidRPr="00770F9D">
        <w:rPr>
          <w:rFonts w:ascii="Garamond" w:hAnsi="Garamond" w:cs="Garamond"/>
          <w:color w:val="0D0D0D"/>
          <w:sz w:val="24"/>
          <w:szCs w:val="24"/>
          <w:lang w:val="sq-AL"/>
        </w:rPr>
        <w:t xml:space="preserve"> me qëllim kryerjen e një analize të thelluar të funksionimit të elementeve të kontrollit të brendshëm, identifikimin e mangësive kryesore dhe dhënien e rekomandimeve konkrete për adresimin e tyre</w:t>
      </w:r>
      <w:r w:rsidR="008F42BC">
        <w:rPr>
          <w:rFonts w:ascii="Garamond" w:hAnsi="Garamond" w:cs="Garamond"/>
          <w:color w:val="0D0D0D"/>
          <w:sz w:val="24"/>
          <w:szCs w:val="24"/>
          <w:lang w:val="sq-AL"/>
        </w:rPr>
        <w:t>;</w:t>
      </w:r>
    </w:p>
    <w:p w14:paraId="0CECB01E" w14:textId="65D8E6DB" w:rsidR="009D37E3" w:rsidRPr="00770F9D" w:rsidRDefault="009D37E3" w:rsidP="008F42BC">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c</w:t>
      </w:r>
      <w:r w:rsidR="00777B96"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Ofrimi i asistencës teknike për zbatimin në praktikë të mekanizmave bazë të përgjegjshmërisë menaxheriale</w:t>
      </w:r>
      <w:r w:rsidR="008F42BC">
        <w:rPr>
          <w:rFonts w:ascii="Garamond" w:hAnsi="Garamond" w:cs="Garamond"/>
          <w:color w:val="0D0D0D"/>
          <w:sz w:val="24"/>
          <w:szCs w:val="24"/>
          <w:lang w:val="sq-AL"/>
        </w:rPr>
        <w:t>;</w:t>
      </w:r>
    </w:p>
    <w:p w14:paraId="6F2D2CA3" w14:textId="4D1D4370" w:rsidR="009D37E3" w:rsidRPr="00770F9D" w:rsidRDefault="009D37E3" w:rsidP="00400806">
      <w:pPr>
        <w:pStyle w:val="ListParagraph"/>
        <w:ind w:left="0" w:firstLine="284"/>
        <w:jc w:val="both"/>
        <w:rPr>
          <w:rFonts w:ascii="Garamond" w:hAnsi="Garamond" w:cs="Garamond"/>
          <w:b/>
          <w:bCs/>
          <w:color w:val="0D0D0D"/>
          <w:sz w:val="24"/>
          <w:szCs w:val="24"/>
          <w:lang w:val="sq-AL"/>
        </w:rPr>
      </w:pPr>
      <w:r w:rsidRPr="00770F9D">
        <w:rPr>
          <w:rFonts w:ascii="Garamond" w:hAnsi="Garamond" w:cs="Garamond"/>
          <w:color w:val="0D0D0D"/>
          <w:sz w:val="24"/>
          <w:szCs w:val="24"/>
          <w:lang w:val="sq-AL"/>
        </w:rPr>
        <w:t>d</w:t>
      </w:r>
      <w:r w:rsidR="00777B96"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Rritja e kapaciteteve për të informuar mbi konceptet dhe instrumentet kryesore të përgjegjshmërisë menaxheriale dhe ndërgjegjësimin për përfitimet e zbatimit të saj</w:t>
      </w:r>
      <w:r w:rsidR="008F42BC">
        <w:rPr>
          <w:rFonts w:ascii="Garamond" w:hAnsi="Garamond" w:cs="Garamond"/>
          <w:color w:val="0D0D0D"/>
          <w:sz w:val="24"/>
          <w:szCs w:val="24"/>
          <w:lang w:val="sq-AL"/>
        </w:rPr>
        <w:t>.</w:t>
      </w:r>
    </w:p>
    <w:p w14:paraId="33165CD5" w14:textId="5888FFAB" w:rsidR="009D37E3" w:rsidRPr="00770F9D" w:rsidRDefault="009D37E3" w:rsidP="000F6F7A">
      <w:pPr>
        <w:pStyle w:val="ListParagraph"/>
        <w:ind w:left="0" w:firstLine="284"/>
        <w:jc w:val="both"/>
        <w:rPr>
          <w:rFonts w:ascii="Garamond" w:hAnsi="Garamond" w:cs="Garamond"/>
          <w:b/>
          <w:bCs/>
          <w:color w:val="0D0D0D"/>
          <w:sz w:val="24"/>
          <w:szCs w:val="24"/>
          <w:lang w:val="sq-AL"/>
        </w:rPr>
      </w:pPr>
      <w:r w:rsidRPr="00770F9D">
        <w:rPr>
          <w:rFonts w:ascii="Garamond" w:hAnsi="Garamond" w:cs="Garamond"/>
          <w:b/>
          <w:bCs/>
          <w:color w:val="0D0D0D"/>
          <w:sz w:val="24"/>
          <w:szCs w:val="24"/>
          <w:lang w:val="sq-AL"/>
        </w:rPr>
        <w:t>b</w:t>
      </w:r>
      <w:r w:rsidR="00777B96" w:rsidRPr="00770F9D">
        <w:rPr>
          <w:rFonts w:ascii="Garamond" w:hAnsi="Garamond" w:cs="Garamond"/>
          <w:b/>
          <w:bCs/>
          <w:color w:val="0D0D0D"/>
          <w:sz w:val="24"/>
          <w:szCs w:val="24"/>
          <w:lang w:val="sq-AL"/>
        </w:rPr>
        <w:t>)</w:t>
      </w:r>
      <w:r w:rsidR="00BA4F1A" w:rsidRPr="00770F9D">
        <w:rPr>
          <w:rFonts w:ascii="Garamond" w:hAnsi="Garamond" w:cs="Garamond"/>
          <w:b/>
          <w:bCs/>
          <w:color w:val="0D0D0D"/>
          <w:sz w:val="24"/>
          <w:szCs w:val="24"/>
          <w:lang w:val="sq-AL"/>
        </w:rPr>
        <w:t xml:space="preserve"> </w:t>
      </w:r>
      <w:r w:rsidRPr="00770F9D">
        <w:rPr>
          <w:rFonts w:ascii="Garamond" w:hAnsi="Garamond" w:cs="Garamond"/>
          <w:b/>
          <w:bCs/>
          <w:color w:val="0D0D0D"/>
          <w:sz w:val="24"/>
          <w:szCs w:val="24"/>
          <w:lang w:val="sq-AL"/>
        </w:rPr>
        <w:t xml:space="preserve">Aktivitete të planifikuara </w:t>
      </w:r>
      <w:r w:rsidR="000F6F7A">
        <w:rPr>
          <w:rFonts w:ascii="Garamond" w:hAnsi="Garamond" w:cs="Garamond"/>
          <w:b/>
          <w:bCs/>
          <w:color w:val="0D0D0D"/>
          <w:sz w:val="24"/>
          <w:szCs w:val="24"/>
          <w:lang w:val="sq-AL"/>
        </w:rPr>
        <w:t>m</w:t>
      </w:r>
      <w:r w:rsidRPr="00770F9D">
        <w:rPr>
          <w:rFonts w:ascii="Garamond" w:hAnsi="Garamond" w:cs="Garamond"/>
          <w:b/>
          <w:bCs/>
          <w:color w:val="0D0D0D"/>
          <w:sz w:val="24"/>
          <w:szCs w:val="24"/>
          <w:lang w:val="sq-AL"/>
        </w:rPr>
        <w:t>ë 2024</w:t>
      </w:r>
      <w:r w:rsidR="008F42BC">
        <w:rPr>
          <w:rFonts w:ascii="Garamond" w:hAnsi="Garamond" w:cs="Garamond"/>
          <w:b/>
          <w:bCs/>
          <w:color w:val="0D0D0D"/>
          <w:sz w:val="24"/>
          <w:szCs w:val="24"/>
          <w:lang w:val="sq-AL"/>
        </w:rPr>
        <w:t>-n</w:t>
      </w:r>
    </w:p>
    <w:p w14:paraId="7BF41557" w14:textId="3F3BD05D" w:rsidR="009D37E3" w:rsidRPr="00770F9D" w:rsidRDefault="009D37E3" w:rsidP="008F42BC">
      <w:pPr>
        <w:pStyle w:val="ListParagraph"/>
        <w:ind w:left="0" w:firstLine="284"/>
        <w:jc w:val="both"/>
        <w:rPr>
          <w:rFonts w:ascii="Garamond" w:hAnsi="Garamond" w:cs="Garamond"/>
          <w:b/>
          <w:bCs/>
          <w:color w:val="0D0D0D"/>
          <w:sz w:val="24"/>
          <w:szCs w:val="24"/>
          <w:lang w:val="sq-AL"/>
        </w:rPr>
      </w:pPr>
      <w:r w:rsidRPr="00770F9D">
        <w:rPr>
          <w:rFonts w:ascii="Garamond" w:hAnsi="Garamond" w:cs="Garamond"/>
          <w:color w:val="0D0D0D"/>
          <w:sz w:val="24"/>
          <w:szCs w:val="24"/>
          <w:lang w:val="sq-AL"/>
        </w:rPr>
        <w:t>a</w:t>
      </w:r>
      <w:r w:rsidR="00777B96"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Vlerësimi i vazhdueshëm i cilësisë së sistemit të kontrollit të brendshëm</w:t>
      </w:r>
      <w:r w:rsidR="008F42BC">
        <w:rPr>
          <w:rFonts w:ascii="Garamond" w:hAnsi="Garamond" w:cs="Garamond"/>
          <w:color w:val="0D0D0D"/>
          <w:sz w:val="24"/>
          <w:szCs w:val="24"/>
          <w:lang w:val="sq-AL"/>
        </w:rPr>
        <w:t>,</w:t>
      </w:r>
      <w:r w:rsidRPr="00770F9D">
        <w:rPr>
          <w:rFonts w:ascii="Garamond" w:hAnsi="Garamond" w:cs="Garamond"/>
          <w:color w:val="0D0D0D"/>
          <w:sz w:val="24"/>
          <w:szCs w:val="24"/>
          <w:lang w:val="sq-AL"/>
        </w:rPr>
        <w:t xml:space="preserve"> me qëllim kryerjen e një analize të thelluar të funksionimit të elementeve të kontrollit të brendshëm, identifikimin e mangësive kryesore dhe dhënien e rekomandimeve konkrete për adresimin e tyre</w:t>
      </w:r>
      <w:r w:rsidR="008F42BC">
        <w:rPr>
          <w:rFonts w:ascii="Garamond" w:hAnsi="Garamond" w:cs="Garamond"/>
          <w:color w:val="0D0D0D"/>
          <w:sz w:val="24"/>
          <w:szCs w:val="24"/>
          <w:lang w:val="sq-AL"/>
        </w:rPr>
        <w:t>;</w:t>
      </w:r>
    </w:p>
    <w:p w14:paraId="5DE3B320" w14:textId="6AC0B1DE" w:rsidR="009D37E3" w:rsidRPr="00770F9D" w:rsidRDefault="009D37E3" w:rsidP="008F42BC">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b</w:t>
      </w:r>
      <w:r w:rsidR="00777B96"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Ofrimi i asistencës teknike për zbatimin në praktikë të mekanizmave bazë të përgjegjshmërisë menaxheriale</w:t>
      </w:r>
      <w:r w:rsidR="008F42BC">
        <w:rPr>
          <w:rFonts w:ascii="Garamond" w:hAnsi="Garamond" w:cs="Garamond"/>
          <w:color w:val="0D0D0D"/>
          <w:sz w:val="24"/>
          <w:szCs w:val="24"/>
          <w:lang w:val="sq-AL"/>
        </w:rPr>
        <w:t>;</w:t>
      </w:r>
    </w:p>
    <w:p w14:paraId="035BAAAB" w14:textId="550FA18C" w:rsidR="009D37E3" w:rsidRPr="00770F9D" w:rsidRDefault="009D37E3" w:rsidP="008F42BC">
      <w:pPr>
        <w:pStyle w:val="ListParagraph"/>
        <w:ind w:left="0" w:firstLine="284"/>
        <w:jc w:val="both"/>
        <w:rPr>
          <w:rFonts w:ascii="Garamond" w:hAnsi="Garamond" w:cs="Garamond"/>
          <w:b/>
          <w:bCs/>
          <w:color w:val="0D0D0D"/>
          <w:sz w:val="24"/>
          <w:szCs w:val="24"/>
          <w:lang w:val="sq-AL"/>
        </w:rPr>
      </w:pPr>
      <w:r w:rsidRPr="00770F9D">
        <w:rPr>
          <w:rFonts w:ascii="Garamond" w:hAnsi="Garamond" w:cs="Garamond"/>
          <w:color w:val="0D0D0D"/>
          <w:sz w:val="24"/>
          <w:szCs w:val="24"/>
          <w:lang w:val="sq-AL"/>
        </w:rPr>
        <w:t>c</w:t>
      </w:r>
      <w:r w:rsidR="008F42BC">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Rritja e kapaciteteve për të informuar mbi konceptet dhe instrumentet kryesore të përgjegjshmërisë menaxheriale dhe ndërgjegjësimin për përfitimet e zbatimit të saj</w:t>
      </w:r>
      <w:r w:rsidR="008F42BC">
        <w:rPr>
          <w:rFonts w:ascii="Garamond" w:hAnsi="Garamond" w:cs="Garamond"/>
          <w:color w:val="0D0D0D"/>
          <w:sz w:val="24"/>
          <w:szCs w:val="24"/>
          <w:lang w:val="sq-AL"/>
        </w:rPr>
        <w:t>.</w:t>
      </w:r>
    </w:p>
    <w:p w14:paraId="6EAF2601" w14:textId="19F45883" w:rsidR="009D37E3" w:rsidRPr="00770F9D" w:rsidRDefault="009D37E3" w:rsidP="000F6F7A">
      <w:pPr>
        <w:pStyle w:val="ListParagraph"/>
        <w:ind w:left="0" w:firstLine="284"/>
        <w:jc w:val="both"/>
        <w:rPr>
          <w:rFonts w:ascii="Garamond" w:hAnsi="Garamond" w:cs="Garamond"/>
          <w:b/>
          <w:bCs/>
          <w:color w:val="0D0D0D"/>
          <w:sz w:val="24"/>
          <w:szCs w:val="24"/>
          <w:lang w:val="sq-AL"/>
        </w:rPr>
      </w:pPr>
      <w:r w:rsidRPr="00770F9D">
        <w:rPr>
          <w:rFonts w:ascii="Garamond" w:hAnsi="Garamond" w:cs="Garamond"/>
          <w:b/>
          <w:bCs/>
          <w:color w:val="0D0D0D"/>
          <w:sz w:val="24"/>
          <w:szCs w:val="24"/>
          <w:lang w:val="sq-AL"/>
        </w:rPr>
        <w:t>c</w:t>
      </w:r>
      <w:r w:rsidR="00777B96" w:rsidRPr="00770F9D">
        <w:rPr>
          <w:rFonts w:ascii="Garamond" w:hAnsi="Garamond" w:cs="Garamond"/>
          <w:b/>
          <w:bCs/>
          <w:color w:val="0D0D0D"/>
          <w:sz w:val="24"/>
          <w:szCs w:val="24"/>
          <w:lang w:val="sq-AL"/>
        </w:rPr>
        <w:t>)</w:t>
      </w:r>
      <w:r w:rsidR="00BA4F1A" w:rsidRPr="00770F9D">
        <w:rPr>
          <w:rFonts w:ascii="Garamond" w:hAnsi="Garamond" w:cs="Garamond"/>
          <w:b/>
          <w:bCs/>
          <w:color w:val="0D0D0D"/>
          <w:sz w:val="24"/>
          <w:szCs w:val="24"/>
          <w:lang w:val="sq-AL"/>
        </w:rPr>
        <w:t xml:space="preserve"> </w:t>
      </w:r>
      <w:r w:rsidRPr="00770F9D">
        <w:rPr>
          <w:rFonts w:ascii="Garamond" w:hAnsi="Garamond" w:cs="Garamond"/>
          <w:b/>
          <w:bCs/>
          <w:color w:val="0D0D0D"/>
          <w:sz w:val="24"/>
          <w:szCs w:val="24"/>
          <w:lang w:val="sq-AL"/>
        </w:rPr>
        <w:t xml:space="preserve">Aktivitete të planifikuara </w:t>
      </w:r>
      <w:r w:rsidR="000F6F7A">
        <w:rPr>
          <w:rFonts w:ascii="Garamond" w:hAnsi="Garamond" w:cs="Garamond"/>
          <w:b/>
          <w:bCs/>
          <w:color w:val="0D0D0D"/>
          <w:sz w:val="24"/>
          <w:szCs w:val="24"/>
          <w:lang w:val="sq-AL"/>
        </w:rPr>
        <w:t>m</w:t>
      </w:r>
      <w:r w:rsidRPr="00770F9D">
        <w:rPr>
          <w:rFonts w:ascii="Garamond" w:hAnsi="Garamond" w:cs="Garamond"/>
          <w:b/>
          <w:bCs/>
          <w:color w:val="0D0D0D"/>
          <w:sz w:val="24"/>
          <w:szCs w:val="24"/>
          <w:lang w:val="sq-AL"/>
        </w:rPr>
        <w:t>ë 2025</w:t>
      </w:r>
      <w:r w:rsidR="008F42BC">
        <w:rPr>
          <w:rFonts w:ascii="Garamond" w:hAnsi="Garamond" w:cs="Garamond"/>
          <w:b/>
          <w:bCs/>
          <w:color w:val="0D0D0D"/>
          <w:sz w:val="24"/>
          <w:szCs w:val="24"/>
          <w:lang w:val="sq-AL"/>
        </w:rPr>
        <w:t>-n</w:t>
      </w:r>
    </w:p>
    <w:p w14:paraId="5051E3EE" w14:textId="7CB3F088" w:rsidR="009D37E3" w:rsidRPr="00770F9D" w:rsidRDefault="009D37E3" w:rsidP="002739FB">
      <w:pPr>
        <w:pStyle w:val="ListParagraph"/>
        <w:ind w:left="0" w:firstLine="284"/>
        <w:jc w:val="both"/>
        <w:rPr>
          <w:rFonts w:ascii="Garamond" w:hAnsi="Garamond" w:cs="Garamond"/>
          <w:b/>
          <w:bCs/>
          <w:color w:val="0D0D0D"/>
          <w:sz w:val="24"/>
          <w:szCs w:val="24"/>
          <w:lang w:val="sq-AL"/>
        </w:rPr>
      </w:pPr>
      <w:r w:rsidRPr="00770F9D">
        <w:rPr>
          <w:rFonts w:ascii="Garamond" w:hAnsi="Garamond" w:cs="Garamond"/>
          <w:color w:val="0D0D0D"/>
          <w:sz w:val="24"/>
          <w:szCs w:val="24"/>
          <w:lang w:val="sq-AL"/>
        </w:rPr>
        <w:t>a</w:t>
      </w:r>
      <w:r w:rsidR="00777B96"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Vlerësimi i vazhdueshëm i cilësisë së sistemit të kontrollit të brendshëm</w:t>
      </w:r>
      <w:r w:rsidR="002739FB">
        <w:rPr>
          <w:rFonts w:ascii="Garamond" w:hAnsi="Garamond" w:cs="Garamond"/>
          <w:color w:val="0D0D0D"/>
          <w:sz w:val="24"/>
          <w:szCs w:val="24"/>
          <w:lang w:val="sq-AL"/>
        </w:rPr>
        <w:t>,</w:t>
      </w:r>
      <w:r w:rsidRPr="00770F9D">
        <w:rPr>
          <w:rFonts w:ascii="Garamond" w:hAnsi="Garamond" w:cs="Garamond"/>
          <w:color w:val="0D0D0D"/>
          <w:sz w:val="24"/>
          <w:szCs w:val="24"/>
          <w:lang w:val="sq-AL"/>
        </w:rPr>
        <w:t xml:space="preserve"> me qëllim kryerjen e një analize të thelluar të funksionimit të elementeve të kontrollit të brendshëm, identifikimin e mangësive kryesore dhe dhënien e rekomandimeve konkrete për adresimin e tyre</w:t>
      </w:r>
      <w:r w:rsidR="002739FB">
        <w:rPr>
          <w:rFonts w:ascii="Garamond" w:hAnsi="Garamond" w:cs="Garamond"/>
          <w:color w:val="0D0D0D"/>
          <w:sz w:val="24"/>
          <w:szCs w:val="24"/>
          <w:lang w:val="sq-AL"/>
        </w:rPr>
        <w:t>;</w:t>
      </w:r>
    </w:p>
    <w:p w14:paraId="70A20D21" w14:textId="3AD74E38" w:rsidR="009D37E3" w:rsidRPr="00770F9D" w:rsidRDefault="009D37E3" w:rsidP="002739FB">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b</w:t>
      </w:r>
      <w:r w:rsidR="00777B96"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Ofrimi i asistencës teknike për zbatimin në praktikë të mekanizmave bazë të përgjegjshmërisë menaxheriale</w:t>
      </w:r>
      <w:r w:rsidR="002739FB">
        <w:rPr>
          <w:rFonts w:ascii="Garamond" w:hAnsi="Garamond" w:cs="Garamond"/>
          <w:color w:val="0D0D0D"/>
          <w:sz w:val="24"/>
          <w:szCs w:val="24"/>
          <w:lang w:val="sq-AL"/>
        </w:rPr>
        <w:t>;</w:t>
      </w:r>
    </w:p>
    <w:p w14:paraId="13DEABDE" w14:textId="70E07AEE" w:rsidR="009D37E3" w:rsidRPr="00770F9D" w:rsidRDefault="009D37E3" w:rsidP="00400806">
      <w:pPr>
        <w:pStyle w:val="ListParagraph"/>
        <w:ind w:left="0" w:firstLine="284"/>
        <w:jc w:val="both"/>
        <w:rPr>
          <w:rFonts w:ascii="Garamond" w:hAnsi="Garamond" w:cs="Garamond"/>
          <w:b/>
          <w:bCs/>
          <w:color w:val="0D0D0D"/>
          <w:sz w:val="24"/>
          <w:szCs w:val="24"/>
          <w:lang w:val="sq-AL"/>
        </w:rPr>
      </w:pPr>
      <w:r w:rsidRPr="00770F9D">
        <w:rPr>
          <w:rFonts w:ascii="Garamond" w:hAnsi="Garamond" w:cs="Garamond"/>
          <w:color w:val="0D0D0D"/>
          <w:sz w:val="24"/>
          <w:szCs w:val="24"/>
          <w:lang w:val="sq-AL"/>
        </w:rPr>
        <w:t>c</w:t>
      </w:r>
      <w:r w:rsidR="00777B96"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Rritja e kapaciteteve për të informuar mbi konceptet dhe instrumentet kryesore të përgjegjshmërisë menaxheriale dhe ndërgjegjësimin për përfitimet e zbatimit të saj</w:t>
      </w:r>
      <w:r w:rsidR="002739FB">
        <w:rPr>
          <w:rFonts w:ascii="Garamond" w:hAnsi="Garamond" w:cs="Garamond"/>
          <w:color w:val="0D0D0D"/>
          <w:sz w:val="24"/>
          <w:szCs w:val="24"/>
          <w:lang w:val="sq-AL"/>
        </w:rPr>
        <w:t>.</w:t>
      </w:r>
    </w:p>
    <w:p w14:paraId="6314DC5C" w14:textId="49AF34E9" w:rsidR="009D37E3" w:rsidRPr="00770F9D" w:rsidRDefault="009D37E3" w:rsidP="00400806">
      <w:pPr>
        <w:pStyle w:val="Heading6"/>
        <w:numPr>
          <w:ilvl w:val="0"/>
          <w:numId w:val="0"/>
        </w:numPr>
        <w:ind w:firstLine="284"/>
        <w:rPr>
          <w:rFonts w:ascii="Garamond" w:hAnsi="Garamond" w:cs="Garamond"/>
          <w:color w:val="0D0D0D"/>
          <w:u w:val="none"/>
        </w:rPr>
      </w:pPr>
      <w:r w:rsidRPr="00770F9D">
        <w:rPr>
          <w:rFonts w:ascii="Garamond" w:hAnsi="Garamond" w:cs="Garamond"/>
          <w:color w:val="0D0D0D"/>
          <w:u w:val="none"/>
        </w:rPr>
        <w:t>2.</w:t>
      </w:r>
      <w:r w:rsidR="00BA4F1A" w:rsidRPr="00770F9D">
        <w:rPr>
          <w:rFonts w:ascii="Garamond" w:hAnsi="Garamond" w:cs="Garamond"/>
          <w:color w:val="0D0D0D"/>
          <w:u w:val="none"/>
        </w:rPr>
        <w:t xml:space="preserve"> </w:t>
      </w:r>
      <w:r w:rsidRPr="00770F9D">
        <w:rPr>
          <w:rFonts w:ascii="Garamond" w:hAnsi="Garamond" w:cs="Garamond"/>
          <w:color w:val="0D0D0D"/>
          <w:u w:val="none"/>
        </w:rPr>
        <w:t>Treguesit e rezultateve</w:t>
      </w:r>
    </w:p>
    <w:tbl>
      <w:tblPr>
        <w:tblStyle w:val="TableGrid"/>
        <w:tblW w:w="5000" w:type="pct"/>
        <w:jc w:val="center"/>
        <w:tblLook w:val="04A0" w:firstRow="1" w:lastRow="0" w:firstColumn="1" w:lastColumn="0" w:noHBand="0" w:noVBand="1"/>
      </w:tblPr>
      <w:tblGrid>
        <w:gridCol w:w="5088"/>
        <w:gridCol w:w="1272"/>
        <w:gridCol w:w="1400"/>
        <w:gridCol w:w="1527"/>
      </w:tblGrid>
      <w:tr w:rsidR="00D46797" w:rsidRPr="002739FB" w14:paraId="520D2581" w14:textId="77777777" w:rsidTr="002739FB">
        <w:trPr>
          <w:trHeight w:val="144"/>
          <w:jc w:val="center"/>
        </w:trPr>
        <w:tc>
          <w:tcPr>
            <w:tcW w:w="2739" w:type="pct"/>
            <w:vAlign w:val="center"/>
          </w:tcPr>
          <w:p w14:paraId="30F995DF" w14:textId="77777777" w:rsidR="00D46797" w:rsidRPr="002739FB" w:rsidRDefault="00D46797" w:rsidP="002739FB">
            <w:pPr>
              <w:snapToGrid w:val="0"/>
              <w:jc w:val="center"/>
              <w:rPr>
                <w:rFonts w:ascii="Garamond" w:hAnsi="Garamond" w:cstheme="majorBidi"/>
                <w:b/>
                <w:bCs/>
                <w:color w:val="0D0D0D" w:themeColor="text1" w:themeTint="F2"/>
                <w:sz w:val="20"/>
                <w:szCs w:val="20"/>
              </w:rPr>
            </w:pPr>
            <w:r w:rsidRPr="002739FB">
              <w:rPr>
                <w:rFonts w:ascii="Garamond" w:hAnsi="Garamond" w:cstheme="majorBidi"/>
                <w:b/>
                <w:bCs/>
                <w:color w:val="0D0D0D" w:themeColor="text1" w:themeTint="F2"/>
                <w:sz w:val="20"/>
                <w:szCs w:val="20"/>
              </w:rPr>
              <w:t>Tregues</w:t>
            </w:r>
          </w:p>
        </w:tc>
        <w:tc>
          <w:tcPr>
            <w:tcW w:w="685" w:type="pct"/>
            <w:vAlign w:val="center"/>
          </w:tcPr>
          <w:p w14:paraId="71F76A92" w14:textId="77777777" w:rsidR="00D46797" w:rsidRPr="002739FB" w:rsidRDefault="00D46797" w:rsidP="002739FB">
            <w:pPr>
              <w:snapToGrid w:val="0"/>
              <w:jc w:val="center"/>
              <w:rPr>
                <w:rFonts w:ascii="Garamond" w:hAnsi="Garamond" w:cstheme="majorBidi"/>
                <w:b/>
                <w:bCs/>
                <w:color w:val="0D0D0D" w:themeColor="text1" w:themeTint="F2"/>
                <w:sz w:val="20"/>
                <w:szCs w:val="20"/>
              </w:rPr>
            </w:pPr>
            <w:r w:rsidRPr="002739FB">
              <w:rPr>
                <w:rFonts w:ascii="Garamond" w:hAnsi="Garamond" w:cstheme="majorBidi"/>
                <w:b/>
                <w:bCs/>
                <w:color w:val="0D0D0D" w:themeColor="text1" w:themeTint="F2"/>
                <w:sz w:val="20"/>
                <w:szCs w:val="20"/>
              </w:rPr>
              <w:t>Bazë (202</w:t>
            </w:r>
            <w:r w:rsidR="00DE3917" w:rsidRPr="002739FB">
              <w:rPr>
                <w:rFonts w:ascii="Garamond" w:hAnsi="Garamond" w:cstheme="majorBidi"/>
                <w:b/>
                <w:bCs/>
                <w:color w:val="0D0D0D" w:themeColor="text1" w:themeTint="F2"/>
                <w:sz w:val="20"/>
                <w:szCs w:val="20"/>
              </w:rPr>
              <w:t>3</w:t>
            </w:r>
            <w:r w:rsidRPr="002739FB">
              <w:rPr>
                <w:rFonts w:ascii="Garamond" w:hAnsi="Garamond" w:cstheme="majorBidi"/>
                <w:b/>
                <w:bCs/>
                <w:color w:val="0D0D0D" w:themeColor="text1" w:themeTint="F2"/>
                <w:sz w:val="20"/>
                <w:szCs w:val="20"/>
              </w:rPr>
              <w:t>)</w:t>
            </w:r>
          </w:p>
        </w:tc>
        <w:tc>
          <w:tcPr>
            <w:tcW w:w="754" w:type="pct"/>
            <w:vAlign w:val="center"/>
          </w:tcPr>
          <w:p w14:paraId="3BC045B8" w14:textId="77777777" w:rsidR="00D46797" w:rsidRPr="002739FB" w:rsidRDefault="00D46797" w:rsidP="002739FB">
            <w:pPr>
              <w:snapToGrid w:val="0"/>
              <w:jc w:val="center"/>
              <w:rPr>
                <w:rFonts w:ascii="Garamond" w:hAnsi="Garamond" w:cstheme="majorBidi"/>
                <w:b/>
                <w:bCs/>
                <w:color w:val="0D0D0D" w:themeColor="text1" w:themeTint="F2"/>
                <w:sz w:val="20"/>
                <w:szCs w:val="20"/>
              </w:rPr>
            </w:pPr>
            <w:r w:rsidRPr="002739FB">
              <w:rPr>
                <w:rFonts w:ascii="Garamond" w:hAnsi="Garamond" w:cstheme="majorBidi"/>
                <w:b/>
                <w:bCs/>
                <w:color w:val="0D0D0D" w:themeColor="text1" w:themeTint="F2"/>
                <w:sz w:val="20"/>
                <w:szCs w:val="20"/>
              </w:rPr>
              <w:t>I ndërmjetëm (</w:t>
            </w:r>
            <w:r w:rsidR="00DB3786" w:rsidRPr="002739FB">
              <w:rPr>
                <w:rFonts w:ascii="Garamond" w:hAnsi="Garamond" w:cstheme="majorBidi"/>
                <w:b/>
                <w:bCs/>
                <w:color w:val="0D0D0D" w:themeColor="text1" w:themeTint="F2"/>
                <w:sz w:val="20"/>
                <w:szCs w:val="20"/>
              </w:rPr>
              <w:t>202</w:t>
            </w:r>
            <w:r w:rsidR="00DE3917" w:rsidRPr="002739FB">
              <w:rPr>
                <w:rFonts w:ascii="Garamond" w:hAnsi="Garamond" w:cstheme="majorBidi"/>
                <w:b/>
                <w:bCs/>
                <w:color w:val="0D0D0D" w:themeColor="text1" w:themeTint="F2"/>
                <w:sz w:val="20"/>
                <w:szCs w:val="20"/>
              </w:rPr>
              <w:t>4</w:t>
            </w:r>
            <w:r w:rsidRPr="002739FB">
              <w:rPr>
                <w:rFonts w:ascii="Garamond" w:hAnsi="Garamond" w:cstheme="majorBidi"/>
                <w:b/>
                <w:bCs/>
                <w:color w:val="0D0D0D" w:themeColor="text1" w:themeTint="F2"/>
                <w:sz w:val="20"/>
                <w:szCs w:val="20"/>
              </w:rPr>
              <w:t>)</w:t>
            </w:r>
          </w:p>
        </w:tc>
        <w:tc>
          <w:tcPr>
            <w:tcW w:w="822" w:type="pct"/>
            <w:vAlign w:val="center"/>
          </w:tcPr>
          <w:p w14:paraId="5A3F8639" w14:textId="77777777" w:rsidR="00D46797" w:rsidRPr="002739FB" w:rsidRDefault="00DB3786" w:rsidP="002739FB">
            <w:pPr>
              <w:snapToGrid w:val="0"/>
              <w:jc w:val="center"/>
              <w:rPr>
                <w:rFonts w:ascii="Garamond" w:hAnsi="Garamond" w:cstheme="majorBidi"/>
                <w:b/>
                <w:bCs/>
                <w:color w:val="0D0D0D" w:themeColor="text1" w:themeTint="F2"/>
                <w:sz w:val="20"/>
                <w:szCs w:val="20"/>
              </w:rPr>
            </w:pPr>
            <w:r w:rsidRPr="002739FB">
              <w:rPr>
                <w:rFonts w:ascii="Garamond" w:hAnsi="Garamond" w:cstheme="majorBidi"/>
                <w:b/>
                <w:bCs/>
                <w:color w:val="0D0D0D" w:themeColor="text1" w:themeTint="F2"/>
                <w:sz w:val="20"/>
                <w:szCs w:val="20"/>
              </w:rPr>
              <w:t>Final</w:t>
            </w:r>
            <w:r w:rsidR="00D46797" w:rsidRPr="002739FB">
              <w:rPr>
                <w:rFonts w:ascii="Garamond" w:hAnsi="Garamond" w:cstheme="majorBidi"/>
                <w:b/>
                <w:bCs/>
                <w:color w:val="0D0D0D" w:themeColor="text1" w:themeTint="F2"/>
                <w:sz w:val="20"/>
                <w:szCs w:val="20"/>
              </w:rPr>
              <w:t xml:space="preserve"> (</w:t>
            </w:r>
            <w:r w:rsidRPr="002739FB">
              <w:rPr>
                <w:rFonts w:ascii="Garamond" w:hAnsi="Garamond" w:cstheme="majorBidi"/>
                <w:b/>
                <w:bCs/>
                <w:color w:val="0D0D0D" w:themeColor="text1" w:themeTint="F2"/>
                <w:sz w:val="20"/>
                <w:szCs w:val="20"/>
              </w:rPr>
              <w:t>2025</w:t>
            </w:r>
            <w:r w:rsidR="00D46797" w:rsidRPr="002739FB">
              <w:rPr>
                <w:rFonts w:ascii="Garamond" w:hAnsi="Garamond" w:cstheme="majorBidi"/>
                <w:b/>
                <w:bCs/>
                <w:color w:val="0D0D0D" w:themeColor="text1" w:themeTint="F2"/>
                <w:sz w:val="20"/>
                <w:szCs w:val="20"/>
              </w:rPr>
              <w:t>)</w:t>
            </w:r>
          </w:p>
        </w:tc>
      </w:tr>
      <w:tr w:rsidR="00DE3917" w:rsidRPr="00770F9D" w14:paraId="01861CA4" w14:textId="77777777" w:rsidTr="002739FB">
        <w:trPr>
          <w:trHeight w:val="144"/>
          <w:jc w:val="center"/>
        </w:trPr>
        <w:tc>
          <w:tcPr>
            <w:tcW w:w="2739" w:type="pct"/>
          </w:tcPr>
          <w:p w14:paraId="5D6495CF" w14:textId="77777777" w:rsidR="00DE3917" w:rsidRPr="00770F9D" w:rsidRDefault="00DE3917" w:rsidP="00C001FA">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Kuadri rregullator përkatës është ndryshuar</w:t>
            </w:r>
          </w:p>
        </w:tc>
        <w:tc>
          <w:tcPr>
            <w:tcW w:w="685" w:type="pct"/>
          </w:tcPr>
          <w:p w14:paraId="76D41F21" w14:textId="77777777" w:rsidR="00DE3917" w:rsidRPr="00770F9D" w:rsidRDefault="00DE3917" w:rsidP="002739F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Kuadri rregullator i miratuar dhe zbatuar</w:t>
            </w:r>
          </w:p>
          <w:p w14:paraId="42BB3BA2" w14:textId="77777777" w:rsidR="00DE3917" w:rsidRPr="00770F9D" w:rsidRDefault="00DE3917" w:rsidP="002739F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60%</w:t>
            </w:r>
          </w:p>
        </w:tc>
        <w:tc>
          <w:tcPr>
            <w:tcW w:w="754" w:type="pct"/>
          </w:tcPr>
          <w:p w14:paraId="23EB9F6D" w14:textId="77777777" w:rsidR="00DE3917" w:rsidRPr="00770F9D" w:rsidRDefault="00DE3917" w:rsidP="002739F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Kuadri rregullator i zbatuar</w:t>
            </w:r>
          </w:p>
          <w:p w14:paraId="214FEFD1" w14:textId="77777777" w:rsidR="00DE3917" w:rsidRPr="00770F9D" w:rsidRDefault="00DE3917" w:rsidP="002739F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80%</w:t>
            </w:r>
          </w:p>
        </w:tc>
        <w:tc>
          <w:tcPr>
            <w:tcW w:w="822" w:type="pct"/>
          </w:tcPr>
          <w:p w14:paraId="12AFE8E4" w14:textId="77777777" w:rsidR="00DE3917" w:rsidRPr="00770F9D" w:rsidRDefault="00DE3917" w:rsidP="002739F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Kuadri rregullator i zbatuar 100%</w:t>
            </w:r>
          </w:p>
        </w:tc>
      </w:tr>
      <w:tr w:rsidR="00DE3917" w:rsidRPr="00770F9D" w14:paraId="45637A77" w14:textId="77777777" w:rsidTr="002739FB">
        <w:trPr>
          <w:trHeight w:val="144"/>
          <w:jc w:val="center"/>
        </w:trPr>
        <w:tc>
          <w:tcPr>
            <w:tcW w:w="2739" w:type="pct"/>
          </w:tcPr>
          <w:p w14:paraId="110580B2" w14:textId="12EF33B3" w:rsidR="00DE3917" w:rsidRPr="00770F9D" w:rsidRDefault="00DE3917" w:rsidP="002739F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xml:space="preserve">Vlerësimi </w:t>
            </w:r>
            <w:r w:rsidR="002739FB">
              <w:rPr>
                <w:rFonts w:ascii="Garamond" w:hAnsi="Garamond" w:cstheme="majorBidi"/>
                <w:color w:val="0D0D0D" w:themeColor="text1" w:themeTint="F2"/>
                <w:sz w:val="20"/>
                <w:szCs w:val="20"/>
              </w:rPr>
              <w:t>i</w:t>
            </w:r>
            <w:r w:rsidRPr="00770F9D">
              <w:rPr>
                <w:rFonts w:ascii="Garamond" w:hAnsi="Garamond" w:cstheme="majorBidi"/>
                <w:color w:val="0D0D0D" w:themeColor="text1" w:themeTint="F2"/>
                <w:sz w:val="20"/>
                <w:szCs w:val="20"/>
              </w:rPr>
              <w:t xml:space="preserve"> cilësisë së sistemit të kontrollit të brendshëm në njësitë publike me metodologjinë e re</w:t>
            </w:r>
          </w:p>
        </w:tc>
        <w:tc>
          <w:tcPr>
            <w:tcW w:w="685" w:type="pct"/>
          </w:tcPr>
          <w:p w14:paraId="1B26DA39" w14:textId="77777777" w:rsidR="00DE3917" w:rsidRPr="00770F9D" w:rsidRDefault="00DE3917" w:rsidP="002739F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20 institucione buxhetore</w:t>
            </w:r>
          </w:p>
        </w:tc>
        <w:tc>
          <w:tcPr>
            <w:tcW w:w="754" w:type="pct"/>
          </w:tcPr>
          <w:p w14:paraId="3C8E8C78" w14:textId="77777777" w:rsidR="00DE3917" w:rsidRPr="00770F9D" w:rsidRDefault="00DE3917" w:rsidP="002739F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20 institucione buxhetore</w:t>
            </w:r>
          </w:p>
        </w:tc>
        <w:tc>
          <w:tcPr>
            <w:tcW w:w="822" w:type="pct"/>
          </w:tcPr>
          <w:p w14:paraId="43AFABED" w14:textId="77777777" w:rsidR="00DE3917" w:rsidRPr="00770F9D" w:rsidRDefault="00DE3917" w:rsidP="002739F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20 institucione buxhetore</w:t>
            </w:r>
          </w:p>
        </w:tc>
      </w:tr>
      <w:tr w:rsidR="00DE3917" w:rsidRPr="00770F9D" w14:paraId="302B1F27" w14:textId="77777777" w:rsidTr="002739FB">
        <w:trPr>
          <w:trHeight w:val="144"/>
          <w:jc w:val="center"/>
        </w:trPr>
        <w:tc>
          <w:tcPr>
            <w:tcW w:w="2739" w:type="pct"/>
          </w:tcPr>
          <w:p w14:paraId="145DF921" w14:textId="77777777" w:rsidR="00DE3917" w:rsidRPr="00770F9D" w:rsidRDefault="00DE3917" w:rsidP="00C001FA">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Programi i përmirësuar i trajnimit dhe stafi i trajnuar</w:t>
            </w:r>
          </w:p>
        </w:tc>
        <w:tc>
          <w:tcPr>
            <w:tcW w:w="685" w:type="pct"/>
          </w:tcPr>
          <w:p w14:paraId="742B2EEB" w14:textId="77777777" w:rsidR="00DE3917" w:rsidRPr="00770F9D" w:rsidRDefault="00DE3917" w:rsidP="002739F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150 pjesëmarrës</w:t>
            </w:r>
          </w:p>
        </w:tc>
        <w:tc>
          <w:tcPr>
            <w:tcW w:w="754" w:type="pct"/>
          </w:tcPr>
          <w:p w14:paraId="37B3D599" w14:textId="77777777" w:rsidR="00DE3917" w:rsidRPr="00770F9D" w:rsidRDefault="00DE3917" w:rsidP="002739F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150 pjesëmarrës</w:t>
            </w:r>
          </w:p>
        </w:tc>
        <w:tc>
          <w:tcPr>
            <w:tcW w:w="822" w:type="pct"/>
          </w:tcPr>
          <w:p w14:paraId="09161B89" w14:textId="77777777" w:rsidR="00DE3917" w:rsidRPr="00770F9D" w:rsidRDefault="00DE3917" w:rsidP="002739F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150 pjesëmarrës</w:t>
            </w:r>
          </w:p>
        </w:tc>
      </w:tr>
      <w:tr w:rsidR="00DE3917" w:rsidRPr="00770F9D" w14:paraId="6FBD2C2D" w14:textId="77777777" w:rsidTr="002739FB">
        <w:trPr>
          <w:trHeight w:val="144"/>
          <w:jc w:val="center"/>
        </w:trPr>
        <w:tc>
          <w:tcPr>
            <w:tcW w:w="2739" w:type="pct"/>
          </w:tcPr>
          <w:p w14:paraId="0156E07B" w14:textId="77777777" w:rsidR="00DE3917" w:rsidRPr="00770F9D" w:rsidRDefault="00DE3917" w:rsidP="00C001FA">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Mekanizmat e përgjegjshmërisë menaxheriale të zbatuara në institucionet e përzgjedhura</w:t>
            </w:r>
          </w:p>
        </w:tc>
        <w:tc>
          <w:tcPr>
            <w:tcW w:w="685" w:type="pct"/>
          </w:tcPr>
          <w:p w14:paraId="7CEE82D5" w14:textId="77777777" w:rsidR="00DE3917" w:rsidRPr="00770F9D" w:rsidRDefault="00DE3917" w:rsidP="002739F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5 institucione buxhetore</w:t>
            </w:r>
          </w:p>
        </w:tc>
        <w:tc>
          <w:tcPr>
            <w:tcW w:w="754" w:type="pct"/>
          </w:tcPr>
          <w:p w14:paraId="651E0F67" w14:textId="77777777" w:rsidR="00DE3917" w:rsidRPr="00770F9D" w:rsidRDefault="00DE3917" w:rsidP="002739F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5 institucione buxhetore</w:t>
            </w:r>
          </w:p>
        </w:tc>
        <w:tc>
          <w:tcPr>
            <w:tcW w:w="822" w:type="pct"/>
          </w:tcPr>
          <w:p w14:paraId="4D41C8B2" w14:textId="77777777" w:rsidR="00DE3917" w:rsidRPr="00770F9D" w:rsidRDefault="00DE3917" w:rsidP="002739FB">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5 institucione buxhetore</w:t>
            </w:r>
          </w:p>
        </w:tc>
      </w:tr>
    </w:tbl>
    <w:p w14:paraId="5CDA7B2F" w14:textId="6FF1612E" w:rsidR="009D37E3" w:rsidRPr="00770F9D" w:rsidRDefault="00C001FA"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3</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Ndikimi i pritshëm në konkurrueshmëri</w:t>
      </w:r>
    </w:p>
    <w:p w14:paraId="44B4B508" w14:textId="7D9F2421" w:rsidR="009D37E3" w:rsidRPr="00770F9D" w:rsidRDefault="009D37E3" w:rsidP="00400806">
      <w:pPr>
        <w:ind w:firstLine="284"/>
        <w:jc w:val="both"/>
        <w:rPr>
          <w:rFonts w:ascii="Garamond" w:hAnsi="Garamond"/>
          <w:color w:val="0D0D0D"/>
        </w:rPr>
      </w:pPr>
      <w:r w:rsidRPr="00770F9D">
        <w:rPr>
          <w:rFonts w:ascii="Garamond" w:hAnsi="Garamond"/>
          <w:color w:val="0D0D0D"/>
        </w:rPr>
        <w:t>Aktivitetet e parashikuara synojnë funksionimin e duhur të sistemit të kontrollit të brendshëm në njësitë që përdorin fondet publike, duke mundësuar kështu një shpërndarje më të mirë dhe transparente të fondeve</w:t>
      </w:r>
      <w:r w:rsidR="002739FB">
        <w:rPr>
          <w:rFonts w:ascii="Garamond" w:hAnsi="Garamond"/>
          <w:color w:val="0D0D0D"/>
        </w:rPr>
        <w:t>,</w:t>
      </w:r>
      <w:r w:rsidRPr="00770F9D">
        <w:rPr>
          <w:rFonts w:ascii="Garamond" w:hAnsi="Garamond"/>
          <w:color w:val="0D0D0D"/>
        </w:rPr>
        <w:t xml:space="preserve"> sipas nevojave të qytetarëve dhe sigurimin e shërbimeve cilësore dhe në kohë në të gjitha fushat.</w:t>
      </w:r>
    </w:p>
    <w:p w14:paraId="6BF94545" w14:textId="5D39F87A" w:rsidR="009D37E3" w:rsidRPr="00770F9D" w:rsidRDefault="00C001FA"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4</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Kosto</w:t>
      </w:r>
      <w:r w:rsidR="002739FB">
        <w:rPr>
          <w:rFonts w:ascii="Garamond" w:hAnsi="Garamond"/>
          <w:color w:val="0D0D0D"/>
          <w:u w:val="none"/>
        </w:rPr>
        <w:t>ja</w:t>
      </w:r>
      <w:r w:rsidR="009D37E3" w:rsidRPr="00770F9D">
        <w:rPr>
          <w:rFonts w:ascii="Garamond" w:hAnsi="Garamond"/>
          <w:color w:val="0D0D0D"/>
          <w:u w:val="none"/>
        </w:rPr>
        <w:t xml:space="preserve"> e parashikuar e aktiviteteve dhe burimi i financimit</w:t>
      </w:r>
    </w:p>
    <w:p w14:paraId="54E368CB" w14:textId="78FD1785" w:rsidR="009D37E3" w:rsidRPr="00770F9D" w:rsidRDefault="009D37E3" w:rsidP="00400806">
      <w:pPr>
        <w:ind w:firstLine="284"/>
        <w:jc w:val="both"/>
        <w:rPr>
          <w:rFonts w:ascii="Garamond" w:hAnsi="Garamond"/>
          <w:color w:val="0D0D0D"/>
        </w:rPr>
      </w:pPr>
      <w:r w:rsidRPr="00770F9D">
        <w:rPr>
          <w:rFonts w:ascii="Garamond" w:hAnsi="Garamond"/>
          <w:color w:val="0D0D0D"/>
        </w:rPr>
        <w:t xml:space="preserve">Shpenzimet për zbatimin e kësaj mase janë përfshirë në Programin Buxhetor Afatmesëm. Buxheti afatmesëm </w:t>
      </w:r>
      <w:r w:rsidR="003F4C96" w:rsidRPr="00770F9D">
        <w:rPr>
          <w:rFonts w:ascii="Garamond" w:hAnsi="Garamond"/>
          <w:color w:val="0D0D0D"/>
        </w:rPr>
        <w:t>2023–2025</w:t>
      </w:r>
      <w:r w:rsidRPr="00770F9D">
        <w:rPr>
          <w:rFonts w:ascii="Garamond" w:hAnsi="Garamond"/>
          <w:color w:val="0D0D0D"/>
        </w:rPr>
        <w:t xml:space="preserve"> është në proces miratimi.</w:t>
      </w:r>
    </w:p>
    <w:p w14:paraId="08CA0107" w14:textId="2DD3D87E" w:rsidR="009D37E3" w:rsidRPr="00770F9D" w:rsidRDefault="00C001FA"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5</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Ndikimi i pritshëm në përfundimet sociale</w:t>
      </w:r>
      <w:r w:rsidR="00FB4ED6">
        <w:rPr>
          <w:rFonts w:ascii="Garamond" w:hAnsi="Garamond"/>
          <w:color w:val="0D0D0D"/>
          <w:u w:val="none"/>
        </w:rPr>
        <w:t>,</w:t>
      </w:r>
      <w:r w:rsidR="009D37E3" w:rsidRPr="00770F9D">
        <w:rPr>
          <w:rFonts w:ascii="Garamond" w:hAnsi="Garamond"/>
          <w:color w:val="0D0D0D"/>
          <w:u w:val="none"/>
        </w:rPr>
        <w:t xml:space="preserve"> si punësimi, ulja e varfërisë, barazia gjinore dhe aksesi në kujdesin shëndetësor</w:t>
      </w:r>
    </w:p>
    <w:p w14:paraId="48963226" w14:textId="30E73180" w:rsidR="009D37E3" w:rsidRPr="00770F9D" w:rsidRDefault="009D37E3" w:rsidP="00FB4ED6">
      <w:pPr>
        <w:ind w:firstLine="284"/>
        <w:jc w:val="both"/>
        <w:rPr>
          <w:rFonts w:ascii="Garamond" w:hAnsi="Garamond"/>
          <w:color w:val="0D0D0D"/>
        </w:rPr>
      </w:pPr>
      <w:r w:rsidRPr="00770F9D">
        <w:rPr>
          <w:rFonts w:ascii="Garamond" w:hAnsi="Garamond"/>
          <w:color w:val="0D0D0D"/>
        </w:rPr>
        <w:t>Zbatimi i kësaj mase reformuese nuk prek drejtpërdrejt individët apo bizneset. Në mënyrë indirekte, ndikimi do të reflektohej në rritjen e nivelit të cilësisë së shërbimeve që do t’u ofrohen qytetarëve</w:t>
      </w:r>
      <w:r w:rsidR="00FB4ED6">
        <w:rPr>
          <w:rFonts w:ascii="Garamond" w:hAnsi="Garamond"/>
          <w:color w:val="0D0D0D"/>
        </w:rPr>
        <w:t>:</w:t>
      </w:r>
    </w:p>
    <w:p w14:paraId="450EB605" w14:textId="36C0A71D" w:rsidR="009D37E3" w:rsidRPr="00770F9D" w:rsidRDefault="009D37E3" w:rsidP="00400806">
      <w:pPr>
        <w:ind w:firstLine="284"/>
        <w:jc w:val="both"/>
        <w:rPr>
          <w:rFonts w:ascii="Garamond" w:hAnsi="Garamond"/>
          <w:color w:val="0D0D0D"/>
        </w:rPr>
      </w:pPr>
      <w:r w:rsidRPr="00770F9D">
        <w:rPr>
          <w:rFonts w:ascii="Garamond" w:hAnsi="Garamond"/>
          <w:color w:val="0D0D0D"/>
        </w:rPr>
        <w:t>1. Konkretisht, me realizimin e këtyre aktiviteteve të parashikuara do të arrihet:</w:t>
      </w:r>
      <w:r w:rsidR="00B3189F">
        <w:rPr>
          <w:rFonts w:ascii="Garamond" w:hAnsi="Garamond"/>
          <w:color w:val="0D0D0D"/>
        </w:rPr>
        <w:t xml:space="preserve"> </w:t>
      </w:r>
      <w:r w:rsidRPr="00770F9D">
        <w:rPr>
          <w:rFonts w:ascii="Garamond" w:hAnsi="Garamond"/>
          <w:color w:val="0D0D0D"/>
        </w:rPr>
        <w:t>Përmirësimi i performancës dhe zbatimi korrekt i legjislacionit në fuqi për menaxhimin financiar dhe kontrollin.</w:t>
      </w:r>
    </w:p>
    <w:p w14:paraId="6069ABF7" w14:textId="77777777" w:rsidR="009D37E3" w:rsidRPr="00770F9D" w:rsidRDefault="009D37E3" w:rsidP="00400806">
      <w:pPr>
        <w:ind w:firstLine="284"/>
        <w:jc w:val="both"/>
        <w:rPr>
          <w:rFonts w:ascii="Garamond" w:hAnsi="Garamond"/>
          <w:color w:val="0D0D0D"/>
        </w:rPr>
      </w:pPr>
      <w:r w:rsidRPr="00770F9D">
        <w:rPr>
          <w:rFonts w:ascii="Garamond" w:hAnsi="Garamond"/>
          <w:color w:val="0D0D0D"/>
        </w:rPr>
        <w:t>2. Rritja dhe forcimi i përgjegjshmërisë menaxheriale;</w:t>
      </w:r>
    </w:p>
    <w:p w14:paraId="50F70DE1" w14:textId="1624E777" w:rsidR="009D37E3" w:rsidRPr="00770F9D" w:rsidRDefault="009D37E3" w:rsidP="00400806">
      <w:pPr>
        <w:ind w:firstLine="284"/>
        <w:jc w:val="both"/>
        <w:rPr>
          <w:rFonts w:ascii="Garamond" w:hAnsi="Garamond"/>
          <w:color w:val="0D0D0D"/>
        </w:rPr>
      </w:pPr>
      <w:r w:rsidRPr="00770F9D">
        <w:rPr>
          <w:rFonts w:ascii="Garamond" w:hAnsi="Garamond"/>
          <w:color w:val="0D0D0D"/>
        </w:rPr>
        <w:t>3. Rritja e nivelit të angazhimit në realizimin e proceseve të punës dhe arr</w:t>
      </w:r>
      <w:r w:rsidR="00B3189F">
        <w:rPr>
          <w:rFonts w:ascii="Garamond" w:hAnsi="Garamond"/>
          <w:color w:val="0D0D0D"/>
        </w:rPr>
        <w:t xml:space="preserve">itja e objektivave të vendosur </w:t>
      </w:r>
      <w:r w:rsidRPr="00770F9D">
        <w:rPr>
          <w:rFonts w:ascii="Garamond" w:hAnsi="Garamond"/>
          <w:color w:val="0D0D0D"/>
        </w:rPr>
        <w:t>në mënyrë efektive</w:t>
      </w:r>
      <w:r w:rsidR="00B3189F">
        <w:rPr>
          <w:rFonts w:ascii="Garamond" w:hAnsi="Garamond"/>
          <w:color w:val="0D0D0D"/>
        </w:rPr>
        <w:t>.</w:t>
      </w:r>
    </w:p>
    <w:p w14:paraId="0CB03241" w14:textId="2CE42AAE" w:rsidR="009D37E3" w:rsidRPr="00770F9D" w:rsidRDefault="00C001FA"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6</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Ndikimi i pritshëm në mjedis dhe ndryshimi i klimës</w:t>
      </w:r>
    </w:p>
    <w:p w14:paraId="5E84994A" w14:textId="77777777" w:rsidR="009D37E3" w:rsidRPr="00770F9D" w:rsidRDefault="009D37E3" w:rsidP="00400806">
      <w:pPr>
        <w:ind w:firstLine="284"/>
        <w:jc w:val="both"/>
        <w:rPr>
          <w:rFonts w:ascii="Garamond" w:hAnsi="Garamond"/>
          <w:color w:val="0D0D0D"/>
        </w:rPr>
      </w:pPr>
      <w:r w:rsidRPr="00770F9D">
        <w:rPr>
          <w:rFonts w:ascii="Garamond" w:hAnsi="Garamond"/>
          <w:color w:val="0D0D0D"/>
        </w:rPr>
        <w:t>Masa e reformës nuk pritet të ketë ndikim në mjedis.</w:t>
      </w:r>
    </w:p>
    <w:p w14:paraId="45015F8E" w14:textId="44BEF778" w:rsidR="009D37E3" w:rsidRPr="00770F9D" w:rsidRDefault="00C001FA"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7</w:t>
      </w:r>
      <w:r w:rsidR="009D37E3" w:rsidRPr="00770F9D">
        <w:rPr>
          <w:rFonts w:ascii="Garamond" w:hAnsi="Garamond"/>
          <w:color w:val="0D0D0D"/>
          <w:u w:val="none"/>
        </w:rPr>
        <w:t>.</w:t>
      </w:r>
      <w:r w:rsidR="00BA4F1A" w:rsidRPr="00770F9D">
        <w:rPr>
          <w:rFonts w:ascii="Garamond" w:hAnsi="Garamond"/>
          <w:color w:val="0D0D0D"/>
          <w:u w:val="none"/>
        </w:rPr>
        <w:t xml:space="preserve"> </w:t>
      </w:r>
      <w:r w:rsidR="009D37E3" w:rsidRPr="00770F9D">
        <w:rPr>
          <w:rFonts w:ascii="Garamond" w:hAnsi="Garamond"/>
          <w:color w:val="0D0D0D"/>
          <w:u w:val="none"/>
        </w:rPr>
        <w:t>Rreziqet e mundshme</w:t>
      </w:r>
    </w:p>
    <w:tbl>
      <w:tblPr>
        <w:tblStyle w:val="TableGrid"/>
        <w:tblW w:w="5000" w:type="pct"/>
        <w:jc w:val="center"/>
        <w:tblLook w:val="04A0" w:firstRow="1" w:lastRow="0" w:firstColumn="1" w:lastColumn="0" w:noHBand="0" w:noVBand="1"/>
      </w:tblPr>
      <w:tblGrid>
        <w:gridCol w:w="3691"/>
        <w:gridCol w:w="1504"/>
        <w:gridCol w:w="4092"/>
      </w:tblGrid>
      <w:tr w:rsidR="00D46797" w:rsidRPr="00770F9D" w14:paraId="1FF2AA7D" w14:textId="77777777" w:rsidTr="00B3189F">
        <w:trPr>
          <w:jc w:val="center"/>
        </w:trPr>
        <w:tc>
          <w:tcPr>
            <w:tcW w:w="1987" w:type="pct"/>
            <w:vAlign w:val="center"/>
          </w:tcPr>
          <w:p w14:paraId="6EF34A12" w14:textId="77777777" w:rsidR="00D46797" w:rsidRPr="00B3189F" w:rsidRDefault="00D46797" w:rsidP="00B3189F">
            <w:pPr>
              <w:snapToGrid w:val="0"/>
              <w:jc w:val="center"/>
              <w:rPr>
                <w:rFonts w:ascii="Garamond" w:hAnsi="Garamond" w:cstheme="majorBidi"/>
                <w:b/>
                <w:bCs/>
                <w:color w:val="0D0D0D" w:themeColor="text1" w:themeTint="F2"/>
                <w:sz w:val="20"/>
                <w:szCs w:val="20"/>
              </w:rPr>
            </w:pPr>
            <w:r w:rsidRPr="00B3189F">
              <w:rPr>
                <w:rFonts w:ascii="Garamond" w:hAnsi="Garamond" w:cstheme="majorBidi"/>
                <w:b/>
                <w:bCs/>
                <w:color w:val="0D0D0D" w:themeColor="text1" w:themeTint="F2"/>
                <w:sz w:val="20"/>
                <w:szCs w:val="20"/>
              </w:rPr>
              <w:t>Rreziku</w:t>
            </w:r>
          </w:p>
        </w:tc>
        <w:tc>
          <w:tcPr>
            <w:tcW w:w="810" w:type="pct"/>
            <w:vAlign w:val="center"/>
          </w:tcPr>
          <w:p w14:paraId="20D084A4" w14:textId="77777777" w:rsidR="00B3189F" w:rsidRDefault="00D46797" w:rsidP="00B3189F">
            <w:pPr>
              <w:snapToGrid w:val="0"/>
              <w:jc w:val="center"/>
              <w:rPr>
                <w:rFonts w:ascii="Garamond" w:hAnsi="Garamond" w:cstheme="majorBidi"/>
                <w:b/>
                <w:bCs/>
                <w:color w:val="0D0D0D" w:themeColor="text1" w:themeTint="F2"/>
                <w:sz w:val="20"/>
                <w:szCs w:val="20"/>
              </w:rPr>
            </w:pPr>
            <w:r w:rsidRPr="00B3189F">
              <w:rPr>
                <w:rFonts w:ascii="Garamond" w:hAnsi="Garamond" w:cstheme="majorBidi"/>
                <w:b/>
                <w:bCs/>
                <w:color w:val="0D0D0D" w:themeColor="text1" w:themeTint="F2"/>
                <w:sz w:val="20"/>
                <w:szCs w:val="20"/>
              </w:rPr>
              <w:t xml:space="preserve">Mundësia </w:t>
            </w:r>
          </w:p>
          <w:p w14:paraId="066D9040" w14:textId="7A7D5B32" w:rsidR="00D46797" w:rsidRPr="00B3189F" w:rsidRDefault="00D46797" w:rsidP="00B3189F">
            <w:pPr>
              <w:snapToGrid w:val="0"/>
              <w:jc w:val="center"/>
              <w:rPr>
                <w:rFonts w:ascii="Garamond" w:hAnsi="Garamond" w:cstheme="majorBidi"/>
                <w:b/>
                <w:bCs/>
                <w:color w:val="0D0D0D" w:themeColor="text1" w:themeTint="F2"/>
                <w:sz w:val="20"/>
                <w:szCs w:val="20"/>
              </w:rPr>
            </w:pPr>
            <w:r w:rsidRPr="00B3189F">
              <w:rPr>
                <w:rFonts w:ascii="Garamond" w:hAnsi="Garamond" w:cstheme="majorBidi"/>
                <w:b/>
                <w:bCs/>
                <w:color w:val="0D0D0D" w:themeColor="text1" w:themeTint="F2"/>
                <w:sz w:val="20"/>
                <w:szCs w:val="20"/>
              </w:rPr>
              <w:t>(e ulët, e lartë)</w:t>
            </w:r>
          </w:p>
        </w:tc>
        <w:tc>
          <w:tcPr>
            <w:tcW w:w="2203" w:type="pct"/>
            <w:vAlign w:val="center"/>
          </w:tcPr>
          <w:p w14:paraId="34439688" w14:textId="77777777" w:rsidR="00D46797" w:rsidRPr="00B3189F" w:rsidRDefault="00D46797" w:rsidP="00B3189F">
            <w:pPr>
              <w:snapToGrid w:val="0"/>
              <w:jc w:val="center"/>
              <w:rPr>
                <w:rFonts w:ascii="Garamond" w:hAnsi="Garamond" w:cstheme="majorBidi"/>
                <w:b/>
                <w:bCs/>
                <w:color w:val="0D0D0D" w:themeColor="text1" w:themeTint="F2"/>
                <w:sz w:val="20"/>
                <w:szCs w:val="20"/>
              </w:rPr>
            </w:pPr>
            <w:r w:rsidRPr="00B3189F">
              <w:rPr>
                <w:rFonts w:ascii="Garamond" w:hAnsi="Garamond" w:cstheme="majorBidi"/>
                <w:b/>
                <w:bCs/>
                <w:color w:val="0D0D0D" w:themeColor="text1" w:themeTint="F2"/>
                <w:sz w:val="20"/>
                <w:szCs w:val="20"/>
              </w:rPr>
              <w:t>Veprimi zbutës i parashikuar</w:t>
            </w:r>
          </w:p>
        </w:tc>
      </w:tr>
      <w:tr w:rsidR="00DE3917" w:rsidRPr="00770F9D" w14:paraId="73A02870" w14:textId="77777777" w:rsidTr="00B3189F">
        <w:trPr>
          <w:jc w:val="center"/>
        </w:trPr>
        <w:tc>
          <w:tcPr>
            <w:tcW w:w="1987" w:type="pct"/>
          </w:tcPr>
          <w:p w14:paraId="3B833109" w14:textId="77777777" w:rsidR="00DE3917" w:rsidRPr="00770F9D" w:rsidRDefault="00DE3917" w:rsidP="00C001FA">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Mungesa e burimeve njerëzore në kryerjen e aktiviteteve të parashikuara (stafi, përgjegjësitë, bashkëpunimi)</w:t>
            </w:r>
          </w:p>
        </w:tc>
        <w:tc>
          <w:tcPr>
            <w:tcW w:w="810" w:type="pct"/>
          </w:tcPr>
          <w:p w14:paraId="32FD05E1" w14:textId="77777777" w:rsidR="00DE3917" w:rsidRPr="00770F9D" w:rsidRDefault="00DE3917" w:rsidP="00C001FA">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I mesëm</w:t>
            </w:r>
          </w:p>
        </w:tc>
        <w:tc>
          <w:tcPr>
            <w:tcW w:w="2203" w:type="pct"/>
          </w:tcPr>
          <w:p w14:paraId="2FD759E3" w14:textId="77777777" w:rsidR="00DE3917" w:rsidRPr="00770F9D" w:rsidRDefault="00DE3917" w:rsidP="00C001FA">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Kryerja e trajnimeve për ngritjen e kapaciteteve në kuadër të zbatimit efektiv të sistemit të kontrollit të brendshëm</w:t>
            </w:r>
          </w:p>
        </w:tc>
      </w:tr>
      <w:tr w:rsidR="00DE3917" w:rsidRPr="00770F9D" w14:paraId="08AF00C4" w14:textId="77777777" w:rsidTr="00B3189F">
        <w:trPr>
          <w:jc w:val="center"/>
        </w:trPr>
        <w:tc>
          <w:tcPr>
            <w:tcW w:w="1987" w:type="pct"/>
          </w:tcPr>
          <w:p w14:paraId="623C3BC2" w14:textId="77777777" w:rsidR="00DE3917" w:rsidRPr="00770F9D" w:rsidRDefault="00DE3917" w:rsidP="00C001FA">
            <w:pPr>
              <w:snapToGrid w:val="0"/>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Mungesa e organizimit të brendshëm të institucionit që pengon kryerjen e aktiviteteve (menaxhimi, rolet dhe përgjegjësitë, misionet);</w:t>
            </w:r>
          </w:p>
        </w:tc>
        <w:tc>
          <w:tcPr>
            <w:tcW w:w="810" w:type="pct"/>
          </w:tcPr>
          <w:p w14:paraId="3BCD710C" w14:textId="77777777" w:rsidR="00DE3917" w:rsidRPr="00770F9D" w:rsidRDefault="00DE3917" w:rsidP="00C001FA">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I mesëm</w:t>
            </w:r>
          </w:p>
        </w:tc>
        <w:tc>
          <w:tcPr>
            <w:tcW w:w="2203" w:type="pct"/>
          </w:tcPr>
          <w:p w14:paraId="53769E98" w14:textId="77777777" w:rsidR="00DE3917" w:rsidRPr="00770F9D" w:rsidRDefault="00DE3917" w:rsidP="00C001FA">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Komunikim i vazhdueshëm për ndërgjegjësimin e drejtuesve të njësive publike për realizimin e aktiviteteve në kuadër të vlerësimit të cilësisë së sistemit të kontrollit të brendshëm dhe ofrimit të asistencës teknike.</w:t>
            </w:r>
          </w:p>
        </w:tc>
      </w:tr>
    </w:tbl>
    <w:p w14:paraId="3CBD26FC" w14:textId="77777777" w:rsidR="00D46797" w:rsidRPr="00770F9D" w:rsidRDefault="00D46797" w:rsidP="005674F2">
      <w:pPr>
        <w:snapToGrid w:val="0"/>
        <w:ind w:firstLine="284"/>
        <w:rPr>
          <w:rFonts w:ascii="Garamond" w:hAnsi="Garamond" w:cstheme="majorBidi"/>
          <w:color w:val="0D0D0D" w:themeColor="text1" w:themeTint="F2"/>
        </w:rPr>
      </w:pPr>
    </w:p>
    <w:p w14:paraId="2F6EC5DD" w14:textId="09FA5A04" w:rsidR="00C21F03" w:rsidRPr="00770F9D" w:rsidRDefault="00C001FA" w:rsidP="00400806">
      <w:pPr>
        <w:pStyle w:val="Heading3"/>
        <w:snapToGrid w:val="0"/>
        <w:ind w:left="0" w:firstLine="284"/>
        <w:jc w:val="both"/>
        <w:rPr>
          <w:rFonts w:ascii="Garamond" w:hAnsi="Garamond" w:cstheme="majorBidi"/>
          <w:b/>
          <w:color w:val="0D0D0D" w:themeColor="text1" w:themeTint="F2"/>
          <w:sz w:val="24"/>
          <w:szCs w:val="24"/>
        </w:rPr>
      </w:pPr>
      <w:bookmarkStart w:id="51" w:name="_Toc126050962"/>
      <w:r w:rsidRPr="00770F9D">
        <w:rPr>
          <w:rFonts w:ascii="Garamond" w:hAnsi="Garamond" w:cstheme="majorBidi"/>
          <w:b/>
          <w:color w:val="0D0D0D" w:themeColor="text1" w:themeTint="F2"/>
          <w:sz w:val="24"/>
          <w:szCs w:val="24"/>
        </w:rPr>
        <w:t>5.2.2.</w:t>
      </w:r>
      <w:r w:rsidR="009D37E3" w:rsidRPr="00770F9D">
        <w:rPr>
          <w:rFonts w:ascii="Garamond" w:hAnsi="Garamond" w:cstheme="majorBidi"/>
          <w:b/>
          <w:color w:val="0D0D0D" w:themeColor="text1" w:themeTint="F2"/>
          <w:sz w:val="24"/>
          <w:szCs w:val="24"/>
        </w:rPr>
        <w:t xml:space="preserve"> </w:t>
      </w:r>
      <w:r w:rsidR="002C5872" w:rsidRPr="00770F9D">
        <w:rPr>
          <w:rFonts w:ascii="Garamond" w:hAnsi="Garamond" w:cstheme="majorBidi"/>
          <w:b/>
          <w:color w:val="0D0D0D" w:themeColor="text1" w:themeTint="F2"/>
          <w:sz w:val="24"/>
          <w:szCs w:val="24"/>
        </w:rPr>
        <w:t>Tranzicioni i gjelbër</w:t>
      </w:r>
      <w:bookmarkEnd w:id="51"/>
    </w:p>
    <w:p w14:paraId="47A96FF3" w14:textId="4476B1F0" w:rsidR="00C452AA" w:rsidRPr="00770F9D" w:rsidRDefault="009D37E3" w:rsidP="00400806">
      <w:pPr>
        <w:pStyle w:val="Heading4"/>
        <w:snapToGrid w:val="0"/>
        <w:ind w:left="0" w:firstLine="284"/>
        <w:jc w:val="both"/>
        <w:rPr>
          <w:rFonts w:ascii="Garamond" w:hAnsi="Garamond" w:cstheme="majorBidi"/>
          <w:b w:val="0"/>
          <w:i/>
          <w:color w:val="0D0D0D" w:themeColor="text1" w:themeTint="F2"/>
          <w:sz w:val="24"/>
          <w:szCs w:val="24"/>
        </w:rPr>
      </w:pPr>
      <w:r w:rsidRPr="00770F9D">
        <w:rPr>
          <w:rFonts w:ascii="Garamond" w:hAnsi="Garamond" w:cstheme="majorBidi"/>
          <w:b w:val="0"/>
          <w:i/>
          <w:color w:val="0D0D0D" w:themeColor="text1" w:themeTint="F2"/>
          <w:sz w:val="24"/>
          <w:szCs w:val="24"/>
        </w:rPr>
        <w:t>a</w:t>
      </w:r>
      <w:r w:rsidR="00777B96" w:rsidRPr="00770F9D">
        <w:rPr>
          <w:rFonts w:ascii="Garamond" w:hAnsi="Garamond" w:cstheme="majorBidi"/>
          <w:b w:val="0"/>
          <w:i/>
          <w:color w:val="0D0D0D" w:themeColor="text1" w:themeTint="F2"/>
          <w:sz w:val="24"/>
          <w:szCs w:val="24"/>
        </w:rPr>
        <w:t>)</w:t>
      </w:r>
      <w:r w:rsidRPr="00770F9D">
        <w:rPr>
          <w:rFonts w:ascii="Garamond" w:hAnsi="Garamond" w:cstheme="majorBidi"/>
          <w:b w:val="0"/>
          <w:i/>
          <w:color w:val="0D0D0D" w:themeColor="text1" w:themeTint="F2"/>
          <w:sz w:val="24"/>
          <w:szCs w:val="24"/>
        </w:rPr>
        <w:t xml:space="preserve"> </w:t>
      </w:r>
      <w:r w:rsidR="00B2062A" w:rsidRPr="00770F9D">
        <w:rPr>
          <w:rFonts w:ascii="Garamond" w:hAnsi="Garamond" w:cstheme="majorBidi"/>
          <w:b w:val="0"/>
          <w:i/>
          <w:color w:val="0D0D0D" w:themeColor="text1" w:themeTint="F2"/>
          <w:sz w:val="24"/>
          <w:szCs w:val="24"/>
        </w:rPr>
        <w:t>Analiza e pengesave kryesore</w:t>
      </w:r>
    </w:p>
    <w:p w14:paraId="67988058" w14:textId="77777777" w:rsidR="00053FC9" w:rsidRPr="00770F9D" w:rsidRDefault="00053FC9"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Shqipëria, edhe pse një vend i vogël me një kontribut të ulët emetimi, është e vendosur të marrë përsipër pjesën e saj të përgjegjësisë në këtë proces dhe ka ndërmarrë veprime për të mbështetur rritjen e gjelbër.</w:t>
      </w:r>
    </w:p>
    <w:p w14:paraId="43E4FA4E" w14:textId="2C8CDFDB" w:rsidR="00053FC9" w:rsidRPr="00770F9D" w:rsidRDefault="00053FC9"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Ministria e Turizmit dhe Mjedisit ka ndërmarrë hapa shumë të rëndësishëm drejt dokumenteve të politikave duke miratuar një </w:t>
      </w:r>
      <w:r w:rsidR="003045E2" w:rsidRPr="00770F9D">
        <w:rPr>
          <w:rFonts w:ascii="Garamond" w:hAnsi="Garamond" w:cstheme="majorBidi"/>
          <w:color w:val="0D0D0D" w:themeColor="text1" w:themeTint="F2"/>
        </w:rPr>
        <w:t>strategji kombëtare</w:t>
      </w:r>
      <w:r w:rsidRPr="00770F9D">
        <w:rPr>
          <w:rFonts w:ascii="Garamond" w:hAnsi="Garamond" w:cstheme="majorBidi"/>
          <w:color w:val="0D0D0D" w:themeColor="text1" w:themeTint="F2"/>
        </w:rPr>
        <w:t>, një ligj dhe plane veprimi për ndryshimet klimatike.</w:t>
      </w:r>
    </w:p>
    <w:p w14:paraId="76197B71" w14:textId="7553E161" w:rsidR="00053FC9" w:rsidRPr="00770F9D" w:rsidRDefault="00053FC9"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Për të mbështetur objektivat e Marrëveshjes së Gjelbër të Bashkimit Evropian, Shqipëria nënshkroi dy Deklarata në Samitin e Sofjes në nëntor 2020: vendet e Ballkanit Perëndimor në </w:t>
      </w:r>
      <w:r w:rsidR="003B1F90" w:rsidRPr="00770F9D">
        <w:rPr>
          <w:rFonts w:ascii="Garamond" w:hAnsi="Garamond" w:cstheme="majorBidi"/>
          <w:color w:val="0D0D0D" w:themeColor="text1" w:themeTint="F2"/>
        </w:rPr>
        <w:t>Agjend</w:t>
      </w:r>
      <w:r w:rsidRPr="00770F9D">
        <w:rPr>
          <w:rFonts w:ascii="Garamond" w:hAnsi="Garamond" w:cstheme="majorBidi"/>
          <w:color w:val="0D0D0D" w:themeColor="text1" w:themeTint="F2"/>
        </w:rPr>
        <w:t>ën e Gjelbër, si dhe krijimin e një Tregu të Përbashkët Rajonal, që synojnë ta</w:t>
      </w:r>
      <w:r w:rsidR="003045E2">
        <w:rPr>
          <w:rFonts w:ascii="Garamond" w:hAnsi="Garamond" w:cstheme="majorBidi"/>
          <w:color w:val="0D0D0D" w:themeColor="text1" w:themeTint="F2"/>
        </w:rPr>
        <w:t xml:space="preserve"> bëjnë ekonominë të qëndrueshme</w:t>
      </w:r>
      <w:r w:rsidRPr="00770F9D">
        <w:rPr>
          <w:rFonts w:ascii="Garamond" w:hAnsi="Garamond" w:cstheme="majorBidi"/>
          <w:color w:val="0D0D0D" w:themeColor="text1" w:themeTint="F2"/>
        </w:rPr>
        <w:t xml:space="preserve"> dhe neutral</w:t>
      </w:r>
      <w:r w:rsidR="003045E2">
        <w:rPr>
          <w:rFonts w:ascii="Garamond" w:hAnsi="Garamond" w:cstheme="majorBidi"/>
          <w:color w:val="0D0D0D" w:themeColor="text1" w:themeTint="F2"/>
        </w:rPr>
        <w:t>e</w:t>
      </w:r>
      <w:r w:rsidRPr="00770F9D">
        <w:rPr>
          <w:rFonts w:ascii="Garamond" w:hAnsi="Garamond" w:cstheme="majorBidi"/>
          <w:color w:val="0D0D0D" w:themeColor="text1" w:themeTint="F2"/>
        </w:rPr>
        <w:t xml:space="preserve"> ndaj klimës deri në vitin 2050, nëpërmjet një sërë iniciativash dhe reformash gjithëpërfshirëse politike dhe financiare.</w:t>
      </w:r>
    </w:p>
    <w:p w14:paraId="35C80F5C" w14:textId="14C578CC" w:rsidR="00053FC9" w:rsidRPr="00770F9D" w:rsidRDefault="00053FC9"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Duke njohur potencialet e ekonomisë së gjelbër në Shqipëri, qeveria dhe të gjithë aktorët e zhvillimit duhet të sinergjizohen dhe të hartojnë strategji drejt heqjes së barrierave për zbatimin efektiv të një ekonomie të gjelbër. Disa nga këto barriera përfshijnë mungesën e ndërgjegjësimit, pamjaftueshmërinë e të dhënave, koordinimin e dobët ndërmjet aktorëve të ekonomisë së gjelbër</w:t>
      </w:r>
      <w:r w:rsidR="002A5650">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dhe boshllëqet e kapaciteteve njerëzore dhe institucionale.</w:t>
      </w:r>
    </w:p>
    <w:p w14:paraId="021AA82F" w14:textId="76B7F569" w:rsidR="00053FC9" w:rsidRPr="00770F9D" w:rsidRDefault="00053FC9"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Mungesa e njohurive mbi mundësitë e ekonomisë së gjelbër</w:t>
      </w:r>
      <w:r w:rsidR="002A5650">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dhe mungesa e aftësive mund të paraqesin disa sfida jo vetëm për formulimin e politikave, por edhe për miratimin ndërsektorial të konceptit.</w:t>
      </w:r>
    </w:p>
    <w:p w14:paraId="0E692A87" w14:textId="072ACEE2" w:rsidR="00053FC9" w:rsidRPr="00770F9D" w:rsidRDefault="00053FC9"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Në Shqipëri, ndërgjegjësimi për ekonominë e gjelbër është përgjithësisht i dobët. Kjo reflektohet</w:t>
      </w:r>
      <w:r w:rsidR="002A5650">
        <w:rPr>
          <w:rFonts w:ascii="Garamond" w:hAnsi="Garamond" w:cstheme="majorBidi"/>
          <w:color w:val="0D0D0D" w:themeColor="text1" w:themeTint="F2"/>
        </w:rPr>
        <w:t>,</w:t>
      </w:r>
      <w:r w:rsidRPr="00770F9D">
        <w:rPr>
          <w:rFonts w:ascii="Garamond" w:hAnsi="Garamond" w:cstheme="majorBidi"/>
          <w:color w:val="0D0D0D" w:themeColor="text1" w:themeTint="F2"/>
        </w:rPr>
        <w:t xml:space="preserve"> gjithashtu</w:t>
      </w:r>
      <w:r w:rsidR="002A5650">
        <w:rPr>
          <w:rFonts w:ascii="Garamond" w:hAnsi="Garamond" w:cstheme="majorBidi"/>
          <w:color w:val="0D0D0D" w:themeColor="text1" w:themeTint="F2"/>
        </w:rPr>
        <w:t>,</w:t>
      </w:r>
      <w:r w:rsidRPr="00770F9D">
        <w:rPr>
          <w:rFonts w:ascii="Garamond" w:hAnsi="Garamond" w:cstheme="majorBidi"/>
          <w:color w:val="0D0D0D" w:themeColor="text1" w:themeTint="F2"/>
        </w:rPr>
        <w:t xml:space="preserve"> në boshllëqe të mëdha në kapacitetin njerëzor dhe institucional në zbatimin e konceptit të ekonomisë së gjelbër.</w:t>
      </w:r>
    </w:p>
    <w:p w14:paraId="2404EFBB" w14:textId="6D495D1E" w:rsidR="00053FC9" w:rsidRPr="00770F9D" w:rsidRDefault="00053FC9"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Vullneti politik midis palëve të interesuara për të zbatuar politikat</w:t>
      </w:r>
      <w:r w:rsidR="002A5650">
        <w:rPr>
          <w:rFonts w:ascii="Garamond" w:hAnsi="Garamond" w:cstheme="majorBidi"/>
          <w:color w:val="0D0D0D" w:themeColor="text1" w:themeTint="F2"/>
        </w:rPr>
        <w:t>,</w:t>
      </w:r>
      <w:r w:rsidRPr="00770F9D">
        <w:rPr>
          <w:rFonts w:ascii="Garamond" w:hAnsi="Garamond" w:cstheme="majorBidi"/>
          <w:color w:val="0D0D0D" w:themeColor="text1" w:themeTint="F2"/>
        </w:rPr>
        <w:t xml:space="preserve"> sipas procedurave të ekonomisë së gjelbër është ende shumë i ulët. Arsyeja kryesore për këtë janë kufizimet në buxhet dhe si rrjedhojë nuk shohim progres në zbatimin e politikave mjedisore dhe të ekonomisë së gjelbër. Për të siguruar zbatimin e duhur të pro</w:t>
      </w:r>
      <w:r w:rsidR="002A5650">
        <w:rPr>
          <w:rFonts w:ascii="Garamond" w:hAnsi="Garamond" w:cstheme="majorBidi"/>
          <w:color w:val="0D0D0D" w:themeColor="text1" w:themeTint="F2"/>
        </w:rPr>
        <w:t>grameve të ekonomisë së gjelbër</w:t>
      </w:r>
      <w:r w:rsidRPr="00770F9D">
        <w:rPr>
          <w:rFonts w:ascii="Garamond" w:hAnsi="Garamond" w:cstheme="majorBidi"/>
          <w:color w:val="0D0D0D" w:themeColor="text1" w:themeTint="F2"/>
        </w:rPr>
        <w:t xml:space="preserve"> është thelbësore që institucionet publike duhet të forcohen për të hequr barrierat institucionale, për të mbrojtur mjedisin dhe për të harmonizuar objektivat socio-ekonomike.</w:t>
      </w:r>
    </w:p>
    <w:p w14:paraId="7716656E" w14:textId="4622B69A" w:rsidR="008919DD" w:rsidRPr="00770F9D" w:rsidRDefault="00053FC9"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Shqipëria do të përcaktojë udhëzime specifike për të ndihmuar qytetarët e saj për të zbatuar paketën e politikave klimatike dhe për të siguruar një tranzicion të drejtë drejt neutralitetit klimatik, duke trajtuar në mënyrë gjithëpërfshirëse aspektet përkatëse të punësimit dhe sociale që lidhen me tranzicionin. Vëmendje e veçantë do të përqendrohet në adresimin e nevojave të njerëzve dhe familjeve që varen shumë nga gazrat F dhe mund të preken më shumë nga tranzicioni i gjelbër. Nëpërmjet gjithë këtij procesi qeveria do të shfrytëzojë në mënyrë optimale financimin publik dhe privat dhe do të punojë në bashkëpunim të ngushtë me partnerët dhe donatorët</w:t>
      </w:r>
      <w:r w:rsidR="008919DD" w:rsidRPr="00770F9D">
        <w:rPr>
          <w:rFonts w:ascii="Garamond" w:hAnsi="Garamond" w:cstheme="majorBidi"/>
          <w:color w:val="0D0D0D" w:themeColor="text1" w:themeTint="F2"/>
        </w:rPr>
        <w:t>.</w:t>
      </w:r>
    </w:p>
    <w:p w14:paraId="37877A81" w14:textId="29749DD3" w:rsidR="00AA7C5A" w:rsidRPr="00770F9D" w:rsidRDefault="00C001FA" w:rsidP="00400806">
      <w:pPr>
        <w:pStyle w:val="Heading4"/>
        <w:ind w:left="0" w:firstLine="284"/>
        <w:jc w:val="both"/>
        <w:rPr>
          <w:rFonts w:ascii="Garamond" w:hAnsi="Garamond"/>
          <w:b w:val="0"/>
          <w:bCs w:val="0"/>
          <w:i/>
          <w:iCs/>
          <w:color w:val="0D0D0D"/>
          <w:sz w:val="24"/>
          <w:szCs w:val="24"/>
        </w:rPr>
      </w:pPr>
      <w:r w:rsidRPr="00770F9D">
        <w:rPr>
          <w:rFonts w:ascii="Garamond" w:hAnsi="Garamond"/>
          <w:b w:val="0"/>
          <w:bCs w:val="0"/>
          <w:i/>
          <w:iCs/>
          <w:color w:val="0D0D0D"/>
          <w:sz w:val="24"/>
          <w:szCs w:val="24"/>
        </w:rPr>
        <w:t>b</w:t>
      </w:r>
      <w:r w:rsidR="00777B96" w:rsidRPr="00770F9D">
        <w:rPr>
          <w:rFonts w:ascii="Garamond" w:hAnsi="Garamond"/>
          <w:b w:val="0"/>
          <w:bCs w:val="0"/>
          <w:i/>
          <w:iCs/>
          <w:color w:val="0D0D0D"/>
          <w:sz w:val="24"/>
          <w:szCs w:val="24"/>
        </w:rPr>
        <w:t>)</w:t>
      </w:r>
      <w:r w:rsidR="00BA4F1A" w:rsidRPr="00770F9D">
        <w:rPr>
          <w:rFonts w:ascii="Garamond" w:hAnsi="Garamond"/>
          <w:b w:val="0"/>
          <w:bCs w:val="0"/>
          <w:i/>
          <w:iCs/>
          <w:color w:val="0D0D0D"/>
          <w:sz w:val="24"/>
          <w:szCs w:val="24"/>
        </w:rPr>
        <w:t xml:space="preserve"> </w:t>
      </w:r>
      <w:r w:rsidR="00AA7C5A" w:rsidRPr="00770F9D">
        <w:rPr>
          <w:rFonts w:ascii="Garamond" w:hAnsi="Garamond"/>
          <w:b w:val="0"/>
          <w:bCs w:val="0"/>
          <w:i/>
          <w:iCs/>
          <w:color w:val="0D0D0D"/>
          <w:sz w:val="24"/>
          <w:szCs w:val="24"/>
        </w:rPr>
        <w:t>Masat e reformës</w:t>
      </w:r>
    </w:p>
    <w:p w14:paraId="63737995" w14:textId="77777777" w:rsidR="00AA7C5A" w:rsidRPr="00770F9D" w:rsidRDefault="00AA7C5A" w:rsidP="00400806">
      <w:pPr>
        <w:pStyle w:val="Heading5"/>
        <w:ind w:left="0" w:firstLine="284"/>
        <w:jc w:val="both"/>
        <w:rPr>
          <w:rFonts w:ascii="Garamond" w:hAnsi="Garamond"/>
          <w:i w:val="0"/>
          <w:iCs/>
          <w:color w:val="0D0D0D"/>
          <w:sz w:val="24"/>
          <w:szCs w:val="24"/>
        </w:rPr>
      </w:pPr>
      <w:r w:rsidRPr="00770F9D">
        <w:rPr>
          <w:rFonts w:ascii="Garamond" w:hAnsi="Garamond"/>
          <w:i w:val="0"/>
          <w:iCs/>
          <w:color w:val="0D0D0D"/>
          <w:sz w:val="24"/>
          <w:szCs w:val="24"/>
        </w:rPr>
        <w:t>Masa e reformës 11: Reduktimi i ndotjes së mjedisit dhe promovimi i dekarbonizimit të industrive me intensitet energjie</w:t>
      </w:r>
    </w:p>
    <w:p w14:paraId="600C3759" w14:textId="4FE0FCAD" w:rsidR="00AA7C5A" w:rsidRPr="00770F9D" w:rsidRDefault="00AA7C5A"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1.</w:t>
      </w:r>
      <w:r w:rsidR="00BA4F1A" w:rsidRPr="00770F9D">
        <w:rPr>
          <w:rFonts w:ascii="Garamond" w:hAnsi="Garamond"/>
          <w:color w:val="0D0D0D"/>
          <w:u w:val="none"/>
        </w:rPr>
        <w:t xml:space="preserve"> </w:t>
      </w:r>
      <w:r w:rsidRPr="00770F9D">
        <w:rPr>
          <w:rFonts w:ascii="Garamond" w:hAnsi="Garamond"/>
          <w:color w:val="0D0D0D"/>
          <w:u w:val="none"/>
        </w:rPr>
        <w:t>Përshkrimi i masës</w:t>
      </w:r>
    </w:p>
    <w:p w14:paraId="4FB43297" w14:textId="77777777" w:rsidR="00AA7C5A" w:rsidRPr="00770F9D" w:rsidRDefault="00AA7C5A" w:rsidP="00400806">
      <w:pPr>
        <w:ind w:firstLine="284"/>
        <w:jc w:val="both"/>
        <w:rPr>
          <w:rFonts w:ascii="Garamond" w:hAnsi="Garamond"/>
          <w:color w:val="0D0D0D"/>
        </w:rPr>
      </w:pPr>
      <w:r w:rsidRPr="00770F9D">
        <w:rPr>
          <w:rFonts w:ascii="Garamond" w:hAnsi="Garamond"/>
          <w:color w:val="0D0D0D"/>
        </w:rPr>
        <w:t>Nëse vendet e Ballkanit Perëndimor do të ndjekin të njëjtin trend si vendet e BE-së, duke çuar në uljen e ndotjes së ajrit, përmirësimin e shëndetit të njerëzve dhe uljen e kostove shëndetësore, dekarbonizimi është hapi më i rëndësishëm përpara.</w:t>
      </w:r>
    </w:p>
    <w:p w14:paraId="2538E199" w14:textId="31320357" w:rsidR="00AA7C5A" w:rsidRPr="00770F9D" w:rsidRDefault="00AA7C5A" w:rsidP="00400806">
      <w:pPr>
        <w:ind w:firstLine="284"/>
        <w:jc w:val="both"/>
        <w:rPr>
          <w:rFonts w:ascii="Garamond" w:hAnsi="Garamond"/>
          <w:color w:val="0D0D0D"/>
        </w:rPr>
      </w:pPr>
      <w:r w:rsidRPr="00770F9D">
        <w:rPr>
          <w:rFonts w:ascii="Garamond" w:hAnsi="Garamond"/>
          <w:color w:val="0D0D0D"/>
        </w:rPr>
        <w:t>Si një vend që ka hapur procesin e negociatave, Shqipëria po transpozon legjislacionin e BE-së, rregulloret për të kontrolluar më fort gazrat serrë të fluorinuar (gazet F) dhe substancat që shkatërrojnë ozonin (ODS). Miratimi i këtyre rregulloreve do të përfaqësonte një hap të rëndësishëm drejt kufizimit të rritjes së temperaturës globale</w:t>
      </w:r>
      <w:r w:rsidR="002A5650">
        <w:rPr>
          <w:rFonts w:ascii="Garamond" w:hAnsi="Garamond"/>
          <w:color w:val="0D0D0D"/>
        </w:rPr>
        <w:t>,</w:t>
      </w:r>
      <w:r w:rsidRPr="00770F9D">
        <w:rPr>
          <w:rFonts w:ascii="Garamond" w:hAnsi="Garamond"/>
          <w:color w:val="0D0D0D"/>
        </w:rPr>
        <w:t xml:space="preserve"> në përputhje me Marrëveshjen e Parisit. Propozimi i gazit F do të kontribuojë</w:t>
      </w:r>
      <w:r w:rsidR="002A5650">
        <w:rPr>
          <w:rFonts w:ascii="Garamond" w:hAnsi="Garamond"/>
          <w:color w:val="0D0D0D"/>
        </w:rPr>
        <w:t>,</w:t>
      </w:r>
      <w:r w:rsidRPr="00770F9D">
        <w:rPr>
          <w:rFonts w:ascii="Garamond" w:hAnsi="Garamond"/>
          <w:color w:val="0D0D0D"/>
        </w:rPr>
        <w:t xml:space="preserve"> gjithashtu</w:t>
      </w:r>
      <w:r w:rsidR="002A5650">
        <w:rPr>
          <w:rFonts w:ascii="Garamond" w:hAnsi="Garamond"/>
          <w:color w:val="0D0D0D"/>
        </w:rPr>
        <w:t>,</w:t>
      </w:r>
      <w:r w:rsidRPr="00770F9D">
        <w:rPr>
          <w:rFonts w:ascii="Garamond" w:hAnsi="Garamond"/>
          <w:color w:val="0D0D0D"/>
        </w:rPr>
        <w:t xml:space="preserve"> në reduktimin e emetimeve me të paktën 55% deri në vitin 2030 dhe për ta bërë Shqipërinë neutrale ndaj klimës deri në vitin 2050.</w:t>
      </w:r>
    </w:p>
    <w:p w14:paraId="5B7D8B26" w14:textId="475A0875" w:rsidR="00AA7C5A" w:rsidRPr="00770F9D" w:rsidRDefault="00AA7C5A" w:rsidP="002A5650">
      <w:pPr>
        <w:ind w:firstLine="284"/>
        <w:jc w:val="both"/>
        <w:rPr>
          <w:rFonts w:ascii="Garamond" w:hAnsi="Garamond"/>
          <w:color w:val="0D0D0D"/>
        </w:rPr>
      </w:pPr>
      <w:r w:rsidRPr="00770F9D">
        <w:rPr>
          <w:rFonts w:ascii="Garamond" w:hAnsi="Garamond"/>
          <w:color w:val="0D0D0D"/>
        </w:rPr>
        <w:t>Gazrat F dhe ODS janë gazra ser</w:t>
      </w:r>
      <w:r w:rsidR="002A5650">
        <w:rPr>
          <w:rFonts w:ascii="Garamond" w:hAnsi="Garamond"/>
          <w:color w:val="0D0D0D"/>
        </w:rPr>
        <w:t>r</w:t>
      </w:r>
      <w:r w:rsidRPr="00770F9D">
        <w:rPr>
          <w:rFonts w:ascii="Garamond" w:hAnsi="Garamond"/>
          <w:color w:val="0D0D0D"/>
        </w:rPr>
        <w:t>ë shumë të fuqishëm, të prodhuar nga njeriu, që kontribuojnë në ngrohjen globale kur lëshohen në atmosferë, shpesh disa mijëra herë më të fortë se d</w:t>
      </w:r>
      <w:r w:rsidR="002A5650">
        <w:rPr>
          <w:rFonts w:ascii="Garamond" w:hAnsi="Garamond"/>
          <w:color w:val="0D0D0D"/>
        </w:rPr>
        <w:t>y</w:t>
      </w:r>
      <w:r w:rsidRPr="00770F9D">
        <w:rPr>
          <w:rFonts w:ascii="Garamond" w:hAnsi="Garamond"/>
          <w:color w:val="0D0D0D"/>
        </w:rPr>
        <w:t>oksidi i karbonit (CO</w:t>
      </w:r>
      <w:r w:rsidRPr="00B86866">
        <w:rPr>
          <w:rFonts w:ascii="Garamond" w:hAnsi="Garamond"/>
          <w:color w:val="0D0D0D"/>
          <w:vertAlign w:val="subscript"/>
        </w:rPr>
        <w:t>2</w:t>
      </w:r>
      <w:r w:rsidRPr="00770F9D">
        <w:rPr>
          <w:rFonts w:ascii="Garamond" w:hAnsi="Garamond"/>
          <w:color w:val="0D0D0D"/>
        </w:rPr>
        <w:t xml:space="preserve">). ODS dëmton shtresën e ozonit që mbron </w:t>
      </w:r>
      <w:r w:rsidR="00B86866" w:rsidRPr="00770F9D">
        <w:rPr>
          <w:rFonts w:ascii="Garamond" w:hAnsi="Garamond"/>
          <w:color w:val="0D0D0D"/>
        </w:rPr>
        <w:t xml:space="preserve">tokën </w:t>
      </w:r>
      <w:r w:rsidRPr="00770F9D">
        <w:rPr>
          <w:rFonts w:ascii="Garamond" w:hAnsi="Garamond"/>
          <w:color w:val="0D0D0D"/>
        </w:rPr>
        <w:t>nga rrezatimi i rrezikshëm ultravjollcë nga dielli. Të dy</w:t>
      </w:r>
      <w:r w:rsidR="00B86866">
        <w:rPr>
          <w:rFonts w:ascii="Garamond" w:hAnsi="Garamond"/>
          <w:color w:val="0D0D0D"/>
        </w:rPr>
        <w:t>ja</w:t>
      </w:r>
      <w:r w:rsidRPr="00770F9D">
        <w:rPr>
          <w:rFonts w:ascii="Garamond" w:hAnsi="Garamond"/>
          <w:color w:val="0D0D0D"/>
        </w:rPr>
        <w:t xml:space="preserve"> llojet e grupeve të substancave kanë ose përdoren për të pasur aplikime praktike në jetën e përditshme, për shembull në ftohje, klimatizim, izolim, mbrojtje nga zjarri, linja elektrike dhe si shtytës aerosol. Qëllimi i kësaj reforme është të kufizojë ndjeshëm përdorimin dhe emetimet e këtyre gazeve, rregulloret e propozuara sot do të ulin edhe më tej emetimet dhe do të ofrojnë stimuj për të përdorur alternativa miqësore me klimën.</w:t>
      </w:r>
    </w:p>
    <w:p w14:paraId="6E614ED5" w14:textId="5A61A56C" w:rsidR="00AA7C5A" w:rsidRPr="00770F9D" w:rsidRDefault="00AA7C5A" w:rsidP="00400806">
      <w:pPr>
        <w:ind w:firstLine="284"/>
        <w:jc w:val="both"/>
        <w:rPr>
          <w:rFonts w:ascii="Garamond" w:hAnsi="Garamond"/>
          <w:color w:val="0D0D0D"/>
        </w:rPr>
      </w:pPr>
      <w:r w:rsidRPr="00770F9D">
        <w:rPr>
          <w:rFonts w:ascii="Garamond" w:hAnsi="Garamond"/>
          <w:color w:val="0D0D0D"/>
        </w:rPr>
        <w:t>Kuadri ligjor ekzistues në Shqipëri, në këtë sektor (VKM nr. 865, datë 10.12.2014, “Për uljen dhe stabilizimin e emetimeve të gazeve serrë të fluorizuar”), ka mangësi në rregullimin e aktorëve të përfshirë, të mirëpërcaktuara. kompetencat e autoriteteve mbikëqyrëse, si dhe masat parandaluese ose shtrënguese</w:t>
      </w:r>
      <w:r w:rsidR="00EB0AF4">
        <w:rPr>
          <w:rFonts w:ascii="Garamond" w:hAnsi="Garamond"/>
          <w:color w:val="0D0D0D"/>
        </w:rPr>
        <w:t>,</w:t>
      </w:r>
      <w:r w:rsidRPr="00770F9D">
        <w:rPr>
          <w:rFonts w:ascii="Garamond" w:hAnsi="Garamond"/>
          <w:color w:val="0D0D0D"/>
        </w:rPr>
        <w:t xml:space="preserve"> si dhe sanksionet për kundërvajtje administrative ndaj operatorëve, të cilat përcaktohen vetëm me ligj dhe jo me VKM.</w:t>
      </w:r>
    </w:p>
    <w:p w14:paraId="54FFE928" w14:textId="77777777" w:rsidR="00AA7C5A" w:rsidRPr="00770F9D" w:rsidRDefault="00AA7C5A" w:rsidP="00400806">
      <w:pPr>
        <w:ind w:firstLine="284"/>
        <w:jc w:val="both"/>
        <w:rPr>
          <w:rFonts w:ascii="Garamond" w:hAnsi="Garamond"/>
          <w:color w:val="0D0D0D"/>
        </w:rPr>
      </w:pPr>
      <w:r w:rsidRPr="00770F9D">
        <w:rPr>
          <w:rFonts w:ascii="Garamond" w:hAnsi="Garamond"/>
          <w:color w:val="0D0D0D"/>
        </w:rPr>
        <w:t>Ndërhyrja e qeverisë është e nevojshme pasi mungesa e projektligjit nxjerr në pah çështjet e mëposhtme:</w:t>
      </w:r>
    </w:p>
    <w:p w14:paraId="78A07C18" w14:textId="6F1416FE" w:rsidR="00AA7C5A" w:rsidRPr="00770F9D" w:rsidRDefault="00AA7C5A" w:rsidP="00400806">
      <w:pPr>
        <w:ind w:firstLine="284"/>
        <w:jc w:val="both"/>
        <w:rPr>
          <w:rFonts w:ascii="Garamond" w:hAnsi="Garamond"/>
          <w:color w:val="0D0D0D"/>
        </w:rPr>
      </w:pPr>
      <w:r w:rsidRPr="00770F9D">
        <w:rPr>
          <w:rFonts w:ascii="Garamond" w:hAnsi="Garamond"/>
          <w:color w:val="0D0D0D"/>
        </w:rPr>
        <w:t>1. Bllokim i tregut</w:t>
      </w:r>
      <w:r w:rsidR="00EB0AF4">
        <w:rPr>
          <w:rFonts w:ascii="Garamond" w:hAnsi="Garamond"/>
          <w:color w:val="0D0D0D"/>
        </w:rPr>
        <w:t>;</w:t>
      </w:r>
    </w:p>
    <w:p w14:paraId="3FC59962" w14:textId="057C9697" w:rsidR="00AA7C5A" w:rsidRPr="00770F9D" w:rsidRDefault="00AA7C5A" w:rsidP="00EB0AF4">
      <w:pPr>
        <w:ind w:firstLine="284"/>
        <w:jc w:val="both"/>
        <w:rPr>
          <w:rFonts w:ascii="Garamond" w:hAnsi="Garamond"/>
          <w:color w:val="0D0D0D"/>
        </w:rPr>
      </w:pPr>
      <w:r w:rsidRPr="00770F9D">
        <w:rPr>
          <w:rFonts w:ascii="Garamond" w:hAnsi="Garamond"/>
          <w:color w:val="0D0D0D"/>
        </w:rPr>
        <w:t>2. Konfuzion në mbikëqyrjen e tregut</w:t>
      </w:r>
      <w:r w:rsidR="00EB0AF4">
        <w:rPr>
          <w:rFonts w:ascii="Garamond" w:hAnsi="Garamond"/>
          <w:color w:val="0D0D0D"/>
        </w:rPr>
        <w:t>;</w:t>
      </w:r>
    </w:p>
    <w:p w14:paraId="1A9A1766" w14:textId="6BA8B983" w:rsidR="00AA7C5A" w:rsidRPr="00770F9D" w:rsidRDefault="00AA7C5A" w:rsidP="00EB0AF4">
      <w:pPr>
        <w:ind w:firstLine="284"/>
        <w:jc w:val="both"/>
        <w:rPr>
          <w:rFonts w:ascii="Garamond" w:hAnsi="Garamond"/>
          <w:color w:val="0D0D0D"/>
        </w:rPr>
      </w:pPr>
      <w:r w:rsidRPr="00770F9D">
        <w:rPr>
          <w:rFonts w:ascii="Garamond" w:hAnsi="Garamond"/>
          <w:color w:val="0D0D0D"/>
        </w:rPr>
        <w:t>3. Standarde të dobëta dhe të pamjaftueshme të sigurisë dhe cilësisë</w:t>
      </w:r>
      <w:r w:rsidR="00EB0AF4">
        <w:rPr>
          <w:rFonts w:ascii="Garamond" w:hAnsi="Garamond"/>
          <w:color w:val="0D0D0D"/>
        </w:rPr>
        <w:t>;</w:t>
      </w:r>
    </w:p>
    <w:p w14:paraId="248072E2" w14:textId="42E1B85F" w:rsidR="00AA7C5A" w:rsidRPr="00770F9D" w:rsidRDefault="00AA7C5A" w:rsidP="00400806">
      <w:pPr>
        <w:ind w:firstLine="284"/>
        <w:jc w:val="both"/>
        <w:rPr>
          <w:rFonts w:ascii="Garamond" w:hAnsi="Garamond"/>
          <w:color w:val="0D0D0D"/>
        </w:rPr>
      </w:pPr>
      <w:r w:rsidRPr="00770F9D">
        <w:rPr>
          <w:rFonts w:ascii="Garamond" w:hAnsi="Garamond"/>
          <w:color w:val="0D0D0D"/>
        </w:rPr>
        <w:t>4. Mungesa e informacionit</w:t>
      </w:r>
      <w:r w:rsidR="00EB0AF4">
        <w:rPr>
          <w:rFonts w:ascii="Garamond" w:hAnsi="Garamond"/>
          <w:color w:val="0D0D0D"/>
        </w:rPr>
        <w:t>.</w:t>
      </w:r>
    </w:p>
    <w:p w14:paraId="7015A8BF" w14:textId="7BDE4BC5" w:rsidR="00AA7C5A" w:rsidRPr="00770F9D" w:rsidRDefault="00AA7C5A" w:rsidP="00F45F36">
      <w:pPr>
        <w:ind w:firstLine="284"/>
        <w:jc w:val="both"/>
        <w:rPr>
          <w:rFonts w:ascii="Garamond" w:hAnsi="Garamond"/>
          <w:color w:val="0D0D0D"/>
        </w:rPr>
      </w:pPr>
      <w:r w:rsidRPr="00770F9D">
        <w:rPr>
          <w:rFonts w:ascii="Garamond" w:hAnsi="Garamond"/>
          <w:color w:val="0D0D0D"/>
        </w:rPr>
        <w:t>Për më tepër, ndërhyrja është e nevojshme për ngritjen e skemës së licencimit për sipërmarrësit që operojnë në treg me gaze të fluoruara ose pajisje që përmbajnë gaze serrë të fluorizuar</w:t>
      </w:r>
      <w:r w:rsidR="00F45F36">
        <w:rPr>
          <w:rFonts w:ascii="Garamond" w:hAnsi="Garamond"/>
          <w:color w:val="0D0D0D"/>
        </w:rPr>
        <w:t>,</w:t>
      </w:r>
      <w:r w:rsidRPr="00770F9D">
        <w:rPr>
          <w:rFonts w:ascii="Garamond" w:hAnsi="Garamond"/>
          <w:color w:val="0D0D0D"/>
        </w:rPr>
        <w:t xml:space="preserve"> si dhe për të përmirësuar raportimin, kontrollin e rrjedhjeve, etiketimin, certifikimin e kompanive dhe kërkesat për regjistrimin e personelit për pajisje</w:t>
      </w:r>
      <w:r w:rsidR="00F45F36">
        <w:rPr>
          <w:rFonts w:ascii="Garamond" w:hAnsi="Garamond"/>
          <w:color w:val="0D0D0D"/>
        </w:rPr>
        <w:t xml:space="preserve">, </w:t>
      </w:r>
      <w:r w:rsidRPr="00770F9D">
        <w:rPr>
          <w:rFonts w:ascii="Garamond" w:hAnsi="Garamond"/>
          <w:color w:val="0D0D0D"/>
        </w:rPr>
        <w:t xml:space="preserve">që përmbajnë gazra </w:t>
      </w:r>
      <w:r w:rsidR="00F45F36">
        <w:rPr>
          <w:rFonts w:ascii="Garamond" w:hAnsi="Garamond"/>
          <w:color w:val="0D0D0D"/>
        </w:rPr>
        <w:t xml:space="preserve">F në pesë sektorë industrialë: a) mbrojtjen nga zjarri; </w:t>
      </w:r>
      <w:r w:rsidRPr="00770F9D">
        <w:rPr>
          <w:rFonts w:ascii="Garamond" w:hAnsi="Garamond"/>
          <w:color w:val="0D0D0D"/>
        </w:rPr>
        <w:t>b) pajisjet e lëvizshme ftohëse (MAC)</w:t>
      </w:r>
      <w:r w:rsidR="00F45F36">
        <w:rPr>
          <w:rFonts w:ascii="Garamond" w:hAnsi="Garamond"/>
          <w:color w:val="0D0D0D"/>
        </w:rPr>
        <w:t xml:space="preserve">; </w:t>
      </w:r>
      <w:r w:rsidRPr="00770F9D">
        <w:rPr>
          <w:rFonts w:ascii="Garamond" w:hAnsi="Garamond"/>
          <w:color w:val="0D0D0D"/>
        </w:rPr>
        <w:t>c) pajisjet e tensionit të lartë (HV)</w:t>
      </w:r>
      <w:r w:rsidR="00F45F36">
        <w:rPr>
          <w:rFonts w:ascii="Garamond" w:hAnsi="Garamond"/>
          <w:color w:val="0D0D0D"/>
        </w:rPr>
        <w:t xml:space="preserve">; dhe d) zgjidhjet për pastrimin; </w:t>
      </w:r>
      <w:r w:rsidRPr="00770F9D">
        <w:rPr>
          <w:rFonts w:ascii="Garamond" w:hAnsi="Garamond"/>
          <w:color w:val="0D0D0D"/>
        </w:rPr>
        <w:t>e) pajisjet e palëvizshme ftohëse dhe kondicionerët.</w:t>
      </w:r>
    </w:p>
    <w:p w14:paraId="78AC4E3A" w14:textId="3200A28B" w:rsidR="00AA7C5A" w:rsidRPr="00770F9D" w:rsidRDefault="00AA7C5A" w:rsidP="000F6F7A">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a</w:t>
      </w:r>
      <w:r w:rsidR="00777B96" w:rsidRPr="00770F9D">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 xml:space="preserve">Aktivitete të planifikuara </w:t>
      </w:r>
      <w:r w:rsidR="000F6F7A">
        <w:rPr>
          <w:rFonts w:ascii="Garamond" w:hAnsi="Garamond"/>
          <w:b/>
          <w:bCs/>
          <w:color w:val="0D0D0D"/>
          <w:sz w:val="24"/>
          <w:szCs w:val="24"/>
          <w:lang w:val="sq-AL"/>
        </w:rPr>
        <w:t>m</w:t>
      </w:r>
      <w:r w:rsidRPr="00770F9D">
        <w:rPr>
          <w:rFonts w:ascii="Garamond" w:hAnsi="Garamond"/>
          <w:b/>
          <w:bCs/>
          <w:color w:val="0D0D0D"/>
          <w:sz w:val="24"/>
          <w:szCs w:val="24"/>
          <w:lang w:val="sq-AL"/>
        </w:rPr>
        <w:t>ë 2023</w:t>
      </w:r>
      <w:r w:rsidR="00F45F36">
        <w:rPr>
          <w:rFonts w:ascii="Garamond" w:hAnsi="Garamond"/>
          <w:b/>
          <w:bCs/>
          <w:color w:val="0D0D0D"/>
          <w:sz w:val="24"/>
          <w:szCs w:val="24"/>
          <w:lang w:val="sq-AL"/>
        </w:rPr>
        <w:t>-shin</w:t>
      </w:r>
    </w:p>
    <w:p w14:paraId="0541F66B" w14:textId="0172B95A" w:rsidR="00AA7C5A" w:rsidRPr="00770F9D" w:rsidRDefault="00AA7C5A" w:rsidP="00F45F3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a</w:t>
      </w:r>
      <w:r w:rsidR="00777B96" w:rsidRPr="00770F9D">
        <w:rPr>
          <w:rFonts w:ascii="Garamond" w:hAnsi="Garamond" w:cs="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Miratimi i ligjit për gazrat F</w:t>
      </w:r>
      <w:r w:rsidR="00F45F36">
        <w:rPr>
          <w:rFonts w:ascii="Garamond" w:hAnsi="Garamond"/>
          <w:color w:val="0D0D0D"/>
          <w:sz w:val="24"/>
          <w:szCs w:val="24"/>
          <w:lang w:val="sq-AL"/>
        </w:rPr>
        <w:t>;</w:t>
      </w:r>
    </w:p>
    <w:p w14:paraId="4E971759" w14:textId="352DE5D6" w:rsidR="00AA7C5A" w:rsidRPr="00770F9D" w:rsidRDefault="00AA7C5A" w:rsidP="00F45F3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b</w:t>
      </w:r>
      <w:r w:rsidR="00777B96" w:rsidRPr="00770F9D">
        <w:rPr>
          <w:rFonts w:ascii="Garamond" w:hAnsi="Garamond" w:cs="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Rritja e ndërgjegjësimit për nxitjen e fazës së uljes së gazeve F</w:t>
      </w:r>
      <w:r w:rsidR="00F45F36">
        <w:rPr>
          <w:rFonts w:ascii="Garamond" w:hAnsi="Garamond"/>
          <w:color w:val="0D0D0D"/>
          <w:sz w:val="24"/>
          <w:szCs w:val="24"/>
          <w:lang w:val="sq-AL"/>
        </w:rPr>
        <w:t>;</w:t>
      </w:r>
    </w:p>
    <w:p w14:paraId="15679F2E" w14:textId="23664241" w:rsidR="00AA7C5A" w:rsidRPr="00770F9D" w:rsidRDefault="00AA7C5A" w:rsidP="00F45F3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c</w:t>
      </w:r>
      <w:r w:rsidR="00777B96" w:rsidRPr="00770F9D">
        <w:rPr>
          <w:rFonts w:ascii="Garamond" w:hAnsi="Garamond" w:cs="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Futja e skemës së licencimit për sipërmarrjet e gazit F</w:t>
      </w:r>
      <w:r w:rsidR="00F45F36">
        <w:rPr>
          <w:rFonts w:ascii="Garamond" w:hAnsi="Garamond"/>
          <w:color w:val="0D0D0D"/>
          <w:sz w:val="24"/>
          <w:szCs w:val="24"/>
          <w:lang w:val="sq-AL"/>
        </w:rPr>
        <w:t>;</w:t>
      </w:r>
    </w:p>
    <w:p w14:paraId="43526620" w14:textId="3E63C4DA" w:rsidR="00AA7C5A" w:rsidRPr="00770F9D" w:rsidRDefault="00AA7C5A"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d</w:t>
      </w:r>
      <w:r w:rsidR="00777B96" w:rsidRPr="00770F9D">
        <w:rPr>
          <w:rFonts w:ascii="Garamond" w:hAnsi="Garamond" w:cs="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Përgatitja e planit të veprimit për ndarjen e kuotave të gazeve F, </w:t>
      </w:r>
      <w:r w:rsidR="00F45F36" w:rsidRPr="00770F9D">
        <w:rPr>
          <w:rFonts w:ascii="Garamond" w:hAnsi="Garamond"/>
          <w:color w:val="0D0D0D"/>
          <w:sz w:val="24"/>
          <w:szCs w:val="24"/>
          <w:lang w:val="sq-AL"/>
        </w:rPr>
        <w:t>faza poshtë</w:t>
      </w:r>
      <w:r w:rsidRPr="00770F9D">
        <w:rPr>
          <w:rFonts w:ascii="Garamond" w:hAnsi="Garamond"/>
          <w:color w:val="0D0D0D"/>
          <w:sz w:val="24"/>
          <w:szCs w:val="24"/>
          <w:lang w:val="sq-AL"/>
        </w:rPr>
        <w:t>.</w:t>
      </w:r>
    </w:p>
    <w:p w14:paraId="4B24BF3A" w14:textId="0EF834C5" w:rsidR="00AA7C5A" w:rsidRPr="00770F9D" w:rsidRDefault="00AA7C5A" w:rsidP="000F6F7A">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a</w:t>
      </w:r>
      <w:r w:rsidR="00777B96" w:rsidRPr="00770F9D">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 xml:space="preserve">Aktivitete të planifikuara </w:t>
      </w:r>
      <w:r w:rsidR="000F6F7A">
        <w:rPr>
          <w:rFonts w:ascii="Garamond" w:hAnsi="Garamond"/>
          <w:b/>
          <w:bCs/>
          <w:color w:val="0D0D0D"/>
          <w:sz w:val="24"/>
          <w:szCs w:val="24"/>
          <w:lang w:val="sq-AL"/>
        </w:rPr>
        <w:t>m</w:t>
      </w:r>
      <w:r w:rsidRPr="00770F9D">
        <w:rPr>
          <w:rFonts w:ascii="Garamond" w:hAnsi="Garamond"/>
          <w:b/>
          <w:bCs/>
          <w:color w:val="0D0D0D"/>
          <w:sz w:val="24"/>
          <w:szCs w:val="24"/>
          <w:lang w:val="sq-AL"/>
        </w:rPr>
        <w:t>ë 2024</w:t>
      </w:r>
      <w:r w:rsidR="00F45F36">
        <w:rPr>
          <w:rFonts w:ascii="Garamond" w:hAnsi="Garamond"/>
          <w:b/>
          <w:bCs/>
          <w:color w:val="0D0D0D"/>
          <w:sz w:val="24"/>
          <w:szCs w:val="24"/>
          <w:lang w:val="sq-AL"/>
        </w:rPr>
        <w:t>-ën</w:t>
      </w:r>
    </w:p>
    <w:p w14:paraId="5BC8F999" w14:textId="1D4567D1" w:rsidR="00AA7C5A" w:rsidRPr="00770F9D" w:rsidRDefault="00AA7C5A" w:rsidP="00F45F36">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a</w:t>
      </w:r>
      <w:r w:rsidR="00777B96" w:rsidRPr="00770F9D">
        <w:rPr>
          <w:rFonts w:ascii="Garamond" w:hAnsi="Garamond" w:cs="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Miratimi i akteve nënligjore të parashikuara në </w:t>
      </w:r>
      <w:r w:rsidR="00F45F36" w:rsidRPr="00770F9D">
        <w:rPr>
          <w:rFonts w:ascii="Garamond" w:hAnsi="Garamond"/>
          <w:color w:val="0D0D0D"/>
          <w:sz w:val="24"/>
          <w:szCs w:val="24"/>
          <w:lang w:val="sq-AL"/>
        </w:rPr>
        <w:t xml:space="preserve">ligjin </w:t>
      </w:r>
      <w:r w:rsidRPr="00770F9D">
        <w:rPr>
          <w:rFonts w:ascii="Garamond" w:hAnsi="Garamond"/>
          <w:color w:val="0D0D0D"/>
          <w:sz w:val="24"/>
          <w:szCs w:val="24"/>
          <w:lang w:val="sq-AL"/>
        </w:rPr>
        <w:t>për gazrat F</w:t>
      </w:r>
      <w:r w:rsidR="00F45F36">
        <w:rPr>
          <w:rFonts w:ascii="Garamond" w:hAnsi="Garamond"/>
          <w:color w:val="0D0D0D"/>
          <w:sz w:val="24"/>
          <w:szCs w:val="24"/>
          <w:lang w:val="sq-AL"/>
        </w:rPr>
        <w:t>;</w:t>
      </w:r>
    </w:p>
    <w:p w14:paraId="481C4124" w14:textId="67F4BCCF" w:rsidR="00AA7C5A" w:rsidRPr="00770F9D" w:rsidRDefault="00AA7C5A" w:rsidP="00400806">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b</w:t>
      </w:r>
      <w:r w:rsidR="00777B96" w:rsidRPr="00770F9D">
        <w:rPr>
          <w:rFonts w:ascii="Garamond" w:hAnsi="Garamond" w:cs="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Krijimi i skemës së </w:t>
      </w:r>
      <w:r w:rsidR="00F45F36" w:rsidRPr="00770F9D">
        <w:rPr>
          <w:rFonts w:ascii="Garamond" w:hAnsi="Garamond"/>
          <w:color w:val="0D0D0D"/>
          <w:sz w:val="24"/>
          <w:szCs w:val="24"/>
          <w:lang w:val="sq-AL"/>
        </w:rPr>
        <w:t>certifikimit</w:t>
      </w:r>
      <w:r w:rsidRPr="00770F9D">
        <w:rPr>
          <w:rFonts w:ascii="Garamond" w:hAnsi="Garamond"/>
          <w:color w:val="0D0D0D"/>
          <w:sz w:val="24"/>
          <w:szCs w:val="24"/>
          <w:lang w:val="sq-AL"/>
        </w:rPr>
        <w:t xml:space="preserve"> për personat fizikë</w:t>
      </w:r>
      <w:r w:rsidR="00F45F36">
        <w:rPr>
          <w:rFonts w:ascii="Garamond" w:hAnsi="Garamond"/>
          <w:color w:val="0D0D0D"/>
          <w:sz w:val="24"/>
          <w:szCs w:val="24"/>
          <w:lang w:val="sq-AL"/>
        </w:rPr>
        <w:t>,</w:t>
      </w:r>
      <w:r w:rsidRPr="00770F9D">
        <w:rPr>
          <w:rFonts w:ascii="Garamond" w:hAnsi="Garamond"/>
          <w:color w:val="0D0D0D"/>
          <w:sz w:val="24"/>
          <w:szCs w:val="24"/>
          <w:lang w:val="sq-AL"/>
        </w:rPr>
        <w:t xml:space="preserve"> që punojnë me gazra F ose pajisje që funksionet mbështeten në gazrat F.</w:t>
      </w:r>
    </w:p>
    <w:p w14:paraId="7EFBE4C1" w14:textId="0A64D20F" w:rsidR="00AA7C5A" w:rsidRPr="00770F9D" w:rsidRDefault="00AA7C5A" w:rsidP="000F6F7A">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b</w:t>
      </w:r>
      <w:r w:rsidR="00777B96" w:rsidRPr="00770F9D">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 xml:space="preserve">Aktivitete të planifikuara </w:t>
      </w:r>
      <w:r w:rsidR="000F6F7A">
        <w:rPr>
          <w:rFonts w:ascii="Garamond" w:hAnsi="Garamond"/>
          <w:b/>
          <w:bCs/>
          <w:color w:val="0D0D0D"/>
          <w:sz w:val="24"/>
          <w:szCs w:val="24"/>
          <w:lang w:val="sq-AL"/>
        </w:rPr>
        <w:t>m</w:t>
      </w:r>
      <w:r w:rsidRPr="00770F9D">
        <w:rPr>
          <w:rFonts w:ascii="Garamond" w:hAnsi="Garamond"/>
          <w:b/>
          <w:bCs/>
          <w:color w:val="0D0D0D"/>
          <w:sz w:val="24"/>
          <w:szCs w:val="24"/>
          <w:lang w:val="sq-AL"/>
        </w:rPr>
        <w:t>ë 2025</w:t>
      </w:r>
      <w:r w:rsidR="00F45F36">
        <w:rPr>
          <w:rFonts w:ascii="Garamond" w:hAnsi="Garamond"/>
          <w:b/>
          <w:bCs/>
          <w:color w:val="0D0D0D"/>
          <w:sz w:val="24"/>
          <w:szCs w:val="24"/>
          <w:lang w:val="sq-AL"/>
        </w:rPr>
        <w:t>-n</w:t>
      </w:r>
    </w:p>
    <w:p w14:paraId="2083C8C9" w14:textId="2ADF2118" w:rsidR="00AA7C5A" w:rsidRPr="00770F9D" w:rsidRDefault="00AA7C5A" w:rsidP="006B3179">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a</w:t>
      </w:r>
      <w:r w:rsidR="00777B96" w:rsidRPr="00770F9D">
        <w:rPr>
          <w:rFonts w:ascii="Garamond" w:hAnsi="Garamond" w:cs="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Miratimi i akteve nënligjore të parashikuara në </w:t>
      </w:r>
      <w:r w:rsidR="006B3179" w:rsidRPr="00770F9D">
        <w:rPr>
          <w:rFonts w:ascii="Garamond" w:hAnsi="Garamond"/>
          <w:color w:val="0D0D0D"/>
          <w:sz w:val="24"/>
          <w:szCs w:val="24"/>
          <w:lang w:val="sq-AL"/>
        </w:rPr>
        <w:t xml:space="preserve">ligjin </w:t>
      </w:r>
      <w:r w:rsidRPr="00770F9D">
        <w:rPr>
          <w:rFonts w:ascii="Garamond" w:hAnsi="Garamond"/>
          <w:color w:val="0D0D0D"/>
          <w:sz w:val="24"/>
          <w:szCs w:val="24"/>
          <w:lang w:val="sq-AL"/>
        </w:rPr>
        <w:t>për gazrat F</w:t>
      </w:r>
      <w:r w:rsidR="006B3179">
        <w:rPr>
          <w:rFonts w:ascii="Garamond" w:hAnsi="Garamond"/>
          <w:color w:val="0D0D0D"/>
          <w:sz w:val="24"/>
          <w:szCs w:val="24"/>
          <w:lang w:val="sq-AL"/>
        </w:rPr>
        <w:t>;</w:t>
      </w:r>
    </w:p>
    <w:p w14:paraId="7ABA867B" w14:textId="720640EE" w:rsidR="00AA7C5A" w:rsidRPr="00770F9D" w:rsidRDefault="00AA7C5A" w:rsidP="00EB64CA">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b</w:t>
      </w:r>
      <w:r w:rsidR="00777B96" w:rsidRPr="00770F9D">
        <w:rPr>
          <w:rFonts w:ascii="Garamond" w:hAnsi="Garamond" w:cs="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Krijimi i Regjistrit </w:t>
      </w:r>
      <w:r w:rsidR="00EB64CA" w:rsidRPr="00770F9D">
        <w:rPr>
          <w:rFonts w:ascii="Garamond" w:hAnsi="Garamond"/>
          <w:color w:val="0D0D0D"/>
          <w:sz w:val="24"/>
          <w:szCs w:val="24"/>
          <w:lang w:val="sq-AL"/>
        </w:rPr>
        <w:t xml:space="preserve">Elektronik </w:t>
      </w:r>
      <w:r w:rsidRPr="00770F9D">
        <w:rPr>
          <w:rFonts w:ascii="Garamond" w:hAnsi="Garamond"/>
          <w:color w:val="0D0D0D"/>
          <w:sz w:val="24"/>
          <w:szCs w:val="24"/>
          <w:lang w:val="sq-AL"/>
        </w:rPr>
        <w:t>t</w:t>
      </w:r>
      <w:r w:rsidR="00EB64CA">
        <w:rPr>
          <w:rFonts w:ascii="Garamond" w:hAnsi="Garamond"/>
          <w:color w:val="0D0D0D"/>
          <w:sz w:val="24"/>
          <w:szCs w:val="24"/>
          <w:lang w:val="sq-AL"/>
        </w:rPr>
        <w:t>ë</w:t>
      </w:r>
      <w:r w:rsidRPr="00770F9D">
        <w:rPr>
          <w:rFonts w:ascii="Garamond" w:hAnsi="Garamond"/>
          <w:color w:val="0D0D0D"/>
          <w:sz w:val="24"/>
          <w:szCs w:val="24"/>
          <w:lang w:val="sq-AL"/>
        </w:rPr>
        <w:t xml:space="preserve"> Agjencisë K</w:t>
      </w:r>
      <w:r w:rsidR="006B3179">
        <w:rPr>
          <w:rFonts w:ascii="Garamond" w:hAnsi="Garamond"/>
          <w:color w:val="0D0D0D"/>
          <w:sz w:val="24"/>
          <w:szCs w:val="24"/>
          <w:lang w:val="sq-AL"/>
        </w:rPr>
        <w:t>o</w:t>
      </w:r>
      <w:r w:rsidRPr="00770F9D">
        <w:rPr>
          <w:rFonts w:ascii="Garamond" w:hAnsi="Garamond"/>
          <w:color w:val="0D0D0D"/>
          <w:sz w:val="24"/>
          <w:szCs w:val="24"/>
          <w:lang w:val="sq-AL"/>
        </w:rPr>
        <w:t>mb</w:t>
      </w:r>
      <w:r w:rsidR="006B3179">
        <w:rPr>
          <w:rFonts w:ascii="Garamond" w:hAnsi="Garamond"/>
          <w:color w:val="0D0D0D"/>
          <w:sz w:val="24"/>
          <w:szCs w:val="24"/>
          <w:lang w:val="sq-AL"/>
        </w:rPr>
        <w:t>ë</w:t>
      </w:r>
      <w:r w:rsidRPr="00770F9D">
        <w:rPr>
          <w:rFonts w:ascii="Garamond" w:hAnsi="Garamond"/>
          <w:color w:val="0D0D0D"/>
          <w:sz w:val="24"/>
          <w:szCs w:val="24"/>
          <w:lang w:val="sq-AL"/>
        </w:rPr>
        <w:t>tare t</w:t>
      </w:r>
      <w:r w:rsidR="006B3179">
        <w:rPr>
          <w:rFonts w:ascii="Garamond" w:hAnsi="Garamond"/>
          <w:color w:val="0D0D0D"/>
          <w:sz w:val="24"/>
          <w:szCs w:val="24"/>
          <w:lang w:val="sq-AL"/>
        </w:rPr>
        <w:t>ë</w:t>
      </w:r>
      <w:r w:rsidRPr="00770F9D">
        <w:rPr>
          <w:rFonts w:ascii="Garamond" w:hAnsi="Garamond"/>
          <w:color w:val="0D0D0D"/>
          <w:sz w:val="24"/>
          <w:szCs w:val="24"/>
          <w:lang w:val="sq-AL"/>
        </w:rPr>
        <w:t xml:space="preserve"> Mjedisit</w:t>
      </w:r>
      <w:r w:rsidR="006B3179">
        <w:rPr>
          <w:rFonts w:ascii="Garamond" w:hAnsi="Garamond"/>
          <w:color w:val="0D0D0D"/>
          <w:sz w:val="24"/>
          <w:szCs w:val="24"/>
          <w:lang w:val="sq-AL"/>
        </w:rPr>
        <w:t>;</w:t>
      </w:r>
      <w:r w:rsidRPr="00770F9D">
        <w:rPr>
          <w:rFonts w:ascii="Garamond" w:hAnsi="Garamond"/>
          <w:color w:val="0D0D0D"/>
          <w:sz w:val="24"/>
          <w:szCs w:val="24"/>
          <w:lang w:val="sq-AL"/>
        </w:rPr>
        <w:t xml:space="preserve"> </w:t>
      </w:r>
    </w:p>
    <w:p w14:paraId="60C6171D" w14:textId="730D2C17" w:rsidR="00AA7C5A" w:rsidRPr="00770F9D" w:rsidRDefault="00AA7C5A" w:rsidP="006B3179">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c</w:t>
      </w:r>
      <w:r w:rsidR="00777B96" w:rsidRPr="00770F9D">
        <w:rPr>
          <w:rFonts w:ascii="Garamond" w:hAnsi="Garamond" w:cs="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Funksionimi i skemës së </w:t>
      </w:r>
      <w:r w:rsidR="006B3179" w:rsidRPr="00770F9D">
        <w:rPr>
          <w:rFonts w:ascii="Garamond" w:hAnsi="Garamond"/>
          <w:color w:val="0D0D0D"/>
          <w:sz w:val="24"/>
          <w:szCs w:val="24"/>
          <w:lang w:val="sq-AL"/>
        </w:rPr>
        <w:t>certifikimit</w:t>
      </w:r>
      <w:r w:rsidRPr="00770F9D">
        <w:rPr>
          <w:rFonts w:ascii="Garamond" w:hAnsi="Garamond"/>
          <w:color w:val="0D0D0D"/>
          <w:sz w:val="24"/>
          <w:szCs w:val="24"/>
          <w:lang w:val="sq-AL"/>
        </w:rPr>
        <w:t xml:space="preserve"> për personat fizikë që punojnë me gazra F ose pajisje</w:t>
      </w:r>
      <w:r w:rsidR="006B3179">
        <w:rPr>
          <w:rFonts w:ascii="Garamond" w:hAnsi="Garamond"/>
          <w:color w:val="0D0D0D"/>
          <w:sz w:val="24"/>
          <w:szCs w:val="24"/>
          <w:lang w:val="sq-AL"/>
        </w:rPr>
        <w:t>,</w:t>
      </w:r>
      <w:r w:rsidRPr="00770F9D">
        <w:rPr>
          <w:rFonts w:ascii="Garamond" w:hAnsi="Garamond"/>
          <w:color w:val="0D0D0D"/>
          <w:sz w:val="24"/>
          <w:szCs w:val="24"/>
          <w:lang w:val="sq-AL"/>
        </w:rPr>
        <w:t xml:space="preserve"> që funksionet mbështeten në gazrat F</w:t>
      </w:r>
      <w:r w:rsidR="006B3179">
        <w:rPr>
          <w:rFonts w:ascii="Garamond" w:hAnsi="Garamond"/>
          <w:color w:val="0D0D0D"/>
          <w:sz w:val="24"/>
          <w:szCs w:val="24"/>
          <w:lang w:val="sq-AL"/>
        </w:rPr>
        <w:t>,</w:t>
      </w:r>
    </w:p>
    <w:p w14:paraId="2A71AC3F" w14:textId="281A52CC" w:rsidR="00AA7C5A" w:rsidRPr="00770F9D" w:rsidRDefault="00AA7C5A" w:rsidP="00400806">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d</w:t>
      </w:r>
      <w:r w:rsidR="00777B96" w:rsidRPr="00770F9D">
        <w:rPr>
          <w:rFonts w:ascii="Garamond" w:hAnsi="Garamond" w:cs="Garamond"/>
          <w:color w:val="0D0D0D"/>
          <w:sz w:val="24"/>
          <w:szCs w:val="24"/>
          <w:lang w:val="sq-AL"/>
        </w:rPr>
        <w:t xml:space="preserve">) </w:t>
      </w:r>
      <w:r w:rsidRPr="00770F9D">
        <w:rPr>
          <w:rFonts w:ascii="Garamond" w:hAnsi="Garamond"/>
          <w:color w:val="0D0D0D"/>
          <w:sz w:val="24"/>
          <w:szCs w:val="24"/>
          <w:lang w:val="sq-AL"/>
        </w:rPr>
        <w:t>Vazhdimi i skemës së licencimit për sipërmarrjet e gazrave F.</w:t>
      </w:r>
    </w:p>
    <w:p w14:paraId="524ED834" w14:textId="0E849597" w:rsidR="00AA7C5A" w:rsidRPr="00770F9D" w:rsidRDefault="00AA7C5A"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2.</w:t>
      </w:r>
      <w:r w:rsidR="00BA4F1A" w:rsidRPr="00770F9D">
        <w:rPr>
          <w:rFonts w:ascii="Garamond" w:hAnsi="Garamond"/>
          <w:color w:val="0D0D0D"/>
          <w:u w:val="none"/>
        </w:rPr>
        <w:t xml:space="preserve"> </w:t>
      </w:r>
      <w:r w:rsidRPr="00770F9D">
        <w:rPr>
          <w:rFonts w:ascii="Garamond" w:hAnsi="Garamond"/>
          <w:color w:val="0D0D0D"/>
          <w:u w:val="none"/>
        </w:rPr>
        <w:t>Treguesit e rezultateve</w:t>
      </w:r>
    </w:p>
    <w:tbl>
      <w:tblPr>
        <w:tblStyle w:val="TableGrid"/>
        <w:tblW w:w="5000" w:type="pct"/>
        <w:tblLook w:val="04A0" w:firstRow="1" w:lastRow="0" w:firstColumn="1" w:lastColumn="0" w:noHBand="0" w:noVBand="1"/>
      </w:tblPr>
      <w:tblGrid>
        <w:gridCol w:w="3397"/>
        <w:gridCol w:w="2268"/>
        <w:gridCol w:w="1638"/>
        <w:gridCol w:w="1984"/>
      </w:tblGrid>
      <w:tr w:rsidR="00C452AA" w:rsidRPr="006B3179" w14:paraId="2F25FA28" w14:textId="77777777" w:rsidTr="00C001FA">
        <w:tc>
          <w:tcPr>
            <w:tcW w:w="1829" w:type="pct"/>
          </w:tcPr>
          <w:p w14:paraId="1E15C96B" w14:textId="77777777" w:rsidR="00C452AA" w:rsidRPr="006B3179" w:rsidRDefault="00C452AA" w:rsidP="00C001FA">
            <w:pPr>
              <w:snapToGrid w:val="0"/>
              <w:rPr>
                <w:rFonts w:ascii="Garamond" w:hAnsi="Garamond" w:cstheme="majorBidi"/>
                <w:b/>
                <w:bCs/>
                <w:color w:val="0D0D0D" w:themeColor="text1" w:themeTint="F2"/>
                <w:sz w:val="20"/>
                <w:szCs w:val="20"/>
              </w:rPr>
            </w:pPr>
            <w:r w:rsidRPr="006B3179">
              <w:rPr>
                <w:rFonts w:ascii="Garamond" w:hAnsi="Garamond" w:cstheme="majorBidi"/>
                <w:b/>
                <w:bCs/>
                <w:color w:val="0D0D0D" w:themeColor="text1" w:themeTint="F2"/>
                <w:sz w:val="20"/>
                <w:szCs w:val="20"/>
              </w:rPr>
              <w:t>Tregues</w:t>
            </w:r>
          </w:p>
        </w:tc>
        <w:tc>
          <w:tcPr>
            <w:tcW w:w="1221" w:type="pct"/>
          </w:tcPr>
          <w:p w14:paraId="44DCC731" w14:textId="77777777" w:rsidR="00C452AA" w:rsidRPr="006B3179" w:rsidRDefault="008C5850" w:rsidP="00C001FA">
            <w:pPr>
              <w:snapToGrid w:val="0"/>
              <w:rPr>
                <w:rFonts w:ascii="Garamond" w:hAnsi="Garamond" w:cstheme="majorBidi"/>
                <w:b/>
                <w:bCs/>
                <w:color w:val="0D0D0D" w:themeColor="text1" w:themeTint="F2"/>
                <w:sz w:val="20"/>
                <w:szCs w:val="20"/>
              </w:rPr>
            </w:pPr>
            <w:r w:rsidRPr="006B3179">
              <w:rPr>
                <w:rFonts w:ascii="Garamond" w:hAnsi="Garamond" w:cstheme="majorBidi"/>
                <w:b/>
                <w:bCs/>
                <w:color w:val="0D0D0D" w:themeColor="text1" w:themeTint="F2"/>
                <w:sz w:val="20"/>
                <w:szCs w:val="20"/>
              </w:rPr>
              <w:t>Bazë</w:t>
            </w:r>
          </w:p>
        </w:tc>
        <w:tc>
          <w:tcPr>
            <w:tcW w:w="882" w:type="pct"/>
          </w:tcPr>
          <w:p w14:paraId="64D27AEA" w14:textId="77777777" w:rsidR="00C452AA" w:rsidRPr="006B3179" w:rsidRDefault="008C5850" w:rsidP="00C001FA">
            <w:pPr>
              <w:snapToGrid w:val="0"/>
              <w:rPr>
                <w:rFonts w:ascii="Garamond" w:hAnsi="Garamond" w:cstheme="majorBidi"/>
                <w:b/>
                <w:bCs/>
                <w:color w:val="0D0D0D" w:themeColor="text1" w:themeTint="F2"/>
                <w:sz w:val="20"/>
                <w:szCs w:val="20"/>
              </w:rPr>
            </w:pPr>
            <w:r w:rsidRPr="006B3179">
              <w:rPr>
                <w:rFonts w:ascii="Garamond" w:hAnsi="Garamond" w:cstheme="majorBidi"/>
                <w:b/>
                <w:bCs/>
                <w:color w:val="0D0D0D" w:themeColor="text1" w:themeTint="F2"/>
                <w:sz w:val="20"/>
                <w:szCs w:val="20"/>
              </w:rPr>
              <w:t>I ndërmjetëm</w:t>
            </w:r>
          </w:p>
        </w:tc>
        <w:tc>
          <w:tcPr>
            <w:tcW w:w="1068" w:type="pct"/>
          </w:tcPr>
          <w:p w14:paraId="79C25439" w14:textId="77777777" w:rsidR="00C452AA" w:rsidRPr="006B3179" w:rsidRDefault="00DB3786" w:rsidP="00C001FA">
            <w:pPr>
              <w:snapToGrid w:val="0"/>
              <w:rPr>
                <w:rFonts w:ascii="Garamond" w:hAnsi="Garamond" w:cstheme="majorBidi"/>
                <w:b/>
                <w:bCs/>
                <w:color w:val="0D0D0D" w:themeColor="text1" w:themeTint="F2"/>
                <w:sz w:val="20"/>
                <w:szCs w:val="20"/>
              </w:rPr>
            </w:pPr>
            <w:r w:rsidRPr="006B3179">
              <w:rPr>
                <w:rFonts w:ascii="Garamond" w:hAnsi="Garamond" w:cstheme="majorBidi"/>
                <w:b/>
                <w:bCs/>
                <w:color w:val="0D0D0D" w:themeColor="text1" w:themeTint="F2"/>
                <w:sz w:val="20"/>
                <w:szCs w:val="20"/>
              </w:rPr>
              <w:t>Final</w:t>
            </w:r>
          </w:p>
        </w:tc>
      </w:tr>
      <w:tr w:rsidR="009C3031" w:rsidRPr="00770F9D" w14:paraId="258EB14F" w14:textId="77777777" w:rsidTr="00C001FA">
        <w:tc>
          <w:tcPr>
            <w:tcW w:w="1829" w:type="pct"/>
          </w:tcPr>
          <w:p w14:paraId="010D681B" w14:textId="77777777" w:rsidR="009C3031" w:rsidRPr="00770F9D" w:rsidRDefault="009C3031" w:rsidP="00C001FA">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Numri i licencave të lëshuara për sipërmarrjet e gazit F.</w:t>
            </w:r>
          </w:p>
        </w:tc>
        <w:tc>
          <w:tcPr>
            <w:tcW w:w="1221" w:type="pct"/>
          </w:tcPr>
          <w:p w14:paraId="7A5F9212" w14:textId="27D3811B" w:rsidR="009C3031" w:rsidRPr="00770F9D" w:rsidRDefault="009C3031" w:rsidP="00C001FA">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0 (2020)</w:t>
            </w:r>
          </w:p>
        </w:tc>
        <w:tc>
          <w:tcPr>
            <w:tcW w:w="882" w:type="pct"/>
          </w:tcPr>
          <w:p w14:paraId="3F73BA92" w14:textId="1C914C1C" w:rsidR="009C3031" w:rsidRPr="00770F9D" w:rsidRDefault="009C3031" w:rsidP="00C001FA">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50% (2024)</w:t>
            </w:r>
          </w:p>
        </w:tc>
        <w:tc>
          <w:tcPr>
            <w:tcW w:w="1068" w:type="pct"/>
          </w:tcPr>
          <w:p w14:paraId="55C945FC" w14:textId="5A074882" w:rsidR="009C3031" w:rsidRPr="00770F9D" w:rsidRDefault="009C3031" w:rsidP="00C001FA">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100% (2025)</w:t>
            </w:r>
          </w:p>
        </w:tc>
      </w:tr>
      <w:tr w:rsidR="009C3031" w:rsidRPr="00770F9D" w14:paraId="1C62577A" w14:textId="77777777" w:rsidTr="00C001FA">
        <w:tc>
          <w:tcPr>
            <w:tcW w:w="1829" w:type="pct"/>
          </w:tcPr>
          <w:p w14:paraId="6E34F897" w14:textId="3872F587" w:rsidR="009C3031" w:rsidRPr="00770F9D" w:rsidRDefault="009C3031" w:rsidP="00C001FA">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Plani i veprimit për alokimin e kuotave për zvogëlimin e gazrave F (alokimi i kuotave do të vendoset me sekretariatin e Protokollit Montreal)</w:t>
            </w:r>
          </w:p>
        </w:tc>
        <w:tc>
          <w:tcPr>
            <w:tcW w:w="1221" w:type="pct"/>
          </w:tcPr>
          <w:p w14:paraId="66076AF6" w14:textId="77777777" w:rsidR="009C3031" w:rsidRPr="00770F9D" w:rsidRDefault="009C3031" w:rsidP="00C001FA">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N/A</w:t>
            </w:r>
          </w:p>
          <w:p w14:paraId="0131B158" w14:textId="459F4D36" w:rsidR="009C3031" w:rsidRPr="00770F9D" w:rsidRDefault="009C3031" w:rsidP="00C001FA">
            <w:pPr>
              <w:snapToGrid w:val="0"/>
              <w:jc w:val="cente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(2023)</w:t>
            </w:r>
          </w:p>
        </w:tc>
        <w:tc>
          <w:tcPr>
            <w:tcW w:w="882" w:type="pct"/>
          </w:tcPr>
          <w:p w14:paraId="6A6D3370" w14:textId="22FA0CF8" w:rsidR="009C3031" w:rsidRPr="00770F9D" w:rsidRDefault="009C3031" w:rsidP="0040624E">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Ulja e emisioneve HFC me 30% krahasuar me t</w:t>
            </w:r>
            <w:r w:rsidR="000A18E4">
              <w:rPr>
                <w:rFonts w:ascii="Garamond" w:hAnsi="Garamond" w:cstheme="majorBidi"/>
                <w:color w:val="0D0D0D" w:themeColor="text1" w:themeTint="F2"/>
                <w:sz w:val="20"/>
                <w:szCs w:val="20"/>
              </w:rPr>
              <w:t>ë</w:t>
            </w:r>
            <w:r w:rsidRPr="00770F9D">
              <w:rPr>
                <w:rFonts w:ascii="Garamond" w:hAnsi="Garamond" w:cstheme="majorBidi"/>
                <w:color w:val="0D0D0D" w:themeColor="text1" w:themeTint="F2"/>
                <w:sz w:val="20"/>
                <w:szCs w:val="20"/>
              </w:rPr>
              <w:t xml:space="preserve"> dh</w:t>
            </w:r>
            <w:r w:rsidR="000A18E4">
              <w:rPr>
                <w:rFonts w:ascii="Garamond" w:hAnsi="Garamond" w:cstheme="majorBidi"/>
                <w:color w:val="0D0D0D" w:themeColor="text1" w:themeTint="F2"/>
                <w:sz w:val="20"/>
                <w:szCs w:val="20"/>
              </w:rPr>
              <w:t>ë</w:t>
            </w:r>
            <w:r w:rsidRPr="00770F9D">
              <w:rPr>
                <w:rFonts w:ascii="Garamond" w:hAnsi="Garamond" w:cstheme="majorBidi"/>
                <w:color w:val="0D0D0D" w:themeColor="text1" w:themeTint="F2"/>
                <w:sz w:val="20"/>
                <w:szCs w:val="20"/>
              </w:rPr>
              <w:t>nat p</w:t>
            </w:r>
            <w:r w:rsidR="000A18E4">
              <w:rPr>
                <w:rFonts w:ascii="Garamond" w:hAnsi="Garamond" w:cstheme="majorBidi"/>
                <w:color w:val="0D0D0D" w:themeColor="text1" w:themeTint="F2"/>
                <w:sz w:val="20"/>
                <w:szCs w:val="20"/>
              </w:rPr>
              <w:t>ë</w:t>
            </w:r>
            <w:r w:rsidRPr="00770F9D">
              <w:rPr>
                <w:rFonts w:ascii="Garamond" w:hAnsi="Garamond" w:cstheme="majorBidi"/>
                <w:color w:val="0D0D0D" w:themeColor="text1" w:themeTint="F2"/>
                <w:sz w:val="20"/>
                <w:szCs w:val="20"/>
              </w:rPr>
              <w:t>r 2019</w:t>
            </w:r>
            <w:r w:rsidR="000A18E4">
              <w:rPr>
                <w:rFonts w:ascii="Garamond" w:hAnsi="Garamond" w:cstheme="majorBidi"/>
                <w:color w:val="0D0D0D" w:themeColor="text1" w:themeTint="F2"/>
                <w:sz w:val="20"/>
                <w:szCs w:val="20"/>
              </w:rPr>
              <w:t>-n</w:t>
            </w:r>
            <w:r w:rsidRPr="00770F9D">
              <w:rPr>
                <w:rFonts w:ascii="Garamond" w:hAnsi="Garamond" w:cstheme="majorBidi"/>
                <w:color w:val="0D0D0D" w:themeColor="text1" w:themeTint="F2"/>
                <w:sz w:val="20"/>
                <w:szCs w:val="20"/>
              </w:rPr>
              <w:t xml:space="preserve"> (2030)</w:t>
            </w:r>
          </w:p>
        </w:tc>
        <w:tc>
          <w:tcPr>
            <w:tcW w:w="1068" w:type="pct"/>
          </w:tcPr>
          <w:p w14:paraId="7A5B51E9" w14:textId="1B08CA4A" w:rsidR="009C3031" w:rsidRPr="00770F9D" w:rsidRDefault="009C3031" w:rsidP="000A18E4">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Ulja e emisioneve HFC me 40% krahasuar me t</w:t>
            </w:r>
            <w:r w:rsidR="000A18E4">
              <w:rPr>
                <w:rFonts w:ascii="Garamond" w:hAnsi="Garamond" w:cstheme="majorBidi"/>
                <w:color w:val="0D0D0D" w:themeColor="text1" w:themeTint="F2"/>
                <w:sz w:val="20"/>
                <w:szCs w:val="20"/>
              </w:rPr>
              <w:t>ë</w:t>
            </w:r>
            <w:r w:rsidRPr="00770F9D">
              <w:rPr>
                <w:rFonts w:ascii="Garamond" w:hAnsi="Garamond" w:cstheme="majorBidi"/>
                <w:color w:val="0D0D0D" w:themeColor="text1" w:themeTint="F2"/>
                <w:sz w:val="20"/>
                <w:szCs w:val="20"/>
              </w:rPr>
              <w:t xml:space="preserve"> dh</w:t>
            </w:r>
            <w:r w:rsidR="000A18E4">
              <w:rPr>
                <w:rFonts w:ascii="Garamond" w:hAnsi="Garamond" w:cstheme="majorBidi"/>
                <w:color w:val="0D0D0D" w:themeColor="text1" w:themeTint="F2"/>
                <w:sz w:val="20"/>
                <w:szCs w:val="20"/>
              </w:rPr>
              <w:t>ë</w:t>
            </w:r>
            <w:r w:rsidRPr="00770F9D">
              <w:rPr>
                <w:rFonts w:ascii="Garamond" w:hAnsi="Garamond" w:cstheme="majorBidi"/>
                <w:color w:val="0D0D0D" w:themeColor="text1" w:themeTint="F2"/>
                <w:sz w:val="20"/>
                <w:szCs w:val="20"/>
              </w:rPr>
              <w:t>nat p</w:t>
            </w:r>
            <w:r w:rsidR="000A18E4">
              <w:rPr>
                <w:rFonts w:ascii="Garamond" w:hAnsi="Garamond" w:cstheme="majorBidi"/>
                <w:color w:val="0D0D0D" w:themeColor="text1" w:themeTint="F2"/>
                <w:sz w:val="20"/>
                <w:szCs w:val="20"/>
              </w:rPr>
              <w:t>ë</w:t>
            </w:r>
            <w:r w:rsidRPr="00770F9D">
              <w:rPr>
                <w:rFonts w:ascii="Garamond" w:hAnsi="Garamond" w:cstheme="majorBidi"/>
                <w:color w:val="0D0D0D" w:themeColor="text1" w:themeTint="F2"/>
                <w:sz w:val="20"/>
                <w:szCs w:val="20"/>
              </w:rPr>
              <w:t>r 2019</w:t>
            </w:r>
            <w:r w:rsidR="000A18E4">
              <w:rPr>
                <w:rFonts w:ascii="Garamond" w:hAnsi="Garamond" w:cstheme="majorBidi"/>
                <w:color w:val="0D0D0D" w:themeColor="text1" w:themeTint="F2"/>
                <w:sz w:val="20"/>
                <w:szCs w:val="20"/>
              </w:rPr>
              <w:t>-n</w:t>
            </w:r>
            <w:r w:rsidRPr="00770F9D">
              <w:rPr>
                <w:rFonts w:ascii="Garamond" w:hAnsi="Garamond" w:cstheme="majorBidi"/>
                <w:color w:val="0D0D0D" w:themeColor="text1" w:themeTint="F2"/>
                <w:sz w:val="20"/>
                <w:szCs w:val="20"/>
              </w:rPr>
              <w:t xml:space="preserve"> (2050)</w:t>
            </w:r>
          </w:p>
        </w:tc>
      </w:tr>
    </w:tbl>
    <w:p w14:paraId="24459A2B" w14:textId="3E110822" w:rsidR="00E76828" w:rsidRPr="00770F9D" w:rsidRDefault="00C001FA"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3</w:t>
      </w:r>
      <w:r w:rsidR="00E76828" w:rsidRPr="00770F9D">
        <w:rPr>
          <w:rFonts w:ascii="Garamond" w:hAnsi="Garamond"/>
          <w:color w:val="0D0D0D"/>
          <w:u w:val="none"/>
        </w:rPr>
        <w:t>.</w:t>
      </w:r>
      <w:r w:rsidR="00BA4F1A" w:rsidRPr="00770F9D">
        <w:rPr>
          <w:rFonts w:ascii="Garamond" w:hAnsi="Garamond"/>
          <w:color w:val="0D0D0D"/>
          <w:u w:val="none"/>
        </w:rPr>
        <w:t xml:space="preserve"> </w:t>
      </w:r>
      <w:r w:rsidR="00E76828" w:rsidRPr="00770F9D">
        <w:rPr>
          <w:rFonts w:ascii="Garamond" w:hAnsi="Garamond"/>
          <w:color w:val="0D0D0D"/>
          <w:u w:val="none"/>
        </w:rPr>
        <w:t>Ndikimi i pritshëm në konkurrueshmëri</w:t>
      </w:r>
    </w:p>
    <w:p w14:paraId="1D381EAB" w14:textId="07C0D8BF" w:rsidR="00E76828" w:rsidRPr="00770F9D" w:rsidRDefault="00E76828" w:rsidP="00400806">
      <w:pPr>
        <w:ind w:firstLine="284"/>
        <w:jc w:val="both"/>
        <w:rPr>
          <w:rFonts w:ascii="Garamond" w:hAnsi="Garamond"/>
          <w:color w:val="0D0D0D"/>
        </w:rPr>
      </w:pPr>
      <w:r w:rsidRPr="00770F9D">
        <w:rPr>
          <w:rFonts w:ascii="Garamond" w:hAnsi="Garamond"/>
          <w:color w:val="0D0D0D"/>
        </w:rPr>
        <w:t>Bizneset e prekura janë kryesisht sektorët e instalimeve dhe shërbimeve të industrisë. Rikuperimi i gazeve të fluorizuar në këtë industri është tashmë një praktikë standarde dhe</w:t>
      </w:r>
      <w:r w:rsidR="004761A7">
        <w:rPr>
          <w:rFonts w:ascii="Garamond" w:hAnsi="Garamond"/>
          <w:color w:val="0D0D0D"/>
        </w:rPr>
        <w:t>,</w:t>
      </w:r>
      <w:r w:rsidRPr="00770F9D">
        <w:rPr>
          <w:rFonts w:ascii="Garamond" w:hAnsi="Garamond"/>
          <w:color w:val="0D0D0D"/>
        </w:rPr>
        <w:t xml:space="preserve"> për rrjedhojë, parashikimi për rikuperimet nuk pritet të ketë ndonjë efekt të rëndësishëm në konkurrencën në tregjet e ekzaminuara.</w:t>
      </w:r>
    </w:p>
    <w:p w14:paraId="6A5AEB75" w14:textId="0C47CBFD" w:rsidR="00E76828" w:rsidRPr="00770F9D" w:rsidRDefault="00C001FA"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4</w:t>
      </w:r>
      <w:r w:rsidR="00E76828" w:rsidRPr="00770F9D">
        <w:rPr>
          <w:rFonts w:ascii="Garamond" w:hAnsi="Garamond"/>
          <w:color w:val="0D0D0D"/>
          <w:u w:val="none"/>
        </w:rPr>
        <w:t>.</w:t>
      </w:r>
      <w:r w:rsidR="00BA4F1A" w:rsidRPr="00770F9D">
        <w:rPr>
          <w:rFonts w:ascii="Garamond" w:hAnsi="Garamond"/>
          <w:color w:val="0D0D0D"/>
          <w:u w:val="none"/>
        </w:rPr>
        <w:t xml:space="preserve"> </w:t>
      </w:r>
      <w:r w:rsidR="00E76828" w:rsidRPr="00770F9D">
        <w:rPr>
          <w:rFonts w:ascii="Garamond" w:hAnsi="Garamond"/>
          <w:color w:val="0D0D0D"/>
          <w:u w:val="none"/>
        </w:rPr>
        <w:t>Kosto</w:t>
      </w:r>
      <w:r w:rsidR="004761A7">
        <w:rPr>
          <w:rFonts w:ascii="Garamond" w:hAnsi="Garamond"/>
          <w:color w:val="0D0D0D"/>
          <w:u w:val="none"/>
        </w:rPr>
        <w:t>ja</w:t>
      </w:r>
      <w:r w:rsidR="00E76828" w:rsidRPr="00770F9D">
        <w:rPr>
          <w:rFonts w:ascii="Garamond" w:hAnsi="Garamond"/>
          <w:color w:val="0D0D0D"/>
          <w:u w:val="none"/>
        </w:rPr>
        <w:t xml:space="preserve"> e parashikuar e aktiviteteve dhe burimi i financimit</w:t>
      </w:r>
    </w:p>
    <w:p w14:paraId="3D07DB91" w14:textId="77777777" w:rsidR="00E76828" w:rsidRPr="00770F9D" w:rsidRDefault="00E76828" w:rsidP="00400806">
      <w:pPr>
        <w:ind w:firstLine="284"/>
        <w:jc w:val="both"/>
        <w:rPr>
          <w:rFonts w:ascii="Garamond" w:hAnsi="Garamond"/>
          <w:color w:val="0D0D0D"/>
        </w:rPr>
      </w:pPr>
      <w:r w:rsidRPr="00770F9D">
        <w:rPr>
          <w:rFonts w:ascii="Garamond" w:hAnsi="Garamond"/>
          <w:color w:val="0D0D0D"/>
        </w:rPr>
        <w:t>Institucionet e përfshira janë:</w:t>
      </w:r>
    </w:p>
    <w:p w14:paraId="717F3160" w14:textId="6AB769F5" w:rsidR="00E76828" w:rsidRPr="00770F9D" w:rsidRDefault="00C001FA" w:rsidP="00AF6F1B">
      <w:pPr>
        <w:ind w:firstLine="284"/>
        <w:jc w:val="both"/>
        <w:rPr>
          <w:rFonts w:ascii="Garamond" w:hAnsi="Garamond"/>
          <w:color w:val="0D0D0D"/>
        </w:rPr>
      </w:pPr>
      <w:r w:rsidRPr="00770F9D">
        <w:rPr>
          <w:rFonts w:ascii="Garamond" w:hAnsi="Garamond"/>
          <w:color w:val="0D0D0D"/>
        </w:rPr>
        <w:t>-</w:t>
      </w:r>
      <w:r w:rsidR="00E76828" w:rsidRPr="00770F9D">
        <w:rPr>
          <w:rFonts w:ascii="Garamond" w:hAnsi="Garamond"/>
          <w:color w:val="0D0D0D"/>
        </w:rPr>
        <w:t xml:space="preserve"> Ministria e Mbrojtjes (Autoriteti Shtetëror i Kontrollit të Eksportit), për eksportin e prodhimit/importit</w:t>
      </w:r>
      <w:r w:rsidR="00AF6F1B">
        <w:rPr>
          <w:rFonts w:ascii="Garamond" w:hAnsi="Garamond"/>
          <w:color w:val="0D0D0D"/>
        </w:rPr>
        <w:t>;</w:t>
      </w:r>
    </w:p>
    <w:p w14:paraId="379618B3" w14:textId="668152AD" w:rsidR="00E76828" w:rsidRPr="00770F9D" w:rsidRDefault="00C001FA" w:rsidP="00AF6F1B">
      <w:pPr>
        <w:ind w:firstLine="284"/>
        <w:jc w:val="both"/>
        <w:rPr>
          <w:rFonts w:ascii="Garamond" w:hAnsi="Garamond"/>
          <w:color w:val="0D0D0D"/>
        </w:rPr>
      </w:pPr>
      <w:r w:rsidRPr="00770F9D">
        <w:rPr>
          <w:rFonts w:ascii="Garamond" w:hAnsi="Garamond"/>
          <w:color w:val="0D0D0D"/>
        </w:rPr>
        <w:t>-</w:t>
      </w:r>
      <w:r w:rsidR="00E76828" w:rsidRPr="00770F9D">
        <w:rPr>
          <w:rFonts w:ascii="Garamond" w:hAnsi="Garamond"/>
          <w:color w:val="0D0D0D"/>
        </w:rPr>
        <w:t xml:space="preserve"> Ministria e Financave dhe Ekonomisë me strukturën përgjegjëse të mbikëqyrjes së tregut (Inspektorati Shtetëror i Mbikëqyrjes së Tregut)</w:t>
      </w:r>
      <w:r w:rsidR="00AF6F1B">
        <w:rPr>
          <w:rFonts w:ascii="Garamond" w:hAnsi="Garamond"/>
          <w:color w:val="0D0D0D"/>
        </w:rPr>
        <w:t>;</w:t>
      </w:r>
    </w:p>
    <w:p w14:paraId="143E695D" w14:textId="5D4CDAC1" w:rsidR="00E76828" w:rsidRPr="00770F9D" w:rsidRDefault="00C001FA" w:rsidP="00AF6F1B">
      <w:pPr>
        <w:ind w:firstLine="284"/>
        <w:jc w:val="both"/>
        <w:rPr>
          <w:rFonts w:ascii="Garamond" w:hAnsi="Garamond"/>
          <w:color w:val="0D0D0D"/>
        </w:rPr>
      </w:pPr>
      <w:r w:rsidRPr="00770F9D">
        <w:rPr>
          <w:rFonts w:ascii="Garamond" w:hAnsi="Garamond"/>
          <w:color w:val="0D0D0D"/>
        </w:rPr>
        <w:t>-</w:t>
      </w:r>
      <w:r w:rsidR="00E76828" w:rsidRPr="00770F9D">
        <w:rPr>
          <w:rFonts w:ascii="Garamond" w:hAnsi="Garamond"/>
          <w:color w:val="0D0D0D"/>
        </w:rPr>
        <w:t xml:space="preserve"> Drejtoria e Përgjithshme e Doganave, për kontrollin e pajisjeve që përmbajnë gazra fluorinuar në pikat doganore</w:t>
      </w:r>
      <w:r w:rsidR="00AF6F1B">
        <w:rPr>
          <w:rFonts w:ascii="Garamond" w:hAnsi="Garamond"/>
          <w:color w:val="0D0D0D"/>
        </w:rPr>
        <w:t>;</w:t>
      </w:r>
    </w:p>
    <w:p w14:paraId="395CE290" w14:textId="623801FB" w:rsidR="00E76828" w:rsidRPr="00770F9D" w:rsidRDefault="00C001FA" w:rsidP="00AF6F1B">
      <w:pPr>
        <w:ind w:firstLine="284"/>
        <w:jc w:val="both"/>
        <w:rPr>
          <w:rFonts w:ascii="Garamond" w:hAnsi="Garamond"/>
          <w:color w:val="0D0D0D"/>
        </w:rPr>
      </w:pPr>
      <w:r w:rsidRPr="00770F9D">
        <w:rPr>
          <w:rFonts w:ascii="Garamond" w:hAnsi="Garamond"/>
          <w:color w:val="0D0D0D"/>
        </w:rPr>
        <w:t>-</w:t>
      </w:r>
      <w:r w:rsidR="00E76828" w:rsidRPr="00770F9D">
        <w:rPr>
          <w:rFonts w:ascii="Garamond" w:hAnsi="Garamond"/>
          <w:color w:val="0D0D0D"/>
        </w:rPr>
        <w:t xml:space="preserve"> Ministria e Turizmit dhe Mjedisit, për vlerësimin e ndikimit në mjedis</w:t>
      </w:r>
      <w:r w:rsidR="00AF6F1B">
        <w:rPr>
          <w:rFonts w:ascii="Garamond" w:hAnsi="Garamond"/>
          <w:color w:val="0D0D0D"/>
        </w:rPr>
        <w:t>.</w:t>
      </w:r>
    </w:p>
    <w:p w14:paraId="3B6C769E" w14:textId="77777777" w:rsidR="00E76828" w:rsidRPr="00770F9D" w:rsidRDefault="00E76828" w:rsidP="00400806">
      <w:pPr>
        <w:ind w:firstLine="284"/>
        <w:jc w:val="both"/>
        <w:rPr>
          <w:rFonts w:ascii="Garamond" w:hAnsi="Garamond"/>
          <w:color w:val="0D0D0D"/>
        </w:rPr>
      </w:pPr>
      <w:r w:rsidRPr="00770F9D">
        <w:rPr>
          <w:rFonts w:ascii="Garamond" w:hAnsi="Garamond"/>
          <w:color w:val="0D0D0D"/>
        </w:rPr>
        <w:t>Agjencia Kombëtare e Mjedisit për mbajtjen e të dhënave në regjistrin elektronik</w:t>
      </w:r>
    </w:p>
    <w:p w14:paraId="2A4C7415" w14:textId="752231AC" w:rsidR="00E76828" w:rsidRPr="00770F9D" w:rsidRDefault="00E76828" w:rsidP="00400806">
      <w:pPr>
        <w:ind w:firstLine="284"/>
        <w:jc w:val="both"/>
        <w:rPr>
          <w:rFonts w:ascii="Garamond" w:hAnsi="Garamond"/>
          <w:color w:val="0D0D0D"/>
        </w:rPr>
      </w:pPr>
      <w:r w:rsidRPr="00770F9D">
        <w:rPr>
          <w:rFonts w:ascii="Garamond" w:hAnsi="Garamond"/>
          <w:color w:val="0D0D0D"/>
        </w:rPr>
        <w:t>Do të bëhen përpjekje për planifikimin e duhur të buxhetit</w:t>
      </w:r>
      <w:r w:rsidR="00521BF7">
        <w:rPr>
          <w:rFonts w:ascii="Garamond" w:hAnsi="Garamond"/>
          <w:color w:val="0D0D0D"/>
        </w:rPr>
        <w:t>,</w:t>
      </w:r>
      <w:r w:rsidRPr="00770F9D">
        <w:rPr>
          <w:rFonts w:ascii="Garamond" w:hAnsi="Garamond"/>
          <w:color w:val="0D0D0D"/>
        </w:rPr>
        <w:t xml:space="preserve"> në lidhje me programe të veçanta duke filluar nga përgatitja e vitit të ardhshëm të PBA-së </w:t>
      </w:r>
      <w:r w:rsidR="003F4C96" w:rsidRPr="00770F9D">
        <w:rPr>
          <w:rFonts w:ascii="Garamond" w:hAnsi="Garamond"/>
          <w:color w:val="0D0D0D"/>
        </w:rPr>
        <w:t>2023–2025</w:t>
      </w:r>
      <w:r w:rsidRPr="00770F9D">
        <w:rPr>
          <w:rFonts w:ascii="Garamond" w:hAnsi="Garamond"/>
          <w:color w:val="0D0D0D"/>
        </w:rPr>
        <w:t xml:space="preserve"> dhe çdo vit deri në vitin 2030</w:t>
      </w:r>
      <w:r w:rsidR="00521BF7">
        <w:rPr>
          <w:rFonts w:ascii="Garamond" w:hAnsi="Garamond"/>
          <w:color w:val="0D0D0D"/>
        </w:rPr>
        <w:t>,</w:t>
      </w:r>
      <w:r w:rsidRPr="00770F9D">
        <w:rPr>
          <w:rFonts w:ascii="Garamond" w:hAnsi="Garamond"/>
          <w:color w:val="0D0D0D"/>
        </w:rPr>
        <w:t xml:space="preserve"> në mënyrë që të sigurohet disponueshmëria e burimeve të mjaftueshme financiare për zbatimin e </w:t>
      </w:r>
      <w:r w:rsidR="00521BF7" w:rsidRPr="00770F9D">
        <w:rPr>
          <w:rFonts w:ascii="Garamond" w:hAnsi="Garamond"/>
          <w:color w:val="0D0D0D"/>
        </w:rPr>
        <w:t xml:space="preserve">ligjit </w:t>
      </w:r>
      <w:r w:rsidRPr="00770F9D">
        <w:rPr>
          <w:rFonts w:ascii="Garamond" w:hAnsi="Garamond"/>
          <w:color w:val="0D0D0D"/>
        </w:rPr>
        <w:t>për reduktimin e gazeve F.</w:t>
      </w:r>
    </w:p>
    <w:p w14:paraId="00124B32" w14:textId="3BD88500" w:rsidR="00E76828" w:rsidRPr="00770F9D" w:rsidRDefault="00C001FA"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5</w:t>
      </w:r>
      <w:r w:rsidR="00E76828" w:rsidRPr="00770F9D">
        <w:rPr>
          <w:rFonts w:ascii="Garamond" w:hAnsi="Garamond"/>
          <w:color w:val="0D0D0D"/>
          <w:u w:val="none"/>
        </w:rPr>
        <w:t>.</w:t>
      </w:r>
      <w:r w:rsidR="00BA4F1A" w:rsidRPr="00770F9D">
        <w:rPr>
          <w:rFonts w:ascii="Garamond" w:hAnsi="Garamond"/>
          <w:color w:val="0D0D0D"/>
          <w:u w:val="none"/>
        </w:rPr>
        <w:t xml:space="preserve"> </w:t>
      </w:r>
      <w:r w:rsidR="00E76828" w:rsidRPr="00770F9D">
        <w:rPr>
          <w:rFonts w:ascii="Garamond" w:hAnsi="Garamond"/>
          <w:color w:val="0D0D0D"/>
          <w:u w:val="none"/>
        </w:rPr>
        <w:t>Ndikimi i pritshëm në përfundimet sociale</w:t>
      </w:r>
      <w:r w:rsidR="00521BF7">
        <w:rPr>
          <w:rFonts w:ascii="Garamond" w:hAnsi="Garamond"/>
          <w:color w:val="0D0D0D"/>
          <w:u w:val="none"/>
        </w:rPr>
        <w:t>,</w:t>
      </w:r>
      <w:r w:rsidR="00E76828" w:rsidRPr="00770F9D">
        <w:rPr>
          <w:rFonts w:ascii="Garamond" w:hAnsi="Garamond"/>
          <w:color w:val="0D0D0D"/>
          <w:u w:val="none"/>
        </w:rPr>
        <w:t xml:space="preserve"> si punësimi, ulja e varfërisë, barazia gjinore dhe aksesi në kujdesin shëndetësor</w:t>
      </w:r>
    </w:p>
    <w:p w14:paraId="58DB7D00" w14:textId="77777777" w:rsidR="00E76828" w:rsidRPr="00770F9D" w:rsidRDefault="00E76828" w:rsidP="00400806">
      <w:pPr>
        <w:ind w:firstLine="284"/>
        <w:jc w:val="both"/>
        <w:rPr>
          <w:rFonts w:ascii="Garamond" w:hAnsi="Garamond"/>
          <w:color w:val="0D0D0D"/>
        </w:rPr>
      </w:pPr>
      <w:r w:rsidRPr="00770F9D">
        <w:rPr>
          <w:rFonts w:ascii="Garamond" w:hAnsi="Garamond"/>
          <w:color w:val="0D0D0D"/>
        </w:rPr>
        <w:t>Ndikimet direkte: Miratimi i ligjit do të përmirësojë sigurinë në punë për punonjësit e këtyre bizneseve dhe ambienteve ku ruhen pajisjet që përmbajnë gazra të fluorizuar. Edhe cilësia e produkteve të importuara pritet të përmirësohet. Ligji parashikon kërkesat dhe standardet e reja që operatorët ekonomikë duhet të ndjekin, si: etiketimi, trajnimi, certifikimi, licencimi.</w:t>
      </w:r>
    </w:p>
    <w:p w14:paraId="6E075F3C" w14:textId="7C733207" w:rsidR="00E76828" w:rsidRPr="00770F9D" w:rsidRDefault="00E76828" w:rsidP="00400806">
      <w:pPr>
        <w:ind w:firstLine="284"/>
        <w:jc w:val="both"/>
        <w:rPr>
          <w:rFonts w:ascii="Garamond" w:hAnsi="Garamond"/>
          <w:color w:val="0D0D0D"/>
        </w:rPr>
      </w:pPr>
      <w:r w:rsidRPr="00770F9D">
        <w:rPr>
          <w:rFonts w:ascii="Garamond" w:hAnsi="Garamond"/>
          <w:color w:val="0D0D0D"/>
        </w:rPr>
        <w:t>Ndikimet indirekte: Përfitimet për personat e trajnuar: Plotësimi i kërkesave për t’u trajnuar dhe operimi në treg</w:t>
      </w:r>
      <w:r w:rsidR="00521BF7">
        <w:rPr>
          <w:rFonts w:ascii="Garamond" w:hAnsi="Garamond"/>
          <w:color w:val="0D0D0D"/>
        </w:rPr>
        <w:t>,</w:t>
      </w:r>
      <w:r w:rsidRPr="00770F9D">
        <w:rPr>
          <w:rFonts w:ascii="Garamond" w:hAnsi="Garamond"/>
          <w:color w:val="0D0D0D"/>
        </w:rPr>
        <w:t xml:space="preserve"> sipas standardeve do të sjellë përfitime ekonomike, pasi operatorët/personat e certifikuar do të kenë akses më të lehtë për t’u punësuar në tregun e Bashkimit Evropian, pasi ata do të harmonizon sistemin me atë të BE-së, duke siguruar të njëjtat standarde si tregu i përbashkët evropian, së bashku me një mbrojtje më të lartë për konsumatorët nëpërmjet respektimit të kërkesave thelbësore të sigurisë.</w:t>
      </w:r>
    </w:p>
    <w:p w14:paraId="2BDD68B9" w14:textId="77777777" w:rsidR="00E76828" w:rsidRPr="00770F9D" w:rsidRDefault="00E76828" w:rsidP="00400806">
      <w:pPr>
        <w:ind w:firstLine="284"/>
        <w:jc w:val="both"/>
        <w:rPr>
          <w:rFonts w:ascii="Garamond" w:hAnsi="Garamond"/>
          <w:color w:val="0D0D0D"/>
        </w:rPr>
      </w:pPr>
      <w:r w:rsidRPr="00770F9D">
        <w:rPr>
          <w:rFonts w:ascii="Garamond" w:hAnsi="Garamond"/>
          <w:color w:val="0D0D0D"/>
        </w:rPr>
        <w:t>Përfitimet ekonomike si rezultat i hapjes së tregut do të gjenerojnë rritje të punësimit.</w:t>
      </w:r>
    </w:p>
    <w:p w14:paraId="7CE0B12B" w14:textId="1DA239DA" w:rsidR="00E76828" w:rsidRPr="00770F9D" w:rsidRDefault="00C001FA"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6</w:t>
      </w:r>
      <w:r w:rsidR="00E76828" w:rsidRPr="00770F9D">
        <w:rPr>
          <w:rFonts w:ascii="Garamond" w:hAnsi="Garamond"/>
          <w:color w:val="0D0D0D"/>
          <w:u w:val="none"/>
        </w:rPr>
        <w:t>.</w:t>
      </w:r>
      <w:r w:rsidR="00BA4F1A" w:rsidRPr="00770F9D">
        <w:rPr>
          <w:rFonts w:ascii="Garamond" w:hAnsi="Garamond"/>
          <w:color w:val="0D0D0D"/>
          <w:u w:val="none"/>
        </w:rPr>
        <w:t xml:space="preserve"> </w:t>
      </w:r>
      <w:r w:rsidR="00E76828" w:rsidRPr="00770F9D">
        <w:rPr>
          <w:rFonts w:ascii="Garamond" w:hAnsi="Garamond"/>
          <w:color w:val="0D0D0D"/>
          <w:u w:val="none"/>
        </w:rPr>
        <w:t>Ndikimi i pritshëm në mjedis dhe ndryshimi i klimës</w:t>
      </w:r>
    </w:p>
    <w:p w14:paraId="52F9A8CB" w14:textId="5DBDDD01" w:rsidR="00E76828" w:rsidRPr="00770F9D" w:rsidRDefault="00E76828" w:rsidP="00400806">
      <w:pPr>
        <w:ind w:firstLine="284"/>
        <w:jc w:val="both"/>
        <w:rPr>
          <w:rFonts w:ascii="Garamond" w:hAnsi="Garamond"/>
          <w:color w:val="0D0D0D"/>
        </w:rPr>
      </w:pPr>
      <w:r w:rsidRPr="00770F9D">
        <w:rPr>
          <w:rFonts w:ascii="Garamond" w:hAnsi="Garamond"/>
          <w:color w:val="0D0D0D"/>
        </w:rPr>
        <w:t>Në aspektin mjedisor, ekonomia e gjelbër do të rezultojë në ndikime të larta pozitive mjedisore</w:t>
      </w:r>
      <w:r w:rsidR="00521BF7">
        <w:rPr>
          <w:rFonts w:ascii="Garamond" w:hAnsi="Garamond"/>
          <w:color w:val="0D0D0D"/>
        </w:rPr>
        <w:t>,</w:t>
      </w:r>
      <w:r w:rsidRPr="00770F9D">
        <w:rPr>
          <w:rFonts w:ascii="Garamond" w:hAnsi="Garamond"/>
          <w:color w:val="0D0D0D"/>
        </w:rPr>
        <w:t xml:space="preserve"> si emetimi më i ulët i </w:t>
      </w:r>
      <w:r w:rsidR="00521BF7" w:rsidRPr="00770F9D">
        <w:rPr>
          <w:rFonts w:ascii="Garamond" w:hAnsi="Garamond"/>
          <w:color w:val="0D0D0D"/>
        </w:rPr>
        <w:t>dyoksidit</w:t>
      </w:r>
      <w:r w:rsidRPr="00770F9D">
        <w:rPr>
          <w:rFonts w:ascii="Garamond" w:hAnsi="Garamond"/>
          <w:color w:val="0D0D0D"/>
        </w:rPr>
        <w:t xml:space="preserve"> të karbonit, rritja e diversitetit biologjik, restaurimi i ekosistemit.</w:t>
      </w:r>
    </w:p>
    <w:p w14:paraId="4ECD5C6C" w14:textId="77777777" w:rsidR="00E76828" w:rsidRPr="00770F9D" w:rsidRDefault="00E76828" w:rsidP="00400806">
      <w:pPr>
        <w:ind w:firstLine="284"/>
        <w:jc w:val="both"/>
        <w:rPr>
          <w:rFonts w:ascii="Garamond" w:hAnsi="Garamond"/>
          <w:color w:val="0D0D0D"/>
        </w:rPr>
      </w:pPr>
      <w:r w:rsidRPr="00770F9D">
        <w:rPr>
          <w:rFonts w:ascii="Garamond" w:hAnsi="Garamond"/>
          <w:color w:val="0D0D0D"/>
        </w:rPr>
        <w:t>Zbatimi i ligjit për gazrat F do të çojë në zvogëlimin e emetimeve të gazrave të fluorizuar përmes masave të frenimit dhe rikuperimit, krijimit të kushteve për përdorime specifike të aplikimit dhe kontrollit të rrjedhjeve gjatë përdorimit të gazrave të fluorizuar. Përmirësimi i standardeve do të sjellë më pak aksidente me ndikim në mjedis, duke ulur nivelin e gazrave që dëmtojnë shtresën e ozonit. Rritja e sigurisë nëpërmjet identifikimit dhe kontrollit të operatorëve në treg do të ndikojë në një mjedis më të pastër. NDC i rishikuar parashikon një reduktim prej 20.9% në emetimet e CO</w:t>
      </w:r>
      <w:r w:rsidRPr="009D2AC8">
        <w:rPr>
          <w:rFonts w:ascii="Garamond" w:hAnsi="Garamond"/>
          <w:vertAlign w:val="subscript"/>
        </w:rPr>
        <w:t>2</w:t>
      </w:r>
      <w:r w:rsidRPr="00770F9D">
        <w:rPr>
          <w:rFonts w:ascii="Garamond" w:hAnsi="Garamond"/>
          <w:color w:val="0D0D0D"/>
        </w:rPr>
        <w:t xml:space="preserve"> deri në vitin 2030). Sipas KKD-së, në vitin 2030, gazet e fluorinuara (HFCs) parashikohen të përfaqësojnë rreth 16% të emetimeve nga sektori industrial, ndaj marrja e masave në këtë sektor është e rëndësishme për të parandaluar rritjen e kontributit të GS-ve të sektorit industrial.</w:t>
      </w:r>
    </w:p>
    <w:p w14:paraId="62AE1BFF" w14:textId="46377D16" w:rsidR="00E76828" w:rsidRPr="00770F9D" w:rsidRDefault="00C001FA"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7</w:t>
      </w:r>
      <w:r w:rsidR="00E76828" w:rsidRPr="00770F9D">
        <w:rPr>
          <w:rFonts w:ascii="Garamond" w:hAnsi="Garamond"/>
          <w:color w:val="0D0D0D"/>
          <w:u w:val="none"/>
        </w:rPr>
        <w:t>.</w:t>
      </w:r>
      <w:r w:rsidR="00BA4F1A" w:rsidRPr="00770F9D">
        <w:rPr>
          <w:rFonts w:ascii="Garamond" w:hAnsi="Garamond"/>
          <w:color w:val="0D0D0D"/>
          <w:u w:val="none"/>
        </w:rPr>
        <w:t xml:space="preserve"> </w:t>
      </w:r>
      <w:r w:rsidR="00E76828" w:rsidRPr="00770F9D">
        <w:rPr>
          <w:rFonts w:ascii="Garamond" w:hAnsi="Garamond"/>
          <w:color w:val="0D0D0D"/>
          <w:u w:val="none"/>
        </w:rPr>
        <w:t>Rreziqet e mundshme</w:t>
      </w:r>
    </w:p>
    <w:tbl>
      <w:tblPr>
        <w:tblStyle w:val="TableGrid"/>
        <w:tblW w:w="5000" w:type="pct"/>
        <w:jc w:val="center"/>
        <w:tblLook w:val="04A0" w:firstRow="1" w:lastRow="0" w:firstColumn="1" w:lastColumn="0" w:noHBand="0" w:noVBand="1"/>
      </w:tblPr>
      <w:tblGrid>
        <w:gridCol w:w="3691"/>
        <w:gridCol w:w="1504"/>
        <w:gridCol w:w="4092"/>
      </w:tblGrid>
      <w:tr w:rsidR="00C452AA" w:rsidRPr="00770F9D" w14:paraId="699A6B49" w14:textId="77777777" w:rsidTr="00E228A2">
        <w:trPr>
          <w:jc w:val="center"/>
        </w:trPr>
        <w:tc>
          <w:tcPr>
            <w:tcW w:w="1987" w:type="pct"/>
            <w:vAlign w:val="center"/>
          </w:tcPr>
          <w:p w14:paraId="6A1F83B7" w14:textId="77777777" w:rsidR="00C452AA" w:rsidRPr="00E228A2" w:rsidRDefault="00C452AA" w:rsidP="00E228A2">
            <w:pPr>
              <w:snapToGrid w:val="0"/>
              <w:jc w:val="center"/>
              <w:rPr>
                <w:rFonts w:ascii="Garamond" w:hAnsi="Garamond" w:cstheme="majorBidi"/>
                <w:b/>
                <w:bCs/>
                <w:color w:val="0D0D0D" w:themeColor="text1" w:themeTint="F2"/>
                <w:sz w:val="20"/>
                <w:szCs w:val="20"/>
              </w:rPr>
            </w:pPr>
            <w:r w:rsidRPr="00E228A2">
              <w:rPr>
                <w:rFonts w:ascii="Garamond" w:hAnsi="Garamond" w:cstheme="majorBidi"/>
                <w:b/>
                <w:bCs/>
                <w:color w:val="0D0D0D" w:themeColor="text1" w:themeTint="F2"/>
                <w:sz w:val="20"/>
                <w:szCs w:val="20"/>
              </w:rPr>
              <w:t>Rreziku</w:t>
            </w:r>
          </w:p>
        </w:tc>
        <w:tc>
          <w:tcPr>
            <w:tcW w:w="810" w:type="pct"/>
            <w:vAlign w:val="center"/>
          </w:tcPr>
          <w:p w14:paraId="7F3F7511" w14:textId="77777777" w:rsidR="00E228A2" w:rsidRDefault="00C452AA" w:rsidP="00E228A2">
            <w:pPr>
              <w:snapToGrid w:val="0"/>
              <w:jc w:val="center"/>
              <w:rPr>
                <w:rFonts w:ascii="Garamond" w:hAnsi="Garamond" w:cstheme="majorBidi"/>
                <w:b/>
                <w:bCs/>
                <w:color w:val="0D0D0D" w:themeColor="text1" w:themeTint="F2"/>
                <w:sz w:val="20"/>
                <w:szCs w:val="20"/>
              </w:rPr>
            </w:pPr>
            <w:r w:rsidRPr="00E228A2">
              <w:rPr>
                <w:rFonts w:ascii="Garamond" w:hAnsi="Garamond" w:cstheme="majorBidi"/>
                <w:b/>
                <w:bCs/>
                <w:color w:val="0D0D0D" w:themeColor="text1" w:themeTint="F2"/>
                <w:sz w:val="20"/>
                <w:szCs w:val="20"/>
              </w:rPr>
              <w:t xml:space="preserve">Mundësia </w:t>
            </w:r>
          </w:p>
          <w:p w14:paraId="560CFAC4" w14:textId="407AFC38" w:rsidR="00C452AA" w:rsidRPr="00E228A2" w:rsidRDefault="00C452AA" w:rsidP="00E228A2">
            <w:pPr>
              <w:snapToGrid w:val="0"/>
              <w:jc w:val="center"/>
              <w:rPr>
                <w:rFonts w:ascii="Garamond" w:hAnsi="Garamond" w:cstheme="majorBidi"/>
                <w:b/>
                <w:bCs/>
                <w:color w:val="0D0D0D" w:themeColor="text1" w:themeTint="F2"/>
                <w:sz w:val="20"/>
                <w:szCs w:val="20"/>
              </w:rPr>
            </w:pPr>
            <w:r w:rsidRPr="00E228A2">
              <w:rPr>
                <w:rFonts w:ascii="Garamond" w:hAnsi="Garamond" w:cstheme="majorBidi"/>
                <w:b/>
                <w:bCs/>
                <w:color w:val="0D0D0D" w:themeColor="text1" w:themeTint="F2"/>
                <w:sz w:val="20"/>
                <w:szCs w:val="20"/>
              </w:rPr>
              <w:t>(e ulët, e lartë)</w:t>
            </w:r>
          </w:p>
        </w:tc>
        <w:tc>
          <w:tcPr>
            <w:tcW w:w="2203" w:type="pct"/>
            <w:vAlign w:val="center"/>
          </w:tcPr>
          <w:p w14:paraId="4AFD11A3" w14:textId="77777777" w:rsidR="00C452AA" w:rsidRPr="00E228A2" w:rsidRDefault="00C452AA" w:rsidP="00E228A2">
            <w:pPr>
              <w:snapToGrid w:val="0"/>
              <w:jc w:val="center"/>
              <w:rPr>
                <w:rFonts w:ascii="Garamond" w:hAnsi="Garamond" w:cstheme="majorBidi"/>
                <w:b/>
                <w:bCs/>
                <w:color w:val="0D0D0D" w:themeColor="text1" w:themeTint="F2"/>
                <w:sz w:val="20"/>
                <w:szCs w:val="20"/>
              </w:rPr>
            </w:pPr>
            <w:r w:rsidRPr="00E228A2">
              <w:rPr>
                <w:rFonts w:ascii="Garamond" w:hAnsi="Garamond" w:cstheme="majorBidi"/>
                <w:b/>
                <w:bCs/>
                <w:color w:val="0D0D0D" w:themeColor="text1" w:themeTint="F2"/>
                <w:sz w:val="20"/>
                <w:szCs w:val="20"/>
              </w:rPr>
              <w:t>Veprimi zbutës i parashikuar</w:t>
            </w:r>
          </w:p>
        </w:tc>
      </w:tr>
      <w:tr w:rsidR="008C5850" w:rsidRPr="00770F9D" w14:paraId="4D5C41F4" w14:textId="77777777" w:rsidTr="00E228A2">
        <w:trPr>
          <w:jc w:val="center"/>
        </w:trPr>
        <w:tc>
          <w:tcPr>
            <w:tcW w:w="1987" w:type="pct"/>
          </w:tcPr>
          <w:p w14:paraId="6412BDE3" w14:textId="22C875A6" w:rsidR="008C5850" w:rsidRPr="00770F9D" w:rsidRDefault="008C5850" w:rsidP="00C001FA">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Vonesa në miratimin e ligjit d</w:t>
            </w:r>
            <w:r w:rsidR="00E228A2">
              <w:rPr>
                <w:rFonts w:ascii="Garamond" w:hAnsi="Garamond" w:cstheme="majorBidi"/>
                <w:color w:val="0D0D0D" w:themeColor="text1" w:themeTint="F2"/>
                <w:sz w:val="20"/>
                <w:szCs w:val="20"/>
              </w:rPr>
              <w:t>he hartimin e akteve nënligjore</w:t>
            </w:r>
          </w:p>
        </w:tc>
        <w:tc>
          <w:tcPr>
            <w:tcW w:w="810" w:type="pct"/>
          </w:tcPr>
          <w:p w14:paraId="3E0B9CA9" w14:textId="54843ACB" w:rsidR="008C5850" w:rsidRPr="00770F9D" w:rsidRDefault="008C5850" w:rsidP="00E228A2">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E ul</w:t>
            </w:r>
            <w:r w:rsidR="00E228A2">
              <w:rPr>
                <w:rFonts w:ascii="Garamond" w:hAnsi="Garamond" w:cstheme="majorBidi"/>
                <w:color w:val="0D0D0D" w:themeColor="text1" w:themeTint="F2"/>
                <w:sz w:val="20"/>
                <w:szCs w:val="20"/>
              </w:rPr>
              <w:t>ë</w:t>
            </w:r>
            <w:r w:rsidRPr="00770F9D">
              <w:rPr>
                <w:rFonts w:ascii="Garamond" w:hAnsi="Garamond" w:cstheme="majorBidi"/>
                <w:color w:val="0D0D0D" w:themeColor="text1" w:themeTint="F2"/>
                <w:sz w:val="20"/>
                <w:szCs w:val="20"/>
              </w:rPr>
              <w:t>t</w:t>
            </w:r>
          </w:p>
        </w:tc>
        <w:tc>
          <w:tcPr>
            <w:tcW w:w="2203" w:type="pct"/>
          </w:tcPr>
          <w:p w14:paraId="5E85C826" w14:textId="77777777" w:rsidR="008C5850" w:rsidRPr="00770F9D" w:rsidRDefault="008C5850" w:rsidP="00C001FA">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Rritja e ndërgjegjësimit për rëndësinë e ligjit.</w:t>
            </w:r>
          </w:p>
        </w:tc>
      </w:tr>
      <w:tr w:rsidR="008C5850" w:rsidRPr="00770F9D" w14:paraId="12828AE3" w14:textId="77777777" w:rsidTr="00E228A2">
        <w:trPr>
          <w:jc w:val="center"/>
        </w:trPr>
        <w:tc>
          <w:tcPr>
            <w:tcW w:w="1987" w:type="pct"/>
          </w:tcPr>
          <w:p w14:paraId="675B19E9" w14:textId="27564C93" w:rsidR="008C5850" w:rsidRPr="00770F9D" w:rsidRDefault="008C5850" w:rsidP="00C001FA">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Bashkëp</w:t>
            </w:r>
            <w:r w:rsidR="00E228A2">
              <w:rPr>
                <w:rFonts w:ascii="Garamond" w:hAnsi="Garamond" w:cstheme="majorBidi"/>
                <w:color w:val="0D0D0D" w:themeColor="text1" w:themeTint="F2"/>
                <w:sz w:val="20"/>
                <w:szCs w:val="20"/>
              </w:rPr>
              <w:t>unimi i dobët ndërinstitucional</w:t>
            </w:r>
          </w:p>
        </w:tc>
        <w:tc>
          <w:tcPr>
            <w:tcW w:w="810" w:type="pct"/>
          </w:tcPr>
          <w:p w14:paraId="2CFDEB8B" w14:textId="7F7C904F" w:rsidR="008C5850" w:rsidRPr="00770F9D" w:rsidRDefault="008C5850" w:rsidP="00E228A2">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E ul</w:t>
            </w:r>
            <w:r w:rsidR="00E228A2">
              <w:rPr>
                <w:rFonts w:ascii="Garamond" w:hAnsi="Garamond" w:cstheme="majorBidi"/>
                <w:color w:val="0D0D0D" w:themeColor="text1" w:themeTint="F2"/>
                <w:sz w:val="20"/>
                <w:szCs w:val="20"/>
              </w:rPr>
              <w:t>ë</w:t>
            </w:r>
            <w:r w:rsidRPr="00770F9D">
              <w:rPr>
                <w:rFonts w:ascii="Garamond" w:hAnsi="Garamond" w:cstheme="majorBidi"/>
                <w:color w:val="0D0D0D" w:themeColor="text1" w:themeTint="F2"/>
                <w:sz w:val="20"/>
                <w:szCs w:val="20"/>
              </w:rPr>
              <w:t>t</w:t>
            </w:r>
          </w:p>
        </w:tc>
        <w:tc>
          <w:tcPr>
            <w:tcW w:w="2203" w:type="pct"/>
          </w:tcPr>
          <w:p w14:paraId="2441FC8E" w14:textId="77777777" w:rsidR="008C5850" w:rsidRPr="00770F9D" w:rsidRDefault="008C5850" w:rsidP="00C001FA">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Rritja e stafit.</w:t>
            </w:r>
          </w:p>
        </w:tc>
      </w:tr>
    </w:tbl>
    <w:p w14:paraId="3516DBE4" w14:textId="77777777" w:rsidR="00C452AA" w:rsidRPr="00770F9D" w:rsidRDefault="00C452AA" w:rsidP="005674F2">
      <w:pPr>
        <w:snapToGrid w:val="0"/>
        <w:ind w:firstLine="284"/>
        <w:rPr>
          <w:rFonts w:ascii="Garamond" w:hAnsi="Garamond" w:cstheme="majorBidi"/>
          <w:color w:val="0D0D0D" w:themeColor="text1" w:themeTint="F2"/>
        </w:rPr>
      </w:pPr>
    </w:p>
    <w:p w14:paraId="66A25940" w14:textId="3FE6D1D9" w:rsidR="00C21F03" w:rsidRPr="00770F9D" w:rsidRDefault="00C001FA" w:rsidP="00400806">
      <w:pPr>
        <w:pStyle w:val="Heading3"/>
        <w:snapToGrid w:val="0"/>
        <w:ind w:left="0" w:firstLine="284"/>
        <w:jc w:val="both"/>
        <w:rPr>
          <w:rFonts w:ascii="Garamond" w:hAnsi="Garamond" w:cstheme="majorBidi"/>
          <w:b/>
          <w:color w:val="0D0D0D" w:themeColor="text1" w:themeTint="F2"/>
          <w:sz w:val="24"/>
          <w:szCs w:val="24"/>
        </w:rPr>
      </w:pPr>
      <w:bookmarkStart w:id="52" w:name="_Toc126050963"/>
      <w:r w:rsidRPr="00770F9D">
        <w:rPr>
          <w:rFonts w:ascii="Garamond" w:hAnsi="Garamond" w:cstheme="majorBidi"/>
          <w:b/>
          <w:color w:val="0D0D0D" w:themeColor="text1" w:themeTint="F2"/>
          <w:sz w:val="24"/>
          <w:szCs w:val="24"/>
        </w:rPr>
        <w:t xml:space="preserve">5.2.3. </w:t>
      </w:r>
      <w:r w:rsidR="00A86175" w:rsidRPr="00770F9D">
        <w:rPr>
          <w:rFonts w:ascii="Garamond" w:hAnsi="Garamond" w:cstheme="majorBidi"/>
          <w:b/>
          <w:color w:val="0D0D0D" w:themeColor="text1" w:themeTint="F2"/>
          <w:sz w:val="24"/>
          <w:szCs w:val="24"/>
        </w:rPr>
        <w:t xml:space="preserve">Transformimi </w:t>
      </w:r>
      <w:r w:rsidR="003F4C96" w:rsidRPr="00770F9D">
        <w:rPr>
          <w:rFonts w:ascii="Garamond" w:hAnsi="Garamond" w:cstheme="majorBidi"/>
          <w:b/>
          <w:color w:val="0D0D0D" w:themeColor="text1" w:themeTint="F2"/>
          <w:sz w:val="24"/>
          <w:szCs w:val="24"/>
        </w:rPr>
        <w:t>digjital</w:t>
      </w:r>
      <w:r w:rsidR="00863BC8" w:rsidRPr="00770F9D">
        <w:rPr>
          <w:rFonts w:ascii="Garamond" w:hAnsi="Garamond" w:cstheme="majorBidi"/>
          <w:b/>
          <w:color w:val="0D0D0D" w:themeColor="text1" w:themeTint="F2"/>
          <w:sz w:val="24"/>
          <w:szCs w:val="24"/>
        </w:rPr>
        <w:t>, kërkim, zhvillim dhe inovacion</w:t>
      </w:r>
      <w:bookmarkEnd w:id="52"/>
    </w:p>
    <w:p w14:paraId="7D46EA93" w14:textId="0611938B" w:rsidR="00263B19" w:rsidRPr="00770F9D" w:rsidRDefault="00C001FA" w:rsidP="003932CE">
      <w:pPr>
        <w:pStyle w:val="Heading4"/>
        <w:snapToGrid w:val="0"/>
        <w:ind w:left="0" w:firstLine="284"/>
        <w:jc w:val="both"/>
        <w:rPr>
          <w:rFonts w:ascii="Garamond" w:hAnsi="Garamond" w:cstheme="majorBidi"/>
          <w:b w:val="0"/>
          <w:i/>
          <w:color w:val="0D0D0D" w:themeColor="text1" w:themeTint="F2"/>
          <w:sz w:val="24"/>
          <w:szCs w:val="24"/>
        </w:rPr>
      </w:pPr>
      <w:r w:rsidRPr="00770F9D">
        <w:rPr>
          <w:rFonts w:ascii="Garamond" w:hAnsi="Garamond" w:cstheme="majorBidi"/>
          <w:b w:val="0"/>
          <w:i/>
          <w:color w:val="0D0D0D" w:themeColor="text1" w:themeTint="F2"/>
          <w:sz w:val="24"/>
          <w:szCs w:val="24"/>
        </w:rPr>
        <w:t>a</w:t>
      </w:r>
      <w:r w:rsidR="003932CE">
        <w:rPr>
          <w:rFonts w:ascii="Garamond" w:hAnsi="Garamond" w:cstheme="majorBidi"/>
          <w:b w:val="0"/>
          <w:i/>
          <w:color w:val="0D0D0D" w:themeColor="text1" w:themeTint="F2"/>
          <w:sz w:val="24"/>
          <w:szCs w:val="24"/>
        </w:rPr>
        <w:t>)</w:t>
      </w:r>
      <w:r w:rsidRPr="00770F9D">
        <w:rPr>
          <w:rFonts w:ascii="Garamond" w:hAnsi="Garamond" w:cstheme="majorBidi"/>
          <w:b w:val="0"/>
          <w:i/>
          <w:color w:val="0D0D0D" w:themeColor="text1" w:themeTint="F2"/>
          <w:sz w:val="24"/>
          <w:szCs w:val="24"/>
        </w:rPr>
        <w:t xml:space="preserve"> </w:t>
      </w:r>
      <w:r w:rsidR="00B2062A" w:rsidRPr="00770F9D">
        <w:rPr>
          <w:rFonts w:ascii="Garamond" w:hAnsi="Garamond" w:cstheme="majorBidi"/>
          <w:b w:val="0"/>
          <w:i/>
          <w:color w:val="0D0D0D" w:themeColor="text1" w:themeTint="F2"/>
          <w:sz w:val="24"/>
          <w:szCs w:val="24"/>
        </w:rPr>
        <w:t>Analiza e pengesave kryesore</w:t>
      </w:r>
    </w:p>
    <w:p w14:paraId="24A2130C" w14:textId="5912C090" w:rsidR="00D11695" w:rsidRPr="00770F9D" w:rsidRDefault="00D11695" w:rsidP="00400806">
      <w:pPr>
        <w:snapToGrid w:val="0"/>
        <w:ind w:firstLine="284"/>
        <w:jc w:val="both"/>
        <w:rPr>
          <w:rFonts w:ascii="Garamond" w:eastAsia="MS Mincho" w:hAnsi="Garamond" w:cstheme="majorBidi"/>
          <w:color w:val="0D0D0D" w:themeColor="text1" w:themeTint="F2"/>
        </w:rPr>
      </w:pPr>
      <w:r w:rsidRPr="00770F9D">
        <w:rPr>
          <w:rFonts w:ascii="Garamond" w:eastAsia="MS Mincho" w:hAnsi="Garamond" w:cstheme="majorBidi"/>
          <w:color w:val="0D0D0D" w:themeColor="text1" w:themeTint="F2"/>
        </w:rPr>
        <w:t xml:space="preserve">Infrastruktura digjitale dhe </w:t>
      </w:r>
      <w:r w:rsidR="00CB7B7F" w:rsidRPr="00770F9D">
        <w:rPr>
          <w:rFonts w:ascii="Garamond" w:eastAsia="MS Mincho" w:hAnsi="Garamond" w:cstheme="majorBidi"/>
          <w:i/>
          <w:iCs/>
          <w:color w:val="0D0D0D" w:themeColor="text1" w:themeTint="F2"/>
        </w:rPr>
        <w:t>broadband</w:t>
      </w:r>
      <w:r w:rsidRPr="00770F9D">
        <w:rPr>
          <w:rFonts w:ascii="Garamond" w:eastAsia="MS Mincho" w:hAnsi="Garamond" w:cstheme="majorBidi"/>
          <w:color w:val="0D0D0D" w:themeColor="text1" w:themeTint="F2"/>
        </w:rPr>
        <w:t xml:space="preserve"> janë thelbësore për të gjitha zhvillimet e tjera në integrimin digjital dhe ndikojnë në të gjithë sektorët e ekonomisë. Infrastruktura digjitale është një parakusht për zhvillimet e ekonomisë digjitale në industrinë inovative, </w:t>
      </w:r>
      <w:r w:rsidRPr="003932CE">
        <w:rPr>
          <w:rFonts w:ascii="Garamond" w:eastAsia="MS Mincho" w:hAnsi="Garamond" w:cstheme="majorBidi"/>
          <w:i/>
          <w:iCs/>
          <w:color w:val="0D0D0D" w:themeColor="text1" w:themeTint="F2"/>
        </w:rPr>
        <w:t>e-</w:t>
      </w:r>
      <w:r w:rsidR="003932CE" w:rsidRPr="003932CE">
        <w:rPr>
          <w:rFonts w:ascii="Garamond" w:eastAsia="MS Mincho" w:hAnsi="Garamond" w:cstheme="majorBidi"/>
          <w:i/>
          <w:iCs/>
          <w:color w:val="0D0D0D" w:themeColor="text1" w:themeTint="F2"/>
        </w:rPr>
        <w:t>Qeverisjen</w:t>
      </w:r>
      <w:r w:rsidRPr="003932CE">
        <w:rPr>
          <w:rFonts w:ascii="Garamond" w:eastAsia="MS Mincho" w:hAnsi="Garamond" w:cstheme="majorBidi"/>
          <w:i/>
          <w:iCs/>
          <w:color w:val="0D0D0D" w:themeColor="text1" w:themeTint="F2"/>
        </w:rPr>
        <w:t>, e-</w:t>
      </w:r>
      <w:r w:rsidR="003932CE" w:rsidRPr="003932CE">
        <w:rPr>
          <w:rFonts w:ascii="Garamond" w:eastAsia="MS Mincho" w:hAnsi="Garamond" w:cstheme="majorBidi"/>
          <w:i/>
          <w:iCs/>
          <w:color w:val="0D0D0D" w:themeColor="text1" w:themeTint="F2"/>
        </w:rPr>
        <w:t>Shëndetësinë</w:t>
      </w:r>
      <w:r w:rsidRPr="00770F9D">
        <w:rPr>
          <w:rFonts w:ascii="Garamond" w:eastAsia="MS Mincho" w:hAnsi="Garamond" w:cstheme="majorBidi"/>
          <w:color w:val="0D0D0D" w:themeColor="text1" w:themeTint="F2"/>
        </w:rPr>
        <w:t xml:space="preserve">, ofrimin e shërbimeve të ndërveprueshme, ofrimin e shërbimeve ndërkufitare etj. Siç u demonstrua gjatë krizës pandemike të COVID-19, ndërlidhja digjitale ishte një domosdoshmëri jetike për qytetarët dhe bizneset. Numri i përgjithshëm i abonentëve </w:t>
      </w:r>
      <w:r w:rsidR="00CB7B7F" w:rsidRPr="00770F9D">
        <w:rPr>
          <w:rFonts w:ascii="Garamond" w:eastAsia="MS Mincho" w:hAnsi="Garamond" w:cstheme="majorBidi"/>
          <w:i/>
          <w:iCs/>
          <w:color w:val="0D0D0D" w:themeColor="text1" w:themeTint="F2"/>
        </w:rPr>
        <w:t>broadband</w:t>
      </w:r>
      <w:r w:rsidRPr="00770F9D">
        <w:rPr>
          <w:rFonts w:ascii="Garamond" w:eastAsia="MS Mincho" w:hAnsi="Garamond" w:cstheme="majorBidi"/>
          <w:color w:val="0D0D0D" w:themeColor="text1" w:themeTint="F2"/>
        </w:rPr>
        <w:t xml:space="preserve"> fiks në vitin 2021 ishte 559,394 (508,254 abonentë familjarë dhe 51,140 biznese), me një rritje prej 10% krahasuar me një vit më parë, dhe rreth 28% krahasuar me vitin 2019. Rreth 17% e abonentëve</w:t>
      </w:r>
      <w:r w:rsidR="00987B4E" w:rsidRPr="00770F9D">
        <w:rPr>
          <w:rFonts w:ascii="Garamond" w:eastAsia="MS Mincho" w:hAnsi="Garamond" w:cstheme="majorBidi"/>
          <w:color w:val="0D0D0D" w:themeColor="text1" w:themeTint="F2"/>
        </w:rPr>
        <w:t xml:space="preserve"> </w:t>
      </w:r>
      <w:r w:rsidRPr="00770F9D">
        <w:rPr>
          <w:rFonts w:ascii="Garamond" w:eastAsia="MS Mincho" w:hAnsi="Garamond" w:cstheme="majorBidi"/>
          <w:color w:val="0D0D0D" w:themeColor="text1" w:themeTint="F2"/>
        </w:rPr>
        <w:t xml:space="preserve">kanë akses </w:t>
      </w:r>
      <w:r w:rsidR="00CB7B7F" w:rsidRPr="00770F9D">
        <w:rPr>
          <w:rFonts w:ascii="Garamond" w:eastAsia="MS Mincho" w:hAnsi="Garamond" w:cstheme="majorBidi"/>
          <w:i/>
          <w:iCs/>
          <w:color w:val="0D0D0D" w:themeColor="text1" w:themeTint="F2"/>
        </w:rPr>
        <w:t>broadband</w:t>
      </w:r>
      <w:r w:rsidRPr="00770F9D">
        <w:rPr>
          <w:rFonts w:ascii="Garamond" w:eastAsia="MS Mincho" w:hAnsi="Garamond" w:cstheme="majorBidi"/>
          <w:color w:val="0D0D0D" w:themeColor="text1" w:themeTint="F2"/>
        </w:rPr>
        <w:t xml:space="preserve"> internet, deri në 10 Mbit, ndërsa 76% e tyre kanë akses në internet nga 10 deri në 100 Mbit.</w:t>
      </w:r>
    </w:p>
    <w:p w14:paraId="327584AB" w14:textId="52FA0A17" w:rsidR="00D11695" w:rsidRPr="00770F9D" w:rsidRDefault="00D11695" w:rsidP="00400806">
      <w:pPr>
        <w:snapToGrid w:val="0"/>
        <w:ind w:firstLine="284"/>
        <w:jc w:val="both"/>
        <w:rPr>
          <w:rFonts w:ascii="Garamond" w:eastAsia="MS Mincho" w:hAnsi="Garamond" w:cstheme="majorBidi"/>
          <w:color w:val="0D0D0D" w:themeColor="text1" w:themeTint="F2"/>
        </w:rPr>
      </w:pPr>
      <w:r w:rsidRPr="00770F9D">
        <w:rPr>
          <w:rFonts w:ascii="Garamond" w:eastAsia="MS Mincho" w:hAnsi="Garamond" w:cstheme="majorBidi"/>
          <w:color w:val="0D0D0D" w:themeColor="text1" w:themeTint="F2"/>
        </w:rPr>
        <w:t xml:space="preserve">Megjithatë, lidhur me zhvillimin e </w:t>
      </w:r>
      <w:r w:rsidR="00CB7B7F" w:rsidRPr="00770F9D">
        <w:rPr>
          <w:rFonts w:ascii="Garamond" w:eastAsia="MS Mincho" w:hAnsi="Garamond" w:cstheme="majorBidi"/>
          <w:i/>
          <w:iCs/>
          <w:color w:val="0D0D0D" w:themeColor="text1" w:themeTint="F2"/>
        </w:rPr>
        <w:t>broadband</w:t>
      </w:r>
      <w:r w:rsidRPr="00770F9D">
        <w:rPr>
          <w:rFonts w:ascii="Garamond" w:eastAsia="MS Mincho" w:hAnsi="Garamond" w:cstheme="majorBidi"/>
          <w:color w:val="0D0D0D" w:themeColor="text1" w:themeTint="F2"/>
        </w:rPr>
        <w:t xml:space="preserve">, në veçanti të rrjeteve fikse, mbetet ndarja digjitale midis zonave urbane dhe rurale, si dhe nevoja për investime në zhvillimin e infrastrukturës </w:t>
      </w:r>
      <w:r w:rsidR="00CB7B7F" w:rsidRPr="00770F9D">
        <w:rPr>
          <w:rFonts w:ascii="Garamond" w:eastAsia="MS Mincho" w:hAnsi="Garamond" w:cstheme="majorBidi"/>
          <w:i/>
          <w:iCs/>
          <w:color w:val="0D0D0D" w:themeColor="text1" w:themeTint="F2"/>
        </w:rPr>
        <w:t>broadband</w:t>
      </w:r>
      <w:r w:rsidRPr="00770F9D">
        <w:rPr>
          <w:rFonts w:ascii="Garamond" w:eastAsia="MS Mincho" w:hAnsi="Garamond" w:cstheme="majorBidi"/>
          <w:color w:val="0D0D0D" w:themeColor="text1" w:themeTint="F2"/>
        </w:rPr>
        <w:t>, veçanërisht në zonat rurale dhe të largëta.</w:t>
      </w:r>
    </w:p>
    <w:p w14:paraId="09D1D3F1" w14:textId="6B6E183E" w:rsidR="00D11695" w:rsidRPr="00770F9D" w:rsidRDefault="00D11695" w:rsidP="00400806">
      <w:pPr>
        <w:snapToGrid w:val="0"/>
        <w:ind w:firstLine="284"/>
        <w:jc w:val="both"/>
        <w:rPr>
          <w:rFonts w:ascii="Garamond" w:eastAsia="MS Mincho" w:hAnsi="Garamond" w:cstheme="majorBidi"/>
          <w:color w:val="0D0D0D" w:themeColor="text1" w:themeTint="F2"/>
        </w:rPr>
      </w:pPr>
      <w:r w:rsidRPr="00770F9D">
        <w:rPr>
          <w:rFonts w:ascii="Garamond" w:eastAsia="MS Mincho" w:hAnsi="Garamond" w:cstheme="majorBidi"/>
          <w:color w:val="0D0D0D" w:themeColor="text1" w:themeTint="F2"/>
        </w:rPr>
        <w:t xml:space="preserve">Një </w:t>
      </w:r>
      <w:r w:rsidR="003932CE" w:rsidRPr="00770F9D">
        <w:rPr>
          <w:rFonts w:ascii="Garamond" w:eastAsia="MS Mincho" w:hAnsi="Garamond" w:cstheme="majorBidi"/>
          <w:color w:val="0D0D0D" w:themeColor="text1" w:themeTint="F2"/>
        </w:rPr>
        <w:t xml:space="preserve">studim i plotë fizibiliteti </w:t>
      </w:r>
      <w:r w:rsidRPr="00770F9D">
        <w:rPr>
          <w:rFonts w:ascii="Garamond" w:eastAsia="MS Mincho" w:hAnsi="Garamond" w:cstheme="majorBidi"/>
          <w:color w:val="0D0D0D" w:themeColor="text1" w:themeTint="F2"/>
        </w:rPr>
        <w:t>për zhvillimin</w:t>
      </w:r>
      <w:r w:rsidR="003932CE">
        <w:rPr>
          <w:rFonts w:ascii="Garamond" w:eastAsia="MS Mincho" w:hAnsi="Garamond" w:cstheme="majorBidi"/>
          <w:color w:val="0D0D0D" w:themeColor="text1" w:themeTint="F2"/>
        </w:rPr>
        <w:t xml:space="preserve"> </w:t>
      </w:r>
      <w:r w:rsidR="00CB7B7F" w:rsidRPr="00770F9D">
        <w:rPr>
          <w:rFonts w:ascii="Garamond" w:eastAsia="MS Mincho" w:hAnsi="Garamond" w:cstheme="majorBidi"/>
          <w:i/>
          <w:iCs/>
          <w:color w:val="0D0D0D" w:themeColor="text1" w:themeTint="F2"/>
        </w:rPr>
        <w:t>broadband</w:t>
      </w:r>
      <w:r w:rsidRPr="00770F9D">
        <w:rPr>
          <w:rFonts w:ascii="Garamond" w:eastAsia="MS Mincho" w:hAnsi="Garamond" w:cstheme="majorBidi"/>
          <w:color w:val="0D0D0D" w:themeColor="text1" w:themeTint="F2"/>
        </w:rPr>
        <w:t>, u përgatit me mbështetjen e BE-së, përmes projektit</w:t>
      </w:r>
      <w:r w:rsidR="00361026">
        <w:rPr>
          <w:rFonts w:ascii="Garamond" w:eastAsia="MS Mincho" w:hAnsi="Garamond" w:cstheme="majorBidi"/>
          <w:color w:val="0D0D0D" w:themeColor="text1" w:themeTint="F2"/>
        </w:rPr>
        <w:t xml:space="preserve"> </w:t>
      </w:r>
      <w:r w:rsidRPr="00770F9D">
        <w:rPr>
          <w:rFonts w:ascii="Garamond" w:eastAsia="MS Mincho" w:hAnsi="Garamond" w:cstheme="majorBidi"/>
          <w:color w:val="0D0D0D" w:themeColor="text1" w:themeTint="F2"/>
        </w:rPr>
        <w:t>të WBIF</w:t>
      </w:r>
      <w:r w:rsidR="00361026">
        <w:rPr>
          <w:rFonts w:ascii="Garamond" w:eastAsia="MS Mincho" w:hAnsi="Garamond" w:cstheme="majorBidi"/>
          <w:color w:val="0D0D0D" w:themeColor="text1" w:themeTint="F2"/>
        </w:rPr>
        <w:t>-së</w:t>
      </w:r>
      <w:r w:rsidRPr="00770F9D">
        <w:rPr>
          <w:rFonts w:ascii="Garamond" w:eastAsia="MS Mincho" w:hAnsi="Garamond" w:cstheme="majorBidi"/>
          <w:color w:val="0D0D0D" w:themeColor="text1" w:themeTint="F2"/>
        </w:rPr>
        <w:t>. Studimi i fizibilitetit ka vlerësuar kostot</w:t>
      </w:r>
      <w:r w:rsidR="00583617">
        <w:rPr>
          <w:rFonts w:ascii="Garamond" w:eastAsia="MS Mincho" w:hAnsi="Garamond" w:cstheme="majorBidi"/>
          <w:color w:val="0D0D0D" w:themeColor="text1" w:themeTint="F2"/>
        </w:rPr>
        <w:t xml:space="preserve"> </w:t>
      </w:r>
      <w:r w:rsidRPr="00770F9D">
        <w:rPr>
          <w:rFonts w:ascii="Garamond" w:eastAsia="MS Mincho" w:hAnsi="Garamond" w:cstheme="majorBidi"/>
          <w:color w:val="0D0D0D" w:themeColor="text1" w:themeTint="F2"/>
        </w:rPr>
        <w:t xml:space="preserve">për investime </w:t>
      </w:r>
      <w:r w:rsidR="00CB7B7F" w:rsidRPr="00770F9D">
        <w:rPr>
          <w:rFonts w:ascii="Garamond" w:eastAsia="MS Mincho" w:hAnsi="Garamond" w:cstheme="majorBidi"/>
          <w:i/>
          <w:iCs/>
          <w:color w:val="0D0D0D" w:themeColor="text1" w:themeTint="F2"/>
        </w:rPr>
        <w:t>broadband</w:t>
      </w:r>
      <w:r w:rsidRPr="00770F9D">
        <w:rPr>
          <w:rFonts w:ascii="Garamond" w:eastAsia="MS Mincho" w:hAnsi="Garamond" w:cstheme="majorBidi"/>
          <w:color w:val="0D0D0D" w:themeColor="text1" w:themeTint="F2"/>
        </w:rPr>
        <w:t xml:space="preserve"> në projekte të ardhshme në zona të bardha, zona gri dhe zona të zeza, në skenarë të ndryshëm. Zhvillimi i rrjeteve </w:t>
      </w:r>
      <w:r w:rsidR="00CB7B7F" w:rsidRPr="00770F9D">
        <w:rPr>
          <w:rFonts w:ascii="Garamond" w:eastAsia="MS Mincho" w:hAnsi="Garamond" w:cstheme="majorBidi"/>
          <w:i/>
          <w:iCs/>
          <w:color w:val="0D0D0D" w:themeColor="text1" w:themeTint="F2"/>
        </w:rPr>
        <w:t>broadband</w:t>
      </w:r>
      <w:r w:rsidRPr="00770F9D">
        <w:rPr>
          <w:rFonts w:ascii="Garamond" w:eastAsia="MS Mincho" w:hAnsi="Garamond" w:cstheme="majorBidi"/>
          <w:color w:val="0D0D0D" w:themeColor="text1" w:themeTint="F2"/>
        </w:rPr>
        <w:t>, kërkon investime të mëdha</w:t>
      </w:r>
      <w:r w:rsidR="00583617">
        <w:rPr>
          <w:rFonts w:ascii="Garamond" w:eastAsia="MS Mincho" w:hAnsi="Garamond" w:cstheme="majorBidi"/>
          <w:color w:val="0D0D0D" w:themeColor="text1" w:themeTint="F2"/>
        </w:rPr>
        <w:t>,</w:t>
      </w:r>
      <w:r w:rsidRPr="00770F9D">
        <w:rPr>
          <w:rFonts w:ascii="Garamond" w:eastAsia="MS Mincho" w:hAnsi="Garamond" w:cstheme="majorBidi"/>
          <w:color w:val="0D0D0D" w:themeColor="text1" w:themeTint="F2"/>
        </w:rPr>
        <w:t xml:space="preserve"> sidomos për të mbuluar zonat e bardha. </w:t>
      </w:r>
    </w:p>
    <w:p w14:paraId="4597BEC0" w14:textId="79A4F323" w:rsidR="00D11695" w:rsidRPr="00770F9D" w:rsidRDefault="00D11695" w:rsidP="00400806">
      <w:pPr>
        <w:snapToGrid w:val="0"/>
        <w:ind w:firstLine="284"/>
        <w:jc w:val="both"/>
        <w:rPr>
          <w:rFonts w:ascii="Garamond" w:eastAsia="MS Mincho" w:hAnsi="Garamond" w:cstheme="majorBidi"/>
          <w:color w:val="0D0D0D" w:themeColor="text1" w:themeTint="F2"/>
        </w:rPr>
      </w:pPr>
      <w:r w:rsidRPr="00770F9D">
        <w:rPr>
          <w:rFonts w:ascii="Garamond" w:eastAsia="MS Mincho" w:hAnsi="Garamond" w:cstheme="majorBidi"/>
          <w:color w:val="0D0D0D" w:themeColor="text1" w:themeTint="F2"/>
        </w:rPr>
        <w:t>Në lidhje me investimin e rrjetit, pjesa më e madhe e operatorëve lokalë investojnë në qytete dhe zona turistike, në rrjetet me fibër, kurse operatorët kombëtarë investojnë kryesisht në qendrat e qyteteve. Ka një mungesë investimi në zonat rurale</w:t>
      </w:r>
      <w:r w:rsidR="00583617">
        <w:rPr>
          <w:rFonts w:ascii="Garamond" w:eastAsia="MS Mincho" w:hAnsi="Garamond" w:cstheme="majorBidi"/>
          <w:color w:val="0D0D0D" w:themeColor="text1" w:themeTint="F2"/>
        </w:rPr>
        <w:t>,</w:t>
      </w:r>
      <w:r w:rsidRPr="00770F9D">
        <w:rPr>
          <w:rFonts w:ascii="Garamond" w:eastAsia="MS Mincho" w:hAnsi="Garamond" w:cstheme="majorBidi"/>
          <w:color w:val="0D0D0D" w:themeColor="text1" w:themeTint="F2"/>
        </w:rPr>
        <w:t xml:space="preserve"> si shkak i mungesës ose përfitimeve të ulëta nga investimet. Zhvillimi i infrastrukturës digjitale dhe </w:t>
      </w:r>
      <w:r w:rsidR="00CB7B7F" w:rsidRPr="00770F9D">
        <w:rPr>
          <w:rFonts w:ascii="Garamond" w:eastAsia="MS Mincho" w:hAnsi="Garamond" w:cstheme="majorBidi"/>
          <w:i/>
          <w:iCs/>
          <w:color w:val="0D0D0D" w:themeColor="text1" w:themeTint="F2"/>
        </w:rPr>
        <w:t>broadband</w:t>
      </w:r>
      <w:r w:rsidRPr="00770F9D">
        <w:rPr>
          <w:rFonts w:ascii="Garamond" w:eastAsia="MS Mincho" w:hAnsi="Garamond" w:cstheme="majorBidi"/>
          <w:color w:val="0D0D0D" w:themeColor="text1" w:themeTint="F2"/>
        </w:rPr>
        <w:t xml:space="preserve"> kërkon investime të mëdha dhe krijimin e sinergjisë ndërmjet të gjitha projekteve të infrastrukturës dhe projekteve që lidhen me digjitalizimin në nivel qendror dhe lokal. </w:t>
      </w:r>
    </w:p>
    <w:p w14:paraId="14B95E5B" w14:textId="3CF9D99A" w:rsidR="00D6756E" w:rsidRPr="00770F9D" w:rsidRDefault="00D11695" w:rsidP="00400806">
      <w:pPr>
        <w:snapToGrid w:val="0"/>
        <w:ind w:firstLine="284"/>
        <w:jc w:val="both"/>
        <w:rPr>
          <w:rFonts w:ascii="Garamond" w:eastAsia="MS Mincho" w:hAnsi="Garamond" w:cstheme="majorBidi"/>
          <w:color w:val="0D0D0D" w:themeColor="text1" w:themeTint="F2"/>
        </w:rPr>
      </w:pPr>
      <w:r w:rsidRPr="00770F9D">
        <w:rPr>
          <w:rFonts w:ascii="Garamond" w:eastAsia="MS Mincho" w:hAnsi="Garamond" w:cstheme="majorBidi"/>
          <w:color w:val="0D0D0D" w:themeColor="text1" w:themeTint="F2"/>
        </w:rPr>
        <w:t>Arsyet kryesore për ndarjen digjitale janë mungesa e infrastrukturës dhe e kapaciteteve institucionale, por</w:t>
      </w:r>
      <w:r w:rsidR="00583617">
        <w:rPr>
          <w:rFonts w:ascii="Garamond" w:eastAsia="MS Mincho" w:hAnsi="Garamond" w:cstheme="majorBidi"/>
          <w:color w:val="0D0D0D" w:themeColor="text1" w:themeTint="F2"/>
        </w:rPr>
        <w:t>,</w:t>
      </w:r>
      <w:r w:rsidRPr="00770F9D">
        <w:rPr>
          <w:rFonts w:ascii="Garamond" w:eastAsia="MS Mincho" w:hAnsi="Garamond" w:cstheme="majorBidi"/>
          <w:color w:val="0D0D0D" w:themeColor="text1" w:themeTint="F2"/>
        </w:rPr>
        <w:t xml:space="preserve"> gjithashtu</w:t>
      </w:r>
      <w:r w:rsidR="00583617">
        <w:rPr>
          <w:rFonts w:ascii="Garamond" w:eastAsia="MS Mincho" w:hAnsi="Garamond" w:cstheme="majorBidi"/>
          <w:color w:val="0D0D0D" w:themeColor="text1" w:themeTint="F2"/>
        </w:rPr>
        <w:t>,</w:t>
      </w:r>
      <w:r w:rsidRPr="00770F9D">
        <w:rPr>
          <w:rFonts w:ascii="Garamond" w:eastAsia="MS Mincho" w:hAnsi="Garamond" w:cstheme="majorBidi"/>
          <w:color w:val="0D0D0D" w:themeColor="text1" w:themeTint="F2"/>
        </w:rPr>
        <w:t xml:space="preserve"> përballueshmëria ekonomike, për të dyja llojet e akseseve, si për </w:t>
      </w:r>
      <w:r w:rsidR="00CB7B7F" w:rsidRPr="00770F9D">
        <w:rPr>
          <w:rFonts w:ascii="Garamond" w:eastAsia="MS Mincho" w:hAnsi="Garamond" w:cstheme="majorBidi"/>
          <w:i/>
          <w:iCs/>
          <w:color w:val="0D0D0D" w:themeColor="text1" w:themeTint="F2"/>
        </w:rPr>
        <w:t>broadband</w:t>
      </w:r>
      <w:r w:rsidRPr="00770F9D">
        <w:rPr>
          <w:rFonts w:ascii="Garamond" w:eastAsia="MS Mincho" w:hAnsi="Garamond" w:cstheme="majorBidi"/>
          <w:color w:val="0D0D0D" w:themeColor="text1" w:themeTint="F2"/>
        </w:rPr>
        <w:t>-in fiks, ashtu edhe atë mobile, në veçanti në zonat rurale dhe në ato me pak të ardhura</w:t>
      </w:r>
      <w:r w:rsidR="00D6756E" w:rsidRPr="00770F9D">
        <w:rPr>
          <w:rFonts w:ascii="Garamond" w:eastAsia="MS Mincho" w:hAnsi="Garamond" w:cstheme="majorBidi"/>
          <w:color w:val="0D0D0D" w:themeColor="text1" w:themeTint="F2"/>
        </w:rPr>
        <w:t>.</w:t>
      </w:r>
    </w:p>
    <w:p w14:paraId="2260F7AA" w14:textId="0D7C04C2" w:rsidR="00263B19" w:rsidRPr="00770F9D" w:rsidRDefault="008C65FA" w:rsidP="00400806">
      <w:pPr>
        <w:pStyle w:val="Heading4"/>
        <w:snapToGrid w:val="0"/>
        <w:ind w:left="0" w:firstLine="284"/>
        <w:jc w:val="both"/>
        <w:rPr>
          <w:rFonts w:ascii="Garamond" w:hAnsi="Garamond" w:cstheme="majorBidi"/>
          <w:b w:val="0"/>
          <w:i/>
          <w:color w:val="0D0D0D" w:themeColor="text1" w:themeTint="F2"/>
          <w:sz w:val="24"/>
          <w:szCs w:val="24"/>
        </w:rPr>
      </w:pPr>
      <w:r w:rsidRPr="00770F9D">
        <w:rPr>
          <w:rFonts w:ascii="Garamond" w:hAnsi="Garamond" w:cstheme="majorBidi"/>
          <w:b w:val="0"/>
          <w:i/>
          <w:color w:val="0D0D0D" w:themeColor="text1" w:themeTint="F2"/>
          <w:sz w:val="24"/>
          <w:szCs w:val="24"/>
        </w:rPr>
        <w:t>b</w:t>
      </w:r>
      <w:r w:rsidR="00CB7B7F" w:rsidRPr="00770F9D">
        <w:rPr>
          <w:rFonts w:ascii="Garamond" w:hAnsi="Garamond" w:cstheme="majorBidi"/>
          <w:b w:val="0"/>
          <w:i/>
          <w:color w:val="0D0D0D" w:themeColor="text1" w:themeTint="F2"/>
          <w:sz w:val="24"/>
          <w:szCs w:val="24"/>
        </w:rPr>
        <w:t>)</w:t>
      </w:r>
      <w:r w:rsidR="00E76828" w:rsidRPr="00770F9D">
        <w:rPr>
          <w:rFonts w:ascii="Garamond" w:hAnsi="Garamond" w:cstheme="majorBidi"/>
          <w:b w:val="0"/>
          <w:i/>
          <w:color w:val="0D0D0D" w:themeColor="text1" w:themeTint="F2"/>
          <w:sz w:val="24"/>
          <w:szCs w:val="24"/>
        </w:rPr>
        <w:t xml:space="preserve"> </w:t>
      </w:r>
      <w:r w:rsidR="00B2062A" w:rsidRPr="00770F9D">
        <w:rPr>
          <w:rFonts w:ascii="Garamond" w:hAnsi="Garamond" w:cstheme="majorBidi"/>
          <w:b w:val="0"/>
          <w:i/>
          <w:color w:val="0D0D0D" w:themeColor="text1" w:themeTint="F2"/>
          <w:sz w:val="24"/>
          <w:szCs w:val="24"/>
        </w:rPr>
        <w:t>Masat e reformës</w:t>
      </w:r>
    </w:p>
    <w:p w14:paraId="7D09E6BB" w14:textId="5A9B3CDF" w:rsidR="00263B19" w:rsidRPr="00770F9D" w:rsidRDefault="00B2062A" w:rsidP="00400806">
      <w:pPr>
        <w:pStyle w:val="Heading5"/>
        <w:snapToGrid w:val="0"/>
        <w:ind w:left="0" w:firstLine="284"/>
        <w:jc w:val="both"/>
        <w:rPr>
          <w:rFonts w:ascii="Garamond" w:hAnsi="Garamond" w:cstheme="majorBidi"/>
          <w:i w:val="0"/>
          <w:color w:val="0D0D0D" w:themeColor="text1" w:themeTint="F2"/>
          <w:sz w:val="24"/>
          <w:szCs w:val="24"/>
        </w:rPr>
      </w:pPr>
      <w:r w:rsidRPr="00770F9D">
        <w:rPr>
          <w:rFonts w:ascii="Garamond" w:hAnsi="Garamond" w:cstheme="majorBidi"/>
          <w:i w:val="0"/>
          <w:color w:val="0D0D0D" w:themeColor="text1" w:themeTint="F2"/>
          <w:sz w:val="24"/>
          <w:szCs w:val="24"/>
        </w:rPr>
        <w:t>Masa e reformës</w:t>
      </w:r>
      <w:r w:rsidR="005358F8" w:rsidRPr="00770F9D">
        <w:rPr>
          <w:rFonts w:ascii="Garamond" w:hAnsi="Garamond" w:cstheme="majorBidi"/>
          <w:i w:val="0"/>
          <w:color w:val="0D0D0D" w:themeColor="text1" w:themeTint="F2"/>
          <w:sz w:val="24"/>
          <w:szCs w:val="24"/>
        </w:rPr>
        <w:t xml:space="preserve"> 11</w:t>
      </w:r>
      <w:r w:rsidR="00263B19" w:rsidRPr="00770F9D">
        <w:rPr>
          <w:rFonts w:ascii="Garamond" w:hAnsi="Garamond" w:cstheme="majorBidi"/>
          <w:i w:val="0"/>
          <w:color w:val="0D0D0D" w:themeColor="text1" w:themeTint="F2"/>
          <w:sz w:val="24"/>
          <w:szCs w:val="24"/>
        </w:rPr>
        <w:t xml:space="preserve">: </w:t>
      </w:r>
      <w:r w:rsidR="00A86175" w:rsidRPr="00770F9D">
        <w:rPr>
          <w:rFonts w:ascii="Garamond" w:hAnsi="Garamond" w:cstheme="majorBidi"/>
          <w:i w:val="0"/>
          <w:color w:val="0D0D0D" w:themeColor="text1" w:themeTint="F2"/>
          <w:sz w:val="24"/>
          <w:szCs w:val="24"/>
        </w:rPr>
        <w:t xml:space="preserve">Zhvillimi i infrastrukturës </w:t>
      </w:r>
      <w:r w:rsidR="00CB7B7F" w:rsidRPr="00770F9D">
        <w:rPr>
          <w:rFonts w:ascii="Garamond" w:hAnsi="Garamond" w:cstheme="majorBidi"/>
          <w:iCs/>
          <w:color w:val="0D0D0D" w:themeColor="text1" w:themeTint="F2"/>
          <w:sz w:val="24"/>
          <w:szCs w:val="24"/>
        </w:rPr>
        <w:t>broadband</w:t>
      </w:r>
      <w:r w:rsidR="00A86175" w:rsidRPr="00770F9D">
        <w:rPr>
          <w:rFonts w:ascii="Garamond" w:hAnsi="Garamond" w:cstheme="majorBidi"/>
          <w:i w:val="0"/>
          <w:color w:val="0D0D0D" w:themeColor="text1" w:themeTint="F2"/>
          <w:sz w:val="24"/>
          <w:szCs w:val="24"/>
        </w:rPr>
        <w:t xml:space="preserve"> për ekonominë digjitale</w:t>
      </w:r>
    </w:p>
    <w:p w14:paraId="7FE59A0D" w14:textId="35E41A7A" w:rsidR="00263B19" w:rsidRPr="00770F9D" w:rsidRDefault="00E76828"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 xml:space="preserve">1. </w:t>
      </w:r>
      <w:r w:rsidR="00B2062A" w:rsidRPr="00770F9D">
        <w:rPr>
          <w:rFonts w:ascii="Garamond" w:hAnsi="Garamond" w:cstheme="majorBidi"/>
          <w:color w:val="0D0D0D" w:themeColor="text1" w:themeTint="F2"/>
          <w:u w:val="none"/>
        </w:rPr>
        <w:t>Përshkrimi i masës</w:t>
      </w:r>
    </w:p>
    <w:p w14:paraId="2653EA52" w14:textId="206C57E4" w:rsidR="00D11695" w:rsidRPr="00770F9D" w:rsidRDefault="00D11695" w:rsidP="00583617">
      <w:pPr>
        <w:ind w:firstLine="284"/>
        <w:jc w:val="both"/>
        <w:rPr>
          <w:rFonts w:ascii="Garamond" w:eastAsia="MS Mincho" w:hAnsi="Garamond" w:cstheme="majorBidi"/>
          <w:color w:val="0D0D0D" w:themeColor="text1" w:themeTint="F2"/>
        </w:rPr>
      </w:pPr>
      <w:r w:rsidRPr="00770F9D">
        <w:rPr>
          <w:rFonts w:ascii="Garamond" w:eastAsia="MS Mincho" w:hAnsi="Garamond" w:cstheme="majorBidi"/>
          <w:color w:val="0D0D0D" w:themeColor="text1" w:themeTint="F2"/>
        </w:rPr>
        <w:t xml:space="preserve">Zhvillimi i infrastrukturës </w:t>
      </w:r>
      <w:r w:rsidR="00CB7B7F" w:rsidRPr="00770F9D">
        <w:rPr>
          <w:rFonts w:ascii="Garamond" w:eastAsia="MS Mincho" w:hAnsi="Garamond" w:cstheme="majorBidi"/>
          <w:i/>
          <w:iCs/>
          <w:color w:val="0D0D0D" w:themeColor="text1" w:themeTint="F2"/>
        </w:rPr>
        <w:t>broadband</w:t>
      </w:r>
      <w:r w:rsidRPr="00770F9D">
        <w:rPr>
          <w:rFonts w:ascii="Garamond" w:eastAsia="MS Mincho" w:hAnsi="Garamond" w:cstheme="majorBidi"/>
          <w:color w:val="0D0D0D" w:themeColor="text1" w:themeTint="F2"/>
        </w:rPr>
        <w:t xml:space="preserve"> është një nga çështjet më të rëndësishme për zhvillimin ekonomik dhe social. Infrastruktura digjitale dhe digjitalizimi janë pjesë e dokumenteve strategjike rajonale. Zhvillimi </w:t>
      </w:r>
      <w:r w:rsidR="00CB7B7F" w:rsidRPr="00770F9D">
        <w:rPr>
          <w:rFonts w:ascii="Garamond" w:eastAsia="MS Mincho" w:hAnsi="Garamond" w:cstheme="majorBidi"/>
          <w:i/>
          <w:iCs/>
          <w:color w:val="0D0D0D" w:themeColor="text1" w:themeTint="F2"/>
        </w:rPr>
        <w:t>broadband</w:t>
      </w:r>
      <w:r w:rsidRPr="00770F9D">
        <w:rPr>
          <w:rFonts w:ascii="Garamond" w:eastAsia="MS Mincho" w:hAnsi="Garamond" w:cstheme="majorBidi"/>
          <w:color w:val="0D0D0D" w:themeColor="text1" w:themeTint="F2"/>
        </w:rPr>
        <w:t xml:space="preserve"> është në përputhje me </w:t>
      </w:r>
      <w:r w:rsidR="00583617" w:rsidRPr="00770F9D">
        <w:rPr>
          <w:rFonts w:ascii="Garamond" w:eastAsia="MS Mincho" w:hAnsi="Garamond" w:cstheme="majorBidi"/>
          <w:color w:val="0D0D0D" w:themeColor="text1" w:themeTint="F2"/>
        </w:rPr>
        <w:t xml:space="preserve">agjendën digjitale </w:t>
      </w:r>
      <w:r w:rsidRPr="00770F9D">
        <w:rPr>
          <w:rFonts w:ascii="Garamond" w:eastAsia="MS Mincho" w:hAnsi="Garamond" w:cstheme="majorBidi"/>
          <w:color w:val="0D0D0D" w:themeColor="text1" w:themeTint="F2"/>
        </w:rPr>
        <w:t>t</w:t>
      </w:r>
      <w:r w:rsidR="00583617">
        <w:rPr>
          <w:rFonts w:ascii="Garamond" w:eastAsia="MS Mincho" w:hAnsi="Garamond" w:cstheme="majorBidi"/>
          <w:color w:val="0D0D0D" w:themeColor="text1" w:themeTint="F2"/>
        </w:rPr>
        <w:t>ë</w:t>
      </w:r>
      <w:r w:rsidRPr="00770F9D">
        <w:rPr>
          <w:rFonts w:ascii="Garamond" w:eastAsia="MS Mincho" w:hAnsi="Garamond" w:cstheme="majorBidi"/>
          <w:color w:val="0D0D0D" w:themeColor="text1" w:themeTint="F2"/>
        </w:rPr>
        <w:t xml:space="preserve"> BE-së, </w:t>
      </w:r>
      <w:r w:rsidRPr="00770F9D">
        <w:rPr>
          <w:rFonts w:ascii="Garamond" w:hAnsi="Garamond" w:cstheme="majorBidi"/>
          <w:bCs/>
          <w:color w:val="0D0D0D" w:themeColor="text1" w:themeTint="F2"/>
          <w:lang w:eastAsia="sq-AL"/>
        </w:rPr>
        <w:t xml:space="preserve">është </w:t>
      </w:r>
      <w:r w:rsidRPr="00770F9D">
        <w:rPr>
          <w:rFonts w:ascii="Garamond" w:eastAsia="MS Mincho" w:hAnsi="Garamond" w:cstheme="majorBidi"/>
          <w:color w:val="0D0D0D" w:themeColor="text1" w:themeTint="F2"/>
        </w:rPr>
        <w:t xml:space="preserve">pjesë e përparësive të </w:t>
      </w:r>
      <w:r w:rsidR="00583617" w:rsidRPr="00770F9D">
        <w:rPr>
          <w:rFonts w:ascii="Garamond" w:eastAsia="MS Mincho" w:hAnsi="Garamond" w:cstheme="majorBidi"/>
          <w:color w:val="0D0D0D" w:themeColor="text1" w:themeTint="F2"/>
        </w:rPr>
        <w:t xml:space="preserve">strategjisë </w:t>
      </w:r>
      <w:r w:rsidRPr="00770F9D">
        <w:rPr>
          <w:rFonts w:ascii="Garamond" w:eastAsia="MS Mincho" w:hAnsi="Garamond" w:cstheme="majorBidi"/>
          <w:color w:val="0D0D0D" w:themeColor="text1" w:themeTint="F2"/>
        </w:rPr>
        <w:t xml:space="preserve">SEE-2020 nën shtyllën e zhvillimit </w:t>
      </w:r>
      <w:r w:rsidRPr="00770F9D">
        <w:rPr>
          <w:rFonts w:ascii="Garamond" w:eastAsia="MS Mincho" w:hAnsi="Garamond" w:cstheme="majorBidi"/>
          <w:i/>
          <w:iCs/>
          <w:color w:val="0D0D0D" w:themeColor="text1" w:themeTint="F2"/>
        </w:rPr>
        <w:t>SMART</w:t>
      </w:r>
      <w:r w:rsidRPr="00770F9D">
        <w:rPr>
          <w:rFonts w:ascii="Garamond" w:eastAsia="MS Mincho" w:hAnsi="Garamond" w:cstheme="majorBidi"/>
          <w:color w:val="0D0D0D" w:themeColor="text1" w:themeTint="F2"/>
        </w:rPr>
        <w:t xml:space="preserve"> dhe</w:t>
      </w:r>
      <w:r w:rsidR="00583617">
        <w:rPr>
          <w:rFonts w:ascii="Garamond" w:eastAsia="MS Mincho" w:hAnsi="Garamond" w:cstheme="majorBidi"/>
          <w:color w:val="0D0D0D" w:themeColor="text1" w:themeTint="F2"/>
        </w:rPr>
        <w:t>,</w:t>
      </w:r>
      <w:r w:rsidRPr="00770F9D">
        <w:rPr>
          <w:rFonts w:ascii="Garamond" w:eastAsia="MS Mincho" w:hAnsi="Garamond" w:cstheme="majorBidi"/>
          <w:color w:val="0D0D0D" w:themeColor="text1" w:themeTint="F2"/>
        </w:rPr>
        <w:t xml:space="preserve"> gjithashtu</w:t>
      </w:r>
      <w:r w:rsidR="00583617">
        <w:rPr>
          <w:rFonts w:ascii="Garamond" w:eastAsia="MS Mincho" w:hAnsi="Garamond" w:cstheme="majorBidi"/>
          <w:color w:val="0D0D0D" w:themeColor="text1" w:themeTint="F2"/>
        </w:rPr>
        <w:t>,</w:t>
      </w:r>
      <w:r w:rsidRPr="00770F9D">
        <w:rPr>
          <w:rFonts w:ascii="Garamond" w:eastAsia="MS Mincho" w:hAnsi="Garamond" w:cstheme="majorBidi"/>
          <w:color w:val="0D0D0D" w:themeColor="text1" w:themeTint="F2"/>
        </w:rPr>
        <w:t xml:space="preserve"> pjesë e MAP-REA e WB6 të miratuar në Samitin e Triestes më 12 korrik 2017. Për më tepër, infrastruktura digjitale, zhvillimi dhe shtrirja e infrastrukturës kombëtare </w:t>
      </w:r>
      <w:r w:rsidR="00CB7B7F" w:rsidRPr="00770F9D">
        <w:rPr>
          <w:rFonts w:ascii="Garamond" w:eastAsia="MS Mincho" w:hAnsi="Garamond" w:cstheme="majorBidi"/>
          <w:i/>
          <w:iCs/>
          <w:color w:val="0D0D0D" w:themeColor="text1" w:themeTint="F2"/>
        </w:rPr>
        <w:t>broadband</w:t>
      </w:r>
      <w:r w:rsidRPr="00770F9D">
        <w:rPr>
          <w:rFonts w:ascii="Garamond" w:eastAsia="MS Mincho" w:hAnsi="Garamond" w:cstheme="majorBidi"/>
          <w:color w:val="0D0D0D" w:themeColor="text1" w:themeTint="F2"/>
        </w:rPr>
        <w:t xml:space="preserve"> në gjashtë vendet e Ballkanit Perëndimor, është një nga shtyllat kryesore të Planit Ekonomik dhe të Investimeve për Ballkanin Perëndimor, të miratuar nga Komisioni Evropian më 6 tetor </w:t>
      </w:r>
      <w:r w:rsidRPr="00770F9D">
        <w:rPr>
          <w:rFonts w:ascii="Garamond" w:hAnsi="Garamond" w:cstheme="majorBidi"/>
          <w:bCs/>
          <w:color w:val="0D0D0D" w:themeColor="text1" w:themeTint="F2"/>
          <w:lang w:eastAsia="sq-AL"/>
        </w:rPr>
        <w:t>2020</w:t>
      </w:r>
      <w:r w:rsidRPr="00770F9D">
        <w:rPr>
          <w:rFonts w:ascii="Garamond" w:hAnsi="Garamond" w:cstheme="majorBidi"/>
          <w:bCs/>
          <w:color w:val="0D0D0D" w:themeColor="text1" w:themeTint="F2"/>
          <w:vertAlign w:val="superscript"/>
          <w:lang w:eastAsia="sq-AL"/>
        </w:rPr>
        <w:footnoteReference w:id="15"/>
      </w:r>
      <w:r w:rsidRPr="00770F9D">
        <w:rPr>
          <w:rFonts w:ascii="Garamond" w:hAnsi="Garamond" w:cstheme="majorBidi"/>
          <w:bCs/>
          <w:color w:val="0D0D0D" w:themeColor="text1" w:themeTint="F2"/>
          <w:vertAlign w:val="superscript"/>
          <w:lang w:eastAsia="sq-AL"/>
        </w:rPr>
        <w:t>.</w:t>
      </w:r>
      <w:r w:rsidRPr="00770F9D">
        <w:rPr>
          <w:rFonts w:ascii="Garamond" w:eastAsia="MS Mincho" w:hAnsi="Garamond" w:cstheme="majorBidi"/>
          <w:color w:val="0D0D0D" w:themeColor="text1" w:themeTint="F2"/>
        </w:rPr>
        <w:t xml:space="preserve">.Ky plan ka nënvizuar se nevoja për investime për rrjete </w:t>
      </w:r>
      <w:r w:rsidR="00CB7B7F" w:rsidRPr="00770F9D">
        <w:rPr>
          <w:rFonts w:ascii="Garamond" w:eastAsia="MS Mincho" w:hAnsi="Garamond" w:cstheme="majorBidi"/>
          <w:i/>
          <w:iCs/>
          <w:color w:val="0D0D0D" w:themeColor="text1" w:themeTint="F2"/>
        </w:rPr>
        <w:t>broadband</w:t>
      </w:r>
      <w:r w:rsidRPr="00770F9D">
        <w:rPr>
          <w:rFonts w:ascii="Garamond" w:eastAsia="MS Mincho" w:hAnsi="Garamond" w:cstheme="majorBidi"/>
          <w:color w:val="0D0D0D" w:themeColor="text1" w:themeTint="F2"/>
        </w:rPr>
        <w:t xml:space="preserve"> në Ballkanin Perëndimor është rreth 3.6 miliardë euro.</w:t>
      </w:r>
    </w:p>
    <w:p w14:paraId="4F59EBF4" w14:textId="0BD78608" w:rsidR="00D11695" w:rsidRPr="00770F9D" w:rsidRDefault="00D11695" w:rsidP="00583617">
      <w:pPr>
        <w:ind w:firstLine="284"/>
        <w:jc w:val="both"/>
        <w:rPr>
          <w:rFonts w:ascii="Garamond" w:eastAsia="MS Mincho" w:hAnsi="Garamond" w:cstheme="majorBidi"/>
          <w:color w:val="0D0D0D" w:themeColor="text1" w:themeTint="F2"/>
        </w:rPr>
      </w:pPr>
      <w:r w:rsidRPr="00770F9D">
        <w:rPr>
          <w:rFonts w:ascii="Garamond" w:eastAsia="MS Mincho" w:hAnsi="Garamond" w:cstheme="majorBidi"/>
          <w:color w:val="0D0D0D" w:themeColor="text1" w:themeTint="F2"/>
        </w:rPr>
        <w:t>Marrëveshja e Gjelbër Evropiane vlerëson</w:t>
      </w:r>
      <w:r w:rsidR="00583617">
        <w:rPr>
          <w:rFonts w:ascii="Garamond" w:eastAsia="MS Mincho" w:hAnsi="Garamond" w:cstheme="majorBidi"/>
          <w:color w:val="0D0D0D" w:themeColor="text1" w:themeTint="F2"/>
        </w:rPr>
        <w:t>,</w:t>
      </w:r>
      <w:r w:rsidRPr="00770F9D">
        <w:rPr>
          <w:rFonts w:ascii="Garamond" w:eastAsia="MS Mincho" w:hAnsi="Garamond" w:cstheme="majorBidi"/>
          <w:color w:val="0D0D0D" w:themeColor="text1" w:themeTint="F2"/>
        </w:rPr>
        <w:t xml:space="preserve"> se </w:t>
      </w:r>
      <w:r w:rsidR="00583617">
        <w:rPr>
          <w:rFonts w:ascii="Garamond" w:eastAsia="MS Mincho" w:hAnsi="Garamond" w:cstheme="majorBidi"/>
          <w:color w:val="0D0D0D" w:themeColor="text1" w:themeTint="F2"/>
        </w:rPr>
        <w:t>“</w:t>
      </w:r>
      <w:r w:rsidRPr="00770F9D">
        <w:rPr>
          <w:rFonts w:ascii="Garamond" w:eastAsia="MS Mincho" w:hAnsi="Garamond" w:cstheme="majorBidi"/>
          <w:color w:val="0D0D0D" w:themeColor="text1" w:themeTint="F2"/>
        </w:rPr>
        <w:t>teknologjitë digjitale janë një mundësi kritike për arritjen e qëllimeve të qëndrueshmërisë së Marrëveshjes së Gjelbër në shumë sektorë të ndryshëm</w:t>
      </w:r>
      <w:r w:rsidR="00583617">
        <w:rPr>
          <w:rFonts w:ascii="Garamond" w:eastAsia="MS Mincho" w:hAnsi="Garamond" w:cstheme="majorBidi"/>
          <w:color w:val="0D0D0D" w:themeColor="text1" w:themeTint="F2"/>
        </w:rPr>
        <w:t>”</w:t>
      </w:r>
      <w:r w:rsidRPr="00770F9D">
        <w:rPr>
          <w:rFonts w:ascii="Garamond" w:eastAsia="MS Mincho" w:hAnsi="Garamond" w:cstheme="majorBidi"/>
          <w:color w:val="0D0D0D" w:themeColor="text1" w:themeTint="F2"/>
        </w:rPr>
        <w:t>.</w:t>
      </w:r>
    </w:p>
    <w:p w14:paraId="589C31B2" w14:textId="5E51F014" w:rsidR="00D11695" w:rsidRPr="00770F9D" w:rsidRDefault="00D11695" w:rsidP="000A1A97">
      <w:pPr>
        <w:ind w:firstLine="284"/>
        <w:jc w:val="both"/>
        <w:rPr>
          <w:rFonts w:ascii="Garamond" w:eastAsia="MS Mincho" w:hAnsi="Garamond" w:cstheme="majorBidi"/>
          <w:color w:val="0D0D0D" w:themeColor="text1" w:themeTint="F2"/>
        </w:rPr>
      </w:pPr>
      <w:r w:rsidRPr="00770F9D">
        <w:rPr>
          <w:rFonts w:ascii="Garamond" w:eastAsia="MS Mincho" w:hAnsi="Garamond" w:cstheme="majorBidi"/>
          <w:color w:val="0D0D0D" w:themeColor="text1" w:themeTint="F2"/>
        </w:rPr>
        <w:t xml:space="preserve">Bazuar në </w:t>
      </w:r>
      <w:r w:rsidR="00583617" w:rsidRPr="00770F9D">
        <w:rPr>
          <w:rFonts w:ascii="Garamond" w:eastAsia="MS Mincho" w:hAnsi="Garamond" w:cstheme="majorBidi"/>
          <w:color w:val="0D0D0D" w:themeColor="text1" w:themeTint="F2"/>
        </w:rPr>
        <w:t xml:space="preserve">urdhrin </w:t>
      </w:r>
      <w:r w:rsidRPr="00770F9D">
        <w:rPr>
          <w:rFonts w:ascii="Garamond" w:eastAsia="MS Mincho" w:hAnsi="Garamond" w:cstheme="majorBidi"/>
          <w:color w:val="0D0D0D" w:themeColor="text1" w:themeTint="F2"/>
        </w:rPr>
        <w:t>e Kryeministrit nr. 157</w:t>
      </w:r>
      <w:r w:rsidR="00583617">
        <w:rPr>
          <w:rFonts w:ascii="Garamond" w:eastAsia="MS Mincho" w:hAnsi="Garamond" w:cstheme="majorBidi"/>
          <w:color w:val="0D0D0D" w:themeColor="text1" w:themeTint="F2"/>
        </w:rPr>
        <w:t>,</w:t>
      </w:r>
      <w:r w:rsidRPr="00770F9D">
        <w:rPr>
          <w:rFonts w:ascii="Garamond" w:eastAsia="MS Mincho" w:hAnsi="Garamond" w:cstheme="majorBidi"/>
          <w:color w:val="0D0D0D" w:themeColor="text1" w:themeTint="F2"/>
        </w:rPr>
        <w:t xml:space="preserve"> datë 22.10.2018, “Mbi masat për zbatimin </w:t>
      </w:r>
      <w:r w:rsidR="00583617">
        <w:rPr>
          <w:rFonts w:ascii="Garamond" w:eastAsia="MS Mincho" w:hAnsi="Garamond" w:cstheme="majorBidi"/>
          <w:color w:val="0D0D0D" w:themeColor="text1" w:themeTint="F2"/>
        </w:rPr>
        <w:t>e një qasje të gjerë sektoriale/ndër</w:t>
      </w:r>
      <w:r w:rsidRPr="00770F9D">
        <w:rPr>
          <w:rFonts w:ascii="Garamond" w:eastAsia="MS Mincho" w:hAnsi="Garamond" w:cstheme="majorBidi"/>
          <w:color w:val="0D0D0D" w:themeColor="text1" w:themeTint="F2"/>
        </w:rPr>
        <w:t>sektoriale, si dhe krijimin dhe funksionimin e me</w:t>
      </w:r>
      <w:r w:rsidR="00317538">
        <w:rPr>
          <w:rFonts w:ascii="Garamond" w:eastAsia="MS Mincho" w:hAnsi="Garamond" w:cstheme="majorBidi"/>
          <w:color w:val="0D0D0D" w:themeColor="text1" w:themeTint="F2"/>
        </w:rPr>
        <w:t>kanizmit të integruar sektorial/ndër</w:t>
      </w:r>
      <w:r w:rsidRPr="00770F9D">
        <w:rPr>
          <w:rFonts w:ascii="Garamond" w:eastAsia="MS Mincho" w:hAnsi="Garamond" w:cstheme="majorBidi"/>
          <w:color w:val="0D0D0D" w:themeColor="text1" w:themeTint="F2"/>
        </w:rPr>
        <w:t>sektorial”</w:t>
      </w:r>
      <w:r w:rsidR="000A1A97">
        <w:rPr>
          <w:rFonts w:ascii="Garamond" w:eastAsia="MS Mincho" w:hAnsi="Garamond" w:cstheme="majorBidi"/>
          <w:color w:val="0D0D0D" w:themeColor="text1" w:themeTint="F2"/>
        </w:rPr>
        <w:t>,</w:t>
      </w:r>
      <w:r w:rsidRPr="00770F9D">
        <w:rPr>
          <w:rFonts w:ascii="Garamond" w:eastAsia="MS Mincho" w:hAnsi="Garamond" w:cstheme="majorBidi"/>
          <w:color w:val="0D0D0D" w:themeColor="text1" w:themeTint="F2"/>
        </w:rPr>
        <w:t xml:space="preserve"> u krijuan Komitetet GMIP (Grupet e Menaxhimit të Integruar të Programit) dhe Komitetet Sektoriale Drejtuese. Komiteti Drejtues Sektorial </w:t>
      </w:r>
      <w:r w:rsidR="000A1A97">
        <w:rPr>
          <w:rFonts w:ascii="Garamond" w:eastAsia="MS Mincho" w:hAnsi="Garamond" w:cstheme="majorBidi"/>
          <w:color w:val="0D0D0D" w:themeColor="text1" w:themeTint="F2"/>
        </w:rPr>
        <w:t>“</w:t>
      </w:r>
      <w:r w:rsidRPr="00770F9D">
        <w:rPr>
          <w:rFonts w:ascii="Garamond" w:eastAsia="MS Mincho" w:hAnsi="Garamond" w:cstheme="majorBidi"/>
          <w:color w:val="0D0D0D" w:themeColor="text1" w:themeTint="F2"/>
        </w:rPr>
        <w:t>Ndërlidhja</w:t>
      </w:r>
      <w:r w:rsidR="000A1A97">
        <w:rPr>
          <w:rFonts w:ascii="Garamond" w:eastAsia="MS Mincho" w:hAnsi="Garamond" w:cstheme="majorBidi"/>
          <w:color w:val="0D0D0D" w:themeColor="text1" w:themeTint="F2"/>
        </w:rPr>
        <w:t>”</w:t>
      </w:r>
      <w:r w:rsidRPr="00770F9D">
        <w:rPr>
          <w:rFonts w:ascii="Garamond" w:eastAsia="MS Mincho" w:hAnsi="Garamond" w:cstheme="majorBidi"/>
          <w:color w:val="0D0D0D" w:themeColor="text1" w:themeTint="F2"/>
        </w:rPr>
        <w:t xml:space="preserve"> drejtohet nga Ministria e Infrastrukturës dhe Energjisë. Telekomunikacioni dhe </w:t>
      </w:r>
      <w:r w:rsidR="00CB7B7F" w:rsidRPr="00770F9D">
        <w:rPr>
          <w:rFonts w:ascii="Garamond" w:eastAsia="MS Mincho" w:hAnsi="Garamond" w:cstheme="majorBidi"/>
          <w:i/>
          <w:iCs/>
          <w:color w:val="0D0D0D" w:themeColor="text1" w:themeTint="F2"/>
        </w:rPr>
        <w:t>Broadband</w:t>
      </w:r>
      <w:r w:rsidRPr="00770F9D">
        <w:rPr>
          <w:rFonts w:ascii="Garamond" w:eastAsia="MS Mincho" w:hAnsi="Garamond" w:cstheme="majorBidi"/>
          <w:color w:val="0D0D0D" w:themeColor="text1" w:themeTint="F2"/>
        </w:rPr>
        <w:t>-i është një grup specifik tematik pjesë e Komitetit të Ndërlidhjes.</w:t>
      </w:r>
    </w:p>
    <w:p w14:paraId="4BFAE1D3" w14:textId="47EE3D02" w:rsidR="00D11695" w:rsidRPr="00770F9D" w:rsidRDefault="00D11695" w:rsidP="00400806">
      <w:pPr>
        <w:ind w:firstLine="284"/>
        <w:jc w:val="both"/>
        <w:rPr>
          <w:rFonts w:ascii="Garamond" w:eastAsia="MS Mincho" w:hAnsi="Garamond" w:cstheme="majorBidi"/>
          <w:color w:val="0D0D0D" w:themeColor="text1" w:themeTint="F2"/>
        </w:rPr>
      </w:pPr>
      <w:r w:rsidRPr="00770F9D">
        <w:rPr>
          <w:rFonts w:ascii="Garamond" w:eastAsia="MS Mincho" w:hAnsi="Garamond" w:cstheme="majorBidi"/>
          <w:color w:val="0D0D0D" w:themeColor="text1" w:themeTint="F2"/>
        </w:rPr>
        <w:t xml:space="preserve">Zhvillimi </w:t>
      </w:r>
      <w:r w:rsidR="00CB7B7F" w:rsidRPr="00770F9D">
        <w:rPr>
          <w:rFonts w:ascii="Garamond" w:eastAsia="MS Mincho" w:hAnsi="Garamond" w:cstheme="majorBidi"/>
          <w:i/>
          <w:iCs/>
          <w:color w:val="0D0D0D" w:themeColor="text1" w:themeTint="F2"/>
        </w:rPr>
        <w:t>broadband</w:t>
      </w:r>
      <w:r w:rsidRPr="00770F9D">
        <w:rPr>
          <w:rFonts w:ascii="Garamond" w:eastAsia="MS Mincho" w:hAnsi="Garamond" w:cstheme="majorBidi"/>
          <w:color w:val="0D0D0D" w:themeColor="text1" w:themeTint="F2"/>
        </w:rPr>
        <w:t xml:space="preserve"> është një nga prioritetet kryesore në dokumentet strategjike në Shqipëri. Shqipëria ka miratuar një Plan Kombëtar për Zhvillimin e Qëndrueshëm të Infrastrukturës Digjitale </w:t>
      </w:r>
      <w:r w:rsidR="00CB7B7F" w:rsidRPr="00770F9D">
        <w:rPr>
          <w:rFonts w:ascii="Garamond" w:eastAsia="MS Mincho" w:hAnsi="Garamond" w:cstheme="majorBidi"/>
          <w:i/>
          <w:iCs/>
          <w:color w:val="0D0D0D" w:themeColor="text1" w:themeTint="F2"/>
        </w:rPr>
        <w:t>Broadband</w:t>
      </w:r>
      <w:r w:rsidRPr="00770F9D">
        <w:rPr>
          <w:rFonts w:ascii="Garamond" w:eastAsia="MS Mincho" w:hAnsi="Garamond" w:cstheme="majorBidi"/>
          <w:color w:val="0D0D0D" w:themeColor="text1" w:themeTint="F2"/>
        </w:rPr>
        <w:t xml:space="preserve"> 2020</w:t>
      </w:r>
      <w:r w:rsidR="00CB7B7F" w:rsidRPr="00770F9D">
        <w:rPr>
          <w:rFonts w:ascii="Garamond" w:eastAsia="MS Mincho" w:hAnsi="Garamond" w:cstheme="majorBidi"/>
          <w:color w:val="0D0D0D" w:themeColor="text1" w:themeTint="F2"/>
        </w:rPr>
        <w:t>–</w:t>
      </w:r>
      <w:r w:rsidRPr="00770F9D">
        <w:rPr>
          <w:rFonts w:ascii="Garamond" w:eastAsia="MS Mincho" w:hAnsi="Garamond" w:cstheme="majorBidi"/>
          <w:color w:val="0D0D0D" w:themeColor="text1" w:themeTint="F2"/>
        </w:rPr>
        <w:t>2025</w:t>
      </w:r>
      <w:r w:rsidR="00131A51">
        <w:rPr>
          <w:rFonts w:ascii="Garamond" w:eastAsia="MS Mincho" w:hAnsi="Garamond" w:cstheme="majorBidi"/>
          <w:color w:val="0D0D0D" w:themeColor="text1" w:themeTint="F2"/>
        </w:rPr>
        <w:t>,</w:t>
      </w:r>
      <w:r w:rsidRPr="00770F9D">
        <w:rPr>
          <w:rFonts w:ascii="Garamond" w:eastAsia="MS Mincho" w:hAnsi="Garamond" w:cstheme="majorBidi"/>
          <w:color w:val="0D0D0D" w:themeColor="text1" w:themeTint="F2"/>
        </w:rPr>
        <w:t xml:space="preserve"> me vendim të Këshillit të Ministrave </w:t>
      </w:r>
      <w:r w:rsidR="00F75A1A" w:rsidRPr="00770F9D">
        <w:rPr>
          <w:rFonts w:ascii="Garamond" w:eastAsia="MS Mincho" w:hAnsi="Garamond" w:cstheme="majorBidi"/>
          <w:color w:val="0D0D0D" w:themeColor="text1" w:themeTint="F2"/>
        </w:rPr>
        <w:t>nr</w:t>
      </w:r>
      <w:r w:rsidR="00F75A1A">
        <w:rPr>
          <w:rFonts w:ascii="Garamond" w:eastAsia="MS Mincho" w:hAnsi="Garamond" w:cstheme="majorBidi"/>
          <w:color w:val="0D0D0D" w:themeColor="text1" w:themeTint="F2"/>
        </w:rPr>
        <w:t>.</w:t>
      </w:r>
      <w:r w:rsidRPr="00770F9D">
        <w:rPr>
          <w:rFonts w:ascii="Garamond" w:eastAsia="MS Mincho" w:hAnsi="Garamond" w:cstheme="majorBidi"/>
          <w:color w:val="0D0D0D" w:themeColor="text1" w:themeTint="F2"/>
        </w:rPr>
        <w:t xml:space="preserve"> 434</w:t>
      </w:r>
      <w:r w:rsidR="00F75A1A">
        <w:rPr>
          <w:rFonts w:ascii="Garamond" w:eastAsia="MS Mincho" w:hAnsi="Garamond" w:cstheme="majorBidi"/>
          <w:color w:val="0D0D0D" w:themeColor="text1" w:themeTint="F2"/>
        </w:rPr>
        <w:t>,</w:t>
      </w:r>
      <w:r w:rsidRPr="00770F9D">
        <w:rPr>
          <w:rFonts w:ascii="Garamond" w:eastAsia="MS Mincho" w:hAnsi="Garamond" w:cstheme="majorBidi"/>
          <w:color w:val="0D0D0D" w:themeColor="text1" w:themeTint="F2"/>
        </w:rPr>
        <w:t xml:space="preserve"> datë 3.6.2020. </w:t>
      </w:r>
    </w:p>
    <w:p w14:paraId="515789A7" w14:textId="2963EB99" w:rsidR="00D11695" w:rsidRPr="00770F9D" w:rsidRDefault="00D11695" w:rsidP="00B430E1">
      <w:pPr>
        <w:ind w:firstLine="284"/>
        <w:jc w:val="both"/>
        <w:rPr>
          <w:rFonts w:ascii="Garamond" w:eastAsia="MS Mincho" w:hAnsi="Garamond" w:cstheme="majorBidi"/>
          <w:color w:val="0D0D0D" w:themeColor="text1" w:themeTint="F2"/>
        </w:rPr>
      </w:pPr>
      <w:r w:rsidRPr="00770F9D">
        <w:rPr>
          <w:rFonts w:ascii="Garamond" w:eastAsia="MS Mincho" w:hAnsi="Garamond" w:cstheme="majorBidi"/>
          <w:color w:val="0D0D0D" w:themeColor="text1" w:themeTint="F2"/>
        </w:rPr>
        <w:t>Ministria e Infrastrukturës dhe Energjisë</w:t>
      </w:r>
      <w:r w:rsidR="00CB7B7F" w:rsidRPr="00770F9D">
        <w:rPr>
          <w:rFonts w:ascii="Garamond" w:eastAsia="MS Mincho" w:hAnsi="Garamond" w:cstheme="majorBidi"/>
          <w:color w:val="0D0D0D" w:themeColor="text1" w:themeTint="F2"/>
        </w:rPr>
        <w:t xml:space="preserve"> </w:t>
      </w:r>
      <w:r w:rsidRPr="00770F9D">
        <w:rPr>
          <w:rFonts w:ascii="Garamond" w:eastAsia="MS Mincho" w:hAnsi="Garamond" w:cstheme="majorBidi"/>
          <w:color w:val="0D0D0D" w:themeColor="text1" w:themeTint="F2"/>
        </w:rPr>
        <w:t xml:space="preserve">inicioi ndryshimet në rregulloren e lejeve të ndërtimit, për të lehtësuar procesin </w:t>
      </w:r>
      <w:r w:rsidR="00CB7B7F" w:rsidRPr="00770F9D">
        <w:rPr>
          <w:rFonts w:ascii="Garamond" w:eastAsia="MS Mincho" w:hAnsi="Garamond" w:cstheme="majorBidi"/>
          <w:color w:val="0D0D0D" w:themeColor="text1" w:themeTint="F2"/>
        </w:rPr>
        <w:t>për</w:t>
      </w:r>
      <w:r w:rsidRPr="00770F9D">
        <w:rPr>
          <w:rFonts w:ascii="Garamond" w:eastAsia="MS Mincho" w:hAnsi="Garamond" w:cstheme="majorBidi"/>
          <w:color w:val="0D0D0D" w:themeColor="text1" w:themeTint="F2"/>
        </w:rPr>
        <w:t xml:space="preserve"> lejet për rrjetet e komunikimit elektronik. Me </w:t>
      </w:r>
      <w:r w:rsidR="00131A51" w:rsidRPr="00770F9D">
        <w:rPr>
          <w:rFonts w:ascii="Garamond" w:eastAsia="MS Mincho" w:hAnsi="Garamond" w:cstheme="majorBidi"/>
          <w:color w:val="0D0D0D" w:themeColor="text1" w:themeTint="F2"/>
        </w:rPr>
        <w:t xml:space="preserve">vendimin </w:t>
      </w:r>
      <w:r w:rsidRPr="00770F9D">
        <w:rPr>
          <w:rFonts w:ascii="Garamond" w:eastAsia="MS Mincho" w:hAnsi="Garamond" w:cstheme="majorBidi"/>
          <w:color w:val="0D0D0D" w:themeColor="text1" w:themeTint="F2"/>
        </w:rPr>
        <w:t>e Këshillit të Ministrave nr. 457</w:t>
      </w:r>
      <w:r w:rsidR="00131A51">
        <w:rPr>
          <w:rFonts w:ascii="Garamond" w:eastAsia="MS Mincho" w:hAnsi="Garamond" w:cstheme="majorBidi"/>
          <w:color w:val="0D0D0D" w:themeColor="text1" w:themeTint="F2"/>
        </w:rPr>
        <w:t xml:space="preserve">, </w:t>
      </w:r>
      <w:r w:rsidRPr="00770F9D">
        <w:rPr>
          <w:rFonts w:ascii="Garamond" w:eastAsia="MS Mincho" w:hAnsi="Garamond" w:cstheme="majorBidi"/>
          <w:color w:val="0D0D0D" w:themeColor="text1" w:themeTint="F2"/>
        </w:rPr>
        <w:t>datë 29.6.2022</w:t>
      </w:r>
      <w:r w:rsidR="00131A51">
        <w:rPr>
          <w:rFonts w:ascii="Garamond" w:eastAsia="MS Mincho" w:hAnsi="Garamond" w:cstheme="majorBidi"/>
          <w:color w:val="0D0D0D" w:themeColor="text1" w:themeTint="F2"/>
        </w:rPr>
        <w:t>,</w:t>
      </w:r>
      <w:r w:rsidRPr="00770F9D">
        <w:rPr>
          <w:rFonts w:ascii="Garamond" w:eastAsia="MS Mincho" w:hAnsi="Garamond" w:cstheme="majorBidi"/>
          <w:color w:val="0D0D0D" w:themeColor="text1" w:themeTint="F2"/>
        </w:rPr>
        <w:t xml:space="preserve"> u miratuan disa ndryshime në vendimin e Këshillit të Ministrave nr. 408, datë 13.5.2015</w:t>
      </w:r>
      <w:r w:rsidR="00B430E1">
        <w:rPr>
          <w:rFonts w:ascii="Garamond" w:eastAsia="MS Mincho" w:hAnsi="Garamond" w:cstheme="majorBidi"/>
          <w:color w:val="0D0D0D" w:themeColor="text1" w:themeTint="F2"/>
        </w:rPr>
        <w:t>,</w:t>
      </w:r>
      <w:r w:rsidRPr="00770F9D">
        <w:rPr>
          <w:rFonts w:ascii="Garamond" w:eastAsia="MS Mincho" w:hAnsi="Garamond" w:cstheme="majorBidi"/>
          <w:color w:val="0D0D0D" w:themeColor="text1" w:themeTint="F2"/>
        </w:rPr>
        <w:t xml:space="preserve"> “Për miratimin e Rregullores së Zhvillimit të Territorit”, </w:t>
      </w:r>
      <w:r w:rsidR="00B430E1">
        <w:rPr>
          <w:rFonts w:ascii="Garamond" w:eastAsia="MS Mincho" w:hAnsi="Garamond" w:cstheme="majorBidi"/>
          <w:color w:val="0D0D0D" w:themeColor="text1" w:themeTint="F2"/>
        </w:rPr>
        <w:t>të</w:t>
      </w:r>
      <w:r w:rsidRPr="00770F9D">
        <w:rPr>
          <w:rFonts w:ascii="Garamond" w:eastAsia="MS Mincho" w:hAnsi="Garamond" w:cstheme="majorBidi"/>
          <w:color w:val="0D0D0D" w:themeColor="text1" w:themeTint="F2"/>
        </w:rPr>
        <w:t xml:space="preserve"> ndryshuar. Vendimi i ri, solli rregullim më të lehtë për lejet e ndërtimit për antenat e vogla të rrjetit celular, si dhe për rrjetin e internetit. Ky akt nënligjor synon të lehtësojë procesin e dhënies së lejeve për vendosjen e rrjetit 5G. Rregullimi i lejeve të ndërtimit të rrjeteve 5G, është</w:t>
      </w:r>
      <w:r w:rsidR="00C5339D">
        <w:rPr>
          <w:rFonts w:ascii="Garamond" w:eastAsia="MS Mincho" w:hAnsi="Garamond" w:cstheme="majorBidi"/>
          <w:color w:val="0D0D0D" w:themeColor="text1" w:themeTint="F2"/>
        </w:rPr>
        <w:t>,</w:t>
      </w:r>
      <w:r w:rsidRPr="00770F9D">
        <w:rPr>
          <w:rFonts w:ascii="Garamond" w:eastAsia="MS Mincho" w:hAnsi="Garamond" w:cstheme="majorBidi"/>
          <w:color w:val="0D0D0D" w:themeColor="text1" w:themeTint="F2"/>
        </w:rPr>
        <w:t xml:space="preserve"> gjithashtu</w:t>
      </w:r>
      <w:r w:rsidR="00C5339D">
        <w:rPr>
          <w:rFonts w:ascii="Garamond" w:eastAsia="MS Mincho" w:hAnsi="Garamond" w:cstheme="majorBidi"/>
          <w:color w:val="0D0D0D" w:themeColor="text1" w:themeTint="F2"/>
        </w:rPr>
        <w:t>,</w:t>
      </w:r>
      <w:r w:rsidRPr="00770F9D">
        <w:rPr>
          <w:rFonts w:ascii="Garamond" w:eastAsia="MS Mincho" w:hAnsi="Garamond" w:cstheme="majorBidi"/>
          <w:color w:val="0D0D0D" w:themeColor="text1" w:themeTint="F2"/>
        </w:rPr>
        <w:t xml:space="preserve"> pjesë e reformave të politikave të përfshira në </w:t>
      </w:r>
      <w:r w:rsidR="00C5339D" w:rsidRPr="00770F9D">
        <w:rPr>
          <w:rFonts w:ascii="Garamond" w:eastAsia="MS Mincho" w:hAnsi="Garamond" w:cstheme="majorBidi"/>
          <w:color w:val="0D0D0D" w:themeColor="text1" w:themeTint="F2"/>
        </w:rPr>
        <w:t xml:space="preserve">udhërrëfyesin </w:t>
      </w:r>
      <w:r w:rsidRPr="00770F9D">
        <w:rPr>
          <w:rFonts w:ascii="Garamond" w:eastAsia="MS Mincho" w:hAnsi="Garamond" w:cstheme="majorBidi"/>
          <w:color w:val="0D0D0D" w:themeColor="text1" w:themeTint="F2"/>
        </w:rPr>
        <w:t xml:space="preserve">për uljen e çmimeve të </w:t>
      </w:r>
      <w:r w:rsidRPr="00770F9D">
        <w:rPr>
          <w:rFonts w:ascii="Garamond" w:eastAsia="MS Mincho" w:hAnsi="Garamond" w:cstheme="majorBidi"/>
          <w:i/>
          <w:iCs/>
          <w:color w:val="0D0D0D" w:themeColor="text1" w:themeTint="F2"/>
        </w:rPr>
        <w:t>roaming</w:t>
      </w:r>
      <w:r w:rsidRPr="00770F9D">
        <w:rPr>
          <w:rFonts w:ascii="Garamond" w:eastAsia="MS Mincho" w:hAnsi="Garamond" w:cstheme="majorBidi"/>
          <w:color w:val="0D0D0D" w:themeColor="text1" w:themeTint="F2"/>
        </w:rPr>
        <w:t>-ut ndërmjet BE-së dhe BP</w:t>
      </w:r>
      <w:r w:rsidR="00C5339D">
        <w:rPr>
          <w:rFonts w:ascii="Garamond" w:eastAsia="MS Mincho" w:hAnsi="Garamond" w:cstheme="majorBidi"/>
          <w:color w:val="0D0D0D" w:themeColor="text1" w:themeTint="F2"/>
        </w:rPr>
        <w:t>-së</w:t>
      </w:r>
      <w:r w:rsidRPr="00770F9D">
        <w:rPr>
          <w:rFonts w:ascii="Garamond" w:eastAsia="MS Mincho" w:hAnsi="Garamond" w:cstheme="majorBidi"/>
          <w:color w:val="0D0D0D" w:themeColor="text1" w:themeTint="F2"/>
        </w:rPr>
        <w:t>.</w:t>
      </w:r>
    </w:p>
    <w:p w14:paraId="77C7C1E7" w14:textId="660BFC3A" w:rsidR="00E76828" w:rsidRPr="00770F9D" w:rsidRDefault="00E76828" w:rsidP="00400806">
      <w:pPr>
        <w:ind w:firstLine="284"/>
        <w:jc w:val="both"/>
        <w:rPr>
          <w:rFonts w:ascii="Garamond" w:hAnsi="Garamond" w:cs="Garamond"/>
          <w:color w:val="0D0D0D"/>
        </w:rPr>
      </w:pPr>
      <w:r w:rsidRPr="00770F9D">
        <w:rPr>
          <w:rFonts w:ascii="Garamond" w:hAnsi="Garamond" w:cs="Garamond"/>
          <w:color w:val="0D0D0D"/>
        </w:rPr>
        <w:t>Projekti WBIF, WB23-ALB-DII-01, zhvillimi i ATLAS-it, studimi i parafizibilitetit, filloi në shkurt 2022, dhe</w:t>
      </w:r>
      <w:r w:rsidR="00526271">
        <w:rPr>
          <w:rFonts w:ascii="Garamond" w:hAnsi="Garamond" w:cs="Garamond"/>
          <w:color w:val="0D0D0D"/>
        </w:rPr>
        <w:t xml:space="preserve"> </w:t>
      </w:r>
      <w:r w:rsidRPr="00770F9D">
        <w:rPr>
          <w:rFonts w:ascii="Garamond" w:hAnsi="Garamond" w:cs="Garamond"/>
          <w:color w:val="0D0D0D"/>
        </w:rPr>
        <w:t xml:space="preserve">ka përfunduar në dhjetor 2022. Qëllimi i këtij projekti është të zhvillojë atlasin </w:t>
      </w:r>
      <w:r w:rsidR="00CB7B7F" w:rsidRPr="00770F9D">
        <w:rPr>
          <w:rFonts w:ascii="Garamond" w:hAnsi="Garamond" w:cs="Garamond"/>
          <w:i/>
          <w:iCs/>
          <w:color w:val="0D0D0D"/>
        </w:rPr>
        <w:t>broadband</w:t>
      </w:r>
      <w:r w:rsidRPr="00770F9D">
        <w:rPr>
          <w:rFonts w:ascii="Garamond" w:hAnsi="Garamond" w:cs="Garamond"/>
          <w:color w:val="0D0D0D"/>
        </w:rPr>
        <w:t>, duke përfshirë informacionin për përdoruesin fundor, si dhe të sigurojë metodologjinë për krijimin e katër llojeve të hartave:</w:t>
      </w:r>
    </w:p>
    <w:p w14:paraId="4566A5FE" w14:textId="34A3CA84" w:rsidR="00E76828" w:rsidRPr="00770F9D" w:rsidRDefault="008C65FA" w:rsidP="00400806">
      <w:pPr>
        <w:pStyle w:val="ListParagraph"/>
        <w:ind w:left="0" w:firstLine="284"/>
        <w:jc w:val="both"/>
        <w:rPr>
          <w:rFonts w:ascii="Garamond" w:hAnsi="Garamond" w:cs="Garamond"/>
          <w:color w:val="0D0D0D"/>
          <w:sz w:val="24"/>
          <w:szCs w:val="24"/>
          <w:lang w:val="sq-AL"/>
        </w:rPr>
      </w:pPr>
      <w:r w:rsidRPr="00770F9D">
        <w:rPr>
          <w:rFonts w:ascii="Garamond" w:hAnsi="Garamond" w:cs="Symbol"/>
          <w:color w:val="0D0D0D"/>
          <w:sz w:val="24"/>
          <w:szCs w:val="24"/>
          <w:lang w:val="sq-AL"/>
        </w:rPr>
        <w:t>-</w:t>
      </w:r>
      <w:r w:rsidR="00BA4F1A" w:rsidRPr="00770F9D">
        <w:rPr>
          <w:rFonts w:ascii="Garamond" w:hAnsi="Garamond" w:cs="Symbol"/>
          <w:color w:val="0D0D0D"/>
          <w:sz w:val="24"/>
          <w:szCs w:val="24"/>
          <w:lang w:val="sq-AL"/>
        </w:rPr>
        <w:t xml:space="preserve"> </w:t>
      </w:r>
      <w:r w:rsidR="00E76828" w:rsidRPr="00770F9D">
        <w:rPr>
          <w:rFonts w:ascii="Garamond" w:hAnsi="Garamond" w:cs="Garamond"/>
          <w:color w:val="0D0D0D"/>
          <w:sz w:val="24"/>
          <w:szCs w:val="24"/>
          <w:lang w:val="sq-AL"/>
        </w:rPr>
        <w:t xml:space="preserve">Harta e infrastrukturës </w:t>
      </w:r>
      <w:r w:rsidR="00CB7B7F" w:rsidRPr="00770F9D">
        <w:rPr>
          <w:rFonts w:ascii="Garamond" w:hAnsi="Garamond" w:cs="Garamond"/>
          <w:i/>
          <w:iCs/>
          <w:color w:val="0D0D0D"/>
          <w:sz w:val="24"/>
          <w:szCs w:val="24"/>
          <w:lang w:val="sq-AL"/>
        </w:rPr>
        <w:t>broadband</w:t>
      </w:r>
      <w:r w:rsidR="00E76828" w:rsidRPr="00770F9D">
        <w:rPr>
          <w:rFonts w:ascii="Garamond" w:hAnsi="Garamond" w:cs="Garamond"/>
          <w:color w:val="0D0D0D"/>
          <w:sz w:val="24"/>
          <w:szCs w:val="24"/>
          <w:lang w:val="sq-AL"/>
        </w:rPr>
        <w:t>;</w:t>
      </w:r>
    </w:p>
    <w:p w14:paraId="0DFACA7B" w14:textId="4DE32B39" w:rsidR="00E76828" w:rsidRPr="00770F9D" w:rsidRDefault="008C65FA" w:rsidP="00400806">
      <w:pPr>
        <w:pStyle w:val="ListParagraph"/>
        <w:ind w:left="0" w:firstLine="284"/>
        <w:jc w:val="both"/>
        <w:rPr>
          <w:rFonts w:ascii="Garamond" w:hAnsi="Garamond" w:cs="Garamond"/>
          <w:color w:val="0D0D0D"/>
          <w:sz w:val="24"/>
          <w:szCs w:val="24"/>
          <w:lang w:val="sq-AL"/>
        </w:rPr>
      </w:pPr>
      <w:r w:rsidRPr="00770F9D">
        <w:rPr>
          <w:rFonts w:ascii="Garamond" w:hAnsi="Garamond" w:cs="Symbol"/>
          <w:color w:val="0D0D0D"/>
          <w:sz w:val="24"/>
          <w:szCs w:val="24"/>
          <w:lang w:val="sq-AL"/>
        </w:rPr>
        <w:t>-</w:t>
      </w:r>
      <w:r w:rsidR="00BA4F1A" w:rsidRPr="00770F9D">
        <w:rPr>
          <w:rFonts w:ascii="Garamond" w:hAnsi="Garamond" w:cs="Symbol"/>
          <w:color w:val="0D0D0D"/>
          <w:sz w:val="24"/>
          <w:szCs w:val="24"/>
          <w:lang w:val="sq-AL"/>
        </w:rPr>
        <w:t xml:space="preserve"> </w:t>
      </w:r>
      <w:r w:rsidR="00E76828" w:rsidRPr="00770F9D">
        <w:rPr>
          <w:rFonts w:ascii="Garamond" w:hAnsi="Garamond" w:cs="Garamond"/>
          <w:color w:val="0D0D0D"/>
          <w:sz w:val="24"/>
          <w:szCs w:val="24"/>
          <w:lang w:val="sq-AL"/>
        </w:rPr>
        <w:t>Harta e shërbimeve;</w:t>
      </w:r>
    </w:p>
    <w:p w14:paraId="693695EA" w14:textId="150B3ECE" w:rsidR="00E76828" w:rsidRPr="00770F9D" w:rsidRDefault="008C65FA" w:rsidP="00400806">
      <w:pPr>
        <w:pStyle w:val="ListParagraph"/>
        <w:ind w:left="0" w:firstLine="284"/>
        <w:jc w:val="both"/>
        <w:rPr>
          <w:rFonts w:ascii="Garamond" w:hAnsi="Garamond" w:cs="Garamond"/>
          <w:color w:val="0D0D0D"/>
          <w:sz w:val="24"/>
          <w:szCs w:val="24"/>
          <w:lang w:val="sq-AL"/>
        </w:rPr>
      </w:pPr>
      <w:r w:rsidRPr="00770F9D">
        <w:rPr>
          <w:rFonts w:ascii="Garamond" w:hAnsi="Garamond" w:cs="Symbol"/>
          <w:color w:val="0D0D0D"/>
          <w:sz w:val="24"/>
          <w:szCs w:val="24"/>
          <w:lang w:val="sq-AL"/>
        </w:rPr>
        <w:t>-</w:t>
      </w:r>
      <w:r w:rsidR="00BA4F1A" w:rsidRPr="00770F9D">
        <w:rPr>
          <w:rFonts w:ascii="Garamond" w:hAnsi="Garamond" w:cs="Symbol"/>
          <w:color w:val="0D0D0D"/>
          <w:sz w:val="24"/>
          <w:szCs w:val="24"/>
          <w:lang w:val="sq-AL"/>
        </w:rPr>
        <w:t xml:space="preserve"> </w:t>
      </w:r>
      <w:r w:rsidR="00E76828" w:rsidRPr="00770F9D">
        <w:rPr>
          <w:rFonts w:ascii="Garamond" w:hAnsi="Garamond" w:cs="Garamond"/>
          <w:color w:val="0D0D0D"/>
          <w:sz w:val="24"/>
          <w:szCs w:val="24"/>
          <w:lang w:val="sq-AL"/>
        </w:rPr>
        <w:t>Harta e kërkesës për internet;</w:t>
      </w:r>
    </w:p>
    <w:p w14:paraId="6E222BEA" w14:textId="4357038D" w:rsidR="00E76828" w:rsidRPr="00770F9D" w:rsidRDefault="008C65FA" w:rsidP="00400806">
      <w:pPr>
        <w:pStyle w:val="ListParagraph"/>
        <w:ind w:left="0" w:firstLine="284"/>
        <w:jc w:val="both"/>
        <w:rPr>
          <w:rFonts w:ascii="Garamond" w:hAnsi="Garamond" w:cs="Garamond"/>
          <w:color w:val="0D0D0D"/>
          <w:sz w:val="24"/>
          <w:szCs w:val="24"/>
          <w:lang w:val="sq-AL"/>
        </w:rPr>
      </w:pPr>
      <w:r w:rsidRPr="00770F9D">
        <w:rPr>
          <w:rFonts w:ascii="Garamond" w:hAnsi="Garamond" w:cs="Symbol"/>
          <w:color w:val="0D0D0D"/>
          <w:sz w:val="24"/>
          <w:szCs w:val="24"/>
          <w:lang w:val="sq-AL"/>
        </w:rPr>
        <w:t>-</w:t>
      </w:r>
      <w:r w:rsidR="00BA4F1A" w:rsidRPr="00770F9D">
        <w:rPr>
          <w:rFonts w:ascii="Garamond" w:hAnsi="Garamond" w:cs="Symbol"/>
          <w:color w:val="0D0D0D"/>
          <w:sz w:val="24"/>
          <w:szCs w:val="24"/>
          <w:lang w:val="sq-AL"/>
        </w:rPr>
        <w:t xml:space="preserve"> </w:t>
      </w:r>
      <w:r w:rsidR="00E76828" w:rsidRPr="00770F9D">
        <w:rPr>
          <w:rFonts w:ascii="Garamond" w:hAnsi="Garamond" w:cs="Garamond"/>
          <w:color w:val="0D0D0D"/>
          <w:sz w:val="24"/>
          <w:szCs w:val="24"/>
          <w:lang w:val="sq-AL"/>
        </w:rPr>
        <w:t xml:space="preserve">Harta e investimeve dhe financimit </w:t>
      </w:r>
      <w:r w:rsidR="00CB7B7F" w:rsidRPr="00770F9D">
        <w:rPr>
          <w:rFonts w:ascii="Garamond" w:hAnsi="Garamond" w:cs="Garamond"/>
          <w:i/>
          <w:iCs/>
          <w:color w:val="0D0D0D"/>
          <w:sz w:val="24"/>
          <w:szCs w:val="24"/>
          <w:lang w:val="sq-AL"/>
        </w:rPr>
        <w:t>broadband</w:t>
      </w:r>
      <w:r w:rsidR="00E76828" w:rsidRPr="00770F9D">
        <w:rPr>
          <w:rFonts w:ascii="Garamond" w:hAnsi="Garamond" w:cs="Garamond"/>
          <w:color w:val="0D0D0D"/>
          <w:sz w:val="24"/>
          <w:szCs w:val="24"/>
          <w:lang w:val="sq-AL"/>
        </w:rPr>
        <w:t>.</w:t>
      </w:r>
    </w:p>
    <w:p w14:paraId="62EF189B" w14:textId="58A53ED7" w:rsidR="00E76828" w:rsidRPr="00770F9D" w:rsidRDefault="00E76828" w:rsidP="00400806">
      <w:pPr>
        <w:ind w:firstLine="284"/>
        <w:jc w:val="both"/>
        <w:rPr>
          <w:rFonts w:ascii="Garamond" w:hAnsi="Garamond" w:cs="Garamond"/>
          <w:color w:val="0D0D0D"/>
        </w:rPr>
      </w:pPr>
      <w:r w:rsidRPr="00770F9D">
        <w:rPr>
          <w:rFonts w:ascii="Garamond" w:hAnsi="Garamond" w:cs="Garamond"/>
          <w:color w:val="0D0D0D"/>
        </w:rPr>
        <w:t>Masat e reformave të propozuara në Shqipëri</w:t>
      </w:r>
      <w:r w:rsidR="00CB7B7F" w:rsidRPr="00770F9D">
        <w:rPr>
          <w:rFonts w:ascii="Garamond" w:hAnsi="Garamond" w:cs="Garamond"/>
          <w:color w:val="0D0D0D"/>
        </w:rPr>
        <w:t xml:space="preserve"> </w:t>
      </w:r>
      <w:r w:rsidRPr="00770F9D">
        <w:rPr>
          <w:rFonts w:ascii="Garamond" w:hAnsi="Garamond" w:cs="Garamond"/>
          <w:color w:val="0D0D0D"/>
        </w:rPr>
        <w:t xml:space="preserve">do të rrisin investimet, do të përmirësojnë depërtimin </w:t>
      </w:r>
      <w:r w:rsidR="00CB7B7F" w:rsidRPr="00770F9D">
        <w:rPr>
          <w:rFonts w:ascii="Garamond" w:hAnsi="Garamond" w:cs="Garamond"/>
          <w:i/>
          <w:iCs/>
          <w:color w:val="0D0D0D"/>
        </w:rPr>
        <w:t>broadband</w:t>
      </w:r>
      <w:r w:rsidRPr="00770F9D">
        <w:rPr>
          <w:rFonts w:ascii="Garamond" w:hAnsi="Garamond" w:cs="Garamond"/>
          <w:color w:val="0D0D0D"/>
        </w:rPr>
        <w:t>, do të rrisin efikasitetin e infrastrukturës ekzistuese përmes ndarjes së infrastrukturës, si dhe do të shtojnë konkurrencën. Për më tepër, ekzistojnë disa përfitime sociale dhe mjedisore përmes:</w:t>
      </w:r>
    </w:p>
    <w:p w14:paraId="098FD55E" w14:textId="5F9D9F39" w:rsidR="00E76828" w:rsidRPr="00770F9D" w:rsidRDefault="008C65FA" w:rsidP="006D4426">
      <w:pPr>
        <w:pStyle w:val="ListParagraph"/>
        <w:ind w:left="0" w:firstLine="284"/>
        <w:jc w:val="both"/>
        <w:rPr>
          <w:rFonts w:ascii="Garamond" w:hAnsi="Garamond" w:cs="Garamond"/>
          <w:color w:val="0D0D0D"/>
          <w:sz w:val="24"/>
          <w:szCs w:val="24"/>
          <w:lang w:val="sq-AL"/>
        </w:rPr>
      </w:pPr>
      <w:r w:rsidRPr="00770F9D">
        <w:rPr>
          <w:rFonts w:ascii="Garamond" w:hAnsi="Garamond" w:cs="Symbol"/>
          <w:color w:val="0D0D0D"/>
          <w:sz w:val="24"/>
          <w:szCs w:val="24"/>
          <w:lang w:val="sq-AL"/>
        </w:rPr>
        <w:t>-</w:t>
      </w:r>
      <w:r w:rsidR="00BA4F1A" w:rsidRPr="00770F9D">
        <w:rPr>
          <w:rFonts w:ascii="Garamond" w:hAnsi="Garamond" w:cs="Symbol"/>
          <w:color w:val="0D0D0D"/>
          <w:sz w:val="24"/>
          <w:szCs w:val="24"/>
          <w:lang w:val="sq-AL"/>
        </w:rPr>
        <w:t xml:space="preserve"> </w:t>
      </w:r>
      <w:r w:rsidR="00E76828" w:rsidRPr="00770F9D">
        <w:rPr>
          <w:rFonts w:ascii="Garamond" w:hAnsi="Garamond" w:cs="Garamond"/>
          <w:color w:val="0D0D0D"/>
          <w:sz w:val="24"/>
          <w:szCs w:val="24"/>
          <w:lang w:val="sq-AL"/>
        </w:rPr>
        <w:t xml:space="preserve">mbulimit më të mirë </w:t>
      </w:r>
      <w:r w:rsidR="00CB7B7F" w:rsidRPr="00770F9D">
        <w:rPr>
          <w:rFonts w:ascii="Garamond" w:hAnsi="Garamond" w:cs="Garamond"/>
          <w:i/>
          <w:iCs/>
          <w:color w:val="0D0D0D"/>
          <w:sz w:val="24"/>
          <w:szCs w:val="24"/>
          <w:lang w:val="sq-AL"/>
        </w:rPr>
        <w:t>broadband</w:t>
      </w:r>
      <w:r w:rsidR="00E76828" w:rsidRPr="00770F9D">
        <w:rPr>
          <w:rFonts w:ascii="Garamond" w:hAnsi="Garamond" w:cs="Garamond"/>
          <w:color w:val="0D0D0D"/>
          <w:sz w:val="24"/>
          <w:szCs w:val="24"/>
          <w:lang w:val="sq-AL"/>
        </w:rPr>
        <w:t>, që do të thotë kohezion social dhe territorial</w:t>
      </w:r>
      <w:r w:rsidR="006D4426">
        <w:rPr>
          <w:rFonts w:ascii="Garamond" w:hAnsi="Garamond" w:cs="Garamond"/>
          <w:color w:val="0D0D0D"/>
          <w:sz w:val="24"/>
          <w:szCs w:val="24"/>
          <w:lang w:val="sq-AL"/>
        </w:rPr>
        <w:t>;</w:t>
      </w:r>
    </w:p>
    <w:p w14:paraId="6DF92F91" w14:textId="353F455B" w:rsidR="00E76828" w:rsidRPr="00770F9D" w:rsidRDefault="008C65FA" w:rsidP="006D4426">
      <w:pPr>
        <w:pStyle w:val="ListParagraph"/>
        <w:ind w:left="0" w:firstLine="284"/>
        <w:jc w:val="both"/>
        <w:rPr>
          <w:rFonts w:ascii="Garamond" w:hAnsi="Garamond" w:cs="Garamond"/>
          <w:color w:val="0D0D0D"/>
          <w:sz w:val="24"/>
          <w:szCs w:val="24"/>
          <w:lang w:val="sq-AL"/>
        </w:rPr>
      </w:pPr>
      <w:r w:rsidRPr="00770F9D">
        <w:rPr>
          <w:rFonts w:ascii="Garamond" w:hAnsi="Garamond" w:cs="Symbol"/>
          <w:color w:val="0D0D0D"/>
          <w:sz w:val="24"/>
          <w:szCs w:val="24"/>
          <w:lang w:val="sq-AL"/>
        </w:rPr>
        <w:t>-</w:t>
      </w:r>
      <w:r w:rsidR="00BA4F1A" w:rsidRPr="00770F9D">
        <w:rPr>
          <w:rFonts w:ascii="Garamond" w:hAnsi="Garamond" w:cs="Symbol"/>
          <w:color w:val="0D0D0D"/>
          <w:sz w:val="24"/>
          <w:szCs w:val="24"/>
          <w:lang w:val="sq-AL"/>
        </w:rPr>
        <w:t xml:space="preserve"> </w:t>
      </w:r>
      <w:r w:rsidR="00E76828" w:rsidRPr="00770F9D">
        <w:rPr>
          <w:rFonts w:ascii="Garamond" w:hAnsi="Garamond" w:cs="Garamond"/>
          <w:color w:val="0D0D0D"/>
          <w:sz w:val="24"/>
          <w:szCs w:val="24"/>
          <w:lang w:val="sq-AL"/>
        </w:rPr>
        <w:t>rritjes së sinergjisë nëpër sektorë, p.sh. rrjete inteligjente dhe sisteme inteligjente transporti</w:t>
      </w:r>
      <w:r w:rsidR="006D4426">
        <w:rPr>
          <w:rFonts w:ascii="Garamond" w:hAnsi="Garamond" w:cs="Garamond"/>
          <w:color w:val="0D0D0D"/>
          <w:sz w:val="24"/>
          <w:szCs w:val="24"/>
          <w:lang w:val="sq-AL"/>
        </w:rPr>
        <w:t>;</w:t>
      </w:r>
    </w:p>
    <w:p w14:paraId="0BA2C544" w14:textId="5DDAF002" w:rsidR="00E76828" w:rsidRPr="00770F9D" w:rsidRDefault="008C65FA" w:rsidP="006D4426">
      <w:pPr>
        <w:pStyle w:val="ListParagraph"/>
        <w:ind w:left="0" w:firstLine="284"/>
        <w:jc w:val="both"/>
        <w:rPr>
          <w:rFonts w:ascii="Garamond" w:hAnsi="Garamond" w:cs="Garamond"/>
          <w:color w:val="0D0D0D"/>
          <w:sz w:val="24"/>
          <w:szCs w:val="24"/>
          <w:lang w:val="sq-AL"/>
        </w:rPr>
      </w:pPr>
      <w:r w:rsidRPr="00770F9D">
        <w:rPr>
          <w:rFonts w:ascii="Garamond" w:hAnsi="Garamond" w:cs="Symbol"/>
          <w:color w:val="0D0D0D"/>
          <w:sz w:val="24"/>
          <w:szCs w:val="24"/>
          <w:lang w:val="sq-AL"/>
        </w:rPr>
        <w:t>-</w:t>
      </w:r>
      <w:r w:rsidR="00BA4F1A" w:rsidRPr="00770F9D">
        <w:rPr>
          <w:rFonts w:ascii="Garamond" w:hAnsi="Garamond" w:cs="Symbol"/>
          <w:color w:val="0D0D0D"/>
          <w:sz w:val="24"/>
          <w:szCs w:val="24"/>
          <w:lang w:val="sq-AL"/>
        </w:rPr>
        <w:t xml:space="preserve"> </w:t>
      </w:r>
      <w:r w:rsidR="00E76828" w:rsidRPr="00770F9D">
        <w:rPr>
          <w:rFonts w:ascii="Garamond" w:hAnsi="Garamond" w:cs="Garamond"/>
          <w:color w:val="0D0D0D"/>
          <w:sz w:val="24"/>
          <w:szCs w:val="24"/>
          <w:lang w:val="sq-AL"/>
        </w:rPr>
        <w:t>menaxhimit më të mirë të punimeve civile, zvogëlimit të numrit të gërmimeve</w:t>
      </w:r>
      <w:r w:rsidR="006D4426">
        <w:rPr>
          <w:rFonts w:ascii="Garamond" w:hAnsi="Garamond" w:cs="Garamond"/>
          <w:color w:val="0D0D0D"/>
          <w:sz w:val="24"/>
          <w:szCs w:val="24"/>
          <w:lang w:val="sq-AL"/>
        </w:rPr>
        <w:t>;</w:t>
      </w:r>
    </w:p>
    <w:p w14:paraId="7E767147" w14:textId="3966F06E" w:rsidR="00E76828" w:rsidRPr="00770F9D" w:rsidRDefault="008C65FA" w:rsidP="00400806">
      <w:pPr>
        <w:pStyle w:val="ListParagraph"/>
        <w:ind w:left="0" w:firstLine="284"/>
        <w:jc w:val="both"/>
        <w:rPr>
          <w:rFonts w:ascii="Garamond" w:hAnsi="Garamond" w:cs="Garamond"/>
          <w:color w:val="0D0D0D"/>
          <w:sz w:val="24"/>
          <w:szCs w:val="24"/>
          <w:lang w:val="sq-AL"/>
        </w:rPr>
      </w:pPr>
      <w:r w:rsidRPr="00770F9D">
        <w:rPr>
          <w:rFonts w:ascii="Garamond" w:hAnsi="Garamond" w:cs="Symbol"/>
          <w:color w:val="0D0D0D"/>
          <w:sz w:val="24"/>
          <w:szCs w:val="24"/>
          <w:lang w:val="sq-AL"/>
        </w:rPr>
        <w:t>-</w:t>
      </w:r>
      <w:r w:rsidR="00BA4F1A" w:rsidRPr="00770F9D">
        <w:rPr>
          <w:rFonts w:ascii="Garamond" w:hAnsi="Garamond" w:cs="Symbol"/>
          <w:color w:val="0D0D0D"/>
          <w:sz w:val="24"/>
          <w:szCs w:val="24"/>
          <w:lang w:val="sq-AL"/>
        </w:rPr>
        <w:t xml:space="preserve"> </w:t>
      </w:r>
      <w:r w:rsidR="00E76828" w:rsidRPr="00770F9D">
        <w:rPr>
          <w:rFonts w:ascii="Garamond" w:hAnsi="Garamond" w:cs="Garamond"/>
          <w:color w:val="0D0D0D"/>
          <w:sz w:val="24"/>
          <w:szCs w:val="24"/>
          <w:lang w:val="sq-AL"/>
        </w:rPr>
        <w:t>përmirësimit të mjedisit të biznesit përmes transparencës dhe procedurave të thjeshta për lejet e ndërtimit etj.</w:t>
      </w:r>
    </w:p>
    <w:p w14:paraId="025E01D5" w14:textId="09C3B60F" w:rsidR="00E76828" w:rsidRPr="00770F9D" w:rsidRDefault="00E76828" w:rsidP="00400806">
      <w:pPr>
        <w:ind w:firstLine="284"/>
        <w:jc w:val="both"/>
        <w:rPr>
          <w:rFonts w:ascii="Garamond" w:hAnsi="Garamond" w:cs="Garamond"/>
          <w:color w:val="0D0D0D"/>
        </w:rPr>
      </w:pPr>
      <w:r w:rsidRPr="00770F9D">
        <w:rPr>
          <w:rFonts w:ascii="Garamond" w:hAnsi="Garamond" w:cs="Garamond"/>
          <w:color w:val="0D0D0D"/>
        </w:rPr>
        <w:t xml:space="preserve">Zhvillimi i infrastrukturës </w:t>
      </w:r>
      <w:r w:rsidR="00CB7B7F" w:rsidRPr="00770F9D">
        <w:rPr>
          <w:rFonts w:ascii="Garamond" w:hAnsi="Garamond" w:cs="Garamond"/>
          <w:i/>
          <w:iCs/>
          <w:color w:val="0D0D0D"/>
        </w:rPr>
        <w:t>broadband</w:t>
      </w:r>
      <w:r w:rsidRPr="00770F9D">
        <w:rPr>
          <w:rFonts w:ascii="Garamond" w:hAnsi="Garamond" w:cs="Garamond"/>
          <w:color w:val="0D0D0D"/>
        </w:rPr>
        <w:t xml:space="preserve"> është duke ecur paralel me zhvillimin e rëndësishëm në </w:t>
      </w:r>
      <w:r w:rsidRPr="006D4426">
        <w:rPr>
          <w:rFonts w:ascii="Garamond" w:hAnsi="Garamond" w:cs="Garamond"/>
          <w:i/>
          <w:iCs/>
          <w:color w:val="0D0D0D"/>
        </w:rPr>
        <w:t>e-</w:t>
      </w:r>
      <w:r w:rsidR="006D4426" w:rsidRPr="006D4426">
        <w:rPr>
          <w:rFonts w:ascii="Garamond" w:hAnsi="Garamond" w:cs="Garamond"/>
          <w:i/>
          <w:iCs/>
          <w:color w:val="0D0D0D"/>
        </w:rPr>
        <w:t>Qeverisje</w:t>
      </w:r>
      <w:r w:rsidRPr="006D4426">
        <w:rPr>
          <w:rFonts w:ascii="Garamond" w:hAnsi="Garamond" w:cs="Garamond"/>
          <w:i/>
          <w:iCs/>
          <w:color w:val="0D0D0D"/>
        </w:rPr>
        <w:t>, e-</w:t>
      </w:r>
      <w:r w:rsidR="006D4426" w:rsidRPr="006D4426">
        <w:rPr>
          <w:rFonts w:ascii="Garamond" w:hAnsi="Garamond" w:cs="Garamond"/>
          <w:i/>
          <w:iCs/>
          <w:color w:val="0D0D0D"/>
        </w:rPr>
        <w:t>Shërbime</w:t>
      </w:r>
      <w:r w:rsidRPr="006D4426">
        <w:rPr>
          <w:rFonts w:ascii="Garamond" w:hAnsi="Garamond" w:cs="Garamond"/>
          <w:i/>
          <w:iCs/>
          <w:color w:val="0D0D0D"/>
        </w:rPr>
        <w:t>,</w:t>
      </w:r>
      <w:r w:rsidRPr="00770F9D">
        <w:rPr>
          <w:rFonts w:ascii="Garamond" w:hAnsi="Garamond" w:cs="Garamond"/>
          <w:color w:val="0D0D0D"/>
        </w:rPr>
        <w:t xml:space="preserve"> digjitalizim i sistemit TIK në administratën publike që është një element i rëndësishëm për ekosistemin TIK dhe ekonominë digjitale. Kjo pjesë e investimeve është e lidhur me anën e kërkesës së </w:t>
      </w:r>
      <w:r w:rsidR="00CB7B7F" w:rsidRPr="00770F9D">
        <w:rPr>
          <w:rFonts w:ascii="Garamond" w:hAnsi="Garamond" w:cs="Garamond"/>
          <w:i/>
          <w:iCs/>
          <w:color w:val="0D0D0D"/>
        </w:rPr>
        <w:t>broadband</w:t>
      </w:r>
      <w:r w:rsidRPr="00770F9D">
        <w:rPr>
          <w:rFonts w:ascii="Garamond" w:hAnsi="Garamond" w:cs="Garamond"/>
          <w:color w:val="0D0D0D"/>
        </w:rPr>
        <w:t>-it. Gjatë krizës së COVID-19, nevojat për lidhje digjitale për trajtim të barabartë/mosdiskriminim/adresimin e nevojave – për lidhjen digjitale, aftësitë digjitale dhe lidhjet e besueshme janë më të rëndësishme.</w:t>
      </w:r>
    </w:p>
    <w:p w14:paraId="18D08FDA" w14:textId="4BA9B257" w:rsidR="00E76828" w:rsidRPr="00770F9D" w:rsidRDefault="00E76828" w:rsidP="00400806">
      <w:pPr>
        <w:ind w:firstLine="284"/>
        <w:jc w:val="both"/>
        <w:rPr>
          <w:rFonts w:ascii="Garamond" w:hAnsi="Garamond" w:cs="Garamond"/>
          <w:color w:val="0D0D0D"/>
        </w:rPr>
      </w:pPr>
      <w:r w:rsidRPr="00770F9D">
        <w:rPr>
          <w:rFonts w:ascii="Garamond" w:hAnsi="Garamond" w:cs="Garamond"/>
          <w:color w:val="0D0D0D"/>
        </w:rPr>
        <w:t xml:space="preserve">Zhvillimi </w:t>
      </w:r>
      <w:r w:rsidR="00CB7B7F" w:rsidRPr="00770F9D">
        <w:rPr>
          <w:rFonts w:ascii="Garamond" w:hAnsi="Garamond" w:cs="Garamond"/>
          <w:i/>
          <w:iCs/>
          <w:color w:val="0D0D0D"/>
        </w:rPr>
        <w:t>broadband</w:t>
      </w:r>
      <w:r w:rsidRPr="00770F9D">
        <w:rPr>
          <w:rFonts w:ascii="Garamond" w:hAnsi="Garamond" w:cs="Garamond"/>
          <w:color w:val="0D0D0D"/>
        </w:rPr>
        <w:t>, kjo reformë është e lidhur me reformat e tjera të paraqitura në ERP</w:t>
      </w:r>
      <w:r w:rsidR="00712C19">
        <w:rPr>
          <w:rFonts w:ascii="Garamond" w:hAnsi="Garamond" w:cs="Garamond"/>
          <w:color w:val="0D0D0D"/>
        </w:rPr>
        <w:t>,</w:t>
      </w:r>
      <w:r w:rsidRPr="00770F9D">
        <w:rPr>
          <w:rFonts w:ascii="Garamond" w:hAnsi="Garamond" w:cs="Garamond"/>
          <w:color w:val="0D0D0D"/>
        </w:rPr>
        <w:t xml:space="preserve"> siç është masa e reformës 08: Masat mbështetëse për NMVM-të ku digjitalizimi dhe hyrja në TIK për NVM-të është pjesë e aktiviteteve në këtë reformë. Për më tepër, </w:t>
      </w:r>
      <w:r w:rsidR="00CB7B7F" w:rsidRPr="00770F9D">
        <w:rPr>
          <w:rFonts w:ascii="Garamond" w:hAnsi="Garamond" w:cs="Garamond"/>
          <w:i/>
          <w:iCs/>
          <w:color w:val="0D0D0D"/>
        </w:rPr>
        <w:t>broadband</w:t>
      </w:r>
      <w:r w:rsidRPr="00770F9D">
        <w:rPr>
          <w:rFonts w:ascii="Garamond" w:hAnsi="Garamond" w:cs="Garamond"/>
          <w:color w:val="0D0D0D"/>
        </w:rPr>
        <w:t xml:space="preserve"> është i rëndësishëm për arsimin dhe aftësitë digjitale</w:t>
      </w:r>
      <w:r w:rsidR="00712C19">
        <w:rPr>
          <w:rFonts w:ascii="Garamond" w:hAnsi="Garamond" w:cs="Garamond"/>
          <w:color w:val="0D0D0D"/>
        </w:rPr>
        <w:t>,</w:t>
      </w:r>
      <w:r w:rsidRPr="00770F9D">
        <w:rPr>
          <w:rFonts w:ascii="Garamond" w:hAnsi="Garamond" w:cs="Garamond"/>
          <w:color w:val="0D0D0D"/>
        </w:rPr>
        <w:t xml:space="preserve"> të cilat janë pjesë e masës së reformës 19</w:t>
      </w:r>
      <w:r w:rsidR="00712C19">
        <w:rPr>
          <w:rFonts w:ascii="Garamond" w:hAnsi="Garamond" w:cs="Garamond"/>
          <w:color w:val="0D0D0D"/>
        </w:rPr>
        <w:t>,</w:t>
      </w:r>
      <w:r w:rsidRPr="00770F9D">
        <w:rPr>
          <w:rFonts w:ascii="Garamond" w:hAnsi="Garamond" w:cs="Garamond"/>
          <w:color w:val="0D0D0D"/>
        </w:rPr>
        <w:t xml:space="preserve"> </w:t>
      </w:r>
      <w:r w:rsidR="00712C19">
        <w:rPr>
          <w:rFonts w:ascii="Garamond" w:hAnsi="Garamond" w:cs="Garamond"/>
          <w:color w:val="0D0D0D"/>
        </w:rPr>
        <w:t>“</w:t>
      </w:r>
      <w:r w:rsidRPr="00770F9D">
        <w:rPr>
          <w:rFonts w:ascii="Garamond" w:hAnsi="Garamond" w:cs="Garamond"/>
          <w:color w:val="0D0D0D"/>
        </w:rPr>
        <w:t xml:space="preserve">Zhvillimi dhe fuqizimi i kompetencave digjitale të mësuesve, digjitalizimi i arsimit dhe </w:t>
      </w:r>
      <w:r w:rsidR="00A42042">
        <w:rPr>
          <w:rFonts w:ascii="Garamond" w:hAnsi="Garamond" w:cs="Garamond"/>
          <w:color w:val="0D0D0D"/>
        </w:rPr>
        <w:t xml:space="preserve">i </w:t>
      </w:r>
      <w:r w:rsidRPr="00770F9D">
        <w:rPr>
          <w:rFonts w:ascii="Garamond" w:hAnsi="Garamond" w:cs="Garamond"/>
          <w:color w:val="0D0D0D"/>
        </w:rPr>
        <w:t>aftësive digjitale është pjesë e Strategjisë Kombëtare për Arsimin 2021-2026 (NSE)</w:t>
      </w:r>
      <w:r w:rsidR="00712C19">
        <w:rPr>
          <w:rFonts w:ascii="Garamond" w:hAnsi="Garamond" w:cs="Garamond"/>
          <w:color w:val="0D0D0D"/>
        </w:rPr>
        <w:t>”</w:t>
      </w:r>
      <w:r w:rsidRPr="00770F9D">
        <w:rPr>
          <w:rFonts w:ascii="Garamond" w:hAnsi="Garamond" w:cs="Garamond"/>
          <w:color w:val="0D0D0D"/>
        </w:rPr>
        <w:t>.</w:t>
      </w:r>
    </w:p>
    <w:p w14:paraId="5DFCF8BD" w14:textId="77777777" w:rsidR="00E76828" w:rsidRPr="00770F9D" w:rsidRDefault="00E76828" w:rsidP="00400806">
      <w:pPr>
        <w:ind w:firstLine="284"/>
        <w:jc w:val="both"/>
        <w:rPr>
          <w:rFonts w:ascii="Garamond" w:hAnsi="Garamond" w:cs="Garamond"/>
          <w:color w:val="0D0D0D"/>
        </w:rPr>
      </w:pPr>
      <w:r w:rsidRPr="00770F9D">
        <w:rPr>
          <w:rFonts w:ascii="Garamond" w:hAnsi="Garamond" w:cs="Garamond"/>
          <w:color w:val="0D0D0D"/>
        </w:rPr>
        <w:t>Pjesë e planit për të zbatuar këtë reformë gjatë viteve të ardhshme do të jenë:</w:t>
      </w:r>
    </w:p>
    <w:p w14:paraId="4CDF5E6D" w14:textId="7F87C23F" w:rsidR="00E76828" w:rsidRPr="00770F9D" w:rsidRDefault="00E76828" w:rsidP="00400806">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 xml:space="preserve">Ngritja e zyrës kombëtare kompetente për </w:t>
      </w:r>
      <w:r w:rsidR="00CB7B7F" w:rsidRPr="00770F9D">
        <w:rPr>
          <w:rFonts w:ascii="Garamond" w:hAnsi="Garamond" w:cs="Garamond"/>
          <w:i/>
          <w:iCs/>
          <w:color w:val="0D0D0D"/>
          <w:sz w:val="24"/>
          <w:szCs w:val="24"/>
          <w:lang w:val="sq-AL"/>
        </w:rPr>
        <w:t>broadband</w:t>
      </w:r>
      <w:r w:rsidRPr="00770F9D">
        <w:rPr>
          <w:rFonts w:ascii="Garamond" w:hAnsi="Garamond" w:cs="Garamond"/>
          <w:color w:val="0D0D0D"/>
          <w:sz w:val="24"/>
          <w:szCs w:val="24"/>
          <w:lang w:val="sq-AL"/>
        </w:rPr>
        <w:t>-in (BCO);</w:t>
      </w:r>
    </w:p>
    <w:p w14:paraId="3036476D" w14:textId="17A9F00E" w:rsidR="00E76828" w:rsidRPr="00770F9D" w:rsidRDefault="00E76828" w:rsidP="00400806">
      <w:pPr>
        <w:ind w:firstLine="284"/>
        <w:jc w:val="both"/>
        <w:rPr>
          <w:rFonts w:ascii="Garamond" w:hAnsi="Garamond" w:cs="Garamond"/>
          <w:color w:val="0D0D0D"/>
        </w:rPr>
      </w:pPr>
      <w:r w:rsidRPr="00770F9D">
        <w:rPr>
          <w:rFonts w:ascii="Garamond" w:hAnsi="Garamond" w:cs="Garamond"/>
          <w:color w:val="0D0D0D"/>
        </w:rPr>
        <w:t>Kapacitetet institucionale në të gjithë ministrinë dhe institucionet e tjera</w:t>
      </w:r>
      <w:r w:rsidR="00672939">
        <w:rPr>
          <w:rFonts w:ascii="Garamond" w:hAnsi="Garamond" w:cs="Garamond"/>
          <w:color w:val="0D0D0D"/>
        </w:rPr>
        <w:t>,</w:t>
      </w:r>
      <w:r w:rsidRPr="00770F9D">
        <w:rPr>
          <w:rFonts w:ascii="Garamond" w:hAnsi="Garamond" w:cs="Garamond"/>
          <w:color w:val="0D0D0D"/>
        </w:rPr>
        <w:t xml:space="preserve"> si bashkitë duhet të rriten dhe në përputhje me iniciativat plotësuese të BE-së për të ndihmuar në arritjen e objektivave të shoqërisë Gigabit të BE-së, duhet të krijohet Zyra Kompetente </w:t>
      </w:r>
      <w:r w:rsidR="00CB7B7F" w:rsidRPr="00770F9D">
        <w:rPr>
          <w:rFonts w:ascii="Garamond" w:hAnsi="Garamond" w:cs="Garamond"/>
          <w:i/>
          <w:iCs/>
          <w:color w:val="0D0D0D"/>
        </w:rPr>
        <w:t>Broadband</w:t>
      </w:r>
      <w:r w:rsidRPr="00770F9D">
        <w:rPr>
          <w:rFonts w:ascii="Garamond" w:hAnsi="Garamond" w:cs="Garamond"/>
          <w:color w:val="0D0D0D"/>
        </w:rPr>
        <w:t>, që të shërbejnë si një pikë e vetme kontakti në Shqipëri në nivel kombëtar dhe lokal.</w:t>
      </w:r>
    </w:p>
    <w:p w14:paraId="2D5EF38B" w14:textId="3EBD6F43" w:rsidR="00E76828" w:rsidRPr="00770F9D" w:rsidRDefault="00E76828" w:rsidP="00400806">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 xml:space="preserve">Fillimi i projekteve pilot për zhvillimin e infrastrukturës </w:t>
      </w:r>
      <w:r w:rsidR="00CB7B7F" w:rsidRPr="00770F9D">
        <w:rPr>
          <w:rFonts w:ascii="Garamond" w:hAnsi="Garamond" w:cs="Garamond"/>
          <w:i/>
          <w:iCs/>
          <w:color w:val="0D0D0D"/>
          <w:sz w:val="24"/>
          <w:szCs w:val="24"/>
          <w:lang w:val="sq-AL"/>
        </w:rPr>
        <w:t>broadband</w:t>
      </w:r>
      <w:r w:rsidRPr="00770F9D">
        <w:rPr>
          <w:rFonts w:ascii="Garamond" w:hAnsi="Garamond" w:cs="Garamond"/>
          <w:color w:val="0D0D0D"/>
          <w:sz w:val="24"/>
          <w:szCs w:val="24"/>
          <w:lang w:val="sq-AL"/>
        </w:rPr>
        <w:t xml:space="preserve"> në zonat rurale dhe të largëta;</w:t>
      </w:r>
    </w:p>
    <w:p w14:paraId="2EB1F842" w14:textId="0F9D4F65" w:rsidR="00E76828" w:rsidRPr="00770F9D" w:rsidRDefault="00E76828" w:rsidP="00400806">
      <w:pPr>
        <w:ind w:firstLine="284"/>
        <w:jc w:val="both"/>
        <w:rPr>
          <w:rFonts w:ascii="Garamond" w:hAnsi="Garamond" w:cs="Garamond"/>
          <w:color w:val="0D0D0D"/>
        </w:rPr>
      </w:pPr>
      <w:r w:rsidRPr="00770F9D">
        <w:rPr>
          <w:rFonts w:ascii="Garamond" w:hAnsi="Garamond" w:cs="Garamond"/>
          <w:color w:val="0D0D0D"/>
        </w:rPr>
        <w:t xml:space="preserve">Projektet do të mbështesin Shqipërinë në zhvillimin infrastrukturës </w:t>
      </w:r>
      <w:r w:rsidR="00CB7B7F" w:rsidRPr="00770F9D">
        <w:rPr>
          <w:rFonts w:ascii="Garamond" w:hAnsi="Garamond" w:cs="Garamond"/>
          <w:i/>
          <w:iCs/>
          <w:color w:val="0D0D0D"/>
        </w:rPr>
        <w:t>broadband</w:t>
      </w:r>
      <w:r w:rsidRPr="00770F9D">
        <w:rPr>
          <w:rFonts w:ascii="Garamond" w:hAnsi="Garamond" w:cs="Garamond"/>
          <w:color w:val="0D0D0D"/>
        </w:rPr>
        <w:t xml:space="preserve"> në zonat rurale, duke përgatitur Projektin e Detajuar për projektin e zhvillimit </w:t>
      </w:r>
      <w:r w:rsidR="00CB7B7F" w:rsidRPr="00770F9D">
        <w:rPr>
          <w:rFonts w:ascii="Garamond" w:hAnsi="Garamond" w:cs="Garamond"/>
          <w:i/>
          <w:iCs/>
          <w:color w:val="0D0D0D"/>
        </w:rPr>
        <w:t>broadband</w:t>
      </w:r>
      <w:r w:rsidRPr="00770F9D">
        <w:rPr>
          <w:rFonts w:ascii="Garamond" w:hAnsi="Garamond" w:cs="Garamond"/>
          <w:color w:val="0D0D0D"/>
        </w:rPr>
        <w:t xml:space="preserve"> në zonat rurale dhe të largëta. Studimi do t’i sigurojë përfituesit një vlerësim të detajuar të skenarit të vendosjes së </w:t>
      </w:r>
      <w:r w:rsidR="00CB7B7F" w:rsidRPr="00770F9D">
        <w:rPr>
          <w:rFonts w:ascii="Garamond" w:hAnsi="Garamond" w:cs="Garamond"/>
          <w:i/>
          <w:iCs/>
          <w:color w:val="0D0D0D"/>
        </w:rPr>
        <w:t>broadband</w:t>
      </w:r>
      <w:r w:rsidRPr="00770F9D">
        <w:rPr>
          <w:rFonts w:ascii="Garamond" w:hAnsi="Garamond" w:cs="Garamond"/>
          <w:color w:val="0D0D0D"/>
        </w:rPr>
        <w:t xml:space="preserve"> dhe veçanërisht për kapërcimin e hendeqeve digjitale të identifikuara.</w:t>
      </w:r>
    </w:p>
    <w:p w14:paraId="7C8DD0DE" w14:textId="4945439B" w:rsidR="00E76828" w:rsidRPr="00672939" w:rsidRDefault="00E76828" w:rsidP="00400806">
      <w:pPr>
        <w:pStyle w:val="ListParagraph"/>
        <w:ind w:left="0" w:firstLine="284"/>
        <w:jc w:val="both"/>
        <w:rPr>
          <w:rFonts w:ascii="Garamond" w:hAnsi="Garamond" w:cs="Garamond"/>
          <w:i/>
          <w:iCs/>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 xml:space="preserve">Krijimi i sinergjive me projekte shërbimesh: ndjekja e rekomandimeve të studimit Ballkan </w:t>
      </w:r>
      <w:r w:rsidRPr="00672939">
        <w:rPr>
          <w:rFonts w:ascii="Garamond" w:hAnsi="Garamond" w:cs="Garamond"/>
          <w:i/>
          <w:iCs/>
          <w:color w:val="0D0D0D"/>
          <w:sz w:val="24"/>
          <w:szCs w:val="24"/>
          <w:lang w:val="sq-AL"/>
        </w:rPr>
        <w:t>Digital Highway.</w:t>
      </w:r>
    </w:p>
    <w:p w14:paraId="6792CD22" w14:textId="6FB286CC" w:rsidR="00E76828" w:rsidRPr="00770F9D" w:rsidRDefault="00E76828" w:rsidP="00400806">
      <w:pPr>
        <w:ind w:firstLine="284"/>
        <w:jc w:val="both"/>
        <w:rPr>
          <w:rFonts w:ascii="Garamond" w:hAnsi="Garamond"/>
          <w:color w:val="0D0D0D"/>
        </w:rPr>
      </w:pPr>
      <w:r w:rsidRPr="00770F9D">
        <w:rPr>
          <w:rFonts w:ascii="Garamond" w:hAnsi="Garamond" w:cs="Garamond"/>
          <w:color w:val="0D0D0D"/>
        </w:rPr>
        <w:t xml:space="preserve">Inkurajimi i sinergjisë në projektet e shërbimeve si energjia, uji, gazi, transporti, do të jetë gjithashtu një mundësi për të ulur kostot për zhvillimin e infrastrukturës </w:t>
      </w:r>
      <w:r w:rsidR="00CB7B7F" w:rsidRPr="00770F9D">
        <w:rPr>
          <w:rFonts w:ascii="Garamond" w:hAnsi="Garamond" w:cs="Garamond"/>
          <w:i/>
          <w:iCs/>
          <w:color w:val="0D0D0D"/>
        </w:rPr>
        <w:t>Broadband</w:t>
      </w:r>
      <w:r w:rsidRPr="00770F9D">
        <w:rPr>
          <w:rFonts w:ascii="Garamond" w:hAnsi="Garamond" w:cs="Garamond"/>
          <w:color w:val="0D0D0D"/>
        </w:rPr>
        <w:t>.</w:t>
      </w:r>
    </w:p>
    <w:p w14:paraId="4194034D" w14:textId="6CDFCBBA" w:rsidR="00E76828" w:rsidRPr="00770F9D" w:rsidRDefault="00E76828" w:rsidP="000F6F7A">
      <w:pPr>
        <w:pStyle w:val="ListParagraph"/>
        <w:ind w:left="0" w:firstLine="284"/>
        <w:jc w:val="both"/>
        <w:rPr>
          <w:rFonts w:ascii="Garamond" w:hAnsi="Garamond" w:cs="Garamond"/>
          <w:b/>
          <w:bCs/>
          <w:color w:val="0D0D0D"/>
          <w:sz w:val="24"/>
          <w:szCs w:val="24"/>
          <w:lang w:val="sq-AL"/>
        </w:rPr>
      </w:pPr>
      <w:r w:rsidRPr="00770F9D">
        <w:rPr>
          <w:rFonts w:ascii="Garamond" w:hAnsi="Garamond" w:cs="Garamond"/>
          <w:b/>
          <w:bCs/>
          <w:color w:val="0D0D0D"/>
          <w:sz w:val="24"/>
          <w:szCs w:val="24"/>
          <w:lang w:val="sq-AL"/>
        </w:rPr>
        <w:t>a</w:t>
      </w:r>
      <w:r w:rsidR="00CB7B7F" w:rsidRPr="00770F9D">
        <w:rPr>
          <w:rFonts w:ascii="Garamond" w:hAnsi="Garamond" w:cs="Garamond"/>
          <w:b/>
          <w:bCs/>
          <w:color w:val="0D0D0D"/>
          <w:sz w:val="24"/>
          <w:szCs w:val="24"/>
          <w:lang w:val="sq-AL"/>
        </w:rPr>
        <w:t>)</w:t>
      </w:r>
      <w:r w:rsidR="00BA4F1A" w:rsidRPr="00770F9D">
        <w:rPr>
          <w:rFonts w:ascii="Garamond" w:hAnsi="Garamond" w:cs="Garamond"/>
          <w:b/>
          <w:bCs/>
          <w:color w:val="0D0D0D"/>
          <w:sz w:val="24"/>
          <w:szCs w:val="24"/>
          <w:lang w:val="sq-AL"/>
        </w:rPr>
        <w:t xml:space="preserve"> </w:t>
      </w:r>
      <w:r w:rsidRPr="00770F9D">
        <w:rPr>
          <w:rFonts w:ascii="Garamond" w:hAnsi="Garamond" w:cs="Garamond"/>
          <w:b/>
          <w:bCs/>
          <w:color w:val="0D0D0D"/>
          <w:sz w:val="24"/>
          <w:szCs w:val="24"/>
          <w:lang w:val="sq-AL"/>
        </w:rPr>
        <w:t xml:space="preserve">Aktivitete të planifikuara </w:t>
      </w:r>
      <w:r w:rsidR="000F6F7A">
        <w:rPr>
          <w:rFonts w:ascii="Garamond" w:hAnsi="Garamond" w:cs="Garamond"/>
          <w:b/>
          <w:bCs/>
          <w:color w:val="0D0D0D"/>
          <w:sz w:val="24"/>
          <w:szCs w:val="24"/>
          <w:lang w:val="sq-AL"/>
        </w:rPr>
        <w:t>m</w:t>
      </w:r>
      <w:r w:rsidRPr="00770F9D">
        <w:rPr>
          <w:rFonts w:ascii="Garamond" w:hAnsi="Garamond" w:cs="Garamond"/>
          <w:b/>
          <w:bCs/>
          <w:color w:val="0D0D0D"/>
          <w:sz w:val="24"/>
          <w:szCs w:val="24"/>
          <w:lang w:val="sq-AL"/>
        </w:rPr>
        <w:t>ë 2023</w:t>
      </w:r>
      <w:r w:rsidR="00672939">
        <w:rPr>
          <w:rFonts w:ascii="Garamond" w:hAnsi="Garamond" w:cs="Garamond"/>
          <w:b/>
          <w:bCs/>
          <w:color w:val="0D0D0D"/>
          <w:sz w:val="24"/>
          <w:szCs w:val="24"/>
          <w:lang w:val="sq-AL"/>
        </w:rPr>
        <w:t>-shin</w:t>
      </w:r>
    </w:p>
    <w:p w14:paraId="664F6EF9" w14:textId="5A94C666" w:rsidR="00E76828" w:rsidRPr="00770F9D" w:rsidRDefault="00E76828" w:rsidP="00400806">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a</w:t>
      </w:r>
      <w:r w:rsidR="00CB7B7F"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 xml:space="preserve">Ngritja e zyrës kombëtare kompetente për </w:t>
      </w:r>
      <w:r w:rsidR="00CB7B7F" w:rsidRPr="00770F9D">
        <w:rPr>
          <w:rFonts w:ascii="Garamond" w:hAnsi="Garamond" w:cs="Garamond"/>
          <w:i/>
          <w:iCs/>
          <w:color w:val="0D0D0D"/>
          <w:sz w:val="24"/>
          <w:szCs w:val="24"/>
          <w:lang w:val="sq-AL"/>
        </w:rPr>
        <w:t>broadband</w:t>
      </w:r>
      <w:r w:rsidRPr="00770F9D">
        <w:rPr>
          <w:rFonts w:ascii="Garamond" w:hAnsi="Garamond" w:cs="Garamond"/>
          <w:color w:val="0D0D0D"/>
          <w:sz w:val="24"/>
          <w:szCs w:val="24"/>
          <w:lang w:val="sq-AL"/>
        </w:rPr>
        <w:t>-in BCO (Institucioni Implementues: MIE);</w:t>
      </w:r>
    </w:p>
    <w:p w14:paraId="106123AC" w14:textId="248B4CBF" w:rsidR="00E76828" w:rsidRPr="00770F9D" w:rsidRDefault="00E76828" w:rsidP="00400806">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b</w:t>
      </w:r>
      <w:r w:rsidR="00CB7B7F"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 xml:space="preserve">Investime në zonat e bardha (Institucioni implementues: MIE); Në vazhdim - Projektipër zhvillimin e infrastrukturës </w:t>
      </w:r>
      <w:r w:rsidR="00CB7B7F" w:rsidRPr="00770F9D">
        <w:rPr>
          <w:rFonts w:ascii="Garamond" w:hAnsi="Garamond" w:cs="Garamond"/>
          <w:i/>
          <w:iCs/>
          <w:color w:val="0D0D0D"/>
          <w:sz w:val="24"/>
          <w:szCs w:val="24"/>
          <w:lang w:val="sq-AL"/>
        </w:rPr>
        <w:t>broadband</w:t>
      </w:r>
      <w:r w:rsidRPr="00770F9D">
        <w:rPr>
          <w:rFonts w:ascii="Garamond" w:hAnsi="Garamond" w:cs="Garamond"/>
          <w:color w:val="0D0D0D"/>
          <w:sz w:val="24"/>
          <w:szCs w:val="24"/>
          <w:lang w:val="sq-AL"/>
        </w:rPr>
        <w:t xml:space="preserve"> në Veri dhe në Jug (zonat rurale dhe të largëta/zonat turistike në Veri dhe në Jug të Shqipërisë (Shkodër, Kukës, Tropojë, Dibër/ Vlorë, Gjirokastër, Fier, Berat, Korçë). (Institucioni implementues: MIE);</w:t>
      </w:r>
    </w:p>
    <w:p w14:paraId="79A22F75" w14:textId="269345C0" w:rsidR="00E76828" w:rsidRPr="00770F9D" w:rsidRDefault="00E76828" w:rsidP="00400806">
      <w:pPr>
        <w:ind w:firstLine="284"/>
        <w:jc w:val="both"/>
        <w:rPr>
          <w:rFonts w:ascii="Garamond" w:hAnsi="Garamond" w:cs="Garamond"/>
          <w:color w:val="0D0D0D"/>
        </w:rPr>
      </w:pPr>
      <w:r w:rsidRPr="00770F9D">
        <w:rPr>
          <w:rFonts w:ascii="Garamond" w:hAnsi="Garamond" w:cs="Garamond"/>
          <w:color w:val="0D0D0D"/>
        </w:rPr>
        <w:t>c</w:t>
      </w:r>
      <w:r w:rsidR="00CB7B7F" w:rsidRPr="00770F9D">
        <w:rPr>
          <w:rFonts w:ascii="Garamond" w:hAnsi="Garamond" w:cs="Garamond"/>
          <w:color w:val="0D0D0D"/>
        </w:rPr>
        <w:t>)</w:t>
      </w:r>
      <w:r w:rsidR="00BA4F1A" w:rsidRPr="00770F9D">
        <w:rPr>
          <w:rFonts w:ascii="Garamond" w:hAnsi="Garamond" w:cs="Garamond"/>
          <w:color w:val="0D0D0D"/>
        </w:rPr>
        <w:t xml:space="preserve"> </w:t>
      </w:r>
      <w:r w:rsidRPr="00770F9D">
        <w:rPr>
          <w:rFonts w:ascii="Garamond" w:hAnsi="Garamond" w:cs="Garamond"/>
          <w:color w:val="0D0D0D"/>
        </w:rPr>
        <w:t>Zhvillimi i rrjeteve 5G (</w:t>
      </w:r>
      <w:r w:rsidR="003F4C96" w:rsidRPr="00770F9D">
        <w:rPr>
          <w:rFonts w:ascii="Garamond" w:hAnsi="Garamond" w:cs="Garamond"/>
          <w:color w:val="0D0D0D"/>
        </w:rPr>
        <w:t>2023–2025</w:t>
      </w:r>
      <w:r w:rsidRPr="00770F9D">
        <w:rPr>
          <w:rFonts w:ascii="Garamond" w:hAnsi="Garamond" w:cs="Garamond"/>
          <w:color w:val="0D0D0D"/>
        </w:rPr>
        <w:t>) (Institucioni zbatues: MIE/AKEP);</w:t>
      </w:r>
    </w:p>
    <w:p w14:paraId="5E03A1A0" w14:textId="20E1E0FA" w:rsidR="00E76828" w:rsidRPr="00770F9D" w:rsidRDefault="00E76828" w:rsidP="00400806">
      <w:pPr>
        <w:ind w:firstLine="284"/>
        <w:jc w:val="both"/>
        <w:rPr>
          <w:rFonts w:ascii="Garamond" w:hAnsi="Garamond" w:cs="Garamond"/>
          <w:color w:val="0D0D0D"/>
        </w:rPr>
      </w:pPr>
      <w:r w:rsidRPr="00770F9D">
        <w:rPr>
          <w:rFonts w:ascii="Garamond" w:hAnsi="Garamond" w:cs="Garamond"/>
          <w:color w:val="0D0D0D"/>
        </w:rPr>
        <w:t>d</w:t>
      </w:r>
      <w:r w:rsidR="00CB7B7F" w:rsidRPr="00770F9D">
        <w:rPr>
          <w:rFonts w:ascii="Garamond" w:hAnsi="Garamond" w:cs="Garamond"/>
          <w:color w:val="0D0D0D"/>
        </w:rPr>
        <w:t>)</w:t>
      </w:r>
      <w:r w:rsidR="00BA4F1A" w:rsidRPr="00770F9D">
        <w:rPr>
          <w:rFonts w:ascii="Garamond" w:hAnsi="Garamond" w:cs="Garamond"/>
          <w:color w:val="0D0D0D"/>
        </w:rPr>
        <w:t xml:space="preserve"> </w:t>
      </w:r>
      <w:r w:rsidRPr="00770F9D">
        <w:rPr>
          <w:rFonts w:ascii="Garamond" w:hAnsi="Garamond" w:cs="Garamond"/>
          <w:color w:val="0D0D0D"/>
        </w:rPr>
        <w:t>Lirimi i brezit të frekuencave 700 MHz, Dividend digjital 2 (DD2) për zhvillimin e 5G (</w:t>
      </w:r>
      <w:r w:rsidR="003F4C96" w:rsidRPr="00770F9D">
        <w:rPr>
          <w:rFonts w:ascii="Garamond" w:hAnsi="Garamond" w:cs="Garamond"/>
          <w:color w:val="0D0D0D"/>
        </w:rPr>
        <w:t>2023–2025</w:t>
      </w:r>
      <w:r w:rsidRPr="00770F9D">
        <w:rPr>
          <w:rFonts w:ascii="Garamond" w:hAnsi="Garamond" w:cs="Garamond"/>
          <w:color w:val="0D0D0D"/>
        </w:rPr>
        <w:t>) (Institucioni zbatues: MIE, AMA, AKEP);</w:t>
      </w:r>
    </w:p>
    <w:p w14:paraId="4C5C565C" w14:textId="4DF85918" w:rsidR="00E76828" w:rsidRPr="00770F9D" w:rsidRDefault="00E76828" w:rsidP="00400806">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e</w:t>
      </w:r>
      <w:r w:rsidR="00CB7B7F"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Hartimi i ligjit të ri për komunikimet elektronike (transpozimi i direktivës 2018/1972/BE) (Institucioni zbatues: MIE, AKEP)</w:t>
      </w:r>
      <w:r w:rsidR="007B4BF2">
        <w:rPr>
          <w:rFonts w:ascii="Garamond" w:hAnsi="Garamond" w:cs="Garamond"/>
          <w:color w:val="0D0D0D"/>
          <w:sz w:val="24"/>
          <w:szCs w:val="24"/>
          <w:lang w:val="sq-AL"/>
        </w:rPr>
        <w:t>.</w:t>
      </w:r>
    </w:p>
    <w:p w14:paraId="0D69DC18" w14:textId="2F71749E" w:rsidR="00E76828" w:rsidRPr="00770F9D" w:rsidRDefault="00E76828" w:rsidP="000F6F7A">
      <w:pPr>
        <w:pStyle w:val="ListParagraph"/>
        <w:ind w:left="0" w:firstLine="284"/>
        <w:jc w:val="both"/>
        <w:rPr>
          <w:rFonts w:ascii="Garamond" w:hAnsi="Garamond" w:cs="Garamond"/>
          <w:b/>
          <w:bCs/>
          <w:color w:val="0D0D0D"/>
          <w:sz w:val="24"/>
          <w:szCs w:val="24"/>
          <w:lang w:val="sq-AL"/>
        </w:rPr>
      </w:pPr>
      <w:r w:rsidRPr="00770F9D">
        <w:rPr>
          <w:rFonts w:ascii="Garamond" w:hAnsi="Garamond" w:cs="Garamond"/>
          <w:b/>
          <w:bCs/>
          <w:color w:val="0D0D0D"/>
          <w:sz w:val="24"/>
          <w:szCs w:val="24"/>
          <w:lang w:val="sq-AL"/>
        </w:rPr>
        <w:t>b</w:t>
      </w:r>
      <w:r w:rsidR="00CB7B7F" w:rsidRPr="00770F9D">
        <w:rPr>
          <w:rFonts w:ascii="Garamond" w:hAnsi="Garamond" w:cs="Garamond"/>
          <w:b/>
          <w:bCs/>
          <w:color w:val="0D0D0D"/>
          <w:sz w:val="24"/>
          <w:szCs w:val="24"/>
          <w:lang w:val="sq-AL"/>
        </w:rPr>
        <w:t>)</w:t>
      </w:r>
      <w:r w:rsidR="00BA4F1A" w:rsidRPr="00770F9D">
        <w:rPr>
          <w:rFonts w:ascii="Garamond" w:hAnsi="Garamond" w:cs="Garamond"/>
          <w:b/>
          <w:bCs/>
          <w:color w:val="0D0D0D"/>
          <w:sz w:val="24"/>
          <w:szCs w:val="24"/>
          <w:lang w:val="sq-AL"/>
        </w:rPr>
        <w:t xml:space="preserve"> </w:t>
      </w:r>
      <w:r w:rsidRPr="00770F9D">
        <w:rPr>
          <w:rFonts w:ascii="Garamond" w:hAnsi="Garamond" w:cs="Garamond"/>
          <w:b/>
          <w:bCs/>
          <w:color w:val="0D0D0D"/>
          <w:sz w:val="24"/>
          <w:szCs w:val="24"/>
          <w:lang w:val="sq-AL"/>
        </w:rPr>
        <w:t xml:space="preserve">Aktivitete të planifikuara </w:t>
      </w:r>
      <w:r w:rsidR="000F6F7A">
        <w:rPr>
          <w:rFonts w:ascii="Garamond" w:hAnsi="Garamond" w:cs="Garamond"/>
          <w:b/>
          <w:bCs/>
          <w:color w:val="0D0D0D"/>
          <w:sz w:val="24"/>
          <w:szCs w:val="24"/>
          <w:lang w:val="sq-AL"/>
        </w:rPr>
        <w:t>m</w:t>
      </w:r>
      <w:r w:rsidRPr="00770F9D">
        <w:rPr>
          <w:rFonts w:ascii="Garamond" w:hAnsi="Garamond" w:cs="Garamond"/>
          <w:b/>
          <w:bCs/>
          <w:color w:val="0D0D0D"/>
          <w:sz w:val="24"/>
          <w:szCs w:val="24"/>
          <w:lang w:val="sq-AL"/>
        </w:rPr>
        <w:t>ë 2024</w:t>
      </w:r>
      <w:r w:rsidR="007B4BF2">
        <w:rPr>
          <w:rFonts w:ascii="Garamond" w:hAnsi="Garamond" w:cs="Garamond"/>
          <w:b/>
          <w:bCs/>
          <w:color w:val="0D0D0D"/>
          <w:sz w:val="24"/>
          <w:szCs w:val="24"/>
          <w:lang w:val="sq-AL"/>
        </w:rPr>
        <w:t>-n</w:t>
      </w:r>
    </w:p>
    <w:p w14:paraId="312D41F0" w14:textId="337DC281" w:rsidR="00E76828" w:rsidRPr="00770F9D" w:rsidRDefault="00E76828" w:rsidP="00400806">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a</w:t>
      </w:r>
      <w:r w:rsidR="00CB7B7F"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Investime në zonat e bardha (</w:t>
      </w:r>
      <w:r w:rsidR="00FD466A" w:rsidRPr="00770F9D">
        <w:rPr>
          <w:rFonts w:ascii="Garamond" w:hAnsi="Garamond" w:cs="Garamond"/>
          <w:color w:val="0D0D0D"/>
          <w:sz w:val="24"/>
          <w:szCs w:val="24"/>
          <w:lang w:val="sq-AL"/>
        </w:rPr>
        <w:t xml:space="preserve">institucioni </w:t>
      </w:r>
      <w:r w:rsidRPr="00770F9D">
        <w:rPr>
          <w:rFonts w:ascii="Garamond" w:hAnsi="Garamond" w:cs="Garamond"/>
          <w:color w:val="0D0D0D"/>
          <w:sz w:val="24"/>
          <w:szCs w:val="24"/>
          <w:lang w:val="sq-AL"/>
        </w:rPr>
        <w:t>implementues:</w:t>
      </w:r>
      <w:r w:rsidR="007B4BF2">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MIE)</w:t>
      </w:r>
      <w:r w:rsidR="007B4BF2">
        <w:rPr>
          <w:rFonts w:ascii="Garamond" w:hAnsi="Garamond" w:cs="Garamond"/>
          <w:color w:val="0D0D0D"/>
          <w:sz w:val="24"/>
          <w:szCs w:val="24"/>
          <w:lang w:val="sq-AL"/>
        </w:rPr>
        <w:t>;</w:t>
      </w:r>
    </w:p>
    <w:p w14:paraId="30475706" w14:textId="5705C884" w:rsidR="00E76828" w:rsidRPr="00770F9D" w:rsidRDefault="00E76828" w:rsidP="007B4BF2">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b</w:t>
      </w:r>
      <w:r w:rsidR="00CB7B7F"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 xml:space="preserve">Rritja, fuqizimi i kapaciteteve për të nxitur transformimin digjital dhe zhvillimin e infrastrukturës </w:t>
      </w:r>
      <w:r w:rsidR="00CB7B7F" w:rsidRPr="00770F9D">
        <w:rPr>
          <w:rFonts w:ascii="Garamond" w:hAnsi="Garamond" w:cs="Garamond"/>
          <w:i/>
          <w:iCs/>
          <w:color w:val="0D0D0D"/>
          <w:sz w:val="24"/>
          <w:szCs w:val="24"/>
          <w:lang w:val="sq-AL"/>
        </w:rPr>
        <w:t>broadband</w:t>
      </w:r>
      <w:r w:rsidRPr="00770F9D">
        <w:rPr>
          <w:rFonts w:ascii="Garamond" w:hAnsi="Garamond" w:cs="Garamond"/>
          <w:color w:val="0D0D0D"/>
          <w:sz w:val="24"/>
          <w:szCs w:val="24"/>
          <w:lang w:val="sq-AL"/>
        </w:rPr>
        <w:t xml:space="preserve"> (</w:t>
      </w:r>
      <w:r w:rsidR="00FD466A" w:rsidRPr="00770F9D">
        <w:rPr>
          <w:rFonts w:ascii="Garamond" w:hAnsi="Garamond" w:cs="Garamond"/>
          <w:color w:val="0D0D0D"/>
          <w:sz w:val="24"/>
          <w:szCs w:val="24"/>
          <w:lang w:val="sq-AL"/>
        </w:rPr>
        <w:t xml:space="preserve">institucioni </w:t>
      </w:r>
      <w:r w:rsidRPr="00770F9D">
        <w:rPr>
          <w:rFonts w:ascii="Garamond" w:hAnsi="Garamond" w:cs="Garamond"/>
          <w:color w:val="0D0D0D"/>
          <w:sz w:val="24"/>
          <w:szCs w:val="24"/>
          <w:lang w:val="sq-AL"/>
        </w:rPr>
        <w:t>zbatues: MIE institucione të tjera të lidhura)</w:t>
      </w:r>
      <w:r w:rsidR="007B4BF2">
        <w:rPr>
          <w:rFonts w:ascii="Garamond" w:hAnsi="Garamond" w:cs="Garamond"/>
          <w:color w:val="0D0D0D"/>
          <w:sz w:val="24"/>
          <w:szCs w:val="24"/>
          <w:lang w:val="sq-AL"/>
        </w:rPr>
        <w:t>;</w:t>
      </w:r>
    </w:p>
    <w:p w14:paraId="3BE25BEB" w14:textId="6F7869D6" w:rsidR="00E76828" w:rsidRPr="00770F9D" w:rsidRDefault="00E76828" w:rsidP="00400806">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c</w:t>
      </w:r>
      <w:r w:rsidR="00CB7B7F"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Zhvillimi i rrjeteve 5G (</w:t>
      </w:r>
      <w:r w:rsidR="003F4C96" w:rsidRPr="00770F9D">
        <w:rPr>
          <w:rFonts w:ascii="Garamond" w:hAnsi="Garamond" w:cs="Garamond"/>
          <w:color w:val="0D0D0D"/>
          <w:sz w:val="24"/>
          <w:szCs w:val="24"/>
          <w:lang w:val="sq-AL"/>
        </w:rPr>
        <w:t>2023–2025</w:t>
      </w:r>
      <w:r w:rsidRPr="00770F9D">
        <w:rPr>
          <w:rFonts w:ascii="Garamond" w:hAnsi="Garamond" w:cs="Garamond"/>
          <w:color w:val="0D0D0D"/>
          <w:sz w:val="24"/>
          <w:szCs w:val="24"/>
          <w:lang w:val="sq-AL"/>
        </w:rPr>
        <w:t>) (</w:t>
      </w:r>
      <w:r w:rsidR="00FD466A" w:rsidRPr="00770F9D">
        <w:rPr>
          <w:rFonts w:ascii="Garamond" w:hAnsi="Garamond" w:cs="Garamond"/>
          <w:color w:val="0D0D0D"/>
          <w:sz w:val="24"/>
          <w:szCs w:val="24"/>
          <w:lang w:val="sq-AL"/>
        </w:rPr>
        <w:t xml:space="preserve">institucioni </w:t>
      </w:r>
      <w:r w:rsidRPr="00770F9D">
        <w:rPr>
          <w:rFonts w:ascii="Garamond" w:hAnsi="Garamond" w:cs="Garamond"/>
          <w:color w:val="0D0D0D"/>
          <w:sz w:val="24"/>
          <w:szCs w:val="24"/>
          <w:lang w:val="sq-AL"/>
        </w:rPr>
        <w:t>zbatues: MIE/AKEP);</w:t>
      </w:r>
    </w:p>
    <w:p w14:paraId="75ED1EEF" w14:textId="79811A05" w:rsidR="00E76828" w:rsidRPr="00770F9D" w:rsidRDefault="00E76828" w:rsidP="00400806">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d</w:t>
      </w:r>
      <w:r w:rsidR="00CB7B7F"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Promovimi i Agjendës së Gjelbër në fushën digjitale</w:t>
      </w:r>
      <w:r w:rsidR="00FD466A">
        <w:rPr>
          <w:rFonts w:ascii="Garamond" w:hAnsi="Garamond" w:cs="Garamond"/>
          <w:color w:val="0D0D0D"/>
          <w:sz w:val="24"/>
          <w:szCs w:val="24"/>
          <w:lang w:val="sq-AL"/>
        </w:rPr>
        <w:t>,</w:t>
      </w:r>
      <w:r w:rsidRPr="00770F9D">
        <w:rPr>
          <w:rFonts w:ascii="Garamond" w:hAnsi="Garamond" w:cs="Garamond"/>
          <w:color w:val="0D0D0D"/>
          <w:sz w:val="24"/>
          <w:szCs w:val="24"/>
          <w:lang w:val="sq-AL"/>
        </w:rPr>
        <w:t xml:space="preserve"> duke inicuar ose mbështetur projektin digjit</w:t>
      </w:r>
      <w:r w:rsidR="00CB7B7F" w:rsidRPr="00770F9D">
        <w:rPr>
          <w:rFonts w:ascii="Garamond" w:hAnsi="Garamond" w:cs="Garamond"/>
          <w:color w:val="0D0D0D"/>
          <w:sz w:val="24"/>
          <w:szCs w:val="24"/>
          <w:lang w:val="sq-AL"/>
        </w:rPr>
        <w:t>a</w:t>
      </w:r>
      <w:r w:rsidRPr="00770F9D">
        <w:rPr>
          <w:rFonts w:ascii="Garamond" w:hAnsi="Garamond" w:cs="Garamond"/>
          <w:color w:val="0D0D0D"/>
          <w:sz w:val="24"/>
          <w:szCs w:val="24"/>
          <w:lang w:val="sq-AL"/>
        </w:rPr>
        <w:t>l të gjelbër të ndërmarrë nga palët e interesuara p.sh. aktorët e tregut</w:t>
      </w:r>
      <w:r w:rsidR="007B4BF2">
        <w:rPr>
          <w:rFonts w:ascii="Garamond" w:hAnsi="Garamond" w:cs="Garamond"/>
          <w:color w:val="0D0D0D"/>
          <w:sz w:val="24"/>
          <w:szCs w:val="24"/>
          <w:lang w:val="sq-AL"/>
        </w:rPr>
        <w:t>.</w:t>
      </w:r>
    </w:p>
    <w:p w14:paraId="24C8AB7D" w14:textId="7065489E" w:rsidR="00E76828" w:rsidRPr="00770F9D" w:rsidRDefault="00E76828" w:rsidP="000F6F7A">
      <w:pPr>
        <w:pStyle w:val="ListParagraph"/>
        <w:ind w:left="0" w:firstLine="284"/>
        <w:jc w:val="both"/>
        <w:rPr>
          <w:rFonts w:ascii="Garamond" w:hAnsi="Garamond" w:cs="Garamond"/>
          <w:b/>
          <w:bCs/>
          <w:color w:val="0D0D0D"/>
          <w:sz w:val="24"/>
          <w:szCs w:val="24"/>
          <w:lang w:val="sq-AL"/>
        </w:rPr>
      </w:pPr>
      <w:r w:rsidRPr="00770F9D">
        <w:rPr>
          <w:rFonts w:ascii="Garamond" w:hAnsi="Garamond" w:cs="Garamond"/>
          <w:b/>
          <w:bCs/>
          <w:color w:val="0D0D0D"/>
          <w:sz w:val="24"/>
          <w:szCs w:val="24"/>
          <w:lang w:val="sq-AL"/>
        </w:rPr>
        <w:t>c</w:t>
      </w:r>
      <w:r w:rsidR="00CB7B7F" w:rsidRPr="00770F9D">
        <w:rPr>
          <w:rFonts w:ascii="Garamond" w:hAnsi="Garamond" w:cs="Garamond"/>
          <w:b/>
          <w:bCs/>
          <w:color w:val="0D0D0D"/>
          <w:sz w:val="24"/>
          <w:szCs w:val="24"/>
          <w:lang w:val="sq-AL"/>
        </w:rPr>
        <w:t>)</w:t>
      </w:r>
      <w:r w:rsidR="00BA4F1A" w:rsidRPr="00770F9D">
        <w:rPr>
          <w:rFonts w:ascii="Garamond" w:hAnsi="Garamond" w:cs="Garamond"/>
          <w:b/>
          <w:bCs/>
          <w:color w:val="0D0D0D"/>
          <w:sz w:val="24"/>
          <w:szCs w:val="24"/>
          <w:lang w:val="sq-AL"/>
        </w:rPr>
        <w:t xml:space="preserve"> </w:t>
      </w:r>
      <w:r w:rsidRPr="00770F9D">
        <w:rPr>
          <w:rFonts w:ascii="Garamond" w:hAnsi="Garamond" w:cs="Garamond"/>
          <w:b/>
          <w:bCs/>
          <w:color w:val="0D0D0D"/>
          <w:sz w:val="24"/>
          <w:szCs w:val="24"/>
          <w:lang w:val="sq-AL"/>
        </w:rPr>
        <w:t xml:space="preserve">Aktivitete të planifikuara </w:t>
      </w:r>
      <w:r w:rsidR="000F6F7A">
        <w:rPr>
          <w:rFonts w:ascii="Garamond" w:hAnsi="Garamond" w:cs="Garamond"/>
          <w:b/>
          <w:bCs/>
          <w:color w:val="0D0D0D"/>
          <w:sz w:val="24"/>
          <w:szCs w:val="24"/>
          <w:lang w:val="sq-AL"/>
        </w:rPr>
        <w:t>m</w:t>
      </w:r>
      <w:r w:rsidRPr="00770F9D">
        <w:rPr>
          <w:rFonts w:ascii="Garamond" w:hAnsi="Garamond" w:cs="Garamond"/>
          <w:b/>
          <w:bCs/>
          <w:color w:val="0D0D0D"/>
          <w:sz w:val="24"/>
          <w:szCs w:val="24"/>
          <w:lang w:val="sq-AL"/>
        </w:rPr>
        <w:t>ë 2025</w:t>
      </w:r>
      <w:r w:rsidR="00FD466A">
        <w:rPr>
          <w:rFonts w:ascii="Garamond" w:hAnsi="Garamond" w:cs="Garamond"/>
          <w:b/>
          <w:bCs/>
          <w:color w:val="0D0D0D"/>
          <w:sz w:val="24"/>
          <w:szCs w:val="24"/>
          <w:lang w:val="sq-AL"/>
        </w:rPr>
        <w:t>-n</w:t>
      </w:r>
    </w:p>
    <w:p w14:paraId="4167AD35" w14:textId="7DCB3163" w:rsidR="00E76828" w:rsidRPr="00770F9D" w:rsidRDefault="00E76828" w:rsidP="00400806">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a</w:t>
      </w:r>
      <w:r w:rsidR="00CB7B7F" w:rsidRPr="00770F9D">
        <w:rPr>
          <w:rFonts w:ascii="Garamond" w:hAnsi="Garamond" w:cs="Garamond"/>
          <w:color w:val="0D0D0D"/>
          <w:sz w:val="24"/>
          <w:szCs w:val="24"/>
          <w:lang w:val="sq-AL"/>
        </w:rPr>
        <w:t>)</w:t>
      </w:r>
      <w:r w:rsidR="003A688C">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Investime në zonat e bardha (</w:t>
      </w:r>
      <w:r w:rsidR="003A688C" w:rsidRPr="00770F9D">
        <w:rPr>
          <w:rFonts w:ascii="Garamond" w:hAnsi="Garamond" w:cs="Garamond"/>
          <w:color w:val="0D0D0D"/>
          <w:sz w:val="24"/>
          <w:szCs w:val="24"/>
          <w:lang w:val="sq-AL"/>
        </w:rPr>
        <w:t xml:space="preserve">institucioni </w:t>
      </w:r>
      <w:r w:rsidRPr="00770F9D">
        <w:rPr>
          <w:rFonts w:ascii="Garamond" w:hAnsi="Garamond" w:cs="Garamond"/>
          <w:color w:val="0D0D0D"/>
          <w:sz w:val="24"/>
          <w:szCs w:val="24"/>
          <w:lang w:val="sq-AL"/>
        </w:rPr>
        <w:t>implementues: MIE)</w:t>
      </w:r>
      <w:r w:rsidR="003A688C">
        <w:rPr>
          <w:rFonts w:ascii="Garamond" w:hAnsi="Garamond" w:cs="Garamond"/>
          <w:color w:val="0D0D0D"/>
          <w:sz w:val="24"/>
          <w:szCs w:val="24"/>
          <w:lang w:val="sq-AL"/>
        </w:rPr>
        <w:t>;</w:t>
      </w:r>
    </w:p>
    <w:p w14:paraId="416C9914" w14:textId="7B7D1BA3" w:rsidR="00E76828" w:rsidRPr="00770F9D" w:rsidRDefault="00E76828" w:rsidP="00400806">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b</w:t>
      </w:r>
      <w:r w:rsidR="00CB7B7F"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Zhvillimi i rrjeteve 5G (</w:t>
      </w:r>
      <w:r w:rsidR="003F4C96" w:rsidRPr="00770F9D">
        <w:rPr>
          <w:rFonts w:ascii="Garamond" w:hAnsi="Garamond" w:cs="Garamond"/>
          <w:color w:val="0D0D0D"/>
          <w:sz w:val="24"/>
          <w:szCs w:val="24"/>
          <w:lang w:val="sq-AL"/>
        </w:rPr>
        <w:t>2023–2025</w:t>
      </w:r>
      <w:r w:rsidRPr="00770F9D">
        <w:rPr>
          <w:rFonts w:ascii="Garamond" w:hAnsi="Garamond" w:cs="Garamond"/>
          <w:color w:val="0D0D0D"/>
          <w:sz w:val="24"/>
          <w:szCs w:val="24"/>
          <w:lang w:val="sq-AL"/>
        </w:rPr>
        <w:t>) (</w:t>
      </w:r>
      <w:r w:rsidR="003A688C" w:rsidRPr="00770F9D">
        <w:rPr>
          <w:rFonts w:ascii="Garamond" w:hAnsi="Garamond" w:cs="Garamond"/>
          <w:color w:val="0D0D0D"/>
          <w:sz w:val="24"/>
          <w:szCs w:val="24"/>
          <w:lang w:val="sq-AL"/>
        </w:rPr>
        <w:t xml:space="preserve">institucioni </w:t>
      </w:r>
      <w:r w:rsidRPr="00770F9D">
        <w:rPr>
          <w:rFonts w:ascii="Garamond" w:hAnsi="Garamond" w:cs="Garamond"/>
          <w:color w:val="0D0D0D"/>
          <w:sz w:val="24"/>
          <w:szCs w:val="24"/>
          <w:lang w:val="sq-AL"/>
        </w:rPr>
        <w:t>zbatues: MIE/AKEP);</w:t>
      </w:r>
    </w:p>
    <w:p w14:paraId="7E397166" w14:textId="7732A8C9" w:rsidR="00E76828" w:rsidRPr="00770F9D" w:rsidRDefault="00E76828" w:rsidP="00400806">
      <w:pPr>
        <w:pStyle w:val="ListParagraph"/>
        <w:ind w:left="0" w:firstLine="284"/>
        <w:jc w:val="both"/>
        <w:rPr>
          <w:rFonts w:ascii="Garamond" w:hAnsi="Garamond" w:cs="Garamond"/>
          <w:b/>
          <w:bCs/>
          <w:color w:val="0D0D0D"/>
          <w:sz w:val="24"/>
          <w:szCs w:val="24"/>
          <w:lang w:val="sq-AL"/>
        </w:rPr>
      </w:pPr>
      <w:r w:rsidRPr="00770F9D">
        <w:rPr>
          <w:rFonts w:ascii="Garamond" w:hAnsi="Garamond" w:cs="Garamond"/>
          <w:color w:val="0D0D0D"/>
          <w:sz w:val="24"/>
          <w:szCs w:val="24"/>
          <w:lang w:val="sq-AL"/>
        </w:rPr>
        <w:t>c</w:t>
      </w:r>
      <w:r w:rsidR="00CB7B7F" w:rsidRPr="00770F9D">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Promovimi i Agjendës së Gjelbër në fushën digjitale</w:t>
      </w:r>
      <w:r w:rsidR="003A688C">
        <w:rPr>
          <w:rFonts w:ascii="Garamond" w:hAnsi="Garamond" w:cs="Garamond"/>
          <w:color w:val="0D0D0D"/>
          <w:sz w:val="24"/>
          <w:szCs w:val="24"/>
          <w:lang w:val="sq-AL"/>
        </w:rPr>
        <w:t>.</w:t>
      </w:r>
    </w:p>
    <w:p w14:paraId="78752269" w14:textId="69385DDC" w:rsidR="00E76828" w:rsidRPr="00770F9D" w:rsidRDefault="002271D1" w:rsidP="00400806">
      <w:pPr>
        <w:pStyle w:val="Heading6"/>
        <w:numPr>
          <w:ilvl w:val="0"/>
          <w:numId w:val="0"/>
        </w:numPr>
        <w:ind w:firstLine="284"/>
        <w:rPr>
          <w:rFonts w:ascii="Garamond" w:hAnsi="Garamond" w:cs="Garamond"/>
          <w:color w:val="0D0D0D"/>
          <w:u w:val="none"/>
        </w:rPr>
      </w:pPr>
      <w:r w:rsidRPr="00770F9D">
        <w:rPr>
          <w:rFonts w:ascii="Garamond" w:hAnsi="Garamond" w:cs="Garamond"/>
          <w:color w:val="0D0D0D"/>
          <w:u w:val="none"/>
        </w:rPr>
        <w:t>2</w:t>
      </w:r>
      <w:r w:rsidR="00E76828" w:rsidRPr="00770F9D">
        <w:rPr>
          <w:rFonts w:ascii="Garamond" w:hAnsi="Garamond" w:cs="Garamond"/>
          <w:color w:val="0D0D0D"/>
          <w:u w:val="none"/>
        </w:rPr>
        <w:t>.</w:t>
      </w:r>
      <w:r w:rsidR="00BA4F1A" w:rsidRPr="00770F9D">
        <w:rPr>
          <w:rFonts w:ascii="Garamond" w:hAnsi="Garamond" w:cs="Garamond"/>
          <w:color w:val="0D0D0D"/>
          <w:u w:val="none"/>
        </w:rPr>
        <w:t xml:space="preserve"> </w:t>
      </w:r>
      <w:r w:rsidR="00E76828" w:rsidRPr="00770F9D">
        <w:rPr>
          <w:rFonts w:ascii="Garamond" w:hAnsi="Garamond" w:cs="Garamond"/>
          <w:color w:val="0D0D0D"/>
          <w:u w:val="none"/>
        </w:rPr>
        <w:t>Treguesit e rezultateve</w:t>
      </w:r>
    </w:p>
    <w:tbl>
      <w:tblPr>
        <w:tblStyle w:val="TableGrid"/>
        <w:tblW w:w="5000" w:type="pct"/>
        <w:jc w:val="center"/>
        <w:tblLook w:val="04A0" w:firstRow="1" w:lastRow="0" w:firstColumn="1" w:lastColumn="0" w:noHBand="0" w:noVBand="1"/>
      </w:tblPr>
      <w:tblGrid>
        <w:gridCol w:w="4100"/>
        <w:gridCol w:w="1729"/>
        <w:gridCol w:w="1729"/>
        <w:gridCol w:w="1729"/>
      </w:tblGrid>
      <w:tr w:rsidR="00D11695" w:rsidRPr="00770F9D" w14:paraId="00E58CB2" w14:textId="77777777" w:rsidTr="00B90A54">
        <w:trPr>
          <w:trHeight w:val="20"/>
          <w:jc w:val="center"/>
        </w:trPr>
        <w:tc>
          <w:tcPr>
            <w:tcW w:w="2207" w:type="pct"/>
            <w:vAlign w:val="center"/>
          </w:tcPr>
          <w:p w14:paraId="19F1E867" w14:textId="77777777" w:rsidR="00D11695" w:rsidRPr="00770F9D" w:rsidRDefault="00D11695" w:rsidP="00CB7B7F">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Treguesit</w:t>
            </w:r>
          </w:p>
        </w:tc>
        <w:tc>
          <w:tcPr>
            <w:tcW w:w="931" w:type="pct"/>
            <w:vAlign w:val="center"/>
          </w:tcPr>
          <w:p w14:paraId="706D65F2" w14:textId="77777777" w:rsidR="00D11695" w:rsidRPr="00770F9D" w:rsidRDefault="00D11695" w:rsidP="00CB7B7F">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Bazë (2020)</w:t>
            </w:r>
          </w:p>
        </w:tc>
        <w:tc>
          <w:tcPr>
            <w:tcW w:w="931" w:type="pct"/>
            <w:vAlign w:val="center"/>
          </w:tcPr>
          <w:p w14:paraId="2FECED66" w14:textId="77777777" w:rsidR="00D11695" w:rsidRPr="00770F9D" w:rsidRDefault="00D11695" w:rsidP="00CB7B7F">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I ndërmjetëm (2023)</w:t>
            </w:r>
          </w:p>
        </w:tc>
        <w:tc>
          <w:tcPr>
            <w:tcW w:w="931" w:type="pct"/>
            <w:vAlign w:val="center"/>
          </w:tcPr>
          <w:p w14:paraId="2F5C3EE4" w14:textId="77777777" w:rsidR="00D11695" w:rsidRPr="00770F9D" w:rsidRDefault="00D11695" w:rsidP="00CB7B7F">
            <w:pPr>
              <w:snapToGrid w:val="0"/>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Final (2025)</w:t>
            </w:r>
          </w:p>
        </w:tc>
      </w:tr>
      <w:tr w:rsidR="00D11695" w:rsidRPr="00770F9D" w14:paraId="2D7D6DA5" w14:textId="77777777" w:rsidTr="00B90A54">
        <w:trPr>
          <w:trHeight w:val="20"/>
          <w:jc w:val="center"/>
        </w:trPr>
        <w:tc>
          <w:tcPr>
            <w:tcW w:w="2207" w:type="pct"/>
            <w:shd w:val="clear" w:color="auto" w:fill="auto"/>
          </w:tcPr>
          <w:p w14:paraId="0153304E" w14:textId="41DAB5CE" w:rsidR="00D11695" w:rsidRPr="00770F9D" w:rsidRDefault="00D11695" w:rsidP="002271D1">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xml:space="preserve">Rritje e penetrimit të </w:t>
            </w:r>
            <w:r w:rsidR="00CB7B7F" w:rsidRPr="00770F9D">
              <w:rPr>
                <w:rFonts w:ascii="Garamond" w:hAnsi="Garamond" w:cstheme="majorBidi"/>
                <w:i/>
                <w:iCs/>
                <w:color w:val="0D0D0D" w:themeColor="text1" w:themeTint="F2"/>
                <w:sz w:val="20"/>
                <w:szCs w:val="20"/>
              </w:rPr>
              <w:t>broadband</w:t>
            </w:r>
            <w:r w:rsidRPr="00770F9D">
              <w:rPr>
                <w:rFonts w:ascii="Garamond" w:hAnsi="Garamond" w:cstheme="majorBidi"/>
                <w:color w:val="0D0D0D" w:themeColor="text1" w:themeTint="F2"/>
                <w:sz w:val="20"/>
                <w:szCs w:val="20"/>
              </w:rPr>
              <w:t xml:space="preserve"> fiks, duke përfshirë zonat rurale </w:t>
            </w:r>
          </w:p>
        </w:tc>
        <w:tc>
          <w:tcPr>
            <w:tcW w:w="931" w:type="pct"/>
            <w:shd w:val="clear" w:color="auto" w:fill="auto"/>
          </w:tcPr>
          <w:p w14:paraId="6F70D72F" w14:textId="77777777" w:rsidR="00D11695" w:rsidRPr="00770F9D" w:rsidRDefault="00D11695" w:rsidP="00003932">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58%</w:t>
            </w:r>
          </w:p>
        </w:tc>
        <w:tc>
          <w:tcPr>
            <w:tcW w:w="931" w:type="pct"/>
            <w:shd w:val="clear" w:color="auto" w:fill="auto"/>
          </w:tcPr>
          <w:p w14:paraId="56FC09EA" w14:textId="77777777" w:rsidR="00D11695" w:rsidRPr="00770F9D" w:rsidRDefault="00D11695" w:rsidP="00003932">
            <w:pPr>
              <w:tabs>
                <w:tab w:val="left" w:pos="495"/>
                <w:tab w:val="center" w:pos="787"/>
              </w:tabs>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70%</w:t>
            </w:r>
          </w:p>
        </w:tc>
        <w:tc>
          <w:tcPr>
            <w:tcW w:w="931" w:type="pct"/>
            <w:shd w:val="clear" w:color="auto" w:fill="auto"/>
          </w:tcPr>
          <w:p w14:paraId="1E152D74" w14:textId="77777777" w:rsidR="00D11695" w:rsidRPr="00770F9D" w:rsidRDefault="00D11695" w:rsidP="00003932">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90%</w:t>
            </w:r>
          </w:p>
        </w:tc>
      </w:tr>
      <w:tr w:rsidR="00D11695" w:rsidRPr="00770F9D" w14:paraId="37E9FF7F" w14:textId="77777777" w:rsidTr="00B90A54">
        <w:trPr>
          <w:trHeight w:val="20"/>
          <w:jc w:val="center"/>
        </w:trPr>
        <w:tc>
          <w:tcPr>
            <w:tcW w:w="2207" w:type="pct"/>
            <w:shd w:val="clear" w:color="auto" w:fill="auto"/>
          </w:tcPr>
          <w:p w14:paraId="3FE416C0" w14:textId="77777777" w:rsidR="00D11695" w:rsidRPr="00770F9D" w:rsidRDefault="00D11695" w:rsidP="002271D1">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Shpejtësia mesatare e internetit në shkolla publike dhe struktura shëndetësore</w:t>
            </w:r>
          </w:p>
        </w:tc>
        <w:tc>
          <w:tcPr>
            <w:tcW w:w="931" w:type="pct"/>
            <w:shd w:val="clear" w:color="auto" w:fill="auto"/>
          </w:tcPr>
          <w:p w14:paraId="2C49AC5A" w14:textId="77777777" w:rsidR="00D11695" w:rsidRPr="00770F9D" w:rsidRDefault="00D11695" w:rsidP="00003932">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6-12 Mbps</w:t>
            </w:r>
          </w:p>
        </w:tc>
        <w:tc>
          <w:tcPr>
            <w:tcW w:w="931" w:type="pct"/>
            <w:shd w:val="clear" w:color="auto" w:fill="auto"/>
          </w:tcPr>
          <w:p w14:paraId="2165C20D" w14:textId="77777777" w:rsidR="00D11695" w:rsidRPr="00770F9D" w:rsidRDefault="00D11695" w:rsidP="00003932">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20 Mbps</w:t>
            </w:r>
          </w:p>
        </w:tc>
        <w:tc>
          <w:tcPr>
            <w:tcW w:w="931" w:type="pct"/>
            <w:shd w:val="clear" w:color="auto" w:fill="auto"/>
          </w:tcPr>
          <w:p w14:paraId="57D23FE4" w14:textId="77777777" w:rsidR="00D11695" w:rsidRPr="00770F9D" w:rsidRDefault="00D11695" w:rsidP="00003932">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100Mbps</w:t>
            </w:r>
          </w:p>
        </w:tc>
      </w:tr>
      <w:tr w:rsidR="00D11695" w:rsidRPr="00770F9D" w14:paraId="374A1E90" w14:textId="77777777" w:rsidTr="00B90A54">
        <w:trPr>
          <w:trHeight w:val="20"/>
          <w:jc w:val="center"/>
        </w:trPr>
        <w:tc>
          <w:tcPr>
            <w:tcW w:w="2207" w:type="pct"/>
            <w:shd w:val="clear" w:color="auto" w:fill="auto"/>
          </w:tcPr>
          <w:p w14:paraId="26FB73AB" w14:textId="2C840C9C" w:rsidR="00D11695" w:rsidRPr="00770F9D" w:rsidRDefault="00D11695" w:rsidP="002271D1">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xml:space="preserve">Rritja e lidhjes </w:t>
            </w:r>
            <w:r w:rsidR="00CB7B7F" w:rsidRPr="00770F9D">
              <w:rPr>
                <w:rFonts w:ascii="Garamond" w:hAnsi="Garamond" w:cstheme="majorBidi"/>
                <w:i/>
                <w:iCs/>
                <w:color w:val="0D0D0D" w:themeColor="text1" w:themeTint="F2"/>
                <w:sz w:val="20"/>
                <w:szCs w:val="20"/>
              </w:rPr>
              <w:t>broadband</w:t>
            </w:r>
            <w:r w:rsidRPr="00770F9D">
              <w:rPr>
                <w:rFonts w:ascii="Garamond" w:hAnsi="Garamond" w:cstheme="majorBidi"/>
                <w:color w:val="0D0D0D" w:themeColor="text1" w:themeTint="F2"/>
                <w:sz w:val="20"/>
                <w:szCs w:val="20"/>
              </w:rPr>
              <w:t xml:space="preserve"> për NVM</w:t>
            </w:r>
          </w:p>
        </w:tc>
        <w:tc>
          <w:tcPr>
            <w:tcW w:w="931" w:type="pct"/>
            <w:shd w:val="clear" w:color="auto" w:fill="auto"/>
          </w:tcPr>
          <w:p w14:paraId="17913A5F" w14:textId="77777777" w:rsidR="00D11695" w:rsidRPr="00770F9D" w:rsidRDefault="00D11695" w:rsidP="00003932">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79.8%</w:t>
            </w:r>
          </w:p>
        </w:tc>
        <w:tc>
          <w:tcPr>
            <w:tcW w:w="931" w:type="pct"/>
            <w:shd w:val="clear" w:color="auto" w:fill="auto"/>
          </w:tcPr>
          <w:p w14:paraId="3978FA6C" w14:textId="77777777" w:rsidR="00D11695" w:rsidRPr="00770F9D" w:rsidRDefault="00D11695" w:rsidP="00003932">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90%</w:t>
            </w:r>
          </w:p>
        </w:tc>
        <w:tc>
          <w:tcPr>
            <w:tcW w:w="931" w:type="pct"/>
            <w:shd w:val="clear" w:color="auto" w:fill="auto"/>
          </w:tcPr>
          <w:p w14:paraId="712BC5A4" w14:textId="77777777" w:rsidR="00D11695" w:rsidRPr="00770F9D" w:rsidRDefault="00D11695" w:rsidP="00003932">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95%</w:t>
            </w:r>
          </w:p>
        </w:tc>
      </w:tr>
    </w:tbl>
    <w:p w14:paraId="1496C0FC" w14:textId="77777777" w:rsidR="00D11695" w:rsidRPr="00770F9D" w:rsidRDefault="00D11695" w:rsidP="005674F2">
      <w:pPr>
        <w:snapToGrid w:val="0"/>
        <w:ind w:firstLine="284"/>
        <w:rPr>
          <w:rFonts w:ascii="Garamond" w:hAnsi="Garamond" w:cstheme="majorBidi"/>
          <w:color w:val="0D0D0D" w:themeColor="text1" w:themeTint="F2"/>
        </w:rPr>
      </w:pPr>
    </w:p>
    <w:p w14:paraId="767632AC" w14:textId="360D9768" w:rsidR="00263B19" w:rsidRPr="00770F9D" w:rsidRDefault="002271D1"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3</w:t>
      </w:r>
      <w:r w:rsidR="00E76828"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Ndikimi i pritshëm në konkurrueshmëri</w:t>
      </w:r>
    </w:p>
    <w:p w14:paraId="2F82FA5B" w14:textId="03B1B46E" w:rsidR="00D6756E" w:rsidRPr="00770F9D" w:rsidRDefault="00D11695" w:rsidP="00B90A54">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Reforma e propozuar parashikon rritjen e investimeve në vend, përmirësimin e penetrimit </w:t>
      </w:r>
      <w:r w:rsidR="00CB7B7F" w:rsidRPr="00770F9D">
        <w:rPr>
          <w:rFonts w:ascii="Garamond" w:hAnsi="Garamond" w:cstheme="majorBidi"/>
          <w:i/>
          <w:iCs/>
          <w:color w:val="0D0D0D" w:themeColor="text1" w:themeTint="F2"/>
        </w:rPr>
        <w:t>broadband</w:t>
      </w:r>
      <w:r w:rsidRPr="00770F9D">
        <w:rPr>
          <w:rFonts w:ascii="Garamond" w:hAnsi="Garamond" w:cstheme="majorBidi"/>
          <w:color w:val="0D0D0D" w:themeColor="text1" w:themeTint="F2"/>
        </w:rPr>
        <w:t>, rritjen e efic</w:t>
      </w:r>
      <w:r w:rsidR="00B90A54">
        <w:rPr>
          <w:rFonts w:ascii="Garamond" w:hAnsi="Garamond" w:cstheme="majorBidi"/>
          <w:color w:val="0D0D0D" w:themeColor="text1" w:themeTint="F2"/>
        </w:rPr>
        <w:t>i</w:t>
      </w:r>
      <w:r w:rsidRPr="00770F9D">
        <w:rPr>
          <w:rFonts w:ascii="Garamond" w:hAnsi="Garamond" w:cstheme="majorBidi"/>
          <w:color w:val="0D0D0D" w:themeColor="text1" w:themeTint="F2"/>
        </w:rPr>
        <w:t>en</w:t>
      </w:r>
      <w:r w:rsidR="00B90A54">
        <w:rPr>
          <w:rFonts w:ascii="Garamond" w:hAnsi="Garamond" w:cstheme="majorBidi"/>
          <w:color w:val="0D0D0D" w:themeColor="text1" w:themeTint="F2"/>
        </w:rPr>
        <w:t>c</w:t>
      </w:r>
      <w:r w:rsidRPr="00770F9D">
        <w:rPr>
          <w:rFonts w:ascii="Garamond" w:hAnsi="Garamond" w:cstheme="majorBidi"/>
          <w:color w:val="0D0D0D" w:themeColor="text1" w:themeTint="F2"/>
        </w:rPr>
        <w:t>ës së infrastrukturës ekzistuese nëpërmjet ndarjes së infrastrukturës, si dhe të rritjen e konkurrueshmërisë. Zhvillimi i zonave të largëta dhe rurale nëpërmjet përdorimit të TIK për bizneset dhe fermerët, si dhe aksesi që vjen si rezultat i njohurive të metodave teknologjike, si pjesë e kësaj reforme, pritet të përmirësojë konkurrueshmërinë në këto fusha</w:t>
      </w:r>
      <w:r w:rsidR="00D6756E" w:rsidRPr="00770F9D">
        <w:rPr>
          <w:rFonts w:ascii="Garamond" w:hAnsi="Garamond" w:cstheme="majorBidi"/>
          <w:color w:val="0D0D0D" w:themeColor="text1" w:themeTint="F2"/>
        </w:rPr>
        <w:t>.</w:t>
      </w:r>
    </w:p>
    <w:p w14:paraId="6420D2F4" w14:textId="5363A44B" w:rsidR="00263B19" w:rsidRPr="00770F9D" w:rsidRDefault="002271D1"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4</w:t>
      </w:r>
      <w:r w:rsidR="00E76828"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Kosto</w:t>
      </w:r>
      <w:r w:rsidR="00B90A54">
        <w:rPr>
          <w:rFonts w:ascii="Garamond" w:hAnsi="Garamond" w:cstheme="majorBidi"/>
          <w:color w:val="0D0D0D" w:themeColor="text1" w:themeTint="F2"/>
          <w:u w:val="none"/>
        </w:rPr>
        <w:t>ja</w:t>
      </w:r>
      <w:r w:rsidR="00B2062A" w:rsidRPr="00770F9D">
        <w:rPr>
          <w:rFonts w:ascii="Garamond" w:hAnsi="Garamond" w:cstheme="majorBidi"/>
          <w:color w:val="0D0D0D" w:themeColor="text1" w:themeTint="F2"/>
          <w:u w:val="none"/>
        </w:rPr>
        <w:t xml:space="preserve"> e parashikuar e aktiviteteve dhe burimi i financimit</w:t>
      </w:r>
    </w:p>
    <w:p w14:paraId="5A49D931" w14:textId="751EBD42" w:rsidR="00D11695" w:rsidRPr="00770F9D" w:rsidRDefault="00D11695" w:rsidP="00400806">
      <w:pPr>
        <w:ind w:firstLine="284"/>
        <w:jc w:val="both"/>
        <w:rPr>
          <w:rFonts w:ascii="Garamond" w:hAnsi="Garamond" w:cstheme="majorBidi"/>
          <w:i/>
          <w:color w:val="0D0D0D" w:themeColor="text1" w:themeTint="F2"/>
        </w:rPr>
      </w:pPr>
      <w:r w:rsidRPr="00770F9D">
        <w:rPr>
          <w:rFonts w:ascii="Garamond" w:hAnsi="Garamond" w:cstheme="majorBidi"/>
          <w:i/>
          <w:color w:val="0D0D0D" w:themeColor="text1" w:themeTint="F2"/>
        </w:rPr>
        <w:t xml:space="preserve">Në PBA </w:t>
      </w:r>
      <w:r w:rsidR="003F4C96" w:rsidRPr="00770F9D">
        <w:rPr>
          <w:rFonts w:ascii="Garamond" w:hAnsi="Garamond" w:cstheme="majorBidi"/>
          <w:i/>
          <w:color w:val="0D0D0D" w:themeColor="text1" w:themeTint="F2"/>
        </w:rPr>
        <w:t>2023–2025</w:t>
      </w:r>
      <w:r w:rsidRPr="00770F9D">
        <w:rPr>
          <w:rFonts w:ascii="Garamond" w:hAnsi="Garamond" w:cstheme="majorBidi"/>
          <w:i/>
          <w:color w:val="0D0D0D" w:themeColor="text1" w:themeTint="F2"/>
        </w:rPr>
        <w:t xml:space="preserve"> për programin buxhetor “Mbështetje për </w:t>
      </w:r>
      <w:r w:rsidR="00B03E4E" w:rsidRPr="00770F9D">
        <w:rPr>
          <w:rFonts w:ascii="Garamond" w:hAnsi="Garamond" w:cstheme="majorBidi"/>
          <w:i/>
          <w:color w:val="0D0D0D" w:themeColor="text1" w:themeTint="F2"/>
        </w:rPr>
        <w:t>rrjetet e komunikacionit</w:t>
      </w:r>
      <w:r w:rsidRPr="00770F9D">
        <w:rPr>
          <w:rFonts w:ascii="Garamond" w:hAnsi="Garamond" w:cstheme="majorBidi"/>
          <w:i/>
          <w:color w:val="0D0D0D" w:themeColor="text1" w:themeTint="F2"/>
        </w:rPr>
        <w:t>”, aktualisht janë miratuar:</w:t>
      </w:r>
    </w:p>
    <w:p w14:paraId="457DBEDF" w14:textId="221A5FB8" w:rsidR="00D11695" w:rsidRPr="00770F9D" w:rsidRDefault="00D11695" w:rsidP="00400806">
      <w:pPr>
        <w:ind w:firstLine="284"/>
        <w:jc w:val="both"/>
        <w:rPr>
          <w:rFonts w:ascii="Garamond" w:hAnsi="Garamond" w:cstheme="majorBidi"/>
          <w:i/>
          <w:color w:val="0D0D0D" w:themeColor="text1" w:themeTint="F2"/>
        </w:rPr>
      </w:pPr>
      <w:r w:rsidRPr="00770F9D">
        <w:rPr>
          <w:rFonts w:ascii="Garamond" w:hAnsi="Garamond" w:cstheme="majorBidi"/>
          <w:i/>
          <w:color w:val="0D0D0D" w:themeColor="text1" w:themeTint="F2"/>
        </w:rPr>
        <w:t>2023</w:t>
      </w:r>
      <w:r w:rsidR="009C512B">
        <w:rPr>
          <w:rFonts w:ascii="Garamond" w:hAnsi="Garamond" w:cstheme="majorBidi"/>
          <w:i/>
          <w:color w:val="0D0D0D" w:themeColor="text1" w:themeTint="F2"/>
        </w:rPr>
        <w:t>:</w:t>
      </w:r>
      <w:r w:rsidRPr="00770F9D">
        <w:rPr>
          <w:rFonts w:ascii="Garamond" w:hAnsi="Garamond" w:cstheme="majorBidi"/>
          <w:i/>
          <w:color w:val="0D0D0D" w:themeColor="text1" w:themeTint="F2"/>
        </w:rPr>
        <w:t xml:space="preserve"> </w:t>
      </w:r>
    </w:p>
    <w:p w14:paraId="04105D5D" w14:textId="16A28608" w:rsidR="00D11695" w:rsidRPr="00770F9D" w:rsidRDefault="00D11695"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- 100.000.000 lekë </w:t>
      </w:r>
      <w:r w:rsidR="00B03E4E" w:rsidRPr="00770F9D">
        <w:rPr>
          <w:rFonts w:ascii="Garamond" w:hAnsi="Garamond" w:cstheme="majorBidi"/>
          <w:color w:val="0D0D0D" w:themeColor="text1" w:themeTint="F2"/>
        </w:rPr>
        <w:t>buxhet shteti</w:t>
      </w:r>
      <w:r w:rsidR="009C512B">
        <w:rPr>
          <w:rFonts w:ascii="Garamond" w:hAnsi="Garamond" w:cstheme="majorBidi"/>
          <w:color w:val="0D0D0D" w:themeColor="text1" w:themeTint="F2"/>
        </w:rPr>
        <w:t>;</w:t>
      </w:r>
      <w:r w:rsidR="00B03E4E" w:rsidRPr="00770F9D">
        <w:rPr>
          <w:rFonts w:ascii="Garamond" w:hAnsi="Garamond" w:cstheme="majorBidi"/>
          <w:color w:val="0D0D0D" w:themeColor="text1" w:themeTint="F2"/>
        </w:rPr>
        <w:t xml:space="preserve"> </w:t>
      </w:r>
    </w:p>
    <w:p w14:paraId="02DA5EED" w14:textId="73FC8E16" w:rsidR="00D11695" w:rsidRPr="00770F9D" w:rsidRDefault="00D11695"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- 20.000.000 lekë </w:t>
      </w:r>
      <w:r w:rsidR="00B03E4E" w:rsidRPr="00770F9D">
        <w:rPr>
          <w:rFonts w:ascii="Garamond" w:hAnsi="Garamond" w:cstheme="majorBidi"/>
          <w:color w:val="0D0D0D" w:themeColor="text1" w:themeTint="F2"/>
        </w:rPr>
        <w:t>financim i huaj</w:t>
      </w:r>
      <w:r w:rsidR="009C512B">
        <w:rPr>
          <w:rFonts w:ascii="Garamond" w:hAnsi="Garamond" w:cstheme="majorBidi"/>
          <w:color w:val="0D0D0D" w:themeColor="text1" w:themeTint="F2"/>
        </w:rPr>
        <w:t>.</w:t>
      </w:r>
    </w:p>
    <w:p w14:paraId="3D4863F2" w14:textId="68D6DF59" w:rsidR="00D11695" w:rsidRPr="00770F9D" w:rsidRDefault="00D11695" w:rsidP="00400806">
      <w:pPr>
        <w:ind w:firstLine="284"/>
        <w:jc w:val="both"/>
        <w:rPr>
          <w:rFonts w:ascii="Garamond" w:hAnsi="Garamond" w:cstheme="majorBidi"/>
          <w:i/>
          <w:color w:val="0D0D0D" w:themeColor="text1" w:themeTint="F2"/>
        </w:rPr>
      </w:pPr>
      <w:r w:rsidRPr="00770F9D">
        <w:rPr>
          <w:rFonts w:ascii="Garamond" w:hAnsi="Garamond" w:cstheme="majorBidi"/>
          <w:i/>
          <w:color w:val="0D0D0D" w:themeColor="text1" w:themeTint="F2"/>
        </w:rPr>
        <w:t>2024</w:t>
      </w:r>
      <w:r w:rsidR="009C512B">
        <w:rPr>
          <w:rFonts w:ascii="Garamond" w:hAnsi="Garamond" w:cstheme="majorBidi"/>
          <w:i/>
          <w:color w:val="0D0D0D" w:themeColor="text1" w:themeTint="F2"/>
        </w:rPr>
        <w:t>:</w:t>
      </w:r>
    </w:p>
    <w:p w14:paraId="1D2F03D2" w14:textId="3CCFF7FF" w:rsidR="00D11695" w:rsidRPr="00770F9D" w:rsidRDefault="00D11695"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- 100.000.000 lekë </w:t>
      </w:r>
      <w:r w:rsidR="009C512B">
        <w:rPr>
          <w:rFonts w:ascii="Garamond" w:hAnsi="Garamond" w:cstheme="majorBidi"/>
          <w:color w:val="0D0D0D" w:themeColor="text1" w:themeTint="F2"/>
        </w:rPr>
        <w:t>buxhet shteti;</w:t>
      </w:r>
    </w:p>
    <w:p w14:paraId="2FB25F04" w14:textId="1169C795" w:rsidR="00D11695" w:rsidRPr="00770F9D" w:rsidRDefault="00D11695"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- 20.000.000 lekë </w:t>
      </w:r>
      <w:r w:rsidR="00B03E4E" w:rsidRPr="00770F9D">
        <w:rPr>
          <w:rFonts w:ascii="Garamond" w:hAnsi="Garamond" w:cstheme="majorBidi"/>
          <w:color w:val="0D0D0D" w:themeColor="text1" w:themeTint="F2"/>
        </w:rPr>
        <w:t>financim i huaj</w:t>
      </w:r>
      <w:r w:rsidR="009C512B">
        <w:rPr>
          <w:rFonts w:ascii="Garamond" w:hAnsi="Garamond" w:cstheme="majorBidi"/>
          <w:color w:val="0D0D0D" w:themeColor="text1" w:themeTint="F2"/>
        </w:rPr>
        <w:t>.</w:t>
      </w:r>
    </w:p>
    <w:p w14:paraId="6E039D8B" w14:textId="16433A71" w:rsidR="00D11695" w:rsidRPr="00770F9D" w:rsidRDefault="00D11695" w:rsidP="00400806">
      <w:pPr>
        <w:ind w:firstLine="284"/>
        <w:jc w:val="both"/>
        <w:rPr>
          <w:rFonts w:ascii="Garamond" w:hAnsi="Garamond" w:cstheme="majorBidi"/>
          <w:i/>
          <w:color w:val="0D0D0D" w:themeColor="text1" w:themeTint="F2"/>
        </w:rPr>
      </w:pPr>
      <w:r w:rsidRPr="00770F9D">
        <w:rPr>
          <w:rFonts w:ascii="Garamond" w:hAnsi="Garamond" w:cstheme="majorBidi"/>
          <w:i/>
          <w:color w:val="0D0D0D" w:themeColor="text1" w:themeTint="F2"/>
        </w:rPr>
        <w:t>2025</w:t>
      </w:r>
      <w:r w:rsidR="009C512B">
        <w:rPr>
          <w:rFonts w:ascii="Garamond" w:hAnsi="Garamond" w:cstheme="majorBidi"/>
          <w:i/>
          <w:color w:val="0D0D0D" w:themeColor="text1" w:themeTint="F2"/>
        </w:rPr>
        <w:t>:</w:t>
      </w:r>
    </w:p>
    <w:p w14:paraId="1BBFC5E0" w14:textId="42A5FF21" w:rsidR="00D11695" w:rsidRPr="00770F9D" w:rsidRDefault="00D11695"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- 100.000.000 lekë </w:t>
      </w:r>
      <w:r w:rsidR="009C512B">
        <w:rPr>
          <w:rFonts w:ascii="Garamond" w:hAnsi="Garamond" w:cstheme="majorBidi"/>
          <w:color w:val="0D0D0D" w:themeColor="text1" w:themeTint="F2"/>
        </w:rPr>
        <w:t>buxhet shteti;</w:t>
      </w:r>
    </w:p>
    <w:p w14:paraId="2716D6E7" w14:textId="75396469" w:rsidR="00D11695" w:rsidRPr="00770F9D" w:rsidRDefault="00D11695"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- 20.000.000 lekë </w:t>
      </w:r>
      <w:r w:rsidR="00B03E4E" w:rsidRPr="00770F9D">
        <w:rPr>
          <w:rFonts w:ascii="Garamond" w:hAnsi="Garamond" w:cstheme="majorBidi"/>
          <w:color w:val="0D0D0D" w:themeColor="text1" w:themeTint="F2"/>
        </w:rPr>
        <w:t>financim i huaj</w:t>
      </w:r>
      <w:r w:rsidR="009C512B">
        <w:rPr>
          <w:rFonts w:ascii="Garamond" w:hAnsi="Garamond" w:cstheme="majorBidi"/>
          <w:color w:val="0D0D0D" w:themeColor="text1" w:themeTint="F2"/>
        </w:rPr>
        <w:t>.</w:t>
      </w:r>
    </w:p>
    <w:p w14:paraId="4AD45F51" w14:textId="00621462" w:rsidR="00E76828" w:rsidRPr="00770F9D" w:rsidRDefault="00E76828" w:rsidP="00B03E4E">
      <w:pPr>
        <w:pStyle w:val="ListParagraph"/>
        <w:tabs>
          <w:tab w:val="left" w:pos="7640"/>
          <w:tab w:val="left" w:pos="7720"/>
        </w:tabs>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 xml:space="preserve">Ngritja e zyrës kompetente për </w:t>
      </w:r>
      <w:r w:rsidR="00CB7B7F" w:rsidRPr="00770F9D">
        <w:rPr>
          <w:rFonts w:ascii="Garamond" w:hAnsi="Garamond" w:cs="Garamond"/>
          <w:i/>
          <w:iCs/>
          <w:color w:val="0D0D0D"/>
          <w:sz w:val="24"/>
          <w:szCs w:val="24"/>
          <w:lang w:val="sq-AL"/>
        </w:rPr>
        <w:t>broadband</w:t>
      </w:r>
      <w:r w:rsidRPr="00770F9D">
        <w:rPr>
          <w:rFonts w:ascii="Garamond" w:hAnsi="Garamond" w:cs="Garamond"/>
          <w:color w:val="0D0D0D"/>
          <w:sz w:val="24"/>
          <w:szCs w:val="24"/>
          <w:lang w:val="sq-AL"/>
        </w:rPr>
        <w:t xml:space="preserve">-in: Vlerësuar 100.000 </w:t>
      </w:r>
      <w:r w:rsidR="00B03E4E" w:rsidRPr="00770F9D">
        <w:rPr>
          <w:rFonts w:ascii="Garamond" w:hAnsi="Garamond" w:cs="Garamond"/>
          <w:color w:val="0D0D0D"/>
          <w:sz w:val="24"/>
          <w:szCs w:val="24"/>
          <w:lang w:val="sq-AL"/>
        </w:rPr>
        <w:t xml:space="preserve">euro </w:t>
      </w:r>
      <w:r w:rsidRPr="00770F9D">
        <w:rPr>
          <w:rFonts w:ascii="Garamond" w:hAnsi="Garamond" w:cs="Garamond"/>
          <w:color w:val="0D0D0D"/>
          <w:sz w:val="24"/>
          <w:szCs w:val="24"/>
          <w:lang w:val="sq-AL"/>
        </w:rPr>
        <w:t xml:space="preserve">kosto për funksionimin e BCO (i ndarë në 2023, 2024 dhe 2025 për pagat e punonjësve të BCO) </w:t>
      </w:r>
      <w:r w:rsidR="00B03E4E" w:rsidRPr="00770F9D">
        <w:rPr>
          <w:rFonts w:ascii="Garamond" w:hAnsi="Garamond" w:cs="Garamond"/>
          <w:color w:val="0D0D0D"/>
          <w:sz w:val="24"/>
          <w:szCs w:val="24"/>
          <w:lang w:val="sq-AL"/>
        </w:rPr>
        <w:t>–</w:t>
      </w:r>
      <w:r w:rsidRPr="00770F9D">
        <w:rPr>
          <w:rFonts w:ascii="Garamond" w:hAnsi="Garamond" w:cs="Garamond"/>
          <w:color w:val="0D0D0D"/>
          <w:sz w:val="24"/>
          <w:szCs w:val="24"/>
          <w:lang w:val="sq-AL"/>
        </w:rPr>
        <w:t xml:space="preserve"> (do të specifikohet në bazë të finalizimit/miratimit të Planit Buxhetor Afatmesëm);</w:t>
      </w:r>
    </w:p>
    <w:p w14:paraId="5059782C" w14:textId="6DFA3DE2" w:rsidR="00E76828" w:rsidRPr="00770F9D" w:rsidRDefault="00E76828" w:rsidP="009C512B">
      <w:pPr>
        <w:pStyle w:val="ListParagraph"/>
        <w:tabs>
          <w:tab w:val="left" w:pos="7640"/>
          <w:tab w:val="left" w:pos="7720"/>
        </w:tabs>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 xml:space="preserve">Projekti për zhvillimin e infrastrukturës </w:t>
      </w:r>
      <w:r w:rsidR="00CB7B7F" w:rsidRPr="00770F9D">
        <w:rPr>
          <w:rFonts w:ascii="Garamond" w:hAnsi="Garamond" w:cs="Garamond"/>
          <w:i/>
          <w:iCs/>
          <w:color w:val="0D0D0D"/>
          <w:sz w:val="24"/>
          <w:szCs w:val="24"/>
          <w:lang w:val="sq-AL"/>
        </w:rPr>
        <w:t>broadband</w:t>
      </w:r>
      <w:r w:rsidRPr="00770F9D">
        <w:rPr>
          <w:rFonts w:ascii="Garamond" w:hAnsi="Garamond" w:cs="Garamond"/>
          <w:color w:val="0D0D0D"/>
          <w:sz w:val="24"/>
          <w:szCs w:val="24"/>
          <w:lang w:val="sq-AL"/>
        </w:rPr>
        <w:t xml:space="preserve"> në </w:t>
      </w:r>
      <w:r w:rsidR="009C512B" w:rsidRPr="003A3E5B">
        <w:rPr>
          <w:rFonts w:ascii="Garamond" w:hAnsi="Garamond" w:cs="Garamond"/>
          <w:color w:val="0D0D0D"/>
          <w:sz w:val="24"/>
          <w:szCs w:val="24"/>
          <w:lang w:val="sq-AL"/>
        </w:rPr>
        <w:t>veri dhe në jug</w:t>
      </w:r>
      <w:r w:rsidR="009C512B"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w:t>
      </w:r>
      <w:r w:rsidR="009C512B" w:rsidRPr="00770F9D">
        <w:rPr>
          <w:rFonts w:ascii="Garamond" w:hAnsi="Garamond" w:cs="Garamond"/>
          <w:color w:val="0D0D0D"/>
          <w:sz w:val="24"/>
          <w:szCs w:val="24"/>
          <w:lang w:val="sq-AL"/>
        </w:rPr>
        <w:t xml:space="preserve">zonat </w:t>
      </w:r>
      <w:r w:rsidRPr="00770F9D">
        <w:rPr>
          <w:rFonts w:ascii="Garamond" w:hAnsi="Garamond" w:cs="Garamond"/>
          <w:color w:val="0D0D0D"/>
          <w:sz w:val="24"/>
          <w:szCs w:val="24"/>
          <w:lang w:val="sq-AL"/>
        </w:rPr>
        <w:t xml:space="preserve">rurale dhe të largëta/zonat turistike në </w:t>
      </w:r>
      <w:r w:rsidR="006A60FA" w:rsidRPr="00770F9D">
        <w:rPr>
          <w:rFonts w:ascii="Garamond" w:hAnsi="Garamond" w:cs="Garamond"/>
          <w:color w:val="0D0D0D"/>
          <w:sz w:val="24"/>
          <w:szCs w:val="24"/>
          <w:lang w:val="sq-AL"/>
        </w:rPr>
        <w:t xml:space="preserve">veri dhe në jug të </w:t>
      </w:r>
      <w:r w:rsidRPr="00770F9D">
        <w:rPr>
          <w:rFonts w:ascii="Garamond" w:hAnsi="Garamond" w:cs="Garamond"/>
          <w:color w:val="0D0D0D"/>
          <w:sz w:val="24"/>
          <w:szCs w:val="24"/>
          <w:lang w:val="sq-AL"/>
        </w:rPr>
        <w:t>Shqipërisë (</w:t>
      </w:r>
      <w:r w:rsidR="006A60FA">
        <w:rPr>
          <w:rFonts w:ascii="Garamond" w:hAnsi="Garamond" w:cs="Garamond"/>
          <w:color w:val="0D0D0D"/>
          <w:sz w:val="24"/>
          <w:szCs w:val="24"/>
          <w:lang w:val="sq-AL"/>
        </w:rPr>
        <w:t>Shkodër, Kukës, Tropojë, Dibër/</w:t>
      </w:r>
      <w:r w:rsidRPr="00770F9D">
        <w:rPr>
          <w:rFonts w:ascii="Garamond" w:hAnsi="Garamond" w:cs="Garamond"/>
          <w:color w:val="0D0D0D"/>
          <w:sz w:val="24"/>
          <w:szCs w:val="24"/>
          <w:lang w:val="sq-AL"/>
        </w:rPr>
        <w:t>Vlorë, Gjirokastër, Fier, Berat, Korçë). (Institucioni implementues: MIE); *Pritet miratimi nga WBIF</w:t>
      </w:r>
      <w:r w:rsidR="006A60FA">
        <w:rPr>
          <w:rFonts w:ascii="Garamond" w:hAnsi="Garamond" w:cs="Garamond"/>
          <w:color w:val="0D0D0D"/>
          <w:sz w:val="24"/>
          <w:szCs w:val="24"/>
          <w:lang w:val="sq-AL"/>
        </w:rPr>
        <w:t>-ja</w:t>
      </w:r>
      <w:r w:rsidRPr="00770F9D">
        <w:rPr>
          <w:rFonts w:ascii="Garamond" w:hAnsi="Garamond" w:cs="Garamond"/>
          <w:color w:val="0D0D0D"/>
          <w:sz w:val="24"/>
          <w:szCs w:val="24"/>
          <w:lang w:val="sq-AL"/>
        </w:rPr>
        <w:t xml:space="preserve"> dhe kostimi për bashkimin e dy projekteve në një të vetëm.</w:t>
      </w:r>
    </w:p>
    <w:p w14:paraId="13641058" w14:textId="63A62ACA" w:rsidR="00E76828" w:rsidRPr="00770F9D" w:rsidRDefault="00E76828" w:rsidP="00400806">
      <w:pPr>
        <w:pStyle w:val="ListParagraph"/>
        <w:tabs>
          <w:tab w:val="left" w:pos="7640"/>
          <w:tab w:val="left" w:pos="7720"/>
        </w:tabs>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Investimi në zonat e bardha (është kër</w:t>
      </w:r>
      <w:r w:rsidR="00344083">
        <w:rPr>
          <w:rFonts w:ascii="Garamond" w:hAnsi="Garamond" w:cs="Garamond"/>
          <w:color w:val="0D0D0D"/>
          <w:sz w:val="24"/>
          <w:szCs w:val="24"/>
          <w:lang w:val="sq-AL"/>
        </w:rPr>
        <w:t>kuar financim në zonat e bardha</w:t>
      </w:r>
      <w:r w:rsidRPr="00770F9D">
        <w:rPr>
          <w:rFonts w:ascii="Garamond" w:hAnsi="Garamond" w:cs="Garamond"/>
          <w:color w:val="0D0D0D"/>
          <w:sz w:val="24"/>
          <w:szCs w:val="24"/>
          <w:lang w:val="sq-AL"/>
        </w:rPr>
        <w:t xml:space="preserve"> do të detajohet në bazë të finalizimit/miratimit të </w:t>
      </w:r>
      <w:r w:rsidR="00D44DC9" w:rsidRPr="00770F9D">
        <w:rPr>
          <w:rFonts w:ascii="Garamond" w:hAnsi="Garamond" w:cs="Garamond"/>
          <w:color w:val="0D0D0D"/>
          <w:sz w:val="24"/>
          <w:szCs w:val="24"/>
          <w:lang w:val="sq-AL"/>
        </w:rPr>
        <w:t>planit buxhetor afatmesëm</w:t>
      </w:r>
      <w:r w:rsidRPr="00770F9D">
        <w:rPr>
          <w:rFonts w:ascii="Garamond" w:hAnsi="Garamond" w:cs="Garamond"/>
          <w:color w:val="0D0D0D"/>
          <w:sz w:val="24"/>
          <w:szCs w:val="24"/>
          <w:lang w:val="sq-AL"/>
        </w:rPr>
        <w:t xml:space="preserve">); </w:t>
      </w:r>
    </w:p>
    <w:p w14:paraId="00D3CA14" w14:textId="2DD613A5" w:rsidR="00E76828" w:rsidRPr="00770F9D" w:rsidRDefault="00E76828" w:rsidP="00400806">
      <w:pPr>
        <w:pStyle w:val="ListParagraph"/>
        <w:tabs>
          <w:tab w:val="left" w:pos="7640"/>
          <w:tab w:val="left" w:pos="7720"/>
        </w:tabs>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 xml:space="preserve">Zhvillimi i rrjeteve 5G dhe lirimi i brezit të frekuencave 700 </w:t>
      </w:r>
      <w:r w:rsidRPr="003A3E5B">
        <w:rPr>
          <w:rFonts w:ascii="Garamond" w:hAnsi="Garamond" w:cs="Garamond"/>
          <w:color w:val="0D0D0D"/>
          <w:sz w:val="24"/>
          <w:szCs w:val="24"/>
          <w:lang w:val="sq-AL"/>
        </w:rPr>
        <w:t>MHz,</w:t>
      </w:r>
      <w:r w:rsidRPr="00770F9D">
        <w:rPr>
          <w:rFonts w:ascii="Garamond" w:hAnsi="Garamond" w:cs="Garamond"/>
          <w:color w:val="0D0D0D"/>
          <w:sz w:val="24"/>
          <w:szCs w:val="24"/>
          <w:lang w:val="sq-AL"/>
        </w:rPr>
        <w:t xml:space="preserve"> dividend digjital 2 (DD2); Kostoja totale (e ndarë gjatë viteve 2023, 2024 dhe 2025, do të detajohet në bazë të finalizimit të projektit të asistencës teknike dhe miratimit të Planit Buxhetor Afatmesëm);</w:t>
      </w:r>
    </w:p>
    <w:p w14:paraId="57FC0707" w14:textId="4E276B87" w:rsidR="00E76828" w:rsidRPr="00770F9D" w:rsidRDefault="00E76828" w:rsidP="00400806">
      <w:pPr>
        <w:pStyle w:val="ListParagraph"/>
        <w:tabs>
          <w:tab w:val="left" w:pos="7640"/>
          <w:tab w:val="left" w:pos="7720"/>
        </w:tabs>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Miratimi i ligjit të ri për komunikimet elektronike, në përputhje me Kodin e ri Evropian të</w:t>
      </w:r>
      <w:r w:rsidR="00D44DC9">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 xml:space="preserve">Komunikimit Elektronik të miratuar nga BE në 2018. (Hartimi i ligjit të ri është bërë me asistencë teknike të BE-së (rreth 200,000 </w:t>
      </w:r>
      <w:r w:rsidR="00D44DC9" w:rsidRPr="00770F9D">
        <w:rPr>
          <w:rFonts w:ascii="Garamond" w:hAnsi="Garamond" w:cs="Garamond"/>
          <w:color w:val="0D0D0D"/>
          <w:sz w:val="24"/>
          <w:szCs w:val="24"/>
          <w:lang w:val="sq-AL"/>
        </w:rPr>
        <w:t>euro</w:t>
      </w:r>
      <w:r w:rsidRPr="00770F9D">
        <w:rPr>
          <w:rFonts w:ascii="Garamond" w:hAnsi="Garamond" w:cs="Garamond"/>
          <w:color w:val="0D0D0D"/>
          <w:sz w:val="24"/>
          <w:szCs w:val="24"/>
          <w:lang w:val="sq-AL"/>
        </w:rPr>
        <w:t>), si dhe nga buxheti i shtetit mbulohen kostot administrative deri në miratimin e ligjit, vlerësuar në vlerën 500.000 lekë</w:t>
      </w:r>
      <w:r w:rsidR="00D44DC9">
        <w:rPr>
          <w:rFonts w:ascii="Garamond" w:hAnsi="Garamond" w:cs="Garamond"/>
          <w:color w:val="0D0D0D"/>
          <w:sz w:val="24"/>
          <w:szCs w:val="24"/>
          <w:lang w:val="sq-AL"/>
        </w:rPr>
        <w:t>.)</w:t>
      </w:r>
    </w:p>
    <w:p w14:paraId="617D7586" w14:textId="5954EE1C" w:rsidR="00E76828" w:rsidRPr="00770F9D" w:rsidRDefault="002271D1" w:rsidP="00400806">
      <w:pPr>
        <w:pStyle w:val="Heading6"/>
        <w:numPr>
          <w:ilvl w:val="0"/>
          <w:numId w:val="0"/>
        </w:numPr>
        <w:ind w:firstLine="284"/>
        <w:rPr>
          <w:rFonts w:ascii="Garamond" w:hAnsi="Garamond" w:cs="Garamond"/>
          <w:color w:val="0D0D0D"/>
          <w:u w:val="none"/>
        </w:rPr>
      </w:pPr>
      <w:r w:rsidRPr="00770F9D">
        <w:rPr>
          <w:rFonts w:ascii="Garamond" w:hAnsi="Garamond" w:cs="Garamond"/>
          <w:color w:val="0D0D0D"/>
          <w:u w:val="none"/>
        </w:rPr>
        <w:t>5</w:t>
      </w:r>
      <w:r w:rsidR="00E76828" w:rsidRPr="00770F9D">
        <w:rPr>
          <w:rFonts w:ascii="Garamond" w:hAnsi="Garamond" w:cs="Garamond"/>
          <w:color w:val="0D0D0D"/>
          <w:u w:val="none"/>
        </w:rPr>
        <w:t>.</w:t>
      </w:r>
      <w:r w:rsidR="00BA4F1A" w:rsidRPr="00770F9D">
        <w:rPr>
          <w:rFonts w:ascii="Garamond" w:hAnsi="Garamond" w:cs="Garamond"/>
          <w:color w:val="0D0D0D"/>
          <w:u w:val="none"/>
        </w:rPr>
        <w:t xml:space="preserve"> </w:t>
      </w:r>
      <w:r w:rsidR="00E76828" w:rsidRPr="00770F9D">
        <w:rPr>
          <w:rFonts w:ascii="Garamond" w:hAnsi="Garamond" w:cs="Garamond"/>
          <w:color w:val="0D0D0D"/>
          <w:u w:val="none"/>
        </w:rPr>
        <w:t>Ndikimi i pritshëm në përfundimet sociale</w:t>
      </w:r>
      <w:r w:rsidR="00D44DC9">
        <w:rPr>
          <w:rFonts w:ascii="Garamond" w:hAnsi="Garamond" w:cs="Garamond"/>
          <w:color w:val="0D0D0D"/>
          <w:u w:val="none"/>
        </w:rPr>
        <w:t>,</w:t>
      </w:r>
      <w:r w:rsidR="00E76828" w:rsidRPr="00770F9D">
        <w:rPr>
          <w:rFonts w:ascii="Garamond" w:hAnsi="Garamond" w:cs="Garamond"/>
          <w:color w:val="0D0D0D"/>
          <w:u w:val="none"/>
        </w:rPr>
        <w:t xml:space="preserve"> si punësimi, ulja e varfërisë, barazia gjinore dhe aksesi në kujdesin shëndetësor</w:t>
      </w:r>
    </w:p>
    <w:p w14:paraId="25128A7F" w14:textId="77777777" w:rsidR="00E76828" w:rsidRPr="00770F9D" w:rsidRDefault="00E76828" w:rsidP="00400806">
      <w:pPr>
        <w:ind w:firstLine="284"/>
        <w:jc w:val="both"/>
        <w:rPr>
          <w:rFonts w:ascii="Garamond" w:hAnsi="Garamond" w:cs="Garamond"/>
          <w:i/>
          <w:iCs/>
          <w:color w:val="0D0D0D"/>
        </w:rPr>
      </w:pPr>
      <w:r w:rsidRPr="00770F9D">
        <w:rPr>
          <w:rFonts w:ascii="Garamond" w:hAnsi="Garamond" w:cs="Garamond"/>
          <w:color w:val="0D0D0D"/>
        </w:rPr>
        <w:t xml:space="preserve">Disa nga përfitimet sociale të reformës janë: </w:t>
      </w:r>
    </w:p>
    <w:p w14:paraId="5357E46E" w14:textId="58624AE7" w:rsidR="00E76828" w:rsidRPr="00770F9D" w:rsidRDefault="00E76828" w:rsidP="00D44DC9">
      <w:pPr>
        <w:pStyle w:val="ListParagraph"/>
        <w:ind w:left="0" w:firstLine="284"/>
        <w:jc w:val="both"/>
        <w:rPr>
          <w:rFonts w:ascii="Garamond" w:hAnsi="Garamond" w:cs="Garamond"/>
          <w:i/>
          <w:iCs/>
          <w:color w:val="0D0D0D"/>
          <w:sz w:val="24"/>
          <w:szCs w:val="24"/>
          <w:lang w:val="sq-AL"/>
        </w:rPr>
      </w:pPr>
      <w:r w:rsidRPr="00770F9D">
        <w:rPr>
          <w:rFonts w:ascii="Garamond" w:hAnsi="Garamond" w:cs="Calibri"/>
          <w:color w:val="0D0D0D"/>
          <w:sz w:val="24"/>
          <w:szCs w:val="24"/>
          <w:lang w:val="sq-AL"/>
        </w:rPr>
        <w:t>-</w:t>
      </w:r>
      <w:r w:rsidR="00BA4F1A" w:rsidRPr="00770F9D">
        <w:rPr>
          <w:rFonts w:ascii="Garamond" w:hAnsi="Garamond" w:cs="Calibri"/>
          <w:color w:val="0D0D0D"/>
          <w:sz w:val="24"/>
          <w:szCs w:val="24"/>
          <w:lang w:val="sq-AL"/>
        </w:rPr>
        <w:t xml:space="preserve"> </w:t>
      </w:r>
      <w:r w:rsidRPr="00770F9D">
        <w:rPr>
          <w:rFonts w:ascii="Garamond" w:hAnsi="Garamond" w:cs="Garamond"/>
          <w:color w:val="0D0D0D"/>
          <w:sz w:val="24"/>
          <w:szCs w:val="24"/>
          <w:lang w:val="sq-AL"/>
        </w:rPr>
        <w:t>Mbulim më i mir</w:t>
      </w:r>
      <w:r w:rsidR="00D44DC9">
        <w:rPr>
          <w:rFonts w:ascii="Garamond" w:hAnsi="Garamond" w:cs="Garamond"/>
          <w:color w:val="0D0D0D"/>
          <w:sz w:val="24"/>
          <w:szCs w:val="24"/>
          <w:lang w:val="sq-AL"/>
        </w:rPr>
        <w:t>ë</w:t>
      </w:r>
      <w:r w:rsidRPr="00770F9D">
        <w:rPr>
          <w:rFonts w:ascii="Garamond" w:hAnsi="Garamond" w:cs="Garamond"/>
          <w:color w:val="0D0D0D"/>
          <w:sz w:val="24"/>
          <w:szCs w:val="24"/>
          <w:lang w:val="sq-AL"/>
        </w:rPr>
        <w:t xml:space="preserve"> me internet </w:t>
      </w:r>
      <w:r w:rsidR="00CB7B7F" w:rsidRPr="00770F9D">
        <w:rPr>
          <w:rFonts w:ascii="Garamond" w:hAnsi="Garamond" w:cs="Garamond"/>
          <w:i/>
          <w:iCs/>
          <w:color w:val="0D0D0D"/>
          <w:sz w:val="24"/>
          <w:szCs w:val="24"/>
          <w:lang w:val="sq-AL"/>
        </w:rPr>
        <w:t>broadband</w:t>
      </w:r>
      <w:r w:rsidRPr="00770F9D">
        <w:rPr>
          <w:rFonts w:ascii="Garamond" w:hAnsi="Garamond" w:cs="Garamond"/>
          <w:color w:val="0D0D0D"/>
          <w:sz w:val="24"/>
          <w:szCs w:val="24"/>
          <w:lang w:val="sq-AL"/>
        </w:rPr>
        <w:t>, që përkthehet në kohezion social dhe territorial;</w:t>
      </w:r>
    </w:p>
    <w:p w14:paraId="6DE335F0" w14:textId="3E5BED37" w:rsidR="00E76828" w:rsidRPr="00770F9D" w:rsidRDefault="00E76828" w:rsidP="00400806">
      <w:pPr>
        <w:pStyle w:val="ListParagraph"/>
        <w:ind w:left="0" w:firstLine="284"/>
        <w:jc w:val="both"/>
        <w:rPr>
          <w:rFonts w:ascii="Garamond" w:hAnsi="Garamond" w:cs="Garamond"/>
          <w:i/>
          <w:iCs/>
          <w:color w:val="0D0D0D"/>
          <w:sz w:val="24"/>
          <w:szCs w:val="24"/>
          <w:lang w:val="sq-AL"/>
        </w:rPr>
      </w:pPr>
      <w:r w:rsidRPr="00770F9D">
        <w:rPr>
          <w:rFonts w:ascii="Garamond" w:hAnsi="Garamond" w:cs="Calibri"/>
          <w:color w:val="0D0D0D"/>
          <w:sz w:val="24"/>
          <w:szCs w:val="24"/>
          <w:lang w:val="sq-AL"/>
        </w:rPr>
        <w:t>-</w:t>
      </w:r>
      <w:r w:rsidR="00BA4F1A" w:rsidRPr="00770F9D">
        <w:rPr>
          <w:rFonts w:ascii="Garamond" w:hAnsi="Garamond" w:cs="Calibri"/>
          <w:color w:val="0D0D0D"/>
          <w:sz w:val="24"/>
          <w:szCs w:val="24"/>
          <w:lang w:val="sq-AL"/>
        </w:rPr>
        <w:t xml:space="preserve"> </w:t>
      </w:r>
      <w:r w:rsidRPr="00770F9D">
        <w:rPr>
          <w:rFonts w:ascii="Garamond" w:hAnsi="Garamond" w:cs="Garamond"/>
          <w:color w:val="0D0D0D"/>
          <w:sz w:val="24"/>
          <w:szCs w:val="24"/>
          <w:lang w:val="sq-AL"/>
        </w:rPr>
        <w:t>Rritja e sinergjive ndërmjet sektorëve, p.sh. rrjete inteligjente dhe sisteme inteligjente të transportit;</w:t>
      </w:r>
    </w:p>
    <w:p w14:paraId="40991A32" w14:textId="3860513E" w:rsidR="00E76828" w:rsidRPr="00770F9D" w:rsidRDefault="00E76828" w:rsidP="00400806">
      <w:pPr>
        <w:pStyle w:val="ListParagraph"/>
        <w:ind w:left="0" w:firstLine="284"/>
        <w:jc w:val="both"/>
        <w:rPr>
          <w:rFonts w:ascii="Garamond" w:hAnsi="Garamond" w:cs="Garamond"/>
          <w:i/>
          <w:iCs/>
          <w:color w:val="0D0D0D"/>
          <w:sz w:val="24"/>
          <w:szCs w:val="24"/>
          <w:lang w:val="sq-AL"/>
        </w:rPr>
      </w:pPr>
      <w:r w:rsidRPr="00770F9D">
        <w:rPr>
          <w:rFonts w:ascii="Garamond" w:hAnsi="Garamond" w:cs="Calibri"/>
          <w:color w:val="0D0D0D"/>
          <w:sz w:val="24"/>
          <w:szCs w:val="24"/>
          <w:lang w:val="sq-AL"/>
        </w:rPr>
        <w:t>-</w:t>
      </w:r>
      <w:r w:rsidR="00BA4F1A" w:rsidRPr="00770F9D">
        <w:rPr>
          <w:rFonts w:ascii="Garamond" w:hAnsi="Garamond" w:cs="Calibri"/>
          <w:color w:val="0D0D0D"/>
          <w:sz w:val="24"/>
          <w:szCs w:val="24"/>
          <w:lang w:val="sq-AL"/>
        </w:rPr>
        <w:t xml:space="preserve"> </w:t>
      </w:r>
      <w:r w:rsidRPr="00770F9D">
        <w:rPr>
          <w:rFonts w:ascii="Garamond" w:hAnsi="Garamond" w:cs="Garamond"/>
          <w:color w:val="0D0D0D"/>
          <w:sz w:val="24"/>
          <w:szCs w:val="24"/>
          <w:lang w:val="sq-AL"/>
        </w:rPr>
        <w:t xml:space="preserve">Dublikim më i vogël i punëve civile, që do të thotë më pak gërmime dhe/ose ndotje akustike; </w:t>
      </w:r>
    </w:p>
    <w:p w14:paraId="4C8EBA1E" w14:textId="0607DB35" w:rsidR="00E76828" w:rsidRPr="00770F9D" w:rsidRDefault="00E76828" w:rsidP="00400806">
      <w:pPr>
        <w:pStyle w:val="ListParagraph"/>
        <w:ind w:left="0" w:firstLine="284"/>
        <w:jc w:val="both"/>
        <w:rPr>
          <w:rFonts w:ascii="Garamond" w:hAnsi="Garamond" w:cs="Garamond"/>
          <w:i/>
          <w:iCs/>
          <w:color w:val="0D0D0D"/>
          <w:sz w:val="24"/>
          <w:szCs w:val="24"/>
          <w:lang w:val="sq-AL"/>
        </w:rPr>
      </w:pPr>
      <w:r w:rsidRPr="00770F9D">
        <w:rPr>
          <w:rFonts w:ascii="Garamond" w:hAnsi="Garamond" w:cs="Calibri"/>
          <w:color w:val="0D0D0D"/>
          <w:sz w:val="24"/>
          <w:szCs w:val="24"/>
          <w:lang w:val="sq-AL"/>
        </w:rPr>
        <w:t>-</w:t>
      </w:r>
      <w:r w:rsidR="00BA4F1A" w:rsidRPr="00770F9D">
        <w:rPr>
          <w:rFonts w:ascii="Garamond" w:hAnsi="Garamond" w:cs="Calibri"/>
          <w:color w:val="0D0D0D"/>
          <w:sz w:val="24"/>
          <w:szCs w:val="24"/>
          <w:lang w:val="sq-AL"/>
        </w:rPr>
        <w:t xml:space="preserve"> </w:t>
      </w:r>
      <w:r w:rsidRPr="00770F9D">
        <w:rPr>
          <w:rFonts w:ascii="Garamond" w:hAnsi="Garamond" w:cs="Garamond"/>
          <w:color w:val="0D0D0D"/>
          <w:sz w:val="24"/>
          <w:szCs w:val="24"/>
          <w:lang w:val="sq-AL"/>
        </w:rPr>
        <w:t>Përmirësimi i klimës së biznesit përmes procedurave transparente dhe më të thjeshta për lejet e ndërtimit;</w:t>
      </w:r>
    </w:p>
    <w:p w14:paraId="1A86F574" w14:textId="70C05442" w:rsidR="00E76828" w:rsidRPr="00770F9D" w:rsidRDefault="00E76828" w:rsidP="00400806">
      <w:pPr>
        <w:pStyle w:val="ListParagraph"/>
        <w:ind w:left="0" w:firstLine="284"/>
        <w:jc w:val="both"/>
        <w:rPr>
          <w:rFonts w:ascii="Garamond" w:hAnsi="Garamond" w:cs="Garamond"/>
          <w:i/>
          <w:iCs/>
          <w:color w:val="0D0D0D"/>
          <w:sz w:val="24"/>
          <w:szCs w:val="24"/>
          <w:lang w:val="sq-AL"/>
        </w:rPr>
      </w:pPr>
      <w:r w:rsidRPr="00770F9D">
        <w:rPr>
          <w:rFonts w:ascii="Garamond" w:hAnsi="Garamond" w:cs="Calibri"/>
          <w:color w:val="0D0D0D"/>
          <w:sz w:val="24"/>
          <w:szCs w:val="24"/>
          <w:lang w:val="sq-AL"/>
        </w:rPr>
        <w:t>-</w:t>
      </w:r>
      <w:r w:rsidR="00BA4F1A" w:rsidRPr="00770F9D">
        <w:rPr>
          <w:rFonts w:ascii="Garamond" w:hAnsi="Garamond" w:cs="Calibri"/>
          <w:color w:val="0D0D0D"/>
          <w:sz w:val="24"/>
          <w:szCs w:val="24"/>
          <w:lang w:val="sq-AL"/>
        </w:rPr>
        <w:t xml:space="preserve"> </w:t>
      </w:r>
      <w:r w:rsidRPr="00770F9D">
        <w:rPr>
          <w:rFonts w:ascii="Garamond" w:hAnsi="Garamond" w:cs="Garamond"/>
          <w:color w:val="0D0D0D"/>
          <w:sz w:val="24"/>
          <w:szCs w:val="24"/>
          <w:lang w:val="sq-AL"/>
        </w:rPr>
        <w:t>Qasje e barabartë;</w:t>
      </w:r>
    </w:p>
    <w:p w14:paraId="468333D7" w14:textId="05CD264B" w:rsidR="00E76828" w:rsidRPr="00770F9D" w:rsidRDefault="00E76828" w:rsidP="00400806">
      <w:pPr>
        <w:pStyle w:val="ListParagraph"/>
        <w:ind w:left="0" w:firstLine="284"/>
        <w:jc w:val="both"/>
        <w:rPr>
          <w:rFonts w:ascii="Garamond" w:hAnsi="Garamond" w:cs="Garamond"/>
          <w:i/>
          <w:iCs/>
          <w:color w:val="0D0D0D"/>
          <w:sz w:val="24"/>
          <w:szCs w:val="24"/>
          <w:lang w:val="sq-AL"/>
        </w:rPr>
      </w:pPr>
      <w:r w:rsidRPr="00770F9D">
        <w:rPr>
          <w:rFonts w:ascii="Garamond" w:hAnsi="Garamond" w:cs="Calibri"/>
          <w:color w:val="0D0D0D"/>
          <w:sz w:val="24"/>
          <w:szCs w:val="24"/>
          <w:lang w:val="sq-AL"/>
        </w:rPr>
        <w:t>-</w:t>
      </w:r>
      <w:r w:rsidR="00BA4F1A" w:rsidRPr="00770F9D">
        <w:rPr>
          <w:rFonts w:ascii="Garamond" w:hAnsi="Garamond" w:cs="Calibri"/>
          <w:color w:val="0D0D0D"/>
          <w:sz w:val="24"/>
          <w:szCs w:val="24"/>
          <w:lang w:val="sq-AL"/>
        </w:rPr>
        <w:t xml:space="preserve"> </w:t>
      </w:r>
      <w:r w:rsidRPr="00770F9D">
        <w:rPr>
          <w:rFonts w:ascii="Garamond" w:hAnsi="Garamond" w:cs="Garamond"/>
          <w:color w:val="0D0D0D"/>
          <w:sz w:val="24"/>
          <w:szCs w:val="24"/>
          <w:lang w:val="sq-AL"/>
        </w:rPr>
        <w:t>Mosdiskriminimi;</w:t>
      </w:r>
    </w:p>
    <w:p w14:paraId="32688AA2" w14:textId="5F141FF0" w:rsidR="00E76828" w:rsidRPr="00770F9D" w:rsidRDefault="00E76828" w:rsidP="00400806">
      <w:pPr>
        <w:pStyle w:val="ListParagraph"/>
        <w:ind w:left="0" w:firstLine="284"/>
        <w:jc w:val="both"/>
        <w:rPr>
          <w:rFonts w:ascii="Garamond" w:hAnsi="Garamond" w:cs="Garamond"/>
          <w:i/>
          <w:iCs/>
          <w:color w:val="0D0D0D"/>
          <w:sz w:val="24"/>
          <w:szCs w:val="24"/>
          <w:lang w:val="sq-AL"/>
        </w:rPr>
      </w:pPr>
      <w:r w:rsidRPr="00770F9D">
        <w:rPr>
          <w:rFonts w:ascii="Garamond" w:hAnsi="Garamond" w:cs="Calibri"/>
          <w:color w:val="0D0D0D"/>
          <w:sz w:val="24"/>
          <w:szCs w:val="24"/>
          <w:lang w:val="sq-AL"/>
        </w:rPr>
        <w:t>-</w:t>
      </w:r>
      <w:r w:rsidR="00BA4F1A" w:rsidRPr="00770F9D">
        <w:rPr>
          <w:rFonts w:ascii="Garamond" w:hAnsi="Garamond" w:cs="Calibri"/>
          <w:color w:val="0D0D0D"/>
          <w:sz w:val="24"/>
          <w:szCs w:val="24"/>
          <w:lang w:val="sq-AL"/>
        </w:rPr>
        <w:t xml:space="preserve"> </w:t>
      </w:r>
      <w:r w:rsidRPr="00770F9D">
        <w:rPr>
          <w:rFonts w:ascii="Garamond" w:hAnsi="Garamond" w:cs="Garamond"/>
          <w:color w:val="0D0D0D"/>
          <w:sz w:val="24"/>
          <w:szCs w:val="24"/>
          <w:lang w:val="sq-AL"/>
        </w:rPr>
        <w:t>Krijimi i vendeve të punës etj.</w:t>
      </w:r>
    </w:p>
    <w:p w14:paraId="32E44BC4" w14:textId="0020D7B6" w:rsidR="00E76828" w:rsidRPr="00770F9D" w:rsidRDefault="00E76828" w:rsidP="00400806">
      <w:pPr>
        <w:pStyle w:val="Heading6"/>
        <w:numPr>
          <w:ilvl w:val="0"/>
          <w:numId w:val="0"/>
        </w:numPr>
        <w:ind w:firstLine="284"/>
        <w:rPr>
          <w:rFonts w:ascii="Garamond" w:hAnsi="Garamond" w:cs="Garamond"/>
          <w:i w:val="0"/>
          <w:iCs/>
          <w:color w:val="0D0D0D"/>
          <w:u w:val="none"/>
        </w:rPr>
      </w:pPr>
      <w:r w:rsidRPr="00770F9D">
        <w:rPr>
          <w:rFonts w:ascii="Garamond" w:hAnsi="Garamond" w:cs="Garamond"/>
          <w:i w:val="0"/>
          <w:iCs/>
          <w:color w:val="0D0D0D"/>
          <w:u w:val="none"/>
        </w:rPr>
        <w:t xml:space="preserve">Zhvillimi i </w:t>
      </w:r>
      <w:r w:rsidR="00CB7B7F" w:rsidRPr="00770F9D">
        <w:rPr>
          <w:rFonts w:ascii="Garamond" w:hAnsi="Garamond" w:cs="Garamond"/>
          <w:iCs/>
          <w:color w:val="0D0D0D"/>
          <w:u w:val="none"/>
        </w:rPr>
        <w:t>broadband</w:t>
      </w:r>
      <w:r w:rsidRPr="00770F9D">
        <w:rPr>
          <w:rFonts w:ascii="Garamond" w:hAnsi="Garamond" w:cs="Garamond"/>
          <w:i w:val="0"/>
          <w:iCs/>
          <w:color w:val="0D0D0D"/>
          <w:u w:val="none"/>
        </w:rPr>
        <w:t xml:space="preserve">-it pritet të rrisë numrin e punësimeve, të krijojë mundësi për të adresuar çështjet gjinore në TIK dhe të krijojë më shumë mundësi për punë në internet për femrat. Investimet në infrastrukturën </w:t>
      </w:r>
      <w:r w:rsidR="00CB7B7F" w:rsidRPr="00770F9D">
        <w:rPr>
          <w:rFonts w:ascii="Garamond" w:hAnsi="Garamond" w:cs="Garamond"/>
          <w:iCs/>
          <w:color w:val="0D0D0D"/>
          <w:u w:val="none"/>
        </w:rPr>
        <w:t>broadband</w:t>
      </w:r>
      <w:r w:rsidRPr="00770F9D">
        <w:rPr>
          <w:rFonts w:ascii="Garamond" w:hAnsi="Garamond" w:cs="Garamond"/>
          <w:i w:val="0"/>
          <w:iCs/>
          <w:color w:val="0D0D0D"/>
          <w:u w:val="none"/>
        </w:rPr>
        <w:t xml:space="preserve"> do të përmirësojnë produktivitetin e përgjithshëm</w:t>
      </w:r>
      <w:r w:rsidR="00D44DC9">
        <w:rPr>
          <w:rFonts w:ascii="Garamond" w:hAnsi="Garamond" w:cs="Garamond"/>
          <w:i w:val="0"/>
          <w:iCs/>
          <w:color w:val="0D0D0D"/>
          <w:u w:val="none"/>
        </w:rPr>
        <w:t>,</w:t>
      </w:r>
      <w:r w:rsidRPr="00770F9D">
        <w:rPr>
          <w:rFonts w:ascii="Garamond" w:hAnsi="Garamond" w:cs="Garamond"/>
          <w:i w:val="0"/>
          <w:iCs/>
          <w:color w:val="0D0D0D"/>
          <w:u w:val="none"/>
        </w:rPr>
        <w:t xml:space="preserve"> pasi efektet relative në</w:t>
      </w:r>
      <w:r w:rsidR="00D44DC9">
        <w:rPr>
          <w:rFonts w:ascii="Garamond" w:hAnsi="Garamond" w:cs="Garamond"/>
          <w:i w:val="0"/>
          <w:iCs/>
          <w:color w:val="0D0D0D"/>
          <w:u w:val="none"/>
        </w:rPr>
        <w:t xml:space="preserve"> </w:t>
      </w:r>
      <w:r w:rsidR="00D44DC9" w:rsidRPr="00770F9D">
        <w:rPr>
          <w:rFonts w:ascii="Garamond" w:hAnsi="Garamond" w:cs="Garamond"/>
          <w:i w:val="0"/>
          <w:iCs/>
          <w:color w:val="0D0D0D"/>
          <w:u w:val="none"/>
        </w:rPr>
        <w:t xml:space="preserve">vlerën e shtuar bruto tejkalojnë </w:t>
      </w:r>
      <w:r w:rsidRPr="00770F9D">
        <w:rPr>
          <w:rFonts w:ascii="Garamond" w:hAnsi="Garamond" w:cs="Garamond"/>
          <w:i w:val="0"/>
          <w:iCs/>
          <w:color w:val="0D0D0D"/>
          <w:u w:val="none"/>
        </w:rPr>
        <w:t xml:space="preserve">efektet në punësim. Duke shtuar përfitime të reja ekonomike dhe vende të lira pune, investimet në infrastrukturën </w:t>
      </w:r>
      <w:r w:rsidR="00CB7B7F" w:rsidRPr="00770F9D">
        <w:rPr>
          <w:rFonts w:ascii="Garamond" w:hAnsi="Garamond" w:cs="Garamond"/>
          <w:iCs/>
          <w:color w:val="0D0D0D"/>
          <w:u w:val="none"/>
        </w:rPr>
        <w:t>broadband</w:t>
      </w:r>
      <w:r w:rsidRPr="00770F9D">
        <w:rPr>
          <w:rFonts w:ascii="Garamond" w:hAnsi="Garamond" w:cs="Garamond"/>
          <w:i w:val="0"/>
          <w:iCs/>
          <w:color w:val="0D0D0D"/>
          <w:u w:val="none"/>
        </w:rPr>
        <w:t xml:space="preserve"> nuk sjellin vetëm përfitime ekonomike, por</w:t>
      </w:r>
      <w:r w:rsidR="00D44DC9">
        <w:rPr>
          <w:rFonts w:ascii="Garamond" w:hAnsi="Garamond" w:cs="Garamond"/>
          <w:i w:val="0"/>
          <w:iCs/>
          <w:color w:val="0D0D0D"/>
          <w:u w:val="none"/>
        </w:rPr>
        <w:t>,</w:t>
      </w:r>
      <w:r w:rsidRPr="00770F9D">
        <w:rPr>
          <w:rFonts w:ascii="Garamond" w:hAnsi="Garamond" w:cs="Garamond"/>
          <w:i w:val="0"/>
          <w:iCs/>
          <w:color w:val="0D0D0D"/>
          <w:u w:val="none"/>
        </w:rPr>
        <w:t xml:space="preserve"> gjithashtu</w:t>
      </w:r>
      <w:r w:rsidR="00D44DC9">
        <w:rPr>
          <w:rFonts w:ascii="Garamond" w:hAnsi="Garamond" w:cs="Garamond"/>
          <w:i w:val="0"/>
          <w:iCs/>
          <w:color w:val="0D0D0D"/>
          <w:u w:val="none"/>
        </w:rPr>
        <w:t>,</w:t>
      </w:r>
      <w:r w:rsidRPr="00770F9D">
        <w:rPr>
          <w:rFonts w:ascii="Garamond" w:hAnsi="Garamond" w:cs="Garamond"/>
          <w:i w:val="0"/>
          <w:iCs/>
          <w:color w:val="0D0D0D"/>
          <w:u w:val="none"/>
        </w:rPr>
        <w:t xml:space="preserve"> promovojnë një stabilitet më të madh politik dhe cilësi më të lartë të shërbimeve publike.</w:t>
      </w:r>
      <w:r w:rsidR="00BA0A08">
        <w:rPr>
          <w:rFonts w:ascii="Garamond" w:hAnsi="Garamond" w:cs="Garamond"/>
          <w:i w:val="0"/>
          <w:iCs/>
          <w:color w:val="0D0D0D"/>
          <w:u w:val="none"/>
        </w:rPr>
        <w:t xml:space="preserve"> </w:t>
      </w:r>
      <w:r w:rsidRPr="00770F9D">
        <w:rPr>
          <w:rFonts w:ascii="Garamond" w:hAnsi="Garamond" w:cs="Garamond"/>
          <w:i w:val="0"/>
          <w:iCs/>
          <w:color w:val="0D0D0D"/>
          <w:u w:val="none"/>
        </w:rPr>
        <w:t xml:space="preserve">Reforma krijon mundësi për të trajtuar çështjen gjinore në TIK përmes rritjes së mundësive për gratë, si punonjëse </w:t>
      </w:r>
      <w:r w:rsidRPr="00BA0A08">
        <w:rPr>
          <w:rFonts w:ascii="Garamond" w:hAnsi="Garamond" w:cs="Garamond"/>
          <w:color w:val="0D0D0D"/>
          <w:u w:val="none"/>
        </w:rPr>
        <w:t>online</w:t>
      </w:r>
      <w:r w:rsidRPr="00770F9D">
        <w:rPr>
          <w:rFonts w:ascii="Garamond" w:hAnsi="Garamond" w:cs="Garamond"/>
          <w:i w:val="0"/>
          <w:iCs/>
          <w:color w:val="0D0D0D"/>
          <w:u w:val="none"/>
        </w:rPr>
        <w:t xml:space="preserve"> nga shtëpia në zona të largëta/rurale.</w:t>
      </w:r>
    </w:p>
    <w:p w14:paraId="32879A88" w14:textId="479142B2" w:rsidR="00E76828" w:rsidRPr="00770F9D" w:rsidRDefault="002271D1" w:rsidP="00400806">
      <w:pPr>
        <w:pStyle w:val="Heading6"/>
        <w:numPr>
          <w:ilvl w:val="0"/>
          <w:numId w:val="0"/>
        </w:numPr>
        <w:ind w:firstLine="284"/>
        <w:rPr>
          <w:rFonts w:ascii="Garamond" w:hAnsi="Garamond" w:cs="Garamond"/>
          <w:color w:val="0D0D0D"/>
          <w:u w:val="none"/>
        </w:rPr>
      </w:pPr>
      <w:r w:rsidRPr="00770F9D">
        <w:rPr>
          <w:rFonts w:ascii="Garamond" w:hAnsi="Garamond" w:cs="Garamond"/>
          <w:color w:val="0D0D0D"/>
          <w:u w:val="none"/>
        </w:rPr>
        <w:t>6</w:t>
      </w:r>
      <w:r w:rsidR="00E76828" w:rsidRPr="00770F9D">
        <w:rPr>
          <w:rFonts w:ascii="Garamond" w:hAnsi="Garamond" w:cs="Garamond"/>
          <w:color w:val="0D0D0D"/>
          <w:u w:val="none"/>
        </w:rPr>
        <w:t>.</w:t>
      </w:r>
      <w:r w:rsidR="00BA4F1A" w:rsidRPr="00770F9D">
        <w:rPr>
          <w:rFonts w:ascii="Garamond" w:hAnsi="Garamond" w:cs="Garamond"/>
          <w:color w:val="0D0D0D"/>
          <w:u w:val="none"/>
        </w:rPr>
        <w:t xml:space="preserve"> </w:t>
      </w:r>
      <w:r w:rsidR="00E76828" w:rsidRPr="00770F9D">
        <w:rPr>
          <w:rFonts w:ascii="Garamond" w:hAnsi="Garamond" w:cs="Garamond"/>
          <w:color w:val="0D0D0D"/>
          <w:u w:val="none"/>
        </w:rPr>
        <w:t>Ndikimi i pritshëm në mjedis dhe ndryshimi i klimës</w:t>
      </w:r>
    </w:p>
    <w:p w14:paraId="17402DD9" w14:textId="455FC517" w:rsidR="00E76828" w:rsidRPr="00770F9D" w:rsidRDefault="00E76828" w:rsidP="00400806">
      <w:pPr>
        <w:ind w:firstLine="284"/>
        <w:jc w:val="both"/>
        <w:rPr>
          <w:rFonts w:ascii="Garamond" w:hAnsi="Garamond" w:cs="Garamond"/>
          <w:color w:val="0D0D0D"/>
        </w:rPr>
      </w:pPr>
      <w:r w:rsidRPr="00770F9D">
        <w:rPr>
          <w:rFonts w:ascii="Garamond" w:hAnsi="Garamond" w:cs="Garamond"/>
          <w:color w:val="0D0D0D"/>
        </w:rPr>
        <w:t xml:space="preserve">Masa e reformës pritet të ketë ndikim në mjedis. Nëpërmjet ndarjes së infrastrukturës dhe koordinimit të punës civile në vendosjen e infrastrukturës </w:t>
      </w:r>
      <w:r w:rsidR="00CB7B7F" w:rsidRPr="00770F9D">
        <w:rPr>
          <w:rFonts w:ascii="Garamond" w:hAnsi="Garamond" w:cs="Garamond"/>
          <w:i/>
          <w:iCs/>
          <w:color w:val="0D0D0D"/>
        </w:rPr>
        <w:t>broadband</w:t>
      </w:r>
      <w:r w:rsidRPr="00770F9D">
        <w:rPr>
          <w:rFonts w:ascii="Garamond" w:hAnsi="Garamond" w:cs="Garamond"/>
          <w:color w:val="0D0D0D"/>
        </w:rPr>
        <w:t xml:space="preserve">, duke shkuar drejt digjitales, reduktohet ndotja e ajrit dhe ndikimi në mjedis. Teknologjitë digjitale të tilla si inteligjenca artificiale, 5G, </w:t>
      </w:r>
      <w:r w:rsidRPr="00BA0A08">
        <w:rPr>
          <w:rFonts w:ascii="Garamond" w:hAnsi="Garamond" w:cs="Garamond"/>
          <w:i/>
          <w:iCs/>
          <w:color w:val="0D0D0D"/>
        </w:rPr>
        <w:t>cloud computing</w:t>
      </w:r>
      <w:r w:rsidRPr="00770F9D">
        <w:rPr>
          <w:rFonts w:ascii="Garamond" w:hAnsi="Garamond" w:cs="Garamond"/>
          <w:color w:val="0D0D0D"/>
        </w:rPr>
        <w:t xml:space="preserve"> dhe </w:t>
      </w:r>
      <w:r w:rsidRPr="00BA0A08">
        <w:rPr>
          <w:rFonts w:ascii="Garamond" w:hAnsi="Garamond" w:cs="Garamond"/>
          <w:i/>
          <w:iCs/>
          <w:color w:val="0D0D0D"/>
        </w:rPr>
        <w:t>Internet of things</w:t>
      </w:r>
      <w:r w:rsidRPr="00770F9D">
        <w:rPr>
          <w:rFonts w:ascii="Garamond" w:hAnsi="Garamond" w:cs="Garamond"/>
          <w:color w:val="0D0D0D"/>
        </w:rPr>
        <w:t xml:space="preserve"> mund të përshpejtojnë dhe maksimizojnë ndikimin e politikave për t’u marrë me ndryshimet klimatike dhe për të mbrojtur mjedisin. Digjitalizimi paraqet</w:t>
      </w:r>
      <w:r w:rsidR="00823852">
        <w:rPr>
          <w:rFonts w:ascii="Garamond" w:hAnsi="Garamond" w:cs="Garamond"/>
          <w:color w:val="0D0D0D"/>
        </w:rPr>
        <w:t>,</w:t>
      </w:r>
      <w:r w:rsidRPr="00770F9D">
        <w:rPr>
          <w:rFonts w:ascii="Garamond" w:hAnsi="Garamond" w:cs="Garamond"/>
          <w:color w:val="0D0D0D"/>
        </w:rPr>
        <w:t xml:space="preserve"> gjithashtu</w:t>
      </w:r>
      <w:r w:rsidR="00823852">
        <w:rPr>
          <w:rFonts w:ascii="Garamond" w:hAnsi="Garamond" w:cs="Garamond"/>
          <w:color w:val="0D0D0D"/>
        </w:rPr>
        <w:t>,</w:t>
      </w:r>
      <w:r w:rsidRPr="00770F9D">
        <w:rPr>
          <w:rFonts w:ascii="Garamond" w:hAnsi="Garamond" w:cs="Garamond"/>
          <w:color w:val="0D0D0D"/>
        </w:rPr>
        <w:t xml:space="preserve"> mundësi të reja për monitorimin në distancë të ndotjes së ajrit dhe ujit, ose për monitorimin dhe optimizimin e përdorimit të energjisë dhe burimeve natyrore.</w:t>
      </w:r>
    </w:p>
    <w:p w14:paraId="67D3E576" w14:textId="023AF125" w:rsidR="00E76828" w:rsidRPr="00770F9D" w:rsidRDefault="002271D1" w:rsidP="00400806">
      <w:pPr>
        <w:pStyle w:val="Heading6"/>
        <w:numPr>
          <w:ilvl w:val="0"/>
          <w:numId w:val="0"/>
        </w:numPr>
        <w:ind w:firstLine="284"/>
        <w:rPr>
          <w:rFonts w:ascii="Garamond" w:hAnsi="Garamond" w:cs="Garamond"/>
          <w:color w:val="0D0D0D"/>
          <w:u w:val="none"/>
        </w:rPr>
      </w:pPr>
      <w:r w:rsidRPr="00770F9D">
        <w:rPr>
          <w:rFonts w:ascii="Garamond" w:hAnsi="Garamond" w:cs="Garamond"/>
          <w:color w:val="0D0D0D"/>
          <w:u w:val="none"/>
        </w:rPr>
        <w:t>7</w:t>
      </w:r>
      <w:r w:rsidR="00E76828" w:rsidRPr="00770F9D">
        <w:rPr>
          <w:rFonts w:ascii="Garamond" w:hAnsi="Garamond" w:cs="Garamond"/>
          <w:color w:val="0D0D0D"/>
          <w:u w:val="none"/>
        </w:rPr>
        <w:t>.</w:t>
      </w:r>
      <w:r w:rsidR="00BA4F1A" w:rsidRPr="00770F9D">
        <w:rPr>
          <w:rFonts w:ascii="Garamond" w:hAnsi="Garamond" w:cs="Garamond"/>
          <w:color w:val="0D0D0D"/>
          <w:u w:val="none"/>
        </w:rPr>
        <w:t xml:space="preserve"> </w:t>
      </w:r>
      <w:r w:rsidR="00E76828" w:rsidRPr="00770F9D">
        <w:rPr>
          <w:rFonts w:ascii="Garamond" w:hAnsi="Garamond" w:cs="Garamond"/>
          <w:color w:val="0D0D0D"/>
          <w:u w:val="none"/>
        </w:rPr>
        <w:t>Rreziqet e mundshme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7"/>
        <w:gridCol w:w="1504"/>
        <w:gridCol w:w="3546"/>
      </w:tblGrid>
      <w:tr w:rsidR="00FA29AB" w:rsidRPr="00823852" w14:paraId="3DCDD78E" w14:textId="77777777" w:rsidTr="0034655E">
        <w:trPr>
          <w:jc w:val="center"/>
        </w:trPr>
        <w:tc>
          <w:tcPr>
            <w:tcW w:w="2281" w:type="pct"/>
            <w:shd w:val="clear" w:color="auto" w:fill="auto"/>
            <w:vAlign w:val="center"/>
          </w:tcPr>
          <w:p w14:paraId="06CF1BBA" w14:textId="77777777" w:rsidR="00A92D0C" w:rsidRPr="00823852" w:rsidRDefault="00B2062A" w:rsidP="00823852">
            <w:pPr>
              <w:widowControl w:val="0"/>
              <w:jc w:val="center"/>
              <w:rPr>
                <w:rFonts w:ascii="Garamond" w:hAnsi="Garamond" w:cstheme="majorBidi"/>
                <w:b/>
                <w:bCs/>
                <w:color w:val="0D0D0D" w:themeColor="text1" w:themeTint="F2"/>
                <w:sz w:val="20"/>
                <w:szCs w:val="20"/>
              </w:rPr>
            </w:pPr>
            <w:r w:rsidRPr="00823852">
              <w:rPr>
                <w:rFonts w:ascii="Garamond" w:hAnsi="Garamond" w:cstheme="majorBidi"/>
                <w:b/>
                <w:bCs/>
                <w:color w:val="0D0D0D" w:themeColor="text1" w:themeTint="F2"/>
                <w:sz w:val="20"/>
                <w:szCs w:val="20"/>
              </w:rPr>
              <w:t>Rreziku</w:t>
            </w:r>
          </w:p>
        </w:tc>
        <w:tc>
          <w:tcPr>
            <w:tcW w:w="810" w:type="pct"/>
            <w:shd w:val="clear" w:color="auto" w:fill="auto"/>
            <w:vAlign w:val="center"/>
          </w:tcPr>
          <w:p w14:paraId="0618D4E2" w14:textId="77777777" w:rsidR="00823852" w:rsidRDefault="00B2062A" w:rsidP="00823852">
            <w:pPr>
              <w:widowControl w:val="0"/>
              <w:jc w:val="center"/>
              <w:rPr>
                <w:rFonts w:ascii="Garamond" w:hAnsi="Garamond" w:cstheme="majorBidi"/>
                <w:b/>
                <w:bCs/>
                <w:color w:val="0D0D0D" w:themeColor="text1" w:themeTint="F2"/>
                <w:sz w:val="20"/>
                <w:szCs w:val="20"/>
              </w:rPr>
            </w:pPr>
            <w:r w:rsidRPr="00823852">
              <w:rPr>
                <w:rFonts w:ascii="Garamond" w:hAnsi="Garamond" w:cstheme="majorBidi"/>
                <w:b/>
                <w:bCs/>
                <w:color w:val="0D0D0D" w:themeColor="text1" w:themeTint="F2"/>
                <w:sz w:val="20"/>
                <w:szCs w:val="20"/>
              </w:rPr>
              <w:t>Mundësia</w:t>
            </w:r>
            <w:r w:rsidR="00A92D0C" w:rsidRPr="00823852">
              <w:rPr>
                <w:rFonts w:ascii="Garamond" w:hAnsi="Garamond" w:cstheme="majorBidi"/>
                <w:b/>
                <w:bCs/>
                <w:color w:val="0D0D0D" w:themeColor="text1" w:themeTint="F2"/>
                <w:sz w:val="20"/>
                <w:szCs w:val="20"/>
              </w:rPr>
              <w:t xml:space="preserve"> </w:t>
            </w:r>
          </w:p>
          <w:p w14:paraId="526750BD" w14:textId="01AB8732" w:rsidR="00A92D0C" w:rsidRPr="00823852" w:rsidRDefault="00A92D0C" w:rsidP="00823852">
            <w:pPr>
              <w:widowControl w:val="0"/>
              <w:jc w:val="center"/>
              <w:rPr>
                <w:rFonts w:ascii="Garamond" w:hAnsi="Garamond" w:cstheme="majorBidi"/>
                <w:b/>
                <w:bCs/>
                <w:color w:val="0D0D0D" w:themeColor="text1" w:themeTint="F2"/>
                <w:sz w:val="20"/>
                <w:szCs w:val="20"/>
              </w:rPr>
            </w:pPr>
            <w:r w:rsidRPr="00823852">
              <w:rPr>
                <w:rFonts w:ascii="Garamond" w:hAnsi="Garamond" w:cstheme="majorBidi"/>
                <w:b/>
                <w:bCs/>
                <w:color w:val="0D0D0D" w:themeColor="text1" w:themeTint="F2"/>
                <w:sz w:val="20"/>
                <w:szCs w:val="20"/>
              </w:rPr>
              <w:t>(</w:t>
            </w:r>
            <w:r w:rsidR="00B2062A" w:rsidRPr="00823852">
              <w:rPr>
                <w:rFonts w:ascii="Garamond" w:hAnsi="Garamond" w:cstheme="majorBidi"/>
                <w:b/>
                <w:bCs/>
                <w:color w:val="0D0D0D" w:themeColor="text1" w:themeTint="F2"/>
                <w:sz w:val="20"/>
                <w:szCs w:val="20"/>
              </w:rPr>
              <w:t>e ulët, e lartë</w:t>
            </w:r>
            <w:r w:rsidRPr="00823852">
              <w:rPr>
                <w:rFonts w:ascii="Garamond" w:hAnsi="Garamond" w:cstheme="majorBidi"/>
                <w:b/>
                <w:bCs/>
                <w:color w:val="0D0D0D" w:themeColor="text1" w:themeTint="F2"/>
                <w:sz w:val="20"/>
                <w:szCs w:val="20"/>
              </w:rPr>
              <w:t>)</w:t>
            </w:r>
          </w:p>
        </w:tc>
        <w:tc>
          <w:tcPr>
            <w:tcW w:w="1909" w:type="pct"/>
            <w:shd w:val="clear" w:color="auto" w:fill="auto"/>
            <w:vAlign w:val="center"/>
          </w:tcPr>
          <w:p w14:paraId="609135E7" w14:textId="77777777" w:rsidR="00A92D0C" w:rsidRPr="00823852" w:rsidRDefault="00B2062A" w:rsidP="00823852">
            <w:pPr>
              <w:widowControl w:val="0"/>
              <w:jc w:val="center"/>
              <w:rPr>
                <w:rFonts w:ascii="Garamond" w:hAnsi="Garamond" w:cstheme="majorBidi"/>
                <w:b/>
                <w:bCs/>
                <w:color w:val="0D0D0D" w:themeColor="text1" w:themeTint="F2"/>
                <w:sz w:val="20"/>
                <w:szCs w:val="20"/>
              </w:rPr>
            </w:pPr>
            <w:r w:rsidRPr="00823852">
              <w:rPr>
                <w:rFonts w:ascii="Garamond" w:hAnsi="Garamond" w:cstheme="majorBidi"/>
                <w:b/>
                <w:bCs/>
                <w:color w:val="0D0D0D" w:themeColor="text1" w:themeTint="F2"/>
                <w:sz w:val="20"/>
                <w:szCs w:val="20"/>
              </w:rPr>
              <w:t>Veprimi zbutës i parashikuar</w:t>
            </w:r>
          </w:p>
        </w:tc>
      </w:tr>
      <w:tr w:rsidR="009D27FE" w:rsidRPr="00770F9D" w14:paraId="2817F7D1" w14:textId="77777777" w:rsidTr="0034655E">
        <w:trPr>
          <w:jc w:val="center"/>
        </w:trPr>
        <w:tc>
          <w:tcPr>
            <w:tcW w:w="2281" w:type="pct"/>
            <w:shd w:val="clear" w:color="auto" w:fill="auto"/>
          </w:tcPr>
          <w:p w14:paraId="1CD326FF" w14:textId="2AC99620" w:rsidR="009D27FE" w:rsidRPr="00770F9D" w:rsidRDefault="009D27FE" w:rsidP="002271D1">
            <w:pPr>
              <w:pStyle w:val="TableParagraph"/>
              <w:rPr>
                <w:rFonts w:ascii="Garamond" w:eastAsia="Arial Narrow" w:hAnsi="Garamond" w:cstheme="majorBidi"/>
                <w:color w:val="0D0D0D" w:themeColor="text1" w:themeTint="F2"/>
                <w:sz w:val="20"/>
                <w:szCs w:val="20"/>
              </w:rPr>
            </w:pPr>
            <w:r w:rsidRPr="00770F9D">
              <w:rPr>
                <w:rFonts w:ascii="Garamond" w:hAnsi="Garamond" w:cstheme="majorBidi"/>
                <w:color w:val="0D0D0D" w:themeColor="text1" w:themeTint="F2"/>
                <w:sz w:val="20"/>
                <w:szCs w:val="20"/>
              </w:rPr>
              <w:t>Infrastruktura digjitale dhe infrastrukturat e tjera siç janë transporti dhe energjia duhet të koordinohen</w:t>
            </w:r>
            <w:r w:rsidR="00823852">
              <w:rPr>
                <w:rFonts w:ascii="Garamond" w:hAnsi="Garamond" w:cstheme="majorBidi"/>
                <w:color w:val="0D0D0D" w:themeColor="text1" w:themeTint="F2"/>
                <w:sz w:val="20"/>
                <w:szCs w:val="20"/>
              </w:rPr>
              <w:t xml:space="preserve">, </w:t>
            </w:r>
            <w:r w:rsidRPr="00770F9D">
              <w:rPr>
                <w:rFonts w:ascii="Garamond" w:hAnsi="Garamond" w:cstheme="majorBidi"/>
                <w:color w:val="0D0D0D" w:themeColor="text1" w:themeTint="F2"/>
                <w:sz w:val="20"/>
                <w:szCs w:val="20"/>
              </w:rPr>
              <w:t>në mënyrë që të përfitojnë nga sinergjia dhe investimet e përbashkëta</w:t>
            </w:r>
            <w:r w:rsidR="00D82867">
              <w:rPr>
                <w:rFonts w:ascii="Garamond" w:hAnsi="Garamond" w:cstheme="majorBidi"/>
                <w:color w:val="0D0D0D" w:themeColor="text1" w:themeTint="F2"/>
                <w:sz w:val="20"/>
                <w:szCs w:val="20"/>
              </w:rPr>
              <w:t>.</w:t>
            </w:r>
          </w:p>
        </w:tc>
        <w:tc>
          <w:tcPr>
            <w:tcW w:w="810" w:type="pct"/>
            <w:shd w:val="clear" w:color="auto" w:fill="auto"/>
          </w:tcPr>
          <w:p w14:paraId="6B8BD841" w14:textId="77777777" w:rsidR="009D27FE" w:rsidRPr="00770F9D" w:rsidRDefault="009D27FE" w:rsidP="002271D1">
            <w:pPr>
              <w:pStyle w:val="TableParagraph"/>
              <w:rPr>
                <w:rFonts w:ascii="Garamond" w:hAnsi="Garamond" w:cstheme="majorBidi"/>
                <w:color w:val="0D0D0D" w:themeColor="text1" w:themeTint="F2"/>
                <w:spacing w:val="-1"/>
                <w:sz w:val="20"/>
                <w:szCs w:val="20"/>
              </w:rPr>
            </w:pPr>
            <w:r w:rsidRPr="00770F9D">
              <w:rPr>
                <w:rFonts w:ascii="Garamond" w:hAnsi="Garamond" w:cstheme="majorBidi"/>
                <w:color w:val="0D0D0D" w:themeColor="text1" w:themeTint="F2"/>
                <w:spacing w:val="-1"/>
                <w:sz w:val="20"/>
                <w:szCs w:val="20"/>
              </w:rPr>
              <w:t>I mesëm</w:t>
            </w:r>
          </w:p>
        </w:tc>
        <w:tc>
          <w:tcPr>
            <w:tcW w:w="1909" w:type="pct"/>
            <w:shd w:val="clear" w:color="auto" w:fill="auto"/>
          </w:tcPr>
          <w:p w14:paraId="6EF42AB9" w14:textId="77777777" w:rsidR="009D27FE" w:rsidRPr="00770F9D" w:rsidRDefault="009D27FE" w:rsidP="002271D1">
            <w:pPr>
              <w:pStyle w:val="TableParagraph"/>
              <w:rPr>
                <w:rFonts w:ascii="Garamond" w:hAnsi="Garamond" w:cstheme="majorBidi"/>
                <w:color w:val="0D0D0D" w:themeColor="text1" w:themeTint="F2"/>
                <w:spacing w:val="-1"/>
                <w:sz w:val="20"/>
                <w:szCs w:val="20"/>
              </w:rPr>
            </w:pPr>
            <w:r w:rsidRPr="00770F9D">
              <w:rPr>
                <w:rFonts w:ascii="Garamond" w:hAnsi="Garamond" w:cstheme="majorBidi"/>
                <w:color w:val="0D0D0D" w:themeColor="text1" w:themeTint="F2"/>
                <w:sz w:val="20"/>
                <w:szCs w:val="20"/>
              </w:rPr>
              <w:t>Monitorimi, raportimi dhe bashkëpunimi i vazhdueshëm i ngushtë ndërmjet palëve të interesuara</w:t>
            </w:r>
          </w:p>
        </w:tc>
      </w:tr>
      <w:tr w:rsidR="009D27FE" w:rsidRPr="00770F9D" w14:paraId="40D3BCFD" w14:textId="77777777" w:rsidTr="0034655E">
        <w:trPr>
          <w:jc w:val="center"/>
        </w:trPr>
        <w:tc>
          <w:tcPr>
            <w:tcW w:w="2281" w:type="pct"/>
            <w:shd w:val="clear" w:color="auto" w:fill="auto"/>
          </w:tcPr>
          <w:p w14:paraId="3A8AC319" w14:textId="129107AB" w:rsidR="009D27FE" w:rsidRPr="00770F9D" w:rsidRDefault="009D27FE" w:rsidP="002271D1">
            <w:pPr>
              <w:pStyle w:val="TableParagraph"/>
              <w:rPr>
                <w:rFonts w:ascii="Garamond" w:eastAsia="Arial Narrow" w:hAnsi="Garamond" w:cstheme="majorBidi"/>
                <w:color w:val="0D0D0D" w:themeColor="text1" w:themeTint="F2"/>
                <w:sz w:val="20"/>
                <w:szCs w:val="20"/>
              </w:rPr>
            </w:pPr>
            <w:r w:rsidRPr="00770F9D">
              <w:rPr>
                <w:rFonts w:ascii="Garamond" w:hAnsi="Garamond" w:cstheme="majorBidi"/>
                <w:color w:val="0D0D0D" w:themeColor="text1" w:themeTint="F2"/>
                <w:sz w:val="20"/>
                <w:szCs w:val="20"/>
              </w:rPr>
              <w:t>Mungesa e bashkëpunimit midis aktorëve të ndryshëm të përfshirë në këtë proces është një nga vështirësitë</w:t>
            </w:r>
            <w:r w:rsidR="00823852">
              <w:rPr>
                <w:rFonts w:ascii="Garamond" w:hAnsi="Garamond" w:cstheme="majorBidi"/>
                <w:color w:val="0D0D0D" w:themeColor="text1" w:themeTint="F2"/>
                <w:sz w:val="20"/>
                <w:szCs w:val="20"/>
              </w:rPr>
              <w:t xml:space="preserve"> e identifikuara në këtë sektor</w:t>
            </w:r>
            <w:r w:rsidR="00D82867">
              <w:rPr>
                <w:rFonts w:ascii="Garamond" w:hAnsi="Garamond" w:cstheme="majorBidi"/>
                <w:color w:val="0D0D0D" w:themeColor="text1" w:themeTint="F2"/>
                <w:sz w:val="20"/>
                <w:szCs w:val="20"/>
              </w:rPr>
              <w:t>.</w:t>
            </w:r>
          </w:p>
        </w:tc>
        <w:tc>
          <w:tcPr>
            <w:tcW w:w="810" w:type="pct"/>
            <w:shd w:val="clear" w:color="auto" w:fill="auto"/>
          </w:tcPr>
          <w:p w14:paraId="786B7C6E" w14:textId="77777777" w:rsidR="009D27FE" w:rsidRPr="00770F9D" w:rsidRDefault="009D27FE" w:rsidP="002271D1">
            <w:pPr>
              <w:pStyle w:val="TableParagraph"/>
              <w:rPr>
                <w:rFonts w:ascii="Garamond" w:hAnsi="Garamond" w:cstheme="majorBidi"/>
                <w:color w:val="0D0D0D" w:themeColor="text1" w:themeTint="F2"/>
                <w:spacing w:val="-1"/>
                <w:sz w:val="20"/>
                <w:szCs w:val="20"/>
              </w:rPr>
            </w:pPr>
            <w:r w:rsidRPr="00770F9D">
              <w:rPr>
                <w:rFonts w:ascii="Garamond" w:hAnsi="Garamond" w:cstheme="majorBidi"/>
                <w:color w:val="0D0D0D" w:themeColor="text1" w:themeTint="F2"/>
                <w:spacing w:val="-1"/>
                <w:sz w:val="20"/>
                <w:szCs w:val="20"/>
              </w:rPr>
              <w:t>I mesëm</w:t>
            </w:r>
          </w:p>
        </w:tc>
        <w:tc>
          <w:tcPr>
            <w:tcW w:w="1909" w:type="pct"/>
            <w:shd w:val="clear" w:color="auto" w:fill="auto"/>
          </w:tcPr>
          <w:p w14:paraId="4E918CCF" w14:textId="77777777" w:rsidR="009D27FE" w:rsidRPr="00770F9D" w:rsidRDefault="009D27FE" w:rsidP="002271D1">
            <w:pPr>
              <w:pStyle w:val="TableParagraph"/>
              <w:rPr>
                <w:rFonts w:ascii="Garamond" w:hAnsi="Garamond" w:cstheme="majorBidi"/>
                <w:color w:val="0D0D0D" w:themeColor="text1" w:themeTint="F2"/>
                <w:spacing w:val="-1"/>
                <w:sz w:val="20"/>
                <w:szCs w:val="20"/>
              </w:rPr>
            </w:pPr>
            <w:r w:rsidRPr="00770F9D">
              <w:rPr>
                <w:rFonts w:ascii="Garamond" w:hAnsi="Garamond" w:cstheme="majorBidi"/>
                <w:color w:val="0D0D0D" w:themeColor="text1" w:themeTint="F2"/>
                <w:sz w:val="20"/>
                <w:szCs w:val="20"/>
              </w:rPr>
              <w:t>Monitorimi, raportimi dhe bashkëpunimi i vazhdueshëm i ngushtë ndërmjet palëve të interesuara</w:t>
            </w:r>
          </w:p>
        </w:tc>
      </w:tr>
      <w:tr w:rsidR="009D27FE" w:rsidRPr="00770F9D" w14:paraId="4006E79B" w14:textId="77777777" w:rsidTr="0034655E">
        <w:trPr>
          <w:jc w:val="center"/>
        </w:trPr>
        <w:tc>
          <w:tcPr>
            <w:tcW w:w="2281" w:type="pct"/>
            <w:shd w:val="clear" w:color="auto" w:fill="auto"/>
          </w:tcPr>
          <w:p w14:paraId="1605FCF2" w14:textId="77777777" w:rsidR="009D27FE" w:rsidRPr="00770F9D" w:rsidRDefault="009D27FE" w:rsidP="002271D1">
            <w:pPr>
              <w:pStyle w:val="TableParagraph"/>
              <w:rPr>
                <w:rFonts w:ascii="Garamond" w:eastAsia="Arial Narrow" w:hAnsi="Garamond" w:cstheme="majorBidi"/>
                <w:color w:val="0D0D0D" w:themeColor="text1" w:themeTint="F2"/>
                <w:sz w:val="20"/>
                <w:szCs w:val="20"/>
              </w:rPr>
            </w:pPr>
            <w:r w:rsidRPr="00770F9D">
              <w:rPr>
                <w:rFonts w:ascii="Garamond" w:hAnsi="Garamond" w:cstheme="majorBidi"/>
                <w:color w:val="0D0D0D" w:themeColor="text1" w:themeTint="F2"/>
                <w:sz w:val="20"/>
                <w:szCs w:val="20"/>
              </w:rPr>
              <w:t>Mungesa e fondeve për zbatimin e masës</w:t>
            </w:r>
          </w:p>
        </w:tc>
        <w:tc>
          <w:tcPr>
            <w:tcW w:w="810" w:type="pct"/>
            <w:shd w:val="clear" w:color="auto" w:fill="auto"/>
          </w:tcPr>
          <w:p w14:paraId="7EC58AE1" w14:textId="77777777" w:rsidR="009D27FE" w:rsidRPr="00770F9D" w:rsidRDefault="009D27FE" w:rsidP="002271D1">
            <w:pPr>
              <w:pStyle w:val="TableParagraph"/>
              <w:rPr>
                <w:rFonts w:ascii="Garamond" w:hAnsi="Garamond" w:cstheme="majorBidi"/>
                <w:color w:val="0D0D0D" w:themeColor="text1" w:themeTint="F2"/>
                <w:spacing w:val="-1"/>
                <w:sz w:val="20"/>
                <w:szCs w:val="20"/>
              </w:rPr>
            </w:pPr>
            <w:r w:rsidRPr="00770F9D">
              <w:rPr>
                <w:rFonts w:ascii="Garamond" w:hAnsi="Garamond" w:cstheme="majorBidi"/>
                <w:color w:val="0D0D0D" w:themeColor="text1" w:themeTint="F2"/>
                <w:spacing w:val="-1"/>
                <w:sz w:val="20"/>
                <w:szCs w:val="20"/>
              </w:rPr>
              <w:t>I mesëm</w:t>
            </w:r>
          </w:p>
        </w:tc>
        <w:tc>
          <w:tcPr>
            <w:tcW w:w="1909" w:type="pct"/>
            <w:shd w:val="clear" w:color="auto" w:fill="auto"/>
          </w:tcPr>
          <w:p w14:paraId="7B6DD810" w14:textId="77777777" w:rsidR="009D27FE" w:rsidRPr="00770F9D" w:rsidRDefault="009D27FE" w:rsidP="002271D1">
            <w:pPr>
              <w:pStyle w:val="TableParagraph"/>
              <w:rPr>
                <w:rFonts w:ascii="Garamond" w:hAnsi="Garamond" w:cstheme="majorBidi"/>
                <w:color w:val="0D0D0D" w:themeColor="text1" w:themeTint="F2"/>
                <w:spacing w:val="-1"/>
                <w:sz w:val="20"/>
                <w:szCs w:val="20"/>
              </w:rPr>
            </w:pPr>
            <w:r w:rsidRPr="00770F9D">
              <w:rPr>
                <w:rFonts w:ascii="Garamond" w:hAnsi="Garamond" w:cstheme="majorBidi"/>
                <w:color w:val="0D0D0D" w:themeColor="text1" w:themeTint="F2"/>
                <w:spacing w:val="-1"/>
                <w:sz w:val="20"/>
                <w:szCs w:val="20"/>
              </w:rPr>
              <w:t>Kërkimi i burimeve alternative të financimit ose përshtatja e fushës së masës me financimin e disponueshëm</w:t>
            </w:r>
          </w:p>
        </w:tc>
      </w:tr>
    </w:tbl>
    <w:p w14:paraId="63F000A5" w14:textId="77777777" w:rsidR="00263B19" w:rsidRPr="00770F9D" w:rsidRDefault="00263B19" w:rsidP="005674F2">
      <w:pPr>
        <w:ind w:firstLine="284"/>
        <w:rPr>
          <w:rFonts w:ascii="Garamond" w:hAnsi="Garamond" w:cstheme="majorBidi"/>
          <w:color w:val="0D0D0D" w:themeColor="text1" w:themeTint="F2"/>
        </w:rPr>
      </w:pPr>
    </w:p>
    <w:p w14:paraId="7AA12031" w14:textId="392713ED" w:rsidR="005674F2" w:rsidRPr="00770F9D" w:rsidRDefault="00165673" w:rsidP="00400806">
      <w:pPr>
        <w:pStyle w:val="Heading3"/>
        <w:ind w:left="0" w:firstLine="284"/>
        <w:jc w:val="both"/>
        <w:rPr>
          <w:rFonts w:ascii="Garamond" w:hAnsi="Garamond"/>
          <w:b/>
          <w:bCs/>
          <w:color w:val="0D0D0D"/>
          <w:sz w:val="24"/>
          <w:szCs w:val="24"/>
        </w:rPr>
      </w:pPr>
      <w:r w:rsidRPr="00770F9D">
        <w:rPr>
          <w:rFonts w:ascii="Garamond" w:hAnsi="Garamond"/>
          <w:b/>
          <w:bCs/>
          <w:color w:val="0D0D0D"/>
          <w:sz w:val="24"/>
          <w:szCs w:val="24"/>
        </w:rPr>
        <w:t>5</w:t>
      </w:r>
      <w:r w:rsidR="005674F2" w:rsidRPr="00770F9D">
        <w:rPr>
          <w:rFonts w:ascii="Garamond" w:hAnsi="Garamond"/>
          <w:b/>
          <w:bCs/>
          <w:color w:val="0D0D0D"/>
          <w:sz w:val="24"/>
          <w:szCs w:val="24"/>
        </w:rPr>
        <w:t>.</w:t>
      </w:r>
      <w:r w:rsidRPr="00770F9D">
        <w:rPr>
          <w:rFonts w:ascii="Garamond" w:hAnsi="Garamond"/>
          <w:b/>
          <w:bCs/>
          <w:color w:val="0D0D0D"/>
          <w:sz w:val="24"/>
          <w:szCs w:val="24"/>
        </w:rPr>
        <w:t>2</w:t>
      </w:r>
      <w:r w:rsidR="005674F2" w:rsidRPr="00770F9D">
        <w:rPr>
          <w:rFonts w:ascii="Garamond" w:hAnsi="Garamond"/>
          <w:b/>
          <w:bCs/>
          <w:color w:val="0D0D0D"/>
          <w:sz w:val="24"/>
          <w:szCs w:val="24"/>
        </w:rPr>
        <w:t>.</w:t>
      </w:r>
      <w:r w:rsidRPr="00770F9D">
        <w:rPr>
          <w:rFonts w:ascii="Garamond" w:hAnsi="Garamond"/>
          <w:b/>
          <w:bCs/>
          <w:color w:val="0D0D0D"/>
          <w:sz w:val="24"/>
          <w:szCs w:val="24"/>
        </w:rPr>
        <w:t>4</w:t>
      </w:r>
      <w:r w:rsidR="005674F2" w:rsidRPr="00770F9D">
        <w:rPr>
          <w:rFonts w:ascii="Garamond" w:hAnsi="Garamond"/>
          <w:b/>
          <w:bCs/>
          <w:color w:val="0D0D0D"/>
          <w:sz w:val="24"/>
          <w:szCs w:val="24"/>
        </w:rPr>
        <w:t>.</w:t>
      </w:r>
      <w:r w:rsidR="00BA4F1A" w:rsidRPr="00770F9D">
        <w:rPr>
          <w:rFonts w:ascii="Garamond" w:hAnsi="Garamond"/>
          <w:b/>
          <w:bCs/>
          <w:color w:val="0D0D0D"/>
          <w:sz w:val="24"/>
          <w:szCs w:val="24"/>
        </w:rPr>
        <w:t xml:space="preserve"> </w:t>
      </w:r>
      <w:r w:rsidR="005674F2" w:rsidRPr="00770F9D">
        <w:rPr>
          <w:rFonts w:ascii="Garamond" w:hAnsi="Garamond"/>
          <w:b/>
          <w:bCs/>
          <w:color w:val="0D0D0D"/>
          <w:sz w:val="24"/>
          <w:szCs w:val="24"/>
        </w:rPr>
        <w:t>Mjedisi i biznesit dhe reduktimi i ekonomisë informale</w:t>
      </w:r>
    </w:p>
    <w:p w14:paraId="125CE75F" w14:textId="36806F60" w:rsidR="005674F2" w:rsidRPr="00770F9D" w:rsidRDefault="005674F2" w:rsidP="00400806">
      <w:pPr>
        <w:pStyle w:val="Heading4"/>
        <w:ind w:left="0" w:firstLine="284"/>
        <w:jc w:val="both"/>
        <w:rPr>
          <w:rFonts w:ascii="Garamond" w:hAnsi="Garamond"/>
          <w:b w:val="0"/>
          <w:bCs w:val="0"/>
          <w:i/>
          <w:iCs/>
          <w:color w:val="0D0D0D"/>
          <w:sz w:val="24"/>
          <w:szCs w:val="24"/>
        </w:rPr>
      </w:pPr>
      <w:r w:rsidRPr="00770F9D">
        <w:rPr>
          <w:rFonts w:ascii="Garamond" w:hAnsi="Garamond"/>
          <w:b w:val="0"/>
          <w:bCs w:val="0"/>
          <w:i/>
          <w:iCs/>
          <w:color w:val="0D0D0D"/>
          <w:sz w:val="24"/>
          <w:szCs w:val="24"/>
        </w:rPr>
        <w:t>a</w:t>
      </w:r>
      <w:r w:rsidR="00CB7B7F" w:rsidRPr="00770F9D">
        <w:rPr>
          <w:rFonts w:ascii="Garamond" w:hAnsi="Garamond"/>
          <w:b w:val="0"/>
          <w:bCs w:val="0"/>
          <w:i/>
          <w:iCs/>
          <w:color w:val="0D0D0D"/>
          <w:sz w:val="24"/>
          <w:szCs w:val="24"/>
        </w:rPr>
        <w:t>)</w:t>
      </w:r>
      <w:r w:rsidR="00BA4F1A" w:rsidRPr="00770F9D">
        <w:rPr>
          <w:rFonts w:ascii="Garamond" w:hAnsi="Garamond"/>
          <w:b w:val="0"/>
          <w:bCs w:val="0"/>
          <w:i/>
          <w:iCs/>
          <w:color w:val="0D0D0D"/>
          <w:sz w:val="24"/>
          <w:szCs w:val="24"/>
        </w:rPr>
        <w:t xml:space="preserve"> </w:t>
      </w:r>
      <w:r w:rsidRPr="00770F9D">
        <w:rPr>
          <w:rFonts w:ascii="Garamond" w:hAnsi="Garamond"/>
          <w:b w:val="0"/>
          <w:bCs w:val="0"/>
          <w:i/>
          <w:iCs/>
          <w:color w:val="0D0D0D"/>
          <w:sz w:val="24"/>
          <w:szCs w:val="24"/>
        </w:rPr>
        <w:t>Analiza e pengesave kryesore</w:t>
      </w:r>
    </w:p>
    <w:p w14:paraId="1124ECD3" w14:textId="37961441" w:rsidR="005674F2" w:rsidRPr="00770F9D" w:rsidRDefault="005674F2" w:rsidP="00400806">
      <w:pPr>
        <w:ind w:firstLine="284"/>
        <w:jc w:val="both"/>
        <w:rPr>
          <w:rFonts w:ascii="Garamond" w:hAnsi="Garamond"/>
          <w:color w:val="0D0D0D"/>
        </w:rPr>
      </w:pPr>
      <w:r w:rsidRPr="00770F9D">
        <w:rPr>
          <w:rFonts w:ascii="Garamond" w:hAnsi="Garamond"/>
          <w:color w:val="0D0D0D"/>
        </w:rPr>
        <w:t xml:space="preserve">Duke shkuar drejt shërbimeve </w:t>
      </w:r>
      <w:r w:rsidR="003F4C96" w:rsidRPr="00770F9D">
        <w:rPr>
          <w:rFonts w:ascii="Garamond" w:hAnsi="Garamond"/>
          <w:color w:val="0D0D0D"/>
        </w:rPr>
        <w:t>digjital</w:t>
      </w:r>
      <w:r w:rsidRPr="00770F9D">
        <w:rPr>
          <w:rFonts w:ascii="Garamond" w:hAnsi="Garamond"/>
          <w:color w:val="0D0D0D"/>
        </w:rPr>
        <w:t>e ofrojmë një klimë më të favorshme të të bërit biznes dhe lehtësi në marrjen e vërtetimeve dhe shërbimeve.</w:t>
      </w:r>
    </w:p>
    <w:p w14:paraId="509E0ECD" w14:textId="4AAA0114" w:rsidR="005674F2" w:rsidRPr="00770F9D" w:rsidRDefault="005674F2" w:rsidP="00400806">
      <w:pPr>
        <w:ind w:firstLine="284"/>
        <w:jc w:val="both"/>
        <w:rPr>
          <w:rFonts w:ascii="Garamond" w:hAnsi="Garamond"/>
          <w:color w:val="0D0D0D"/>
        </w:rPr>
      </w:pPr>
      <w:r w:rsidRPr="00770F9D">
        <w:rPr>
          <w:rFonts w:ascii="Garamond" w:hAnsi="Garamond"/>
          <w:color w:val="0D0D0D"/>
        </w:rPr>
        <w:t xml:space="preserve">Shërbimet </w:t>
      </w:r>
      <w:r w:rsidRPr="00770F9D">
        <w:rPr>
          <w:rFonts w:ascii="Garamond" w:hAnsi="Garamond"/>
          <w:i/>
          <w:iCs/>
          <w:color w:val="0D0D0D"/>
        </w:rPr>
        <w:t>online</w:t>
      </w:r>
      <w:r w:rsidRPr="00770F9D">
        <w:rPr>
          <w:rFonts w:ascii="Garamond" w:hAnsi="Garamond"/>
          <w:color w:val="0D0D0D"/>
        </w:rPr>
        <w:t xml:space="preserve"> për periudhën 2018</w:t>
      </w:r>
      <w:r w:rsidR="0034655E">
        <w:rPr>
          <w:rFonts w:ascii="Garamond" w:hAnsi="Garamond"/>
          <w:color w:val="0D0D0D"/>
        </w:rPr>
        <w:t>–</w:t>
      </w:r>
      <w:r w:rsidRPr="00770F9D">
        <w:rPr>
          <w:rFonts w:ascii="Garamond" w:hAnsi="Garamond"/>
          <w:color w:val="0D0D0D"/>
        </w:rPr>
        <w:t>2022</w:t>
      </w:r>
    </w:p>
    <w:p w14:paraId="5AAAB87F" w14:textId="76F82EAF" w:rsidR="005674F2" w:rsidRPr="00770F9D" w:rsidRDefault="005674F2" w:rsidP="00400806">
      <w:pPr>
        <w:ind w:firstLine="284"/>
        <w:jc w:val="both"/>
        <w:rPr>
          <w:rFonts w:ascii="Garamond" w:hAnsi="Garamond"/>
          <w:color w:val="0D0D0D"/>
        </w:rPr>
      </w:pPr>
      <w:r w:rsidRPr="00770F9D">
        <w:rPr>
          <w:rFonts w:ascii="Garamond" w:hAnsi="Garamond"/>
          <w:color w:val="0D0D0D"/>
        </w:rPr>
        <w:t xml:space="preserve">Drejtoria e Përgjithshme e Tatimeve ofron nëpërmjet portalit </w:t>
      </w:r>
      <w:r w:rsidRPr="00770F9D">
        <w:rPr>
          <w:rFonts w:ascii="Garamond" w:hAnsi="Garamond"/>
          <w:i/>
          <w:iCs/>
          <w:color w:val="0D0D0D"/>
        </w:rPr>
        <w:t>e</w:t>
      </w:r>
      <w:r w:rsidR="00CB7B7F" w:rsidRPr="00770F9D">
        <w:rPr>
          <w:rFonts w:ascii="Garamond" w:hAnsi="Garamond"/>
          <w:i/>
          <w:iCs/>
          <w:color w:val="0D0D0D"/>
        </w:rPr>
        <w:t>-</w:t>
      </w:r>
      <w:r w:rsidRPr="00770F9D">
        <w:rPr>
          <w:rFonts w:ascii="Garamond" w:hAnsi="Garamond"/>
          <w:i/>
          <w:iCs/>
          <w:color w:val="0D0D0D"/>
        </w:rPr>
        <w:t xml:space="preserve">Albania </w:t>
      </w:r>
      <w:r w:rsidRPr="00770F9D">
        <w:rPr>
          <w:rFonts w:ascii="Garamond" w:hAnsi="Garamond"/>
          <w:color w:val="0D0D0D"/>
        </w:rPr>
        <w:t>një sërë shërbimesh</w:t>
      </w:r>
      <w:r w:rsidR="0034655E">
        <w:rPr>
          <w:rFonts w:ascii="Garamond" w:hAnsi="Garamond"/>
          <w:color w:val="0D0D0D"/>
        </w:rPr>
        <w:t>,</w:t>
      </w:r>
      <w:r w:rsidRPr="00770F9D">
        <w:rPr>
          <w:rFonts w:ascii="Garamond" w:hAnsi="Garamond"/>
          <w:color w:val="0D0D0D"/>
        </w:rPr>
        <w:t xml:space="preserve"> duke i krijuar mundësinë tatimpaguesve dhe individëve të marrin shërbimin e kërkuar, duke kursyer kohë, burime njerëzore dhe kosto administrative.</w:t>
      </w:r>
    </w:p>
    <w:p w14:paraId="6274BACC" w14:textId="6DFC5077" w:rsidR="005674F2" w:rsidRPr="00770F9D" w:rsidRDefault="005674F2" w:rsidP="00400806">
      <w:pPr>
        <w:ind w:firstLine="284"/>
        <w:jc w:val="both"/>
        <w:rPr>
          <w:rFonts w:ascii="Garamond" w:hAnsi="Garamond"/>
          <w:color w:val="0D0D0D"/>
        </w:rPr>
      </w:pPr>
      <w:r w:rsidRPr="00770F9D">
        <w:rPr>
          <w:rFonts w:ascii="Garamond" w:hAnsi="Garamond"/>
          <w:color w:val="0D0D0D"/>
        </w:rPr>
        <w:t>Gjithashtu, në këtë mënyrë, synohet përmirësimi i gatishmërisë, cilësisë dhe transparencës së shërbimeve publike, si dhe reduktohet koha e zbatimit të procedurave dhe kostot e administratës publike. Aktualisht</w:t>
      </w:r>
      <w:r w:rsidR="0034655E">
        <w:rPr>
          <w:rFonts w:ascii="Garamond" w:hAnsi="Garamond"/>
          <w:color w:val="0D0D0D"/>
        </w:rPr>
        <w:t>,</w:t>
      </w:r>
      <w:r w:rsidRPr="00770F9D">
        <w:rPr>
          <w:rFonts w:ascii="Garamond" w:hAnsi="Garamond"/>
          <w:color w:val="0D0D0D"/>
        </w:rPr>
        <w:t xml:space="preserve"> </w:t>
      </w:r>
      <w:r w:rsidR="0034655E" w:rsidRPr="00770F9D">
        <w:rPr>
          <w:rFonts w:ascii="Garamond" w:hAnsi="Garamond"/>
          <w:color w:val="0D0D0D"/>
        </w:rPr>
        <w:t xml:space="preserve">administrata tatimore </w:t>
      </w:r>
      <w:r w:rsidRPr="00770F9D">
        <w:rPr>
          <w:rFonts w:ascii="Garamond" w:hAnsi="Garamond"/>
          <w:color w:val="0D0D0D"/>
        </w:rPr>
        <w:t xml:space="preserve">ofron </w:t>
      </w:r>
      <w:r w:rsidRPr="00770F9D">
        <w:rPr>
          <w:rFonts w:ascii="Garamond" w:hAnsi="Garamond"/>
          <w:i/>
          <w:iCs/>
          <w:color w:val="0D0D0D"/>
        </w:rPr>
        <w:t>online</w:t>
      </w:r>
      <w:r w:rsidRPr="00770F9D">
        <w:rPr>
          <w:rFonts w:ascii="Garamond" w:hAnsi="Garamond"/>
          <w:color w:val="0D0D0D"/>
        </w:rPr>
        <w:t xml:space="preserve"> nëpërmjet portalit </w:t>
      </w:r>
      <w:r w:rsidRPr="00770F9D">
        <w:rPr>
          <w:rFonts w:ascii="Garamond" w:hAnsi="Garamond"/>
          <w:i/>
          <w:iCs/>
          <w:color w:val="0D0D0D"/>
        </w:rPr>
        <w:t>e-Albania</w:t>
      </w:r>
      <w:r w:rsidRPr="00770F9D">
        <w:rPr>
          <w:rFonts w:ascii="Garamond" w:hAnsi="Garamond"/>
          <w:color w:val="0D0D0D"/>
        </w:rPr>
        <w:t xml:space="preserve"> 31 shërbime, nga të cilat 14 shërbime u japin mundësi tatimpaguesve të kryejnë </w:t>
      </w:r>
      <w:r w:rsidRPr="00770F9D">
        <w:rPr>
          <w:rFonts w:ascii="Garamond" w:hAnsi="Garamond"/>
          <w:i/>
          <w:iCs/>
          <w:color w:val="0D0D0D"/>
        </w:rPr>
        <w:t>online</w:t>
      </w:r>
      <w:r w:rsidRPr="00770F9D">
        <w:rPr>
          <w:rFonts w:ascii="Garamond" w:hAnsi="Garamond"/>
          <w:color w:val="0D0D0D"/>
        </w:rPr>
        <w:t xml:space="preserve"> pagesën për të gjitha llojet e tatimeve.</w:t>
      </w:r>
    </w:p>
    <w:p w14:paraId="332F1C12" w14:textId="0DECEDD7" w:rsidR="005674F2" w:rsidRPr="00770F9D" w:rsidRDefault="005674F2" w:rsidP="00400806">
      <w:pPr>
        <w:ind w:firstLine="284"/>
        <w:jc w:val="both"/>
        <w:rPr>
          <w:rFonts w:ascii="Garamond" w:hAnsi="Garamond"/>
          <w:color w:val="0D0D0D"/>
        </w:rPr>
      </w:pPr>
      <w:r w:rsidRPr="00770F9D">
        <w:rPr>
          <w:rFonts w:ascii="Garamond" w:hAnsi="Garamond"/>
          <w:color w:val="0D0D0D"/>
        </w:rPr>
        <w:t xml:space="preserve">Gjatë vitit 2018, në portalin </w:t>
      </w:r>
      <w:r w:rsidRPr="00770F9D">
        <w:rPr>
          <w:rFonts w:ascii="Garamond" w:hAnsi="Garamond"/>
          <w:i/>
          <w:iCs/>
          <w:color w:val="0D0D0D"/>
        </w:rPr>
        <w:t>e</w:t>
      </w:r>
      <w:r w:rsidR="00CB7B7F" w:rsidRPr="00770F9D">
        <w:rPr>
          <w:rFonts w:ascii="Garamond" w:hAnsi="Garamond"/>
          <w:i/>
          <w:iCs/>
          <w:color w:val="0D0D0D"/>
        </w:rPr>
        <w:t>-</w:t>
      </w:r>
      <w:r w:rsidRPr="00770F9D">
        <w:rPr>
          <w:rFonts w:ascii="Garamond" w:hAnsi="Garamond"/>
          <w:i/>
          <w:iCs/>
          <w:color w:val="0D0D0D"/>
        </w:rPr>
        <w:t>Albania</w:t>
      </w:r>
      <w:r w:rsidRPr="00770F9D">
        <w:rPr>
          <w:rFonts w:ascii="Garamond" w:hAnsi="Garamond"/>
          <w:color w:val="0D0D0D"/>
        </w:rPr>
        <w:t xml:space="preserve"> janë ofruar 9 shërbime. Ndërkohë 8 shërbime të tjera kanë filluar të shtohen në portal dhe përgjatë viteve të fundit. Që prej periudhës </w:t>
      </w:r>
      <w:r w:rsidR="00586B2E" w:rsidRPr="00770F9D">
        <w:rPr>
          <w:rFonts w:ascii="Garamond" w:hAnsi="Garamond"/>
          <w:color w:val="0D0D0D"/>
        </w:rPr>
        <w:t xml:space="preserve">maj </w:t>
      </w:r>
      <w:r w:rsidRPr="00770F9D">
        <w:rPr>
          <w:rFonts w:ascii="Garamond" w:hAnsi="Garamond"/>
          <w:color w:val="0D0D0D"/>
        </w:rPr>
        <w:t xml:space="preserve">2022, të gjitha shërbimet e </w:t>
      </w:r>
      <w:r w:rsidR="00586B2E" w:rsidRPr="00770F9D">
        <w:rPr>
          <w:rFonts w:ascii="Garamond" w:hAnsi="Garamond"/>
          <w:color w:val="0D0D0D"/>
        </w:rPr>
        <w:t xml:space="preserve">administratës tatimore </w:t>
      </w:r>
      <w:r w:rsidRPr="00770F9D">
        <w:rPr>
          <w:rFonts w:ascii="Garamond" w:hAnsi="Garamond"/>
          <w:color w:val="0D0D0D"/>
        </w:rPr>
        <w:t xml:space="preserve">ofrohen </w:t>
      </w:r>
      <w:r w:rsidRPr="00770F9D">
        <w:rPr>
          <w:rFonts w:ascii="Garamond" w:hAnsi="Garamond"/>
          <w:i/>
          <w:iCs/>
          <w:color w:val="0D0D0D"/>
        </w:rPr>
        <w:t>online.</w:t>
      </w:r>
    </w:p>
    <w:p w14:paraId="3154B0F6" w14:textId="17BA7C31" w:rsidR="005674F2" w:rsidRPr="00770F9D" w:rsidRDefault="005674F2" w:rsidP="00400806">
      <w:pPr>
        <w:ind w:firstLine="284"/>
        <w:jc w:val="both"/>
        <w:rPr>
          <w:rFonts w:ascii="Garamond" w:hAnsi="Garamond"/>
          <w:color w:val="0D0D0D"/>
        </w:rPr>
      </w:pPr>
      <w:r w:rsidRPr="00770F9D">
        <w:rPr>
          <w:rFonts w:ascii="Garamond" w:hAnsi="Garamond"/>
          <w:color w:val="0D0D0D"/>
        </w:rPr>
        <w:t xml:space="preserve">Numri i shërbimeve të </w:t>
      </w:r>
      <w:r w:rsidR="00586B2E">
        <w:rPr>
          <w:rFonts w:ascii="Garamond" w:hAnsi="Garamond"/>
          <w:color w:val="0D0D0D"/>
        </w:rPr>
        <w:t>ofruara, gjatë periudhës 2018–</w:t>
      </w:r>
      <w:r w:rsidRPr="00770F9D">
        <w:rPr>
          <w:rFonts w:ascii="Garamond" w:hAnsi="Garamond"/>
          <w:color w:val="0D0D0D"/>
        </w:rPr>
        <w:t>2022 arrin në shifrën 3,448,229.</w:t>
      </w:r>
    </w:p>
    <w:p w14:paraId="19159FB7" w14:textId="7BAB94DE" w:rsidR="005674F2" w:rsidRPr="00770F9D" w:rsidRDefault="005674F2" w:rsidP="00586B2E">
      <w:pPr>
        <w:ind w:firstLine="284"/>
        <w:jc w:val="both"/>
        <w:rPr>
          <w:rFonts w:ascii="Garamond" w:hAnsi="Garamond"/>
          <w:color w:val="0D0D0D"/>
        </w:rPr>
      </w:pPr>
      <w:r w:rsidRPr="00770F9D">
        <w:rPr>
          <w:rFonts w:ascii="Garamond" w:hAnsi="Garamond"/>
          <w:color w:val="0D0D0D"/>
        </w:rPr>
        <w:t>Gjithashtu</w:t>
      </w:r>
      <w:r w:rsidR="00586B2E">
        <w:rPr>
          <w:rFonts w:ascii="Garamond" w:hAnsi="Garamond"/>
          <w:color w:val="0D0D0D"/>
        </w:rPr>
        <w:t>,</w:t>
      </w:r>
      <w:r w:rsidRPr="00770F9D">
        <w:rPr>
          <w:rFonts w:ascii="Garamond" w:hAnsi="Garamond"/>
          <w:color w:val="0D0D0D"/>
        </w:rPr>
        <w:t xml:space="preserve"> në klimën e të b</w:t>
      </w:r>
      <w:r w:rsidR="00586B2E">
        <w:rPr>
          <w:rFonts w:ascii="Garamond" w:hAnsi="Garamond"/>
          <w:color w:val="0D0D0D"/>
        </w:rPr>
        <w:t>ë</w:t>
      </w:r>
      <w:r w:rsidRPr="00770F9D">
        <w:rPr>
          <w:rFonts w:ascii="Garamond" w:hAnsi="Garamond"/>
          <w:color w:val="0D0D0D"/>
        </w:rPr>
        <w:t xml:space="preserve">rit biznes, në rritjen e besimit në </w:t>
      </w:r>
      <w:r w:rsidR="00586B2E" w:rsidRPr="00770F9D">
        <w:rPr>
          <w:rFonts w:ascii="Garamond" w:hAnsi="Garamond"/>
          <w:color w:val="0D0D0D"/>
        </w:rPr>
        <w:t xml:space="preserve">administratën tatimore </w:t>
      </w:r>
      <w:r w:rsidRPr="00770F9D">
        <w:rPr>
          <w:rFonts w:ascii="Garamond" w:hAnsi="Garamond"/>
          <w:color w:val="0D0D0D"/>
        </w:rPr>
        <w:t>dhe në krijimin e bazave për një treg konkur</w:t>
      </w:r>
      <w:r w:rsidR="00CB7B7F" w:rsidRPr="00770F9D">
        <w:rPr>
          <w:rFonts w:ascii="Garamond" w:hAnsi="Garamond"/>
          <w:color w:val="0D0D0D"/>
        </w:rPr>
        <w:t>r</w:t>
      </w:r>
      <w:r w:rsidRPr="00770F9D">
        <w:rPr>
          <w:rFonts w:ascii="Garamond" w:hAnsi="Garamond"/>
          <w:color w:val="0D0D0D"/>
        </w:rPr>
        <w:t>ues ndikon edhe zerimi i stokut të rimbursimeve për</w:t>
      </w:r>
      <w:r w:rsidR="00586B2E">
        <w:rPr>
          <w:rFonts w:ascii="Garamond" w:hAnsi="Garamond"/>
          <w:color w:val="0D0D0D"/>
        </w:rPr>
        <w:t xml:space="preserve"> kërkesat e miratuara dhe të pa</w:t>
      </w:r>
      <w:r w:rsidRPr="00770F9D">
        <w:rPr>
          <w:rFonts w:ascii="Garamond" w:hAnsi="Garamond"/>
          <w:color w:val="0D0D0D"/>
        </w:rPr>
        <w:t>likuiduara.</w:t>
      </w:r>
      <w:r w:rsidR="00CB7B7F" w:rsidRPr="00770F9D">
        <w:rPr>
          <w:rFonts w:ascii="Garamond" w:hAnsi="Garamond"/>
          <w:color w:val="0D0D0D"/>
        </w:rPr>
        <w:t xml:space="preserve"> </w:t>
      </w:r>
      <w:r w:rsidRPr="00770F9D">
        <w:rPr>
          <w:rFonts w:ascii="Garamond" w:hAnsi="Garamond"/>
          <w:color w:val="0D0D0D"/>
        </w:rPr>
        <w:t xml:space="preserve">Automatizimi i procesit për kërkesat për rimbursim (platforma </w:t>
      </w:r>
      <w:r w:rsidRPr="00770F9D">
        <w:rPr>
          <w:rFonts w:ascii="Garamond" w:hAnsi="Garamond"/>
          <w:i/>
          <w:iCs/>
          <w:color w:val="0D0D0D"/>
        </w:rPr>
        <w:t>onlin</w:t>
      </w:r>
      <w:r w:rsidRPr="00586B2E">
        <w:rPr>
          <w:rFonts w:ascii="Garamond" w:hAnsi="Garamond"/>
          <w:i/>
          <w:iCs/>
          <w:color w:val="0D0D0D"/>
        </w:rPr>
        <w:t>e)</w:t>
      </w:r>
      <w:r w:rsidRPr="00770F9D">
        <w:rPr>
          <w:rFonts w:ascii="Garamond" w:hAnsi="Garamond"/>
          <w:color w:val="0D0D0D"/>
        </w:rPr>
        <w:t xml:space="preserve"> ka sjellë një reduktim të kohës për rimbursim të kërkesës me 40% të kohës</w:t>
      </w:r>
      <w:r w:rsidR="00054C90">
        <w:rPr>
          <w:rFonts w:ascii="Garamond" w:hAnsi="Garamond"/>
          <w:color w:val="0D0D0D"/>
        </w:rPr>
        <w:t>,</w:t>
      </w:r>
      <w:r w:rsidRPr="00770F9D">
        <w:rPr>
          <w:rFonts w:ascii="Garamond" w:hAnsi="Garamond"/>
          <w:color w:val="0D0D0D"/>
        </w:rPr>
        <w:t xml:space="preserve"> duke shmangur rastet korruptive.</w:t>
      </w:r>
    </w:p>
    <w:p w14:paraId="411A936F" w14:textId="31C2F64F" w:rsidR="005674F2" w:rsidRPr="00770F9D" w:rsidRDefault="00A67654" w:rsidP="00400806">
      <w:pPr>
        <w:pStyle w:val="Heading3"/>
        <w:ind w:left="0" w:firstLine="284"/>
        <w:jc w:val="both"/>
        <w:rPr>
          <w:rFonts w:ascii="Garamond" w:hAnsi="Garamond"/>
          <w:b/>
          <w:bCs/>
          <w:color w:val="0D0D0D"/>
          <w:sz w:val="24"/>
          <w:szCs w:val="24"/>
        </w:rPr>
      </w:pPr>
      <w:r w:rsidRPr="00770F9D">
        <w:rPr>
          <w:rFonts w:ascii="Garamond" w:hAnsi="Garamond"/>
          <w:b/>
          <w:bCs/>
          <w:color w:val="0D0D0D"/>
          <w:sz w:val="24"/>
          <w:szCs w:val="24"/>
        </w:rPr>
        <w:t>5</w:t>
      </w:r>
      <w:r w:rsidR="005674F2" w:rsidRPr="00770F9D">
        <w:rPr>
          <w:rFonts w:ascii="Garamond" w:hAnsi="Garamond"/>
          <w:b/>
          <w:bCs/>
          <w:color w:val="0D0D0D"/>
          <w:sz w:val="24"/>
          <w:szCs w:val="24"/>
        </w:rPr>
        <w:t>.</w:t>
      </w:r>
      <w:r w:rsidRPr="00770F9D">
        <w:rPr>
          <w:rFonts w:ascii="Garamond" w:hAnsi="Garamond"/>
          <w:b/>
          <w:bCs/>
          <w:color w:val="0D0D0D"/>
          <w:sz w:val="24"/>
          <w:szCs w:val="24"/>
        </w:rPr>
        <w:t>2</w:t>
      </w:r>
      <w:r w:rsidR="005674F2" w:rsidRPr="00770F9D">
        <w:rPr>
          <w:rFonts w:ascii="Garamond" w:hAnsi="Garamond"/>
          <w:b/>
          <w:bCs/>
          <w:color w:val="0D0D0D"/>
          <w:sz w:val="24"/>
          <w:szCs w:val="24"/>
        </w:rPr>
        <w:t>.</w:t>
      </w:r>
      <w:r w:rsidRPr="00770F9D">
        <w:rPr>
          <w:rFonts w:ascii="Garamond" w:hAnsi="Garamond"/>
          <w:b/>
          <w:bCs/>
          <w:color w:val="0D0D0D"/>
          <w:sz w:val="24"/>
          <w:szCs w:val="24"/>
        </w:rPr>
        <w:t>5</w:t>
      </w:r>
      <w:r w:rsidR="005674F2" w:rsidRPr="00770F9D">
        <w:rPr>
          <w:rFonts w:ascii="Garamond" w:hAnsi="Garamond"/>
          <w:b/>
          <w:bCs/>
          <w:color w:val="0D0D0D"/>
          <w:sz w:val="24"/>
          <w:szCs w:val="24"/>
        </w:rPr>
        <w:t>.</w:t>
      </w:r>
      <w:r w:rsidR="00BA4F1A" w:rsidRPr="00770F9D">
        <w:rPr>
          <w:rFonts w:ascii="Garamond" w:hAnsi="Garamond"/>
          <w:b/>
          <w:bCs/>
          <w:color w:val="0D0D0D"/>
          <w:sz w:val="24"/>
          <w:szCs w:val="24"/>
        </w:rPr>
        <w:t xml:space="preserve"> </w:t>
      </w:r>
      <w:r w:rsidR="005674F2" w:rsidRPr="00770F9D">
        <w:rPr>
          <w:rFonts w:ascii="Garamond" w:hAnsi="Garamond"/>
          <w:b/>
          <w:bCs/>
          <w:color w:val="0D0D0D"/>
          <w:sz w:val="24"/>
          <w:szCs w:val="24"/>
        </w:rPr>
        <w:t>Reformat e integrimit ekonomik</w:t>
      </w:r>
    </w:p>
    <w:p w14:paraId="3396E2F1" w14:textId="6B2F8E3C" w:rsidR="005674F2" w:rsidRPr="00770F9D" w:rsidRDefault="005674F2" w:rsidP="00400806">
      <w:pPr>
        <w:pStyle w:val="Heading4"/>
        <w:ind w:left="0" w:firstLine="284"/>
        <w:jc w:val="both"/>
        <w:rPr>
          <w:rFonts w:ascii="Garamond" w:hAnsi="Garamond"/>
          <w:b w:val="0"/>
          <w:bCs w:val="0"/>
          <w:i/>
          <w:iCs/>
          <w:color w:val="0D0D0D"/>
          <w:sz w:val="24"/>
          <w:szCs w:val="24"/>
        </w:rPr>
      </w:pPr>
      <w:r w:rsidRPr="00770F9D">
        <w:rPr>
          <w:rFonts w:ascii="Garamond" w:hAnsi="Garamond"/>
          <w:b w:val="0"/>
          <w:bCs w:val="0"/>
          <w:i/>
          <w:iCs/>
          <w:color w:val="0D0D0D"/>
          <w:sz w:val="24"/>
          <w:szCs w:val="24"/>
        </w:rPr>
        <w:t>a</w:t>
      </w:r>
      <w:r w:rsidR="00CB7B7F" w:rsidRPr="00770F9D">
        <w:rPr>
          <w:rFonts w:ascii="Garamond" w:hAnsi="Garamond"/>
          <w:b w:val="0"/>
          <w:bCs w:val="0"/>
          <w:i/>
          <w:iCs/>
          <w:color w:val="0D0D0D"/>
          <w:sz w:val="24"/>
          <w:szCs w:val="24"/>
        </w:rPr>
        <w:t>)</w:t>
      </w:r>
      <w:r w:rsidR="00BA4F1A" w:rsidRPr="00770F9D">
        <w:rPr>
          <w:rFonts w:ascii="Garamond" w:hAnsi="Garamond"/>
          <w:b w:val="0"/>
          <w:bCs w:val="0"/>
          <w:i/>
          <w:iCs/>
          <w:color w:val="0D0D0D"/>
          <w:sz w:val="24"/>
          <w:szCs w:val="24"/>
        </w:rPr>
        <w:t xml:space="preserve"> </w:t>
      </w:r>
      <w:r w:rsidRPr="00770F9D">
        <w:rPr>
          <w:rFonts w:ascii="Garamond" w:hAnsi="Garamond"/>
          <w:b w:val="0"/>
          <w:bCs w:val="0"/>
          <w:i/>
          <w:iCs/>
          <w:color w:val="0D0D0D"/>
          <w:sz w:val="24"/>
          <w:szCs w:val="24"/>
        </w:rPr>
        <w:t>Analiza e pengesave kryesore</w:t>
      </w:r>
    </w:p>
    <w:p w14:paraId="3E8CF451" w14:textId="24D85711" w:rsidR="005674F2" w:rsidRPr="00770F9D" w:rsidRDefault="005674F2" w:rsidP="00400806">
      <w:pPr>
        <w:ind w:firstLine="284"/>
        <w:jc w:val="both"/>
        <w:rPr>
          <w:rFonts w:ascii="Garamond" w:hAnsi="Garamond"/>
          <w:color w:val="0D0D0D"/>
        </w:rPr>
      </w:pPr>
      <w:r w:rsidRPr="00770F9D">
        <w:rPr>
          <w:rFonts w:ascii="Garamond" w:hAnsi="Garamond"/>
          <w:color w:val="0D0D0D"/>
        </w:rPr>
        <w:t>Numri i mallrave të tregtueshëm me origjinë shqiptare është ende i kufizuar. Kjo vlen edhe për të gjithë rajonin, duke mbajtur eksportin e mallrave në një nivel relativisht të ulët. Megjithatë, me përshpejtimin e reformave që trajtojnë klimën e biznesit dhe promovimin e eksporteve si p.sh. të kryera nga AIDA në përgjithësi, dhe industria dhe bujqësia në veçanti, si dhe tërheqja e më shumë IHD-ve</w:t>
      </w:r>
      <w:r w:rsidR="003F2BC3">
        <w:rPr>
          <w:rFonts w:ascii="Garamond" w:hAnsi="Garamond"/>
          <w:color w:val="0D0D0D"/>
        </w:rPr>
        <w:t>,</w:t>
      </w:r>
      <w:r w:rsidRPr="00770F9D">
        <w:rPr>
          <w:rFonts w:ascii="Garamond" w:hAnsi="Garamond"/>
          <w:color w:val="0D0D0D"/>
        </w:rPr>
        <w:t xml:space="preserve"> për shkak të kushteve gjithnjë e më të favorshme, shkëmbimi i mallrave në rajon, me BE/EEA dhe pjesën tjetër të botës do të rritet me kalimin e kohës. Për të qenë të përgatitur, si dhe për të lehtësuar tregtinë ekzistuese, reformat e integrimit ekonomik do të shtyhen më tej.</w:t>
      </w:r>
    </w:p>
    <w:p w14:paraId="4DB2D865" w14:textId="1A90EF72" w:rsidR="00EF5C0C" w:rsidRPr="00770F9D" w:rsidRDefault="00EF5C0C"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Gjatë vitit 2021, vlera e eksporteve shqiptare ishte 368,769 milionë lekë, me një rritje prej 36% krahasuar me vitin 2020. Pesë vendet kryesore ku janë drejtuar eksportet shqiptare janë: Italia; Kosova; Spanja, Greqia dhe Gjermania. Produktet kryesore të eksportuara kanë qenë: ushqimi, pijet, mineralet e duhanit, lëndët djegëse, energjia elektrike kimike dhe produkte plastike, lëkura dhe prodhimet e lëkurës, prodhimet e drurit dhe artikujt prej letre tekstile dhe materiale ndërtimi për këpucë dhe metale dhe makineri, pajisje dhe pjesë këmbimi (2.8%). Gjatë vitit 2021, vlera e importeve arriti në 800,718 milionë, me një rritje prej 32% krahasuar me vitin 2020. Bilanci tregtar mbetet negativ, me -431,949 milionë lekë dhe </w:t>
      </w:r>
      <w:r w:rsidR="00623F19" w:rsidRPr="00770F9D">
        <w:rPr>
          <w:rFonts w:ascii="Garamond" w:hAnsi="Garamond" w:cstheme="majorBidi"/>
          <w:color w:val="0D0D0D" w:themeColor="text1" w:themeTint="F2"/>
        </w:rPr>
        <w:t>përqind</w:t>
      </w:r>
      <w:r w:rsidRPr="00770F9D">
        <w:rPr>
          <w:rFonts w:ascii="Garamond" w:hAnsi="Garamond" w:cstheme="majorBidi"/>
          <w:color w:val="0D0D0D" w:themeColor="text1" w:themeTint="F2"/>
        </w:rPr>
        <w:t>ja e mbulimit (eksportet ndaj importeve) ishte 46,1% krahasuar me 44,9% në 2020. Pesë vendet kryesore nga vinin importet shqiptare gjatë vitit 2021 janë: Italia; Turqia; Kinë; Greqia dhe Gjermania. Mallrat kryesore të importuara gjatë vitit 2021 kanë qenë: prodhimet e lëkurës dhe lëkurës, prodhimet e drurit dhe artikujt prej letre, si dhe tekstili. Sipas të dhënave të INSTAT</w:t>
      </w:r>
      <w:r w:rsidR="003F2BC3">
        <w:rPr>
          <w:rFonts w:ascii="Garamond" w:hAnsi="Garamond" w:cstheme="majorBidi"/>
          <w:color w:val="0D0D0D" w:themeColor="text1" w:themeTint="F2"/>
        </w:rPr>
        <w:t>-it</w:t>
      </w:r>
      <w:r w:rsidRPr="00770F9D">
        <w:rPr>
          <w:rFonts w:ascii="Garamond" w:hAnsi="Garamond" w:cstheme="majorBidi"/>
          <w:color w:val="0D0D0D" w:themeColor="text1" w:themeTint="F2"/>
        </w:rPr>
        <w:t>, marrëdhëniet tregtare me vendet e BE-së janë rritur në vitin 2021, krahasuar me vitin 2020.</w:t>
      </w:r>
    </w:p>
    <w:p w14:paraId="4F802C9A" w14:textId="61C29253" w:rsidR="00EF5C0C" w:rsidRPr="00770F9D" w:rsidRDefault="00EF5C0C"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Shqipëria mbështet plotësisht një sistem tregtar global shumëpalësh të hapur, jodiskriminues dhe të bazuar në rregulla. Gjatë krizës Rusi</w:t>
      </w:r>
      <w:r w:rsidR="00F96882">
        <w:rPr>
          <w:rFonts w:ascii="Garamond" w:hAnsi="Garamond" w:cstheme="majorBidi"/>
          <w:color w:val="0D0D0D" w:themeColor="text1" w:themeTint="F2"/>
        </w:rPr>
        <w:t>–</w:t>
      </w:r>
      <w:r w:rsidRPr="00770F9D">
        <w:rPr>
          <w:rFonts w:ascii="Garamond" w:hAnsi="Garamond" w:cstheme="majorBidi"/>
          <w:color w:val="0D0D0D" w:themeColor="text1" w:themeTint="F2"/>
        </w:rPr>
        <w:t>Ukrainë, Shqipëria nuk mori asnjë masë tregtare në dëm të palëve të tjera. Shqipëria ka miratuar sanksionet ndaj Rusisë në përputhje me BE</w:t>
      </w:r>
      <w:r w:rsidR="00992596">
        <w:rPr>
          <w:rFonts w:ascii="Garamond" w:hAnsi="Garamond" w:cstheme="majorBidi"/>
          <w:color w:val="0D0D0D" w:themeColor="text1" w:themeTint="F2"/>
        </w:rPr>
        <w:t>-në</w:t>
      </w:r>
      <w:r w:rsidRPr="00770F9D">
        <w:rPr>
          <w:rFonts w:ascii="Garamond" w:hAnsi="Garamond" w:cstheme="majorBidi"/>
          <w:color w:val="0D0D0D" w:themeColor="text1" w:themeTint="F2"/>
        </w:rPr>
        <w:t xml:space="preserve"> dhe SHBA</w:t>
      </w:r>
      <w:r w:rsidR="00992596">
        <w:rPr>
          <w:rFonts w:ascii="Garamond" w:hAnsi="Garamond" w:cstheme="majorBidi"/>
          <w:color w:val="0D0D0D" w:themeColor="text1" w:themeTint="F2"/>
        </w:rPr>
        <w:t>-në</w:t>
      </w:r>
      <w:r w:rsidRPr="00770F9D">
        <w:rPr>
          <w:rFonts w:ascii="Garamond" w:hAnsi="Garamond" w:cstheme="majorBidi"/>
          <w:color w:val="0D0D0D" w:themeColor="text1" w:themeTint="F2"/>
        </w:rPr>
        <w:t>.</w:t>
      </w:r>
    </w:p>
    <w:p w14:paraId="033BF4CE" w14:textId="0071C935" w:rsidR="00EF5C0C" w:rsidRPr="00770F9D" w:rsidRDefault="00EF5C0C"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Në përgjithësi, me qëllim të rritjes së fluksit tregtar, fokusi kryesor në integrimin ekonomik është el</w:t>
      </w:r>
      <w:r w:rsidR="00992596">
        <w:rPr>
          <w:rFonts w:ascii="Garamond" w:hAnsi="Garamond" w:cstheme="majorBidi"/>
          <w:color w:val="0D0D0D" w:themeColor="text1" w:themeTint="F2"/>
        </w:rPr>
        <w:t>iminimi gradual i barrierave jo</w:t>
      </w:r>
      <w:r w:rsidRPr="00770F9D">
        <w:rPr>
          <w:rFonts w:ascii="Garamond" w:hAnsi="Garamond" w:cstheme="majorBidi"/>
          <w:color w:val="0D0D0D" w:themeColor="text1" w:themeTint="F2"/>
        </w:rPr>
        <w:t>tarifore</w:t>
      </w:r>
      <w:r w:rsidR="00992596">
        <w:rPr>
          <w:rFonts w:ascii="Garamond" w:hAnsi="Garamond" w:cstheme="majorBidi"/>
          <w:color w:val="0D0D0D" w:themeColor="text1" w:themeTint="F2"/>
        </w:rPr>
        <w:t>,</w:t>
      </w:r>
      <w:r w:rsidRPr="00770F9D">
        <w:rPr>
          <w:rFonts w:ascii="Garamond" w:hAnsi="Garamond" w:cstheme="majorBidi"/>
          <w:color w:val="0D0D0D" w:themeColor="text1" w:themeTint="F2"/>
        </w:rPr>
        <w:t xml:space="preserve"> të cilat pengojnë tregtinë ndërmjet partnerëve tregtarë dhe paraqesin pengesa për biznesin.</w:t>
      </w:r>
    </w:p>
    <w:p w14:paraId="47DE4E9F" w14:textId="0DF235A6" w:rsidR="00EF5C0C" w:rsidRPr="00770F9D" w:rsidRDefault="00EF5C0C"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Përveç hapave pozitivë në lidhje me AEO, </w:t>
      </w:r>
      <w:r w:rsidR="00992596" w:rsidRPr="00770F9D">
        <w:rPr>
          <w:rFonts w:ascii="Garamond" w:hAnsi="Garamond" w:cstheme="majorBidi"/>
          <w:color w:val="0D0D0D" w:themeColor="text1" w:themeTint="F2"/>
        </w:rPr>
        <w:t xml:space="preserve">programi </w:t>
      </w:r>
      <w:r w:rsidRPr="00770F9D">
        <w:rPr>
          <w:rFonts w:ascii="Garamond" w:hAnsi="Garamond" w:cstheme="majorBidi"/>
          <w:color w:val="0D0D0D" w:themeColor="text1" w:themeTint="F2"/>
        </w:rPr>
        <w:t xml:space="preserve">shqiptar i AEO është vlerësuar pozitivisht nga ekipi i CEFTA-s në qershor 2022. Janë 8 AEO të miratuara në Shqipëri dhe 10 aplikime janë në miratimin e </w:t>
      </w:r>
      <w:r w:rsidR="00992596" w:rsidRPr="00770F9D">
        <w:rPr>
          <w:rFonts w:ascii="Garamond" w:hAnsi="Garamond" w:cstheme="majorBidi"/>
          <w:color w:val="0D0D0D" w:themeColor="text1" w:themeTint="F2"/>
        </w:rPr>
        <w:t xml:space="preserve">vendimit </w:t>
      </w:r>
      <w:r w:rsidRPr="00770F9D">
        <w:rPr>
          <w:rFonts w:ascii="Garamond" w:hAnsi="Garamond" w:cstheme="majorBidi"/>
          <w:color w:val="0D0D0D" w:themeColor="text1" w:themeTint="F2"/>
        </w:rPr>
        <w:t>të CEFTA-s për njohjen e programeve të validuara të AEO</w:t>
      </w:r>
      <w:r w:rsidR="00992596">
        <w:rPr>
          <w:rFonts w:ascii="Garamond" w:hAnsi="Garamond" w:cstheme="majorBidi"/>
          <w:color w:val="0D0D0D" w:themeColor="text1" w:themeTint="F2"/>
        </w:rPr>
        <w:t>-së</w:t>
      </w:r>
      <w:r w:rsidRPr="00770F9D">
        <w:rPr>
          <w:rFonts w:ascii="Garamond" w:hAnsi="Garamond" w:cstheme="majorBidi"/>
          <w:color w:val="0D0D0D" w:themeColor="text1" w:themeTint="F2"/>
        </w:rPr>
        <w:t xml:space="preserve">. Po ashtu, </w:t>
      </w:r>
      <w:r w:rsidR="00992596" w:rsidRPr="00770F9D">
        <w:rPr>
          <w:rFonts w:ascii="Garamond" w:hAnsi="Garamond" w:cstheme="majorBidi"/>
          <w:color w:val="0D0D0D" w:themeColor="text1" w:themeTint="F2"/>
        </w:rPr>
        <w:t xml:space="preserve">vendimi </w:t>
      </w:r>
      <w:r w:rsidRPr="00770F9D">
        <w:rPr>
          <w:rFonts w:ascii="Garamond" w:hAnsi="Garamond" w:cstheme="majorBidi"/>
          <w:color w:val="0D0D0D" w:themeColor="text1" w:themeTint="F2"/>
        </w:rPr>
        <w:t>i CEFTA-s për rregullat kalimtare të origjinës është ende në pritje të hyrjes në fuqi për shkak të vonesës së disa palëve në përmbushjen e procedurave të tyre të brendshme.</w:t>
      </w:r>
    </w:p>
    <w:p w14:paraId="367AF956" w14:textId="50C29F61" w:rsidR="00EF5C0C" w:rsidRPr="00770F9D" w:rsidRDefault="00EF5C0C" w:rsidP="000E488F">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Për sa i përket </w:t>
      </w:r>
      <w:r w:rsidR="00992596" w:rsidRPr="00770F9D">
        <w:rPr>
          <w:rFonts w:ascii="Garamond" w:hAnsi="Garamond" w:cstheme="majorBidi"/>
          <w:color w:val="0D0D0D" w:themeColor="text1" w:themeTint="F2"/>
        </w:rPr>
        <w:t xml:space="preserve">Marrëveshjes </w:t>
      </w:r>
      <w:r w:rsidRPr="00770F9D">
        <w:rPr>
          <w:rFonts w:ascii="Garamond" w:hAnsi="Garamond" w:cstheme="majorBidi"/>
          <w:color w:val="0D0D0D" w:themeColor="text1" w:themeTint="F2"/>
        </w:rPr>
        <w:t xml:space="preserve">së OBT-së për </w:t>
      </w:r>
      <w:r w:rsidR="00992596" w:rsidRPr="00770F9D">
        <w:rPr>
          <w:rFonts w:ascii="Garamond" w:hAnsi="Garamond" w:cstheme="majorBidi"/>
          <w:color w:val="0D0D0D" w:themeColor="text1" w:themeTint="F2"/>
        </w:rPr>
        <w:t>Lehtësimin e Tregtisë</w:t>
      </w:r>
      <w:r w:rsidRPr="00770F9D">
        <w:rPr>
          <w:rFonts w:ascii="Garamond" w:hAnsi="Garamond" w:cstheme="majorBidi"/>
          <w:color w:val="0D0D0D" w:themeColor="text1" w:themeTint="F2"/>
        </w:rPr>
        <w:t>, fokusi është tani në zbatimin e dy masave të rëndësishme: përpunimi para mbërritjes dhe një dritare NSW. F</w:t>
      </w:r>
      <w:r w:rsidR="00992596">
        <w:rPr>
          <w:rFonts w:ascii="Garamond" w:hAnsi="Garamond" w:cstheme="majorBidi"/>
          <w:color w:val="0D0D0D" w:themeColor="text1" w:themeTint="F2"/>
        </w:rPr>
        <w:t>unksionimi i deklaratës së para</w:t>
      </w:r>
      <w:r w:rsidRPr="00770F9D">
        <w:rPr>
          <w:rFonts w:ascii="Garamond" w:hAnsi="Garamond" w:cstheme="majorBidi"/>
          <w:color w:val="0D0D0D" w:themeColor="text1" w:themeTint="F2"/>
        </w:rPr>
        <w:t>mbërritjes kërkon zhvillime në sistemin e TI-së doganore. Në planin e punës lidhur me zhvillimet e IT-së për periudhën 2022</w:t>
      </w:r>
      <w:r w:rsidR="00992596">
        <w:rPr>
          <w:rFonts w:ascii="Garamond" w:hAnsi="Garamond" w:cstheme="majorBidi"/>
          <w:color w:val="0D0D0D" w:themeColor="text1" w:themeTint="F2"/>
        </w:rPr>
        <w:t>–</w:t>
      </w:r>
      <w:r w:rsidRPr="00770F9D">
        <w:rPr>
          <w:rFonts w:ascii="Garamond" w:hAnsi="Garamond" w:cstheme="majorBidi"/>
          <w:color w:val="0D0D0D" w:themeColor="text1" w:themeTint="F2"/>
        </w:rPr>
        <w:t>2023, është edhe zhvillimi i sistemit të IT-së doganore për vënien në</w:t>
      </w:r>
      <w:r w:rsidR="000E488F">
        <w:rPr>
          <w:rFonts w:ascii="Garamond" w:hAnsi="Garamond" w:cstheme="majorBidi"/>
          <w:color w:val="0D0D0D" w:themeColor="text1" w:themeTint="F2"/>
        </w:rPr>
        <w:t xml:space="preserve"> funksion të deklaratës së para</w:t>
      </w:r>
      <w:r w:rsidRPr="00770F9D">
        <w:rPr>
          <w:rFonts w:ascii="Garamond" w:hAnsi="Garamond" w:cstheme="majorBidi"/>
          <w:color w:val="0D0D0D" w:themeColor="text1" w:themeTint="F2"/>
        </w:rPr>
        <w:t>mbërritjes. Sipas administratës doganore, ky projekt për t</w:t>
      </w:r>
      <w:r w:rsidR="000E488F">
        <w:rPr>
          <w:rFonts w:ascii="Garamond" w:hAnsi="Garamond" w:cstheme="majorBidi"/>
          <w:color w:val="0D0D0D" w:themeColor="text1" w:themeTint="F2"/>
        </w:rPr>
        <w:t>’</w:t>
      </w:r>
      <w:r w:rsidRPr="00770F9D">
        <w:rPr>
          <w:rFonts w:ascii="Garamond" w:hAnsi="Garamond" w:cstheme="majorBidi"/>
          <w:color w:val="0D0D0D" w:themeColor="text1" w:themeTint="F2"/>
        </w:rPr>
        <w:t>u zbatuar kërkon zhvillimin e sistemit të informacionit doganor. Situata e krijuar nga COVID ka sjellë shtyrjen e zhvillimeve në lidhje me projektin. Në këtë kuadër, administrata doganore do të realizojë zhvillime të reja brenda viteve 2022</w:t>
      </w:r>
      <w:r w:rsidR="00992596">
        <w:rPr>
          <w:rFonts w:ascii="Garamond" w:hAnsi="Garamond" w:cstheme="majorBidi"/>
          <w:color w:val="0D0D0D" w:themeColor="text1" w:themeTint="F2"/>
        </w:rPr>
        <w:t>–</w:t>
      </w:r>
      <w:r w:rsidRPr="00770F9D">
        <w:rPr>
          <w:rFonts w:ascii="Garamond" w:hAnsi="Garamond" w:cstheme="majorBidi"/>
          <w:color w:val="0D0D0D" w:themeColor="text1" w:themeTint="F2"/>
        </w:rPr>
        <w:t>2024.</w:t>
      </w:r>
    </w:p>
    <w:p w14:paraId="26BC2E56" w14:textId="5344A01A" w:rsidR="00EF5C0C" w:rsidRPr="00770F9D" w:rsidRDefault="00EF5C0C"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Dritarja e vetme: Si pjesë e angazhimit të </w:t>
      </w:r>
      <w:r w:rsidR="000E488F" w:rsidRPr="00770F9D">
        <w:rPr>
          <w:rFonts w:ascii="Garamond" w:hAnsi="Garamond" w:cstheme="majorBidi"/>
          <w:color w:val="0D0D0D" w:themeColor="text1" w:themeTint="F2"/>
        </w:rPr>
        <w:t xml:space="preserve">grupit </w:t>
      </w:r>
      <w:r w:rsidRPr="00770F9D">
        <w:rPr>
          <w:rFonts w:ascii="Garamond" w:hAnsi="Garamond" w:cstheme="majorBidi"/>
          <w:color w:val="0D0D0D" w:themeColor="text1" w:themeTint="F2"/>
        </w:rPr>
        <w:t xml:space="preserve">të Bankës Botërore me Qeverinë e Shqipërisë, </w:t>
      </w:r>
      <w:r w:rsidR="00F62A80" w:rsidRPr="00770F9D">
        <w:rPr>
          <w:rFonts w:ascii="Garamond" w:hAnsi="Garamond" w:cstheme="majorBidi"/>
          <w:color w:val="0D0D0D" w:themeColor="text1" w:themeTint="F2"/>
        </w:rPr>
        <w:t xml:space="preserve">projekti për lehtësimin e tregtisë dhe transportit </w:t>
      </w:r>
      <w:r w:rsidRPr="00770F9D">
        <w:rPr>
          <w:rFonts w:ascii="Garamond" w:hAnsi="Garamond" w:cstheme="majorBidi"/>
          <w:color w:val="0D0D0D" w:themeColor="text1" w:themeTint="F2"/>
        </w:rPr>
        <w:t>në Ballkanin Perëndimor ofron mbështetje për Shq</w:t>
      </w:r>
      <w:r w:rsidR="00F62A80">
        <w:rPr>
          <w:rFonts w:ascii="Garamond" w:hAnsi="Garamond" w:cstheme="majorBidi"/>
          <w:color w:val="0D0D0D" w:themeColor="text1" w:themeTint="F2"/>
        </w:rPr>
        <w:t xml:space="preserve">ipërinë me zhvillimin e një NSW-jë </w:t>
      </w:r>
      <w:r w:rsidRPr="00770F9D">
        <w:rPr>
          <w:rFonts w:ascii="Garamond" w:hAnsi="Garamond" w:cstheme="majorBidi"/>
          <w:color w:val="0D0D0D" w:themeColor="text1" w:themeTint="F2"/>
        </w:rPr>
        <w:t xml:space="preserve">të tillë dhe kalimin në një mjedis NSW. Kjo Marrëveshje Huaje me BB-në është miratuar në qershor 2019 </w:t>
      </w:r>
      <w:r w:rsidR="00481048" w:rsidRPr="00770F9D">
        <w:rPr>
          <w:rFonts w:ascii="Garamond" w:hAnsi="Garamond" w:cstheme="majorBidi"/>
          <w:color w:val="0D0D0D" w:themeColor="text1" w:themeTint="F2"/>
        </w:rPr>
        <w:t xml:space="preserve">nga qeveria shqiptare </w:t>
      </w:r>
      <w:r w:rsidRPr="00770F9D">
        <w:rPr>
          <w:rFonts w:ascii="Garamond" w:hAnsi="Garamond" w:cstheme="majorBidi"/>
          <w:color w:val="0D0D0D" w:themeColor="text1" w:themeTint="F2"/>
        </w:rPr>
        <w:t xml:space="preserve">dhe ratifikuar nga Kuvendi i Shqipërisë në shtator 2019. Në shkurt 2020 krijohet një </w:t>
      </w:r>
      <w:r w:rsidR="00481048" w:rsidRPr="00770F9D">
        <w:rPr>
          <w:rFonts w:ascii="Garamond" w:hAnsi="Garamond" w:cstheme="majorBidi"/>
          <w:color w:val="0D0D0D" w:themeColor="text1" w:themeTint="F2"/>
        </w:rPr>
        <w:t xml:space="preserve">njësi </w:t>
      </w:r>
      <w:r w:rsidRPr="00770F9D">
        <w:rPr>
          <w:rFonts w:ascii="Garamond" w:hAnsi="Garamond" w:cstheme="majorBidi"/>
          <w:color w:val="0D0D0D" w:themeColor="text1" w:themeTint="F2"/>
        </w:rPr>
        <w:t>(PIU) në Ministrinë e Financave dhe Ekonomisë për të ndjekur zbatimin e këtij Projekti.</w:t>
      </w:r>
    </w:p>
    <w:p w14:paraId="1C4A67C5" w14:textId="27D7D15A" w:rsidR="00EF5C0C" w:rsidRPr="00770F9D" w:rsidRDefault="00EF5C0C" w:rsidP="00481048">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Marrëveshja ndërmjet Shqipërisë dhe Maqedonisë së Veriut për vendosjen e pikave të përbashkëta të kalimit kufitar Qafë</w:t>
      </w:r>
      <w:r w:rsidR="00481048">
        <w:rPr>
          <w:rFonts w:ascii="Garamond" w:hAnsi="Garamond" w:cstheme="majorBidi"/>
          <w:color w:val="0D0D0D" w:themeColor="text1" w:themeTint="F2"/>
        </w:rPr>
        <w:t>t</w:t>
      </w:r>
      <w:r w:rsidRPr="00770F9D">
        <w:rPr>
          <w:rFonts w:ascii="Garamond" w:hAnsi="Garamond" w:cstheme="majorBidi"/>
          <w:color w:val="0D0D0D" w:themeColor="text1" w:themeTint="F2"/>
        </w:rPr>
        <w:t>han</w:t>
      </w:r>
      <w:r w:rsidR="00481048">
        <w:rPr>
          <w:rFonts w:ascii="Garamond" w:hAnsi="Garamond" w:cstheme="majorBidi"/>
          <w:color w:val="0D0D0D" w:themeColor="text1" w:themeTint="F2"/>
        </w:rPr>
        <w:t>ë–</w:t>
      </w:r>
      <w:r w:rsidRPr="00770F9D">
        <w:rPr>
          <w:rFonts w:ascii="Garamond" w:hAnsi="Garamond" w:cstheme="majorBidi"/>
          <w:color w:val="0D0D0D" w:themeColor="text1" w:themeTint="F2"/>
        </w:rPr>
        <w:t xml:space="preserve">Kjafasan ka hyrë në fuqi në vitin 2021. Kjo do të vendosë një kontroll të integruar </w:t>
      </w:r>
      <w:r w:rsidRPr="002A693B">
        <w:rPr>
          <w:rFonts w:ascii="Garamond" w:hAnsi="Garamond" w:cstheme="majorBidi"/>
          <w:color w:val="0D0D0D" w:themeColor="text1" w:themeTint="F2"/>
        </w:rPr>
        <w:t xml:space="preserve">– </w:t>
      </w:r>
      <w:r w:rsidRPr="002A693B">
        <w:rPr>
          <w:rFonts w:ascii="Garamond" w:hAnsi="Garamond" w:cstheme="majorBidi"/>
          <w:i/>
          <w:iCs/>
          <w:color w:val="0D0D0D" w:themeColor="text1" w:themeTint="F2"/>
        </w:rPr>
        <w:t>one-stop shop</w:t>
      </w:r>
      <w:r w:rsidRPr="00770F9D">
        <w:rPr>
          <w:rFonts w:ascii="Garamond" w:hAnsi="Garamond" w:cstheme="majorBidi"/>
          <w:color w:val="0D0D0D" w:themeColor="text1" w:themeTint="F2"/>
        </w:rPr>
        <w:t xml:space="preserve"> – për të siguruar që të gjitha formalitetet mund të kryhen në një vend dhe u mundëson agjencive të përfshira në procesin e zhdoganimit të mallrave të operojnë nga një zyrë e vetme. Komiteti i ekspertëve ndërmjet të dyja palëve është krijuar për të hartuar protokollet e zbatimit. Përfundimi i punimeve parashikohet për vitin 2025, administratat doganore kanë rënë dakord si zgjidhje e ndërmjetme për hartimin e “Protokollit </w:t>
      </w:r>
      <w:r w:rsidR="00765BD8" w:rsidRPr="00770F9D">
        <w:rPr>
          <w:rFonts w:ascii="Garamond" w:hAnsi="Garamond" w:cstheme="majorBidi"/>
          <w:color w:val="0D0D0D" w:themeColor="text1" w:themeTint="F2"/>
        </w:rPr>
        <w:t xml:space="preserve">zbatues </w:t>
      </w:r>
      <w:r w:rsidRPr="00770F9D">
        <w:rPr>
          <w:rFonts w:ascii="Garamond" w:hAnsi="Garamond" w:cstheme="majorBidi"/>
          <w:color w:val="0D0D0D" w:themeColor="text1" w:themeTint="F2"/>
        </w:rPr>
        <w:t>për krijimin e kushteve infrastrukturore për vendosjen e kontrolleve të përbashkëta si një rregullim afatshkurtër (zgjidhje e përkohshme)”.</w:t>
      </w:r>
    </w:p>
    <w:p w14:paraId="6D7BB1D4" w14:textId="77777777" w:rsidR="00EF5C0C" w:rsidRPr="00770F9D" w:rsidRDefault="00EF5C0C"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Protokolli për bashkëpunimin ndërmjet administratave doganore është nënshkruar në nëntor 2022.</w:t>
      </w:r>
    </w:p>
    <w:p w14:paraId="71D5948A" w14:textId="45887AE1" w:rsidR="00EF5C0C" w:rsidRPr="00770F9D" w:rsidRDefault="00EF5C0C"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Që nga përshtatja e Planit të Veprimit për Tregun e Përbashkët Rajonal 2021</w:t>
      </w:r>
      <w:r w:rsidR="00675026">
        <w:rPr>
          <w:rFonts w:ascii="Garamond" w:hAnsi="Garamond" w:cstheme="majorBidi"/>
          <w:color w:val="0D0D0D" w:themeColor="text1" w:themeTint="F2"/>
        </w:rPr>
        <w:t>–</w:t>
      </w:r>
      <w:r w:rsidRPr="00770F9D">
        <w:rPr>
          <w:rFonts w:ascii="Garamond" w:hAnsi="Garamond" w:cstheme="majorBidi"/>
          <w:color w:val="0D0D0D" w:themeColor="text1" w:themeTint="F2"/>
        </w:rPr>
        <w:t xml:space="preserve">2024, Shqipëria ka qenë shumë aktive në punën me Sekretariatin e CEFTA-s për zbatimin e masave. Një përshkrim të mëtejshëm të progresit të masave të parashikuara në CRM gjeni në </w:t>
      </w:r>
      <w:r w:rsidR="0029226F" w:rsidRPr="00770F9D">
        <w:rPr>
          <w:rFonts w:ascii="Garamond" w:hAnsi="Garamond" w:cstheme="majorBidi"/>
          <w:color w:val="0D0D0D" w:themeColor="text1" w:themeTint="F2"/>
        </w:rPr>
        <w:t>aneks</w:t>
      </w:r>
      <w:r w:rsidRPr="00770F9D">
        <w:rPr>
          <w:rFonts w:ascii="Garamond" w:hAnsi="Garamond" w:cstheme="majorBidi"/>
          <w:color w:val="0D0D0D" w:themeColor="text1" w:themeTint="F2"/>
        </w:rPr>
        <w:t>. Të gjitha këto masa synojnë zvogëlimin e barrierave në tregtinë ndërmjet palëve të CEFTA-s, paraqesin mundësi të mëdha për biznesin tonë për të shtrirë tregun e tyre në rajon si dhe për të rritur përgatitjen tonë (si të biznesit ashtu edhe të administratës) për përmbushjen e standardeve të BE-së. Vlen të theksohet se disa masa të rëndësishme janë në pritje të finalizimit</w:t>
      </w:r>
      <w:r w:rsidR="0029226F">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 shkak të çështjes politike.</w:t>
      </w:r>
    </w:p>
    <w:p w14:paraId="704D4881" w14:textId="1FDEE1A2" w:rsidR="00EF5C0C" w:rsidRPr="00770F9D" w:rsidRDefault="00EF5C0C"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Pengesat e mëtejshme për integrimin ekonomik/tregtar që Shqipëria po i adreson realisht me masa konkrete janë</w:t>
      </w:r>
      <w:r w:rsidR="0029226F">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më poshtë:</w:t>
      </w:r>
    </w:p>
    <w:p w14:paraId="6734569B" w14:textId="661EBEEB" w:rsidR="005674F2" w:rsidRPr="00770F9D" w:rsidRDefault="00A67654" w:rsidP="00400806">
      <w:pPr>
        <w:autoSpaceDE w:val="0"/>
        <w:autoSpaceDN w:val="0"/>
        <w:adjustRightInd w:val="0"/>
        <w:ind w:firstLine="284"/>
        <w:jc w:val="both"/>
        <w:rPr>
          <w:rFonts w:ascii="Garamond" w:hAnsi="Garamond" w:cs="Garamond"/>
          <w:color w:val="0D0D0D"/>
          <w:lang w:eastAsia="sq-AL"/>
        </w:rPr>
      </w:pPr>
      <w:r w:rsidRPr="00770F9D">
        <w:rPr>
          <w:rFonts w:ascii="Garamond" w:hAnsi="Garamond"/>
          <w:color w:val="0D0D0D"/>
          <w:lang w:eastAsia="sq-AL"/>
        </w:rPr>
        <w:t xml:space="preserve">- </w:t>
      </w:r>
      <w:r w:rsidR="005674F2" w:rsidRPr="00770F9D">
        <w:rPr>
          <w:rFonts w:ascii="Garamond" w:hAnsi="Garamond" w:cs="Garamond"/>
          <w:b/>
          <w:bCs/>
          <w:color w:val="0D0D0D"/>
          <w:lang w:eastAsia="sq-AL"/>
        </w:rPr>
        <w:t>Vlerësimi i konformitetit:</w:t>
      </w:r>
      <w:r w:rsidR="005674F2" w:rsidRPr="00770F9D">
        <w:rPr>
          <w:rFonts w:ascii="Garamond" w:hAnsi="Garamond" w:cs="Garamond"/>
          <w:color w:val="0D0D0D"/>
          <w:lang w:eastAsia="sq-AL"/>
        </w:rPr>
        <w:t xml:space="preserve"> Eksportuesit shqiptarë po përballen me çështje të vlerësimit të konformitetit në tregun e rajonit, për shkak të nevojës për të përmbushur kërkesat shtesë të dokumentacionit dhe markimit, edhe pse produktet e eksportuara kanë markimin CE. Në kuadër të CRM-së, ne po punojmë në fushën e infrastrukturës së cilësisë, veçanërisht në hartimin e një kuadri për njohjen e rezultateve të vlerësimit të konformitetit të produkteve industriale ndërmjet palëve të CEFTA-s dhe inkurajuam ekspertët që të vazhdojnë përpjekjet për ta për</w:t>
      </w:r>
      <w:r w:rsidR="0029226F">
        <w:rPr>
          <w:rFonts w:ascii="Garamond" w:hAnsi="Garamond" w:cs="Garamond"/>
          <w:color w:val="0D0D0D"/>
          <w:lang w:eastAsia="sq-AL"/>
        </w:rPr>
        <w:t>funduar atë në nivel ekspertësh</w:t>
      </w:r>
      <w:r w:rsidR="005674F2" w:rsidRPr="00770F9D">
        <w:rPr>
          <w:rFonts w:ascii="Garamond" w:hAnsi="Garamond" w:cs="Garamond"/>
          <w:color w:val="0D0D0D"/>
          <w:lang w:eastAsia="sq-AL"/>
        </w:rPr>
        <w:t xml:space="preserve"> dhe t’ia dorëzojë për hir organit përkatës të CEFTA-s.</w:t>
      </w:r>
    </w:p>
    <w:p w14:paraId="5DEB5D76" w14:textId="1FE34CF2" w:rsidR="005674F2" w:rsidRPr="00770F9D" w:rsidRDefault="00B24A29" w:rsidP="00090D47">
      <w:pPr>
        <w:autoSpaceDE w:val="0"/>
        <w:autoSpaceDN w:val="0"/>
        <w:adjustRightInd w:val="0"/>
        <w:ind w:firstLine="284"/>
        <w:jc w:val="both"/>
        <w:rPr>
          <w:rFonts w:ascii="Garamond" w:hAnsi="Garamond" w:cs="Garamond"/>
          <w:color w:val="0D0D0D"/>
          <w:lang w:eastAsia="sq-AL"/>
        </w:rPr>
      </w:pPr>
      <w:r w:rsidRPr="00770F9D">
        <w:rPr>
          <w:rFonts w:ascii="Garamond" w:hAnsi="Garamond"/>
          <w:color w:val="0D0D0D"/>
          <w:lang w:eastAsia="sq-AL"/>
        </w:rPr>
        <w:t>-</w:t>
      </w:r>
      <w:r w:rsidR="00BA4F1A" w:rsidRPr="00770F9D">
        <w:rPr>
          <w:rFonts w:ascii="Garamond" w:hAnsi="Garamond"/>
          <w:color w:val="0D0D0D"/>
          <w:lang w:eastAsia="sq-AL"/>
        </w:rPr>
        <w:t xml:space="preserve"> </w:t>
      </w:r>
      <w:r w:rsidR="005674F2" w:rsidRPr="00770F9D">
        <w:rPr>
          <w:rFonts w:ascii="Garamond" w:hAnsi="Garamond" w:cs="Garamond"/>
          <w:b/>
          <w:bCs/>
          <w:color w:val="0D0D0D"/>
          <w:lang w:eastAsia="sq-AL"/>
        </w:rPr>
        <w:t>Eksporti i nënprodukteve shtazore:</w:t>
      </w:r>
      <w:r w:rsidR="005674F2" w:rsidRPr="00770F9D">
        <w:rPr>
          <w:rFonts w:ascii="Garamond" w:hAnsi="Garamond" w:cs="Garamond"/>
          <w:color w:val="0D0D0D"/>
          <w:lang w:eastAsia="sq-AL"/>
        </w:rPr>
        <w:t xml:space="preserve"> Eksportet shqiptare të produkteve shtazore janë ende në nivele të ulëta. Kjo për faktin se për eksportimin e produkteve të tilla në BE, është e nevojshme që të jetë një “spital i autorizuar”</w:t>
      </w:r>
      <w:r w:rsidR="00090D47">
        <w:rPr>
          <w:rFonts w:ascii="Garamond" w:hAnsi="Garamond" w:cs="Garamond"/>
          <w:color w:val="0D0D0D"/>
          <w:lang w:eastAsia="sq-AL"/>
        </w:rPr>
        <w:t xml:space="preserve">, </w:t>
      </w:r>
      <w:r w:rsidR="005674F2" w:rsidRPr="00770F9D">
        <w:rPr>
          <w:rFonts w:ascii="Garamond" w:hAnsi="Garamond" w:cs="Garamond"/>
          <w:color w:val="0D0D0D"/>
          <w:lang w:eastAsia="sq-AL"/>
        </w:rPr>
        <w:t>sipas kërkesave të BE-së. Për të zgjeruar potencialin e eksportit të llojeve të ndryshme t</w:t>
      </w:r>
      <w:r w:rsidR="00090D47">
        <w:rPr>
          <w:rFonts w:ascii="Garamond" w:hAnsi="Garamond" w:cs="Garamond"/>
          <w:color w:val="0D0D0D"/>
          <w:lang w:eastAsia="sq-AL"/>
        </w:rPr>
        <w:t>ë produkteve te palët e CEFTA-s</w:t>
      </w:r>
      <w:r w:rsidR="005674F2" w:rsidRPr="00770F9D">
        <w:rPr>
          <w:rFonts w:ascii="Garamond" w:hAnsi="Garamond" w:cs="Garamond"/>
          <w:color w:val="0D0D0D"/>
          <w:lang w:eastAsia="sq-AL"/>
        </w:rPr>
        <w:t xml:space="preserve"> është në hartimin e një kuadri për ndërmarrjet në sektorët e autorizuar për tregti ndërmjet palëve të CEFTA-s dhe rregulla të harmonizuara për certifikatat veterinare për produktet e konsumit njerëzor (së pari, pilotuar për mjalti dhe produktet e bletarisë)</w:t>
      </w:r>
      <w:r w:rsidR="00090D47">
        <w:rPr>
          <w:rFonts w:ascii="Garamond" w:hAnsi="Garamond" w:cs="Garamond"/>
          <w:color w:val="0D0D0D"/>
          <w:lang w:eastAsia="sq-AL"/>
        </w:rPr>
        <w:t>,</w:t>
      </w:r>
      <w:r w:rsidR="005674F2" w:rsidRPr="00770F9D">
        <w:rPr>
          <w:rFonts w:ascii="Garamond" w:hAnsi="Garamond" w:cs="Garamond"/>
          <w:color w:val="0D0D0D"/>
          <w:lang w:eastAsia="sq-AL"/>
        </w:rPr>
        <w:t xml:space="preserve"> si dhe unifikimin e kërkesave dhe certifikatave veterinare.</w:t>
      </w:r>
    </w:p>
    <w:p w14:paraId="296D59F3" w14:textId="21883107" w:rsidR="005674F2" w:rsidRPr="00770F9D" w:rsidRDefault="00A67654" w:rsidP="00400806">
      <w:pPr>
        <w:autoSpaceDE w:val="0"/>
        <w:autoSpaceDN w:val="0"/>
        <w:adjustRightInd w:val="0"/>
        <w:ind w:firstLine="284"/>
        <w:jc w:val="both"/>
        <w:rPr>
          <w:rFonts w:ascii="Garamond" w:hAnsi="Garamond" w:cs="Garamond"/>
          <w:color w:val="0D0D0D"/>
          <w:lang w:eastAsia="sq-AL"/>
        </w:rPr>
      </w:pPr>
      <w:r w:rsidRPr="00770F9D">
        <w:rPr>
          <w:rFonts w:ascii="Garamond" w:hAnsi="Garamond"/>
          <w:color w:val="0D0D0D"/>
          <w:lang w:eastAsia="sq-AL"/>
        </w:rPr>
        <w:t>-</w:t>
      </w:r>
      <w:r w:rsidR="00BA4F1A" w:rsidRPr="00770F9D">
        <w:rPr>
          <w:rFonts w:ascii="Garamond" w:hAnsi="Garamond"/>
          <w:color w:val="0D0D0D"/>
          <w:lang w:eastAsia="sq-AL"/>
        </w:rPr>
        <w:t xml:space="preserve"> </w:t>
      </w:r>
      <w:r w:rsidR="005674F2" w:rsidRPr="00770F9D">
        <w:rPr>
          <w:rFonts w:ascii="Garamond" w:hAnsi="Garamond" w:cs="Garamond"/>
          <w:b/>
          <w:bCs/>
          <w:color w:val="0D0D0D"/>
          <w:lang w:eastAsia="sq-AL"/>
        </w:rPr>
        <w:t>Eksporti i frutave dhe perimeve:</w:t>
      </w:r>
      <w:r w:rsidR="005674F2" w:rsidRPr="00770F9D">
        <w:rPr>
          <w:rFonts w:ascii="Garamond" w:hAnsi="Garamond" w:cs="Garamond"/>
          <w:color w:val="0D0D0D"/>
          <w:lang w:eastAsia="sq-AL"/>
        </w:rPr>
        <w:t xml:space="preserve"> Për të lehtësuar tregtinë e fruta-perimeve në rajon, Shqipëria po punon në nivel CEFTA për zbatimin e </w:t>
      </w:r>
      <w:r w:rsidR="00090D47" w:rsidRPr="00770F9D">
        <w:rPr>
          <w:rFonts w:ascii="Garamond" w:hAnsi="Garamond" w:cs="Garamond"/>
          <w:color w:val="0D0D0D"/>
          <w:lang w:eastAsia="sq-AL"/>
        </w:rPr>
        <w:t xml:space="preserve">vendimit </w:t>
      </w:r>
      <w:r w:rsidR="005674F2" w:rsidRPr="00770F9D">
        <w:rPr>
          <w:rFonts w:ascii="Garamond" w:hAnsi="Garamond" w:cs="Garamond"/>
          <w:color w:val="0D0D0D"/>
          <w:lang w:eastAsia="sq-AL"/>
        </w:rPr>
        <w:t>të KP</w:t>
      </w:r>
      <w:r w:rsidR="00090D47">
        <w:rPr>
          <w:rFonts w:ascii="Garamond" w:hAnsi="Garamond" w:cs="Garamond"/>
          <w:color w:val="0D0D0D"/>
          <w:lang w:eastAsia="sq-AL"/>
        </w:rPr>
        <w:t>-së</w:t>
      </w:r>
      <w:r w:rsidR="005674F2" w:rsidRPr="00770F9D">
        <w:rPr>
          <w:rFonts w:ascii="Garamond" w:hAnsi="Garamond" w:cs="Garamond"/>
          <w:color w:val="0D0D0D"/>
          <w:lang w:eastAsia="sq-AL"/>
        </w:rPr>
        <w:t xml:space="preserve"> të CEFTA-s të vitit 2020 për lehtësimin e tregtisë së fruta-perimeve.</w:t>
      </w:r>
    </w:p>
    <w:p w14:paraId="63209033" w14:textId="05331624" w:rsidR="005674F2" w:rsidRPr="00770F9D" w:rsidRDefault="00A67654" w:rsidP="00400806">
      <w:pPr>
        <w:autoSpaceDE w:val="0"/>
        <w:autoSpaceDN w:val="0"/>
        <w:adjustRightInd w:val="0"/>
        <w:ind w:firstLine="284"/>
        <w:jc w:val="both"/>
        <w:rPr>
          <w:rFonts w:ascii="Garamond" w:hAnsi="Garamond" w:cs="Garamond"/>
          <w:color w:val="0D0D0D"/>
          <w:lang w:eastAsia="sq-AL"/>
        </w:rPr>
      </w:pPr>
      <w:r w:rsidRPr="00770F9D">
        <w:rPr>
          <w:rFonts w:ascii="Garamond" w:hAnsi="Garamond"/>
          <w:color w:val="0D0D0D"/>
          <w:lang w:eastAsia="sq-AL"/>
        </w:rPr>
        <w:t>-</w:t>
      </w:r>
      <w:r w:rsidR="00BA4F1A" w:rsidRPr="00770F9D">
        <w:rPr>
          <w:rFonts w:ascii="Garamond" w:hAnsi="Garamond"/>
          <w:color w:val="0D0D0D"/>
          <w:lang w:eastAsia="sq-AL"/>
        </w:rPr>
        <w:t xml:space="preserve"> </w:t>
      </w:r>
      <w:r w:rsidR="005674F2" w:rsidRPr="00770F9D">
        <w:rPr>
          <w:rFonts w:ascii="Garamond" w:hAnsi="Garamond" w:cs="Garamond"/>
          <w:b/>
          <w:bCs/>
          <w:color w:val="0D0D0D"/>
          <w:lang w:eastAsia="sq-AL"/>
        </w:rPr>
        <w:t>Laboratorë ushqimorë të akredituar për sigurinë ushqimore.</w:t>
      </w:r>
      <w:r w:rsidR="005674F2" w:rsidRPr="00770F9D">
        <w:rPr>
          <w:rFonts w:ascii="Garamond" w:hAnsi="Garamond" w:cs="Garamond"/>
          <w:color w:val="0D0D0D"/>
          <w:lang w:eastAsia="sq-AL"/>
        </w:rPr>
        <w:t xml:space="preserve"> Instituti i Sigurisë Ushqimore dhe Veterinarisë është i vetmi laborator i akredituar në Shqipëri.</w:t>
      </w:r>
    </w:p>
    <w:p w14:paraId="7348D4F5" w14:textId="2660F182" w:rsidR="005674F2" w:rsidRPr="00770F9D" w:rsidRDefault="00A67654" w:rsidP="00EB64CA">
      <w:pPr>
        <w:autoSpaceDE w:val="0"/>
        <w:autoSpaceDN w:val="0"/>
        <w:adjustRightInd w:val="0"/>
        <w:ind w:firstLine="284"/>
        <w:jc w:val="both"/>
        <w:rPr>
          <w:rFonts w:ascii="Garamond" w:hAnsi="Garamond" w:cs="Garamond"/>
          <w:color w:val="0D0D0D"/>
          <w:lang w:eastAsia="sq-AL"/>
        </w:rPr>
      </w:pPr>
      <w:r w:rsidRPr="00770F9D">
        <w:rPr>
          <w:rFonts w:ascii="Garamond" w:hAnsi="Garamond"/>
          <w:color w:val="0D0D0D"/>
          <w:lang w:eastAsia="sq-AL"/>
        </w:rPr>
        <w:t>-</w:t>
      </w:r>
      <w:r w:rsidR="00BA4F1A" w:rsidRPr="00770F9D">
        <w:rPr>
          <w:rFonts w:ascii="Garamond" w:hAnsi="Garamond"/>
          <w:color w:val="0D0D0D"/>
          <w:lang w:eastAsia="sq-AL"/>
        </w:rPr>
        <w:t xml:space="preserve"> </w:t>
      </w:r>
      <w:r w:rsidR="005674F2" w:rsidRPr="00770F9D">
        <w:rPr>
          <w:rFonts w:ascii="Garamond" w:hAnsi="Garamond" w:cs="Garamond"/>
          <w:b/>
          <w:bCs/>
          <w:color w:val="0D0D0D"/>
          <w:lang w:eastAsia="sq-AL"/>
        </w:rPr>
        <w:t>Koha e pritjes n</w:t>
      </w:r>
      <w:r w:rsidR="00EB64CA">
        <w:rPr>
          <w:rFonts w:ascii="Garamond" w:hAnsi="Garamond" w:cs="Garamond"/>
          <w:b/>
          <w:bCs/>
          <w:color w:val="0D0D0D"/>
          <w:lang w:eastAsia="sq-AL"/>
        </w:rPr>
        <w:t>ë</w:t>
      </w:r>
      <w:r w:rsidR="005674F2" w:rsidRPr="00770F9D">
        <w:rPr>
          <w:rFonts w:ascii="Garamond" w:hAnsi="Garamond" w:cs="Garamond"/>
          <w:b/>
          <w:bCs/>
          <w:color w:val="0D0D0D"/>
          <w:lang w:eastAsia="sq-AL"/>
        </w:rPr>
        <w:t xml:space="preserve"> kufi:</w:t>
      </w:r>
      <w:r w:rsidR="005674F2" w:rsidRPr="00770F9D">
        <w:rPr>
          <w:rFonts w:ascii="Garamond" w:hAnsi="Garamond" w:cs="Garamond"/>
          <w:color w:val="0D0D0D"/>
          <w:lang w:eastAsia="sq-AL"/>
        </w:rPr>
        <w:t xml:space="preserve"> U bënë përpjekje për të reduktuar kohën e pritjes në pikat kufitare të kamionëve dhe për të harmonizuar orarin e punës të të gjitha autoriteteve inspektuese. Doganat shqiptare, policia dhe administratat e sigurisë ushqimore kanë orar pune 24/7, ndërkohë që vendet e tjera kufitare (anëtare të CEFTA/BE) kanë orar të ndryshëm pune. Ne jemi duke punuar në nivel CEFTA për këtë çështje. Gjithashtu, po punohet për forcimin e bashkëpunimit tonë në harmonizimin e orarit të punës me agjencitë greke që operojnë në kufi, në Kakavijë.</w:t>
      </w:r>
    </w:p>
    <w:p w14:paraId="4C1EB270" w14:textId="695CE257" w:rsidR="005674F2" w:rsidRPr="00770F9D" w:rsidRDefault="00A67654" w:rsidP="00090D47">
      <w:pPr>
        <w:autoSpaceDE w:val="0"/>
        <w:autoSpaceDN w:val="0"/>
        <w:adjustRightInd w:val="0"/>
        <w:ind w:firstLine="284"/>
        <w:jc w:val="both"/>
        <w:rPr>
          <w:rFonts w:ascii="Garamond" w:hAnsi="Garamond" w:cs="Garamond"/>
          <w:color w:val="0D0D0D"/>
          <w:lang w:eastAsia="sq-AL"/>
        </w:rPr>
      </w:pPr>
      <w:r w:rsidRPr="00770F9D">
        <w:rPr>
          <w:rFonts w:ascii="Garamond" w:hAnsi="Garamond"/>
          <w:color w:val="0D0D0D"/>
          <w:lang w:eastAsia="sq-AL"/>
        </w:rPr>
        <w:t>-</w:t>
      </w:r>
      <w:r w:rsidR="00BA4F1A" w:rsidRPr="00770F9D">
        <w:rPr>
          <w:rFonts w:ascii="Garamond" w:hAnsi="Garamond"/>
          <w:color w:val="0D0D0D"/>
          <w:lang w:eastAsia="sq-AL"/>
        </w:rPr>
        <w:t xml:space="preserve"> </w:t>
      </w:r>
      <w:r w:rsidR="005674F2" w:rsidRPr="00770F9D">
        <w:rPr>
          <w:rFonts w:ascii="Garamond" w:hAnsi="Garamond" w:cs="Garamond"/>
          <w:b/>
          <w:bCs/>
          <w:color w:val="0D0D0D"/>
          <w:lang w:eastAsia="sq-AL"/>
        </w:rPr>
        <w:t>Bashkëpunimi ndërkufitar në Kapshticë:</w:t>
      </w:r>
      <w:r w:rsidR="005674F2" w:rsidRPr="00770F9D">
        <w:rPr>
          <w:rFonts w:ascii="Garamond" w:hAnsi="Garamond" w:cs="Garamond"/>
          <w:color w:val="0D0D0D"/>
          <w:lang w:eastAsia="sq-AL"/>
        </w:rPr>
        <w:t xml:space="preserve"> Në këtë pikë kalimi kufitar ka një situatë tjetër</w:t>
      </w:r>
      <w:r w:rsidR="00090D47">
        <w:rPr>
          <w:rFonts w:ascii="Garamond" w:hAnsi="Garamond" w:cs="Garamond"/>
          <w:color w:val="0D0D0D"/>
          <w:lang w:eastAsia="sq-AL"/>
        </w:rPr>
        <w:t>,</w:t>
      </w:r>
      <w:r w:rsidR="005674F2" w:rsidRPr="00770F9D">
        <w:rPr>
          <w:rFonts w:ascii="Garamond" w:hAnsi="Garamond" w:cs="Garamond"/>
          <w:color w:val="0D0D0D"/>
          <w:lang w:eastAsia="sq-AL"/>
        </w:rPr>
        <w:t xml:space="preserve"> që krijon vakum në shërbimin doganor për bizneset që operojnë në Degën e Doganës Kapshticë, është mungesa e shërbimeve veterinare dhe fitosanitare në kufirin doganor grek, gjë që penalizon bizneset shqiptare për faktin se ky shërbim ofrohet vetëm një ditë në javë.</w:t>
      </w:r>
    </w:p>
    <w:p w14:paraId="50B06135" w14:textId="38710330" w:rsidR="005674F2" w:rsidRPr="00770F9D" w:rsidRDefault="00A67654" w:rsidP="00400806">
      <w:pPr>
        <w:autoSpaceDE w:val="0"/>
        <w:autoSpaceDN w:val="0"/>
        <w:adjustRightInd w:val="0"/>
        <w:ind w:firstLine="284"/>
        <w:jc w:val="both"/>
        <w:rPr>
          <w:rFonts w:ascii="Garamond" w:hAnsi="Garamond" w:cs="Garamond"/>
          <w:color w:val="0D0D0D"/>
          <w:lang w:eastAsia="sq-AL"/>
        </w:rPr>
      </w:pPr>
      <w:r w:rsidRPr="00770F9D">
        <w:rPr>
          <w:rFonts w:ascii="Garamond" w:hAnsi="Garamond"/>
          <w:color w:val="0D0D0D"/>
          <w:lang w:eastAsia="sq-AL"/>
        </w:rPr>
        <w:t>-</w:t>
      </w:r>
      <w:r w:rsidR="00BA4F1A" w:rsidRPr="00770F9D">
        <w:rPr>
          <w:rFonts w:ascii="Garamond" w:hAnsi="Garamond"/>
          <w:color w:val="0D0D0D"/>
          <w:lang w:eastAsia="sq-AL"/>
        </w:rPr>
        <w:t xml:space="preserve"> </w:t>
      </w:r>
      <w:r w:rsidR="005674F2" w:rsidRPr="00770F9D">
        <w:rPr>
          <w:rFonts w:ascii="Garamond" w:hAnsi="Garamond" w:cs="Garamond"/>
          <w:b/>
          <w:bCs/>
          <w:color w:val="0D0D0D"/>
          <w:lang w:eastAsia="sq-AL"/>
        </w:rPr>
        <w:t xml:space="preserve">Korsitë e gjelbra/blu: </w:t>
      </w:r>
      <w:r w:rsidR="005674F2" w:rsidRPr="00770F9D">
        <w:rPr>
          <w:rFonts w:ascii="Garamond" w:hAnsi="Garamond" w:cs="Garamond"/>
          <w:color w:val="0D0D0D"/>
          <w:lang w:eastAsia="sq-AL"/>
        </w:rPr>
        <w:t xml:space="preserve">Në </w:t>
      </w:r>
      <w:r w:rsidR="004D66DC" w:rsidRPr="00770F9D">
        <w:rPr>
          <w:rFonts w:ascii="Garamond" w:hAnsi="Garamond" w:cs="Garamond"/>
          <w:color w:val="0D0D0D"/>
          <w:lang w:eastAsia="sq-AL"/>
        </w:rPr>
        <w:t xml:space="preserve">planin e veprimit </w:t>
      </w:r>
      <w:r w:rsidR="005674F2" w:rsidRPr="00770F9D">
        <w:rPr>
          <w:rFonts w:ascii="Garamond" w:hAnsi="Garamond" w:cs="Garamond"/>
          <w:color w:val="0D0D0D"/>
          <w:lang w:eastAsia="sq-AL"/>
        </w:rPr>
        <w:t>për CRM</w:t>
      </w:r>
      <w:r w:rsidR="004D66DC">
        <w:rPr>
          <w:rFonts w:ascii="Garamond" w:hAnsi="Garamond" w:cs="Garamond"/>
          <w:color w:val="0D0D0D"/>
          <w:lang w:eastAsia="sq-AL"/>
        </w:rPr>
        <w:t>-n</w:t>
      </w:r>
      <w:r w:rsidR="005674F2" w:rsidRPr="00770F9D">
        <w:rPr>
          <w:rFonts w:ascii="Garamond" w:hAnsi="Garamond" w:cs="Garamond"/>
          <w:color w:val="0D0D0D"/>
          <w:lang w:eastAsia="sq-AL"/>
        </w:rPr>
        <w:t>, po punohet për vendosjen e korsive të gjelbra me anëtarët e BE-së në kufi. Shqipëria është e përgatitur dhe pret zgjerimin e korsive të gjelbra në kufijtë Shqipë</w:t>
      </w:r>
      <w:r w:rsidR="00F15F38" w:rsidRPr="00770F9D">
        <w:rPr>
          <w:rFonts w:ascii="Garamond" w:hAnsi="Garamond" w:cs="Garamond"/>
          <w:color w:val="0D0D0D"/>
          <w:lang w:eastAsia="sq-AL"/>
        </w:rPr>
        <w:t>ri</w:t>
      </w:r>
      <w:r w:rsidR="00ED2D6A">
        <w:rPr>
          <w:rFonts w:ascii="Garamond" w:hAnsi="Garamond" w:cstheme="majorBidi"/>
          <w:color w:val="0D0D0D" w:themeColor="text1" w:themeTint="F2"/>
        </w:rPr>
        <w:t>–</w:t>
      </w:r>
      <w:r w:rsidR="005674F2" w:rsidRPr="00770F9D">
        <w:rPr>
          <w:rFonts w:ascii="Garamond" w:hAnsi="Garamond" w:cs="Garamond"/>
          <w:color w:val="0D0D0D"/>
          <w:lang w:eastAsia="sq-AL"/>
        </w:rPr>
        <w:t>Greqi në një afat të shkurtër. Në këtë kuadër, forcimi i mëtejshëm i bashkëpunimit tonë në korsitë e gjelbra me vendet anëtare të BE-së, do të prodhojë ndikim pozitiv në biznesin tonë në drejtim të uljes së kohës dhe kostove.</w:t>
      </w:r>
    </w:p>
    <w:p w14:paraId="7FCC6375" w14:textId="0912DE52" w:rsidR="00EF5C0C" w:rsidRPr="00770F9D" w:rsidRDefault="00EF5C0C" w:rsidP="00400806">
      <w:pPr>
        <w:ind w:firstLine="284"/>
        <w:jc w:val="both"/>
        <w:rPr>
          <w:rFonts w:ascii="Garamond" w:hAnsi="Garamond" w:cstheme="majorBidi"/>
          <w:color w:val="0D0D0D" w:themeColor="text1" w:themeTint="F2"/>
        </w:rPr>
      </w:pPr>
      <w:r w:rsidRPr="00770F9D">
        <w:rPr>
          <w:rFonts w:ascii="Garamond" w:hAnsi="Garamond" w:cstheme="majorBidi"/>
          <w:b/>
          <w:color w:val="0D0D0D" w:themeColor="text1" w:themeTint="F2"/>
        </w:rPr>
        <w:t xml:space="preserve">Ballkani i </w:t>
      </w:r>
      <w:r w:rsidR="001E72A2" w:rsidRPr="00770F9D">
        <w:rPr>
          <w:rFonts w:ascii="Garamond" w:hAnsi="Garamond" w:cstheme="majorBidi"/>
          <w:b/>
          <w:color w:val="0D0D0D" w:themeColor="text1" w:themeTint="F2"/>
        </w:rPr>
        <w:t>Hapur</w:t>
      </w:r>
      <w:r w:rsidRPr="00770F9D">
        <w:rPr>
          <w:rFonts w:ascii="Garamond" w:hAnsi="Garamond" w:cstheme="majorBidi"/>
          <w:b/>
          <w:color w:val="0D0D0D" w:themeColor="text1" w:themeTint="F2"/>
        </w:rPr>
        <w:t>:</w:t>
      </w:r>
      <w:r w:rsidRPr="00770F9D">
        <w:rPr>
          <w:rFonts w:ascii="Garamond" w:hAnsi="Garamond" w:cstheme="majorBidi"/>
          <w:color w:val="0D0D0D" w:themeColor="text1" w:themeTint="F2"/>
        </w:rPr>
        <w:t xml:space="preserve"> Paralelisht me </w:t>
      </w:r>
      <w:r w:rsidR="003B1F90" w:rsidRPr="00770F9D">
        <w:rPr>
          <w:rFonts w:ascii="Garamond" w:hAnsi="Garamond" w:cstheme="majorBidi"/>
          <w:color w:val="0D0D0D" w:themeColor="text1" w:themeTint="F2"/>
        </w:rPr>
        <w:t>agjend</w:t>
      </w:r>
      <w:r w:rsidRPr="00770F9D">
        <w:rPr>
          <w:rFonts w:ascii="Garamond" w:hAnsi="Garamond" w:cstheme="majorBidi"/>
          <w:color w:val="0D0D0D" w:themeColor="text1" w:themeTint="F2"/>
        </w:rPr>
        <w:t>ën e integrimit rajonal në kuadër të Procesit të Berlinit, Shqipëria së bashku me Serbinë dhe Maqedoninë e Veriut kanë nisur Iniciativën e Ballkanit të Hapur, e cila synon të përshpejtojë krijimin e një hapësire të përbashkët ekonomike mes këtyre vendeve. Kjo nismë është gjithëpërfshirëse për të gjitha vendet e Ballka</w:t>
      </w:r>
      <w:r w:rsidR="00996F2C">
        <w:rPr>
          <w:rFonts w:ascii="Garamond" w:hAnsi="Garamond" w:cstheme="majorBidi"/>
          <w:color w:val="0D0D0D" w:themeColor="text1" w:themeTint="F2"/>
        </w:rPr>
        <w:t>nit Perëndimor dhe tre lider</w:t>
      </w:r>
      <w:r w:rsidRPr="00770F9D">
        <w:rPr>
          <w:rFonts w:ascii="Garamond" w:hAnsi="Garamond" w:cstheme="majorBidi"/>
          <w:color w:val="0D0D0D" w:themeColor="text1" w:themeTint="F2"/>
        </w:rPr>
        <w:t xml:space="preserve"> kanë ftuar Bosnjë-Hercegovinën, Kosovën dhe Malin e Zi të jenë pjesë e kësaj. Ju lutemi shihni aneksin bashkangjitur mbi marrëveshjet kryesore të nënshkruara në kuadër të kësaj nisme.</w:t>
      </w:r>
    </w:p>
    <w:p w14:paraId="13A1BB4D" w14:textId="09091B6C" w:rsidR="00EF5C0C" w:rsidRPr="00770F9D" w:rsidRDefault="00EF5C0C" w:rsidP="007C0179">
      <w:pPr>
        <w:snapToGrid w:val="0"/>
        <w:ind w:firstLine="284"/>
        <w:jc w:val="both"/>
        <w:rPr>
          <w:rFonts w:ascii="Garamond" w:hAnsi="Garamond" w:cstheme="majorBidi"/>
          <w:color w:val="0D0D0D" w:themeColor="text1" w:themeTint="F2"/>
        </w:rPr>
      </w:pPr>
      <w:r w:rsidRPr="00770F9D">
        <w:rPr>
          <w:rFonts w:ascii="Garamond" w:hAnsi="Garamond" w:cstheme="majorBidi"/>
          <w:b/>
          <w:color w:val="0D0D0D" w:themeColor="text1" w:themeTint="F2"/>
        </w:rPr>
        <w:t>Kosova</w:t>
      </w:r>
      <w:r w:rsidR="009E3528">
        <w:rPr>
          <w:rFonts w:ascii="Garamond" w:hAnsi="Garamond" w:cstheme="majorBidi"/>
          <w:b/>
          <w:color w:val="0D0D0D" w:themeColor="text1" w:themeTint="F2"/>
        </w:rPr>
        <w:t>:</w:t>
      </w:r>
      <w:r w:rsidRPr="00770F9D">
        <w:rPr>
          <w:rFonts w:ascii="Garamond" w:hAnsi="Garamond" w:cstheme="majorBidi"/>
          <w:color w:val="0D0D0D" w:themeColor="text1" w:themeTint="F2"/>
        </w:rPr>
        <w:t xml:space="preserve"> Kosova mbetet një partner i rëndësishëm tregtar për Shqipërinë. Kosova është eksportuesi i dytë më i madh dhe importuesi i shtatë më i madh në botë. Gjatë viteve janë nënshkruar marrëveshje të ndryshme në nivel qeveritar dhe udhëzues për të hequr barrierat tregtare dhe për të lehtësuar tregtinë ndërmjet biznesit të të dyja palëve. Për të lehtësuar thellimin e integrimit tregtar, është nënshkruar (nëntor 2021) marrëveshja për zbatimin e lehtësirave të ndërsjella në procedurat doganore dhe/ose hyrje</w:t>
      </w:r>
      <w:r w:rsidR="00DD1BDC">
        <w:rPr>
          <w:rFonts w:ascii="Garamond" w:hAnsi="Garamond" w:cstheme="majorBidi"/>
          <w:color w:val="0D0D0D" w:themeColor="text1" w:themeTint="F2"/>
        </w:rPr>
        <w:t>-</w:t>
      </w:r>
      <w:r w:rsidRPr="00770F9D">
        <w:rPr>
          <w:rFonts w:ascii="Garamond" w:hAnsi="Garamond" w:cstheme="majorBidi"/>
          <w:color w:val="0D0D0D" w:themeColor="text1" w:themeTint="F2"/>
        </w:rPr>
        <w:t>daljen e mallrave</w:t>
      </w:r>
      <w:r w:rsidR="007C0179">
        <w:rPr>
          <w:rFonts w:ascii="Garamond" w:hAnsi="Garamond" w:cstheme="majorBidi"/>
          <w:color w:val="0D0D0D" w:themeColor="text1" w:themeTint="F2"/>
        </w:rPr>
        <w:t>,</w:t>
      </w:r>
      <w:r w:rsidRPr="00770F9D">
        <w:rPr>
          <w:rFonts w:ascii="Garamond" w:hAnsi="Garamond" w:cstheme="majorBidi"/>
          <w:color w:val="0D0D0D" w:themeColor="text1" w:themeTint="F2"/>
        </w:rPr>
        <w:t xml:space="preserve"> e cila ka hyrë në fuqi në shtator 2022; </w:t>
      </w:r>
      <w:r w:rsidR="007C0179" w:rsidRPr="00770F9D">
        <w:rPr>
          <w:rFonts w:ascii="Garamond" w:hAnsi="Garamond" w:cstheme="majorBidi"/>
          <w:color w:val="0D0D0D" w:themeColor="text1" w:themeTint="F2"/>
        </w:rPr>
        <w:t xml:space="preserve">administratat </w:t>
      </w:r>
      <w:r w:rsidRPr="00770F9D">
        <w:rPr>
          <w:rFonts w:ascii="Garamond" w:hAnsi="Garamond" w:cstheme="majorBidi"/>
          <w:color w:val="0D0D0D" w:themeColor="text1" w:themeTint="F2"/>
        </w:rPr>
        <w:t>doganore kanë nënshkruar protokollin për njohjen reciproke të vulave për të reduktuar kohën e qëndrimit të automjeteve në vendkalimin Morinë</w:t>
      </w:r>
      <w:r w:rsidR="007C0179">
        <w:rPr>
          <w:rFonts w:ascii="Garamond" w:hAnsi="Garamond" w:cstheme="majorBidi"/>
          <w:color w:val="0D0D0D" w:themeColor="text1" w:themeTint="F2"/>
        </w:rPr>
        <w:t xml:space="preserve">, </w:t>
      </w:r>
      <w:r w:rsidRPr="00770F9D">
        <w:rPr>
          <w:rFonts w:ascii="Garamond" w:hAnsi="Garamond" w:cstheme="majorBidi"/>
          <w:color w:val="0D0D0D" w:themeColor="text1" w:themeTint="F2"/>
        </w:rPr>
        <w:t xml:space="preserve">Vernicë. Gjithashtu, tarifat administrative doganore për vulat, peshimin dhe parkimin janë hequr për produktet me origjinë nga Kosova. Për çështjet doganore ka qenë një bashkëpunim shumë i mbyllur mes dy administratave. Në Portin e Durrësit, nga data 1 tetor 2022, aty zhdoganohen të gjitha mallrat me destinacion Kosovën. Gjithashtu, </w:t>
      </w:r>
      <w:r w:rsidR="007C0179" w:rsidRPr="00770F9D">
        <w:rPr>
          <w:rFonts w:ascii="Garamond" w:hAnsi="Garamond" w:cstheme="majorBidi"/>
          <w:color w:val="0D0D0D" w:themeColor="text1" w:themeTint="F2"/>
        </w:rPr>
        <w:t xml:space="preserve">protokolli </w:t>
      </w:r>
      <w:r w:rsidRPr="00770F9D">
        <w:rPr>
          <w:rFonts w:ascii="Garamond" w:hAnsi="Garamond" w:cstheme="majorBidi"/>
          <w:color w:val="0D0D0D" w:themeColor="text1" w:themeTint="F2"/>
        </w:rPr>
        <w:t>“Për njohjen e plumbave/plumbave dhe veprimeve që lidhen me to” nr. 11634</w:t>
      </w:r>
      <w:r w:rsidR="007C0179">
        <w:rPr>
          <w:rFonts w:ascii="Garamond" w:hAnsi="Garamond" w:cstheme="majorBidi"/>
          <w:color w:val="0D0D0D" w:themeColor="text1" w:themeTint="F2"/>
        </w:rPr>
        <w:t>, datë 17.</w:t>
      </w:r>
      <w:r w:rsidRPr="00770F9D">
        <w:rPr>
          <w:rFonts w:ascii="Garamond" w:hAnsi="Garamond" w:cstheme="majorBidi"/>
          <w:color w:val="0D0D0D" w:themeColor="text1" w:themeTint="F2"/>
        </w:rPr>
        <w:t>6.2022</w:t>
      </w:r>
      <w:r w:rsidR="007C0179">
        <w:rPr>
          <w:rFonts w:ascii="Garamond" w:hAnsi="Garamond" w:cstheme="majorBidi"/>
          <w:color w:val="0D0D0D" w:themeColor="text1" w:themeTint="F2"/>
        </w:rPr>
        <w:t>,</w:t>
      </w:r>
      <w:r w:rsidRPr="00770F9D">
        <w:rPr>
          <w:rFonts w:ascii="Garamond" w:hAnsi="Garamond" w:cstheme="majorBidi"/>
          <w:color w:val="0D0D0D" w:themeColor="text1" w:themeTint="F2"/>
        </w:rPr>
        <w:t xml:space="preserve"> dhe nr. 15370</w:t>
      </w:r>
      <w:r w:rsidR="007C0179">
        <w:rPr>
          <w:rFonts w:ascii="Garamond" w:hAnsi="Garamond" w:cstheme="majorBidi"/>
          <w:color w:val="0D0D0D" w:themeColor="text1" w:themeTint="F2"/>
        </w:rPr>
        <w:t>, datë 24.</w:t>
      </w:r>
      <w:r w:rsidRPr="00770F9D">
        <w:rPr>
          <w:rFonts w:ascii="Garamond" w:hAnsi="Garamond" w:cstheme="majorBidi"/>
          <w:color w:val="0D0D0D" w:themeColor="text1" w:themeTint="F2"/>
        </w:rPr>
        <w:t>8.2022</w:t>
      </w:r>
      <w:r w:rsidR="007C0179">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 zbatimin e procedurave të lirimit në qarkullim të lirë në doganën e Kosovës në degën doganore Durrës dhe Porto</w:t>
      </w:r>
      <w:r w:rsidR="007C0179">
        <w:rPr>
          <w:rFonts w:ascii="Garamond" w:hAnsi="Garamond" w:cstheme="majorBidi"/>
          <w:color w:val="0D0D0D" w:themeColor="text1" w:themeTint="F2"/>
        </w:rPr>
        <w:t>-</w:t>
      </w:r>
      <w:r w:rsidRPr="00770F9D">
        <w:rPr>
          <w:rFonts w:ascii="Garamond" w:hAnsi="Garamond" w:cstheme="majorBidi"/>
          <w:color w:val="0D0D0D" w:themeColor="text1" w:themeTint="F2"/>
        </w:rPr>
        <w:t>Romano për mallrat me destinacion përfundimtar Republikën e Kosovës”</w:t>
      </w:r>
      <w:r w:rsidR="007C0179">
        <w:rPr>
          <w:rFonts w:ascii="Garamond" w:hAnsi="Garamond" w:cstheme="majorBidi"/>
          <w:color w:val="0D0D0D" w:themeColor="text1" w:themeTint="F2"/>
        </w:rPr>
        <w:t>,</w:t>
      </w:r>
      <w:r w:rsidRPr="00770F9D">
        <w:rPr>
          <w:rFonts w:ascii="Garamond" w:hAnsi="Garamond" w:cstheme="majorBidi"/>
          <w:color w:val="0D0D0D" w:themeColor="text1" w:themeTint="F2"/>
        </w:rPr>
        <w:t xml:space="preserve"> janë miratuar ndërmjet dy administratave doganore.</w:t>
      </w:r>
    </w:p>
    <w:p w14:paraId="644C8F32" w14:textId="58488336" w:rsidR="00CC1612" w:rsidRPr="00770F9D" w:rsidRDefault="00A67654" w:rsidP="00400806">
      <w:pPr>
        <w:pStyle w:val="Heading4"/>
        <w:snapToGrid w:val="0"/>
        <w:ind w:left="0" w:firstLine="284"/>
        <w:jc w:val="both"/>
        <w:rPr>
          <w:rFonts w:ascii="Garamond" w:hAnsi="Garamond" w:cstheme="majorBidi"/>
          <w:b w:val="0"/>
          <w:i/>
          <w:color w:val="0D0D0D" w:themeColor="text1" w:themeTint="F2"/>
          <w:sz w:val="24"/>
          <w:szCs w:val="24"/>
        </w:rPr>
      </w:pPr>
      <w:r w:rsidRPr="00770F9D">
        <w:rPr>
          <w:rFonts w:ascii="Garamond" w:hAnsi="Garamond" w:cstheme="majorBidi"/>
          <w:b w:val="0"/>
          <w:i/>
          <w:color w:val="0D0D0D" w:themeColor="text1" w:themeTint="F2"/>
          <w:sz w:val="24"/>
          <w:szCs w:val="24"/>
        </w:rPr>
        <w:t>b</w:t>
      </w:r>
      <w:r w:rsidR="00576C3E" w:rsidRPr="00770F9D">
        <w:rPr>
          <w:rFonts w:ascii="Garamond" w:hAnsi="Garamond" w:cstheme="majorBidi"/>
          <w:b w:val="0"/>
          <w:i/>
          <w:color w:val="0D0D0D" w:themeColor="text1" w:themeTint="F2"/>
          <w:sz w:val="24"/>
          <w:szCs w:val="24"/>
        </w:rPr>
        <w:t>)</w:t>
      </w:r>
      <w:r w:rsidR="005674F2" w:rsidRPr="00770F9D">
        <w:rPr>
          <w:rFonts w:ascii="Garamond" w:hAnsi="Garamond" w:cstheme="majorBidi"/>
          <w:b w:val="0"/>
          <w:i/>
          <w:color w:val="0D0D0D" w:themeColor="text1" w:themeTint="F2"/>
          <w:sz w:val="24"/>
          <w:szCs w:val="24"/>
        </w:rPr>
        <w:t xml:space="preserve"> </w:t>
      </w:r>
      <w:r w:rsidR="00B2062A" w:rsidRPr="00770F9D">
        <w:rPr>
          <w:rFonts w:ascii="Garamond" w:hAnsi="Garamond" w:cstheme="majorBidi"/>
          <w:b w:val="0"/>
          <w:i/>
          <w:color w:val="0D0D0D" w:themeColor="text1" w:themeTint="F2"/>
          <w:sz w:val="24"/>
          <w:szCs w:val="24"/>
        </w:rPr>
        <w:t>Masat e reformës</w:t>
      </w:r>
    </w:p>
    <w:p w14:paraId="681E51F8" w14:textId="77777777" w:rsidR="00CC1612" w:rsidRPr="00770F9D" w:rsidRDefault="00B2062A" w:rsidP="00400806">
      <w:pPr>
        <w:pStyle w:val="Heading5"/>
        <w:snapToGrid w:val="0"/>
        <w:ind w:left="0" w:firstLine="284"/>
        <w:jc w:val="both"/>
        <w:rPr>
          <w:rFonts w:ascii="Garamond" w:hAnsi="Garamond" w:cstheme="majorBidi"/>
          <w:i w:val="0"/>
          <w:color w:val="0D0D0D" w:themeColor="text1" w:themeTint="F2"/>
          <w:sz w:val="24"/>
          <w:szCs w:val="24"/>
        </w:rPr>
      </w:pPr>
      <w:r w:rsidRPr="00770F9D">
        <w:rPr>
          <w:rFonts w:ascii="Garamond" w:hAnsi="Garamond" w:cstheme="majorBidi"/>
          <w:i w:val="0"/>
          <w:color w:val="0D0D0D" w:themeColor="text1" w:themeTint="F2"/>
          <w:sz w:val="24"/>
          <w:szCs w:val="24"/>
        </w:rPr>
        <w:t>Masa e reformës</w:t>
      </w:r>
      <w:r w:rsidR="005358F8" w:rsidRPr="00770F9D">
        <w:rPr>
          <w:rFonts w:ascii="Garamond" w:hAnsi="Garamond" w:cstheme="majorBidi"/>
          <w:i w:val="0"/>
          <w:color w:val="0D0D0D" w:themeColor="text1" w:themeTint="F2"/>
          <w:sz w:val="24"/>
          <w:szCs w:val="24"/>
        </w:rPr>
        <w:t xml:space="preserve"> 12</w:t>
      </w:r>
      <w:r w:rsidR="00CC1612" w:rsidRPr="00770F9D">
        <w:rPr>
          <w:rFonts w:ascii="Garamond" w:hAnsi="Garamond" w:cstheme="majorBidi"/>
          <w:i w:val="0"/>
          <w:color w:val="0D0D0D" w:themeColor="text1" w:themeTint="F2"/>
          <w:sz w:val="24"/>
          <w:szCs w:val="24"/>
        </w:rPr>
        <w:t xml:space="preserve">: </w:t>
      </w:r>
      <w:r w:rsidR="008D080B" w:rsidRPr="00770F9D">
        <w:rPr>
          <w:rFonts w:ascii="Garamond" w:hAnsi="Garamond" w:cstheme="majorBidi"/>
          <w:i w:val="0"/>
          <w:color w:val="0D0D0D" w:themeColor="text1" w:themeTint="F2"/>
          <w:sz w:val="24"/>
          <w:szCs w:val="24"/>
        </w:rPr>
        <w:t>Thellimi i integrimit ekonomik</w:t>
      </w:r>
    </w:p>
    <w:p w14:paraId="6E3B8B01" w14:textId="2F6A8C42" w:rsidR="00CC1612" w:rsidRPr="00770F9D" w:rsidRDefault="005674F2"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 xml:space="preserve">1. </w:t>
      </w:r>
      <w:r w:rsidR="00B2062A" w:rsidRPr="00770F9D">
        <w:rPr>
          <w:rFonts w:ascii="Garamond" w:hAnsi="Garamond" w:cstheme="majorBidi"/>
          <w:color w:val="0D0D0D" w:themeColor="text1" w:themeTint="F2"/>
          <w:u w:val="none"/>
        </w:rPr>
        <w:t>Përshkrimi i masës</w:t>
      </w:r>
    </w:p>
    <w:p w14:paraId="7D50A57D" w14:textId="77777777" w:rsidR="00EF5C0C" w:rsidRPr="00770F9D" w:rsidRDefault="00EF5C0C" w:rsidP="00400806">
      <w:pPr>
        <w:snapToGrid w:val="0"/>
        <w:ind w:firstLine="284"/>
        <w:jc w:val="both"/>
        <w:rPr>
          <w:rFonts w:ascii="Garamond" w:hAnsi="Garamond" w:cstheme="majorBidi"/>
          <w:bCs/>
          <w:color w:val="0D0D0D" w:themeColor="text1" w:themeTint="F2"/>
        </w:rPr>
      </w:pPr>
      <w:r w:rsidRPr="00770F9D">
        <w:rPr>
          <w:rFonts w:ascii="Garamond" w:hAnsi="Garamond" w:cstheme="majorBidi"/>
          <w:bCs/>
          <w:color w:val="0D0D0D" w:themeColor="text1" w:themeTint="F2"/>
        </w:rPr>
        <w:t>Bashkimi i mundshëm doganor me Kosovën: Gjatë vitit 2022, bazuar në një memorandum bashkëpunimi për ngritjen e një grupi të përbashkët pune për vlerësimin e mundësisë së një bashkimi doganor ndërmjet Shqipërisë dhe Kosovës, u krijua grupi i përbashkët i punës përkatës që tani është duke hartuar një studim fizibiliteti për këtë çështje. Në varësi të rezultatit/vlerësimit pozitiv të atij studimi, ai do të pasohet nga procedurat e negocimit.</w:t>
      </w:r>
    </w:p>
    <w:p w14:paraId="19E99DA1" w14:textId="0B3243DD" w:rsidR="00EF5C0C" w:rsidRPr="00770F9D" w:rsidRDefault="00EF5C0C" w:rsidP="008D59EA">
      <w:pPr>
        <w:snapToGrid w:val="0"/>
        <w:ind w:firstLine="284"/>
        <w:jc w:val="both"/>
        <w:rPr>
          <w:rFonts w:ascii="Garamond" w:hAnsi="Garamond" w:cstheme="majorBidi"/>
          <w:bCs/>
          <w:color w:val="0D0D0D" w:themeColor="text1" w:themeTint="F2"/>
        </w:rPr>
      </w:pPr>
      <w:r w:rsidRPr="00770F9D">
        <w:rPr>
          <w:rFonts w:ascii="Garamond" w:hAnsi="Garamond" w:cstheme="majorBidi"/>
          <w:bCs/>
          <w:color w:val="0D0D0D" w:themeColor="text1" w:themeTint="F2"/>
        </w:rPr>
        <w:t xml:space="preserve">Siç u përshkrua më lart, një punë e rëndësishme është bërë në nivel teknik nën CEFTA për realizimin e masave të parashikuara në </w:t>
      </w:r>
      <w:r w:rsidR="007C0179" w:rsidRPr="00770F9D">
        <w:rPr>
          <w:rFonts w:ascii="Garamond" w:hAnsi="Garamond" w:cstheme="majorBidi"/>
          <w:bCs/>
          <w:color w:val="0D0D0D" w:themeColor="text1" w:themeTint="F2"/>
        </w:rPr>
        <w:t xml:space="preserve">planin e veprimit </w:t>
      </w:r>
      <w:r w:rsidRPr="00770F9D">
        <w:rPr>
          <w:rFonts w:ascii="Garamond" w:hAnsi="Garamond" w:cstheme="majorBidi"/>
          <w:bCs/>
          <w:color w:val="0D0D0D" w:themeColor="text1" w:themeTint="F2"/>
        </w:rPr>
        <w:t>për CRM</w:t>
      </w:r>
      <w:r w:rsidR="007C0179">
        <w:rPr>
          <w:rFonts w:ascii="Garamond" w:hAnsi="Garamond" w:cstheme="majorBidi"/>
          <w:bCs/>
          <w:color w:val="0D0D0D" w:themeColor="text1" w:themeTint="F2"/>
        </w:rPr>
        <w:t>-n</w:t>
      </w:r>
      <w:r w:rsidRPr="00770F9D">
        <w:rPr>
          <w:rFonts w:ascii="Garamond" w:hAnsi="Garamond" w:cstheme="majorBidi"/>
          <w:bCs/>
          <w:color w:val="0D0D0D" w:themeColor="text1" w:themeTint="F2"/>
        </w:rPr>
        <w:t xml:space="preserve"> dhe zbatimin e AP5 dhe AP6. Edhe dy vitet e ardhshme, 2023</w:t>
      </w:r>
      <w:r w:rsidR="008D59EA">
        <w:rPr>
          <w:rFonts w:ascii="Garamond" w:hAnsi="Garamond" w:cstheme="majorBidi"/>
          <w:color w:val="0D0D0D" w:themeColor="text1" w:themeTint="F2"/>
        </w:rPr>
        <w:t>–</w:t>
      </w:r>
      <w:r w:rsidRPr="00770F9D">
        <w:rPr>
          <w:rFonts w:ascii="Garamond" w:hAnsi="Garamond" w:cstheme="majorBidi"/>
          <w:bCs/>
          <w:color w:val="0D0D0D" w:themeColor="text1" w:themeTint="F2"/>
        </w:rPr>
        <w:t>2004, do të vazhdojë puna për finalizimin e masave që janë në progres dhe fillimin e realizimit të masave të parashikuara në këtë Plan Veprimi për 2023</w:t>
      </w:r>
      <w:r w:rsidR="008D59EA">
        <w:rPr>
          <w:rFonts w:ascii="Garamond" w:hAnsi="Garamond" w:cstheme="majorBidi"/>
          <w:bCs/>
          <w:color w:val="0D0D0D" w:themeColor="text1" w:themeTint="F2"/>
        </w:rPr>
        <w:t>-shin</w:t>
      </w:r>
      <w:r w:rsidRPr="00770F9D">
        <w:rPr>
          <w:rFonts w:ascii="Garamond" w:hAnsi="Garamond" w:cstheme="majorBidi"/>
          <w:bCs/>
          <w:color w:val="0D0D0D" w:themeColor="text1" w:themeTint="F2"/>
        </w:rPr>
        <w:t xml:space="preserve"> dhe 2024</w:t>
      </w:r>
      <w:r w:rsidR="008D59EA">
        <w:rPr>
          <w:rFonts w:ascii="Garamond" w:hAnsi="Garamond" w:cstheme="majorBidi"/>
          <w:bCs/>
          <w:color w:val="0D0D0D" w:themeColor="text1" w:themeTint="F2"/>
        </w:rPr>
        <w:t>-n</w:t>
      </w:r>
      <w:r w:rsidRPr="00770F9D">
        <w:rPr>
          <w:rFonts w:ascii="Garamond" w:hAnsi="Garamond" w:cstheme="majorBidi"/>
          <w:bCs/>
          <w:color w:val="0D0D0D" w:themeColor="text1" w:themeTint="F2"/>
        </w:rPr>
        <w:t>. Finalizimi i punës në nivel teknik varet nga takimi i përbashkët. Komisioni për miratimin e tyre. Masat për vitin 2025 do të varen nga rruga e Procesit të Berlinit. Fokusi kryesor do të jetë në finalizimin e masave që janë në zbatim</w:t>
      </w:r>
      <w:r w:rsidR="00472AF6">
        <w:rPr>
          <w:rFonts w:ascii="Garamond" w:hAnsi="Garamond" w:cstheme="majorBidi"/>
          <w:bCs/>
          <w:color w:val="0D0D0D" w:themeColor="text1" w:themeTint="F2"/>
        </w:rPr>
        <w:t>,</w:t>
      </w:r>
      <w:r w:rsidRPr="00770F9D">
        <w:rPr>
          <w:rFonts w:ascii="Garamond" w:hAnsi="Garamond" w:cstheme="majorBidi"/>
          <w:bCs/>
          <w:color w:val="0D0D0D" w:themeColor="text1" w:themeTint="F2"/>
        </w:rPr>
        <w:t xml:space="preserve"> siç parashikohet në aneksin bashkëngjitur dhe masat e parashikuara për vitin 2023 dhe 2024 në </w:t>
      </w:r>
      <w:r w:rsidR="00472AF6" w:rsidRPr="00770F9D">
        <w:rPr>
          <w:rFonts w:ascii="Garamond" w:hAnsi="Garamond" w:cstheme="majorBidi"/>
          <w:bCs/>
          <w:color w:val="0D0D0D" w:themeColor="text1" w:themeTint="F2"/>
        </w:rPr>
        <w:t xml:space="preserve">planin e veprimit </w:t>
      </w:r>
      <w:r w:rsidRPr="00770F9D">
        <w:rPr>
          <w:rFonts w:ascii="Garamond" w:hAnsi="Garamond" w:cstheme="majorBidi"/>
          <w:bCs/>
          <w:color w:val="0D0D0D" w:themeColor="text1" w:themeTint="F2"/>
        </w:rPr>
        <w:t>të CRM</w:t>
      </w:r>
      <w:r w:rsidR="00472AF6">
        <w:rPr>
          <w:rFonts w:ascii="Garamond" w:hAnsi="Garamond" w:cstheme="majorBidi"/>
          <w:bCs/>
          <w:color w:val="0D0D0D" w:themeColor="text1" w:themeTint="F2"/>
        </w:rPr>
        <w:t>-në</w:t>
      </w:r>
      <w:r w:rsidRPr="00770F9D">
        <w:rPr>
          <w:rFonts w:ascii="Garamond" w:hAnsi="Garamond" w:cstheme="majorBidi"/>
          <w:bCs/>
          <w:color w:val="0D0D0D" w:themeColor="text1" w:themeTint="F2"/>
        </w:rPr>
        <w:t>. Thjeshtimi i procedurave doganore do të jetë një tjetër reformë madhore</w:t>
      </w:r>
      <w:r w:rsidR="00BD5452">
        <w:rPr>
          <w:rFonts w:ascii="Garamond" w:hAnsi="Garamond" w:cstheme="majorBidi"/>
          <w:bCs/>
          <w:color w:val="0D0D0D" w:themeColor="text1" w:themeTint="F2"/>
        </w:rPr>
        <w:t>,</w:t>
      </w:r>
      <w:r w:rsidRPr="00770F9D">
        <w:rPr>
          <w:rFonts w:ascii="Garamond" w:hAnsi="Garamond" w:cstheme="majorBidi"/>
          <w:bCs/>
          <w:color w:val="0D0D0D" w:themeColor="text1" w:themeTint="F2"/>
        </w:rPr>
        <w:t xml:space="preserve"> në përputhje me angazhimet e marra në Marrëveshjen e Lehtësimit të Tregtisë të OBT-së, e fokusuar në para ardhjen dhe dritaren e vetme.</w:t>
      </w:r>
    </w:p>
    <w:p w14:paraId="3250EEA6" w14:textId="0DC0A1EA" w:rsidR="00EF5C0C" w:rsidRPr="00770F9D" w:rsidRDefault="00EF5C0C" w:rsidP="00400806">
      <w:pPr>
        <w:snapToGrid w:val="0"/>
        <w:ind w:firstLine="284"/>
        <w:jc w:val="both"/>
        <w:rPr>
          <w:rFonts w:ascii="Garamond" w:hAnsi="Garamond" w:cstheme="majorBidi"/>
          <w:bCs/>
          <w:color w:val="0D0D0D" w:themeColor="text1" w:themeTint="F2"/>
        </w:rPr>
      </w:pPr>
      <w:r w:rsidRPr="00770F9D">
        <w:rPr>
          <w:rFonts w:ascii="Garamond" w:hAnsi="Garamond" w:cstheme="majorBidi"/>
          <w:bCs/>
          <w:color w:val="0D0D0D" w:themeColor="text1" w:themeTint="F2"/>
        </w:rPr>
        <w:t>Në vitin 2023, NTFC</w:t>
      </w:r>
      <w:r w:rsidR="00BD5452">
        <w:rPr>
          <w:rFonts w:ascii="Garamond" w:hAnsi="Garamond" w:cstheme="majorBidi"/>
          <w:bCs/>
          <w:color w:val="0D0D0D" w:themeColor="text1" w:themeTint="F2"/>
        </w:rPr>
        <w:t xml:space="preserve">-ja </w:t>
      </w:r>
      <w:r w:rsidRPr="00770F9D">
        <w:rPr>
          <w:rFonts w:ascii="Garamond" w:hAnsi="Garamond" w:cstheme="majorBidi"/>
          <w:bCs/>
          <w:color w:val="0D0D0D" w:themeColor="text1" w:themeTint="F2"/>
        </w:rPr>
        <w:t>do të vazhdojë me hartimin</w:t>
      </w:r>
      <w:r w:rsidR="008D412A">
        <w:rPr>
          <w:rFonts w:ascii="Garamond" w:hAnsi="Garamond" w:cstheme="majorBidi"/>
          <w:bCs/>
          <w:color w:val="0D0D0D" w:themeColor="text1" w:themeTint="F2"/>
        </w:rPr>
        <w:t xml:space="preserve"> e planit të ri të veprimit tre</w:t>
      </w:r>
      <w:r w:rsidRPr="00770F9D">
        <w:rPr>
          <w:rFonts w:ascii="Garamond" w:hAnsi="Garamond" w:cstheme="majorBidi"/>
          <w:bCs/>
          <w:color w:val="0D0D0D" w:themeColor="text1" w:themeTint="F2"/>
        </w:rPr>
        <w:t>vjeçar bazuar në çështjet më të rëndësishme tregtare të identifikuara nga përfaqësuesit e biznesit.</w:t>
      </w:r>
    </w:p>
    <w:p w14:paraId="65E022E1" w14:textId="3479460C" w:rsidR="00EF5C0C" w:rsidRPr="00770F9D" w:rsidRDefault="00EF5C0C" w:rsidP="00400806">
      <w:pPr>
        <w:snapToGrid w:val="0"/>
        <w:ind w:firstLine="284"/>
        <w:jc w:val="both"/>
        <w:rPr>
          <w:rFonts w:ascii="Garamond" w:hAnsi="Garamond" w:cstheme="majorBidi"/>
          <w:bCs/>
          <w:color w:val="0D0D0D" w:themeColor="text1" w:themeTint="F2"/>
        </w:rPr>
      </w:pPr>
      <w:r w:rsidRPr="00770F9D">
        <w:rPr>
          <w:rFonts w:ascii="Garamond" w:hAnsi="Garamond" w:cstheme="majorBidi"/>
          <w:bCs/>
          <w:color w:val="0D0D0D" w:themeColor="text1" w:themeTint="F2"/>
        </w:rPr>
        <w:t>Iniciativa për Ballkanin e Hapur do të ndjekë zbatimin e marrëveshjeve tashmë të nënshkruara</w:t>
      </w:r>
      <w:r w:rsidR="008D412A">
        <w:rPr>
          <w:rFonts w:ascii="Garamond" w:hAnsi="Garamond" w:cstheme="majorBidi"/>
          <w:bCs/>
          <w:color w:val="0D0D0D" w:themeColor="text1" w:themeTint="F2"/>
        </w:rPr>
        <w:t>,</w:t>
      </w:r>
      <w:r w:rsidRPr="00770F9D">
        <w:rPr>
          <w:rFonts w:ascii="Garamond" w:hAnsi="Garamond" w:cstheme="majorBidi"/>
          <w:bCs/>
          <w:color w:val="0D0D0D" w:themeColor="text1" w:themeTint="F2"/>
        </w:rPr>
        <w:t xml:space="preserve"> si dhe zgjerimin e bashkëpunimit në fusha të tjera me interes të ndërsjellë ndërmjet palëve. Aktualisht, puna është fokusuar në hartimin e një udhërrëfyesi për barrierat jotarifore</w:t>
      </w:r>
      <w:r w:rsidR="008D412A">
        <w:rPr>
          <w:rFonts w:ascii="Garamond" w:hAnsi="Garamond" w:cstheme="majorBidi"/>
          <w:bCs/>
          <w:color w:val="0D0D0D" w:themeColor="text1" w:themeTint="F2"/>
        </w:rPr>
        <w:t>,</w:t>
      </w:r>
      <w:r w:rsidRPr="00770F9D">
        <w:rPr>
          <w:rFonts w:ascii="Garamond" w:hAnsi="Garamond" w:cstheme="majorBidi"/>
          <w:bCs/>
          <w:color w:val="0D0D0D" w:themeColor="text1" w:themeTint="F2"/>
        </w:rPr>
        <w:t xml:space="preserve"> si dhe në bashkëpunimin ndërmjet agjencive për tërheqjen e investimeve.</w:t>
      </w:r>
    </w:p>
    <w:p w14:paraId="62A70401" w14:textId="3B502817" w:rsidR="00EF5C0C" w:rsidRPr="00770F9D" w:rsidRDefault="00EF5C0C" w:rsidP="008D412A">
      <w:pPr>
        <w:snapToGrid w:val="0"/>
        <w:ind w:firstLine="284"/>
        <w:jc w:val="both"/>
        <w:rPr>
          <w:rFonts w:ascii="Garamond" w:hAnsi="Garamond" w:cstheme="majorBidi"/>
          <w:bCs/>
          <w:color w:val="0D0D0D" w:themeColor="text1" w:themeTint="F2"/>
        </w:rPr>
      </w:pPr>
      <w:r w:rsidRPr="00770F9D">
        <w:rPr>
          <w:rFonts w:ascii="Garamond" w:hAnsi="Garamond" w:cstheme="majorBidi"/>
          <w:bCs/>
          <w:color w:val="0D0D0D" w:themeColor="text1" w:themeTint="F2"/>
        </w:rPr>
        <w:t>Projektet e Tregtisë Ndërkufitare: Në fushën e tregtisë ndërkufitare janë në zbatim tr</w:t>
      </w:r>
      <w:r w:rsidR="008D412A">
        <w:rPr>
          <w:rFonts w:ascii="Garamond" w:hAnsi="Garamond" w:cstheme="majorBidi"/>
          <w:bCs/>
          <w:color w:val="0D0D0D" w:themeColor="text1" w:themeTint="F2"/>
        </w:rPr>
        <w:t>i</w:t>
      </w:r>
      <w:r w:rsidRPr="00770F9D">
        <w:rPr>
          <w:rFonts w:ascii="Garamond" w:hAnsi="Garamond" w:cstheme="majorBidi"/>
          <w:bCs/>
          <w:color w:val="0D0D0D" w:themeColor="text1" w:themeTint="F2"/>
        </w:rPr>
        <w:t xml:space="preserve"> projekte madhore: </w:t>
      </w:r>
      <w:r w:rsidR="008D412A" w:rsidRPr="00770F9D">
        <w:rPr>
          <w:rFonts w:ascii="Garamond" w:hAnsi="Garamond" w:cstheme="majorBidi"/>
          <w:bCs/>
          <w:color w:val="0D0D0D" w:themeColor="text1" w:themeTint="F2"/>
        </w:rPr>
        <w:t xml:space="preserve">projektimi </w:t>
      </w:r>
      <w:r w:rsidRPr="00770F9D">
        <w:rPr>
          <w:rFonts w:ascii="Garamond" w:hAnsi="Garamond" w:cstheme="majorBidi"/>
          <w:bCs/>
          <w:color w:val="0D0D0D" w:themeColor="text1" w:themeTint="F2"/>
        </w:rPr>
        <w:t xml:space="preserve">dhe instalimi i një dritareje të vetme kombëtare; </w:t>
      </w:r>
      <w:r w:rsidR="008D412A" w:rsidRPr="00770F9D">
        <w:rPr>
          <w:rFonts w:ascii="Garamond" w:hAnsi="Garamond" w:cstheme="majorBidi"/>
          <w:bCs/>
          <w:color w:val="0D0D0D" w:themeColor="text1" w:themeTint="F2"/>
        </w:rPr>
        <w:t xml:space="preserve">sistemi i ri i kompjuterizuar </w:t>
      </w:r>
      <w:r w:rsidRPr="00770F9D">
        <w:rPr>
          <w:rFonts w:ascii="Garamond" w:hAnsi="Garamond" w:cstheme="majorBidi"/>
          <w:bCs/>
          <w:color w:val="0D0D0D" w:themeColor="text1" w:themeTint="F2"/>
        </w:rPr>
        <w:t xml:space="preserve">i </w:t>
      </w:r>
      <w:r w:rsidR="008D412A" w:rsidRPr="00770F9D">
        <w:rPr>
          <w:rFonts w:ascii="Garamond" w:hAnsi="Garamond" w:cstheme="majorBidi"/>
          <w:bCs/>
          <w:color w:val="0D0D0D" w:themeColor="text1" w:themeTint="F2"/>
        </w:rPr>
        <w:t xml:space="preserve">tranzitit </w:t>
      </w:r>
      <w:r w:rsidRPr="00770F9D">
        <w:rPr>
          <w:rFonts w:ascii="Garamond" w:hAnsi="Garamond" w:cstheme="majorBidi"/>
          <w:bCs/>
          <w:color w:val="0D0D0D" w:themeColor="text1" w:themeTint="F2"/>
        </w:rPr>
        <w:t>– NCTS</w:t>
      </w:r>
      <w:r w:rsidR="008D412A">
        <w:rPr>
          <w:rFonts w:ascii="Garamond" w:hAnsi="Garamond" w:cstheme="majorBidi"/>
          <w:bCs/>
          <w:color w:val="0D0D0D" w:themeColor="text1" w:themeTint="F2"/>
        </w:rPr>
        <w:t>;</w:t>
      </w:r>
      <w:r w:rsidRPr="00770F9D">
        <w:rPr>
          <w:rFonts w:ascii="Garamond" w:hAnsi="Garamond" w:cstheme="majorBidi"/>
          <w:bCs/>
          <w:color w:val="0D0D0D" w:themeColor="text1" w:themeTint="F2"/>
        </w:rPr>
        <w:t xml:space="preserve"> dhe </w:t>
      </w:r>
      <w:r w:rsidR="008D412A" w:rsidRPr="00770F9D">
        <w:rPr>
          <w:rFonts w:ascii="Garamond" w:hAnsi="Garamond" w:cstheme="majorBidi"/>
          <w:bCs/>
          <w:color w:val="0D0D0D" w:themeColor="text1" w:themeTint="F2"/>
        </w:rPr>
        <w:t xml:space="preserve">përmirësimi i pikës së kalimit kufitar </w:t>
      </w:r>
      <w:r w:rsidRPr="00770F9D">
        <w:rPr>
          <w:rFonts w:ascii="Garamond" w:hAnsi="Garamond" w:cstheme="majorBidi"/>
          <w:bCs/>
          <w:color w:val="0D0D0D" w:themeColor="text1" w:themeTint="F2"/>
        </w:rPr>
        <w:t>– Qafë</w:t>
      </w:r>
      <w:r w:rsidR="008D412A">
        <w:rPr>
          <w:rFonts w:ascii="Garamond" w:hAnsi="Garamond" w:cstheme="majorBidi"/>
          <w:bCs/>
          <w:color w:val="0D0D0D" w:themeColor="text1" w:themeTint="F2"/>
        </w:rPr>
        <w:t>t</w:t>
      </w:r>
      <w:r w:rsidRPr="00770F9D">
        <w:rPr>
          <w:rFonts w:ascii="Garamond" w:hAnsi="Garamond" w:cstheme="majorBidi"/>
          <w:bCs/>
          <w:color w:val="0D0D0D" w:themeColor="text1" w:themeTint="F2"/>
        </w:rPr>
        <w:t xml:space="preserve">hanë-Kjasafan. Deri në fund të vitit 2025, kur pritet të finalizohen këto projekte, do të kemi procedura tregtare plotësisht të </w:t>
      </w:r>
      <w:r w:rsidR="003F4C96" w:rsidRPr="00770F9D">
        <w:rPr>
          <w:rFonts w:ascii="Garamond" w:hAnsi="Garamond" w:cstheme="majorBidi"/>
          <w:bCs/>
          <w:color w:val="0D0D0D" w:themeColor="text1" w:themeTint="F2"/>
        </w:rPr>
        <w:t>digjital</w:t>
      </w:r>
      <w:r w:rsidRPr="00770F9D">
        <w:rPr>
          <w:rFonts w:ascii="Garamond" w:hAnsi="Garamond" w:cstheme="majorBidi"/>
          <w:bCs/>
          <w:color w:val="0D0D0D" w:themeColor="text1" w:themeTint="F2"/>
        </w:rPr>
        <w:t>izuara, procedura më të thjeshtuara</w:t>
      </w:r>
      <w:r w:rsidR="008D412A">
        <w:rPr>
          <w:rFonts w:ascii="Garamond" w:hAnsi="Garamond" w:cstheme="majorBidi"/>
          <w:bCs/>
          <w:color w:val="0D0D0D" w:themeColor="text1" w:themeTint="F2"/>
        </w:rPr>
        <w:t>,</w:t>
      </w:r>
      <w:r w:rsidRPr="00770F9D">
        <w:rPr>
          <w:rFonts w:ascii="Garamond" w:hAnsi="Garamond" w:cstheme="majorBidi"/>
          <w:bCs/>
          <w:color w:val="0D0D0D" w:themeColor="text1" w:themeTint="F2"/>
        </w:rPr>
        <w:t xml:space="preserve"> si dhe koordinim dhe bashkëpunim më të mirë me rajonin dhe BE-në.</w:t>
      </w:r>
    </w:p>
    <w:p w14:paraId="504856CA" w14:textId="23824CC5" w:rsidR="005674F2" w:rsidRPr="00770F9D" w:rsidRDefault="005674F2" w:rsidP="000F6F7A">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a</w:t>
      </w:r>
      <w:r w:rsidR="00576C3E" w:rsidRPr="00770F9D">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 xml:space="preserve">Aktivitete të planifikuara </w:t>
      </w:r>
      <w:r w:rsidR="000F6F7A">
        <w:rPr>
          <w:rFonts w:ascii="Garamond" w:hAnsi="Garamond"/>
          <w:b/>
          <w:bCs/>
          <w:color w:val="0D0D0D"/>
          <w:sz w:val="24"/>
          <w:szCs w:val="24"/>
          <w:lang w:val="sq-AL"/>
        </w:rPr>
        <w:t>m</w:t>
      </w:r>
      <w:r w:rsidRPr="00770F9D">
        <w:rPr>
          <w:rFonts w:ascii="Garamond" w:hAnsi="Garamond"/>
          <w:b/>
          <w:bCs/>
          <w:color w:val="0D0D0D"/>
          <w:sz w:val="24"/>
          <w:szCs w:val="24"/>
          <w:lang w:val="sq-AL"/>
        </w:rPr>
        <w:t>ë</w:t>
      </w:r>
      <w:r w:rsidR="008D412A">
        <w:rPr>
          <w:rFonts w:ascii="Garamond" w:hAnsi="Garamond"/>
          <w:b/>
          <w:bCs/>
          <w:color w:val="0D0D0D"/>
          <w:sz w:val="24"/>
          <w:szCs w:val="24"/>
          <w:lang w:val="sq-AL"/>
        </w:rPr>
        <w:t xml:space="preserve"> </w:t>
      </w:r>
      <w:r w:rsidRPr="00770F9D">
        <w:rPr>
          <w:rFonts w:ascii="Garamond" w:hAnsi="Garamond"/>
          <w:b/>
          <w:bCs/>
          <w:color w:val="0D0D0D"/>
          <w:sz w:val="24"/>
          <w:szCs w:val="24"/>
          <w:lang w:val="sq-AL"/>
        </w:rPr>
        <w:t>2023</w:t>
      </w:r>
      <w:r w:rsidR="008D412A">
        <w:rPr>
          <w:rFonts w:ascii="Garamond" w:hAnsi="Garamond"/>
          <w:b/>
          <w:bCs/>
          <w:color w:val="0D0D0D"/>
          <w:sz w:val="24"/>
          <w:szCs w:val="24"/>
          <w:lang w:val="sq-AL"/>
        </w:rPr>
        <w:t>-shin</w:t>
      </w:r>
    </w:p>
    <w:p w14:paraId="0236597B" w14:textId="3F419696" w:rsidR="005674F2" w:rsidRPr="00770F9D" w:rsidRDefault="005674F2" w:rsidP="00400806">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a</w:t>
      </w:r>
      <w:r w:rsidR="00576C3E" w:rsidRPr="00770F9D">
        <w:rPr>
          <w:rFonts w:ascii="Garamond" w:hAnsi="Garamond" w:cs="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Bashkimi i mundshëm doganor me Kosovën</w:t>
      </w:r>
      <w:r w:rsidR="00DB1B91">
        <w:rPr>
          <w:rFonts w:ascii="Garamond" w:hAnsi="Garamond"/>
          <w:color w:val="0D0D0D"/>
          <w:sz w:val="24"/>
          <w:szCs w:val="24"/>
          <w:lang w:val="sq-AL"/>
        </w:rPr>
        <w:t>;</w:t>
      </w:r>
    </w:p>
    <w:p w14:paraId="7A1382D8" w14:textId="4A3332DB" w:rsidR="005674F2" w:rsidRPr="00770F9D" w:rsidRDefault="005674F2" w:rsidP="00DB1B91">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b</w:t>
      </w:r>
      <w:r w:rsidR="00576C3E" w:rsidRPr="00770F9D">
        <w:rPr>
          <w:rFonts w:ascii="Garamond" w:hAnsi="Garamond" w:cs="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Zbatimi i Planit Rajonal të Veprimit për krijimin e CRM-së në bashkëpunim me Palët e CEFTA-s, duke finalizuar masat si në </w:t>
      </w:r>
      <w:r w:rsidR="00DB1B91" w:rsidRPr="00770F9D">
        <w:rPr>
          <w:rFonts w:ascii="Garamond" w:hAnsi="Garamond"/>
          <w:color w:val="0D0D0D"/>
          <w:sz w:val="24"/>
          <w:szCs w:val="24"/>
          <w:lang w:val="sq-AL"/>
        </w:rPr>
        <w:t xml:space="preserve">aneksin </w:t>
      </w:r>
      <w:r w:rsidRPr="00770F9D">
        <w:rPr>
          <w:rFonts w:ascii="Garamond" w:hAnsi="Garamond"/>
          <w:color w:val="0D0D0D"/>
          <w:sz w:val="24"/>
          <w:szCs w:val="24"/>
          <w:lang w:val="sq-AL"/>
        </w:rPr>
        <w:t>1 që janë në zbatim dhe masat e reja të parashikuara për vitin 2023 në CRM</w:t>
      </w:r>
      <w:r w:rsidR="00DB1B91">
        <w:rPr>
          <w:rFonts w:ascii="Garamond" w:hAnsi="Garamond"/>
          <w:color w:val="0D0D0D"/>
          <w:sz w:val="24"/>
          <w:szCs w:val="24"/>
          <w:lang w:val="sq-AL"/>
        </w:rPr>
        <w:t>;</w:t>
      </w:r>
    </w:p>
    <w:p w14:paraId="598F9D65" w14:textId="48065804" w:rsidR="005674F2" w:rsidRPr="00770F9D" w:rsidRDefault="005674F2" w:rsidP="00DB1B91">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c</w:t>
      </w:r>
      <w:r w:rsidR="00576C3E" w:rsidRPr="00770F9D">
        <w:rPr>
          <w:rFonts w:ascii="Garamond" w:hAnsi="Garamond" w:cs="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Zbatimi i Plani</w:t>
      </w:r>
      <w:r w:rsidR="00DB1B91">
        <w:rPr>
          <w:rFonts w:ascii="Garamond" w:hAnsi="Garamond"/>
          <w:color w:val="0D0D0D"/>
          <w:sz w:val="24"/>
          <w:szCs w:val="24"/>
          <w:lang w:val="sq-AL"/>
        </w:rPr>
        <w:t>t të Veprimit 2021</w:t>
      </w:r>
      <w:r w:rsidR="00DB1B91">
        <w:rPr>
          <w:rFonts w:ascii="Garamond" w:hAnsi="Garamond" w:cstheme="majorBidi"/>
          <w:color w:val="0D0D0D" w:themeColor="text1" w:themeTint="F2"/>
        </w:rPr>
        <w:t>–</w:t>
      </w:r>
      <w:r w:rsidR="00DB1B91">
        <w:rPr>
          <w:rFonts w:ascii="Garamond" w:hAnsi="Garamond"/>
          <w:color w:val="0D0D0D"/>
          <w:sz w:val="24"/>
          <w:szCs w:val="24"/>
          <w:lang w:val="sq-AL"/>
        </w:rPr>
        <w:t>2023 të KKKT-së;</w:t>
      </w:r>
    </w:p>
    <w:p w14:paraId="7595FF15" w14:textId="44A970EE" w:rsidR="005674F2" w:rsidRPr="00770F9D" w:rsidRDefault="005674F2" w:rsidP="00DB1B91">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d</w:t>
      </w:r>
      <w:r w:rsidR="00576C3E" w:rsidRPr="00770F9D">
        <w:rPr>
          <w:rFonts w:ascii="Garamond" w:hAnsi="Garamond" w:cs="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Zbatimi i Iniciativës Ballkanike të Hapur</w:t>
      </w:r>
      <w:r w:rsidR="00DB1B91">
        <w:rPr>
          <w:rFonts w:ascii="Garamond" w:hAnsi="Garamond"/>
          <w:color w:val="0D0D0D"/>
          <w:sz w:val="24"/>
          <w:szCs w:val="24"/>
          <w:lang w:val="sq-AL"/>
        </w:rPr>
        <w:t>;</w:t>
      </w:r>
    </w:p>
    <w:p w14:paraId="1667CF34" w14:textId="55B39AC6" w:rsidR="005674F2" w:rsidRPr="00770F9D" w:rsidRDefault="005674F2" w:rsidP="00400806">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e</w:t>
      </w:r>
      <w:r w:rsidR="00576C3E" w:rsidRPr="00770F9D">
        <w:rPr>
          <w:rFonts w:ascii="Garamond" w:hAnsi="Garamond" w:cs="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Projektimi dhe instalimi i një dritareje të vetme kombëtare</w:t>
      </w:r>
      <w:r w:rsidR="00DB1B91">
        <w:rPr>
          <w:rFonts w:ascii="Garamond" w:hAnsi="Garamond"/>
          <w:color w:val="0D0D0D"/>
          <w:sz w:val="24"/>
          <w:szCs w:val="24"/>
          <w:lang w:val="sq-AL"/>
        </w:rPr>
        <w:t xml:space="preserve"> –</w:t>
      </w:r>
      <w:r w:rsidRPr="00770F9D">
        <w:rPr>
          <w:rFonts w:ascii="Garamond" w:hAnsi="Garamond"/>
          <w:color w:val="0D0D0D"/>
          <w:sz w:val="24"/>
          <w:szCs w:val="24"/>
          <w:lang w:val="sq-AL"/>
        </w:rPr>
        <w:t xml:space="preserve"> </w:t>
      </w:r>
      <w:r w:rsidRPr="00DB1B91">
        <w:rPr>
          <w:rFonts w:ascii="Garamond" w:hAnsi="Garamond"/>
          <w:i/>
          <w:iCs/>
          <w:color w:val="0D0D0D"/>
          <w:sz w:val="24"/>
          <w:szCs w:val="24"/>
          <w:lang w:val="sq-AL"/>
        </w:rPr>
        <w:t>national single window;</w:t>
      </w:r>
    </w:p>
    <w:p w14:paraId="2784BA0F" w14:textId="71DFDFC6" w:rsidR="005674F2" w:rsidRPr="00770F9D" w:rsidRDefault="005674F2" w:rsidP="00400806">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f</w:t>
      </w:r>
      <w:r w:rsidR="00576C3E" w:rsidRPr="00770F9D">
        <w:rPr>
          <w:rFonts w:ascii="Garamond" w:hAnsi="Garamond" w:cs="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Sistemi i ri i </w:t>
      </w:r>
      <w:r w:rsidR="00DB1B91" w:rsidRPr="00770F9D">
        <w:rPr>
          <w:rFonts w:ascii="Garamond" w:hAnsi="Garamond"/>
          <w:color w:val="0D0D0D"/>
          <w:sz w:val="24"/>
          <w:szCs w:val="24"/>
          <w:lang w:val="sq-AL"/>
        </w:rPr>
        <w:t xml:space="preserve">kompjuterizuar i transitit </w:t>
      </w:r>
      <w:r w:rsidRPr="00770F9D">
        <w:rPr>
          <w:rFonts w:ascii="Garamond" w:hAnsi="Garamond"/>
          <w:color w:val="0D0D0D"/>
          <w:sz w:val="24"/>
          <w:szCs w:val="24"/>
          <w:lang w:val="sq-AL"/>
        </w:rPr>
        <w:t>– NCTS;</w:t>
      </w:r>
    </w:p>
    <w:p w14:paraId="29E2A5D2" w14:textId="2BA368E5" w:rsidR="005674F2" w:rsidRPr="00770F9D" w:rsidRDefault="005674F2" w:rsidP="00353A7F">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g</w:t>
      </w:r>
      <w:r w:rsidR="00576C3E" w:rsidRPr="00770F9D">
        <w:rPr>
          <w:rFonts w:ascii="Garamond" w:hAnsi="Garamond" w:cs="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Përmirësimi i p</w:t>
      </w:r>
      <w:r w:rsidR="00DB1B91">
        <w:rPr>
          <w:rFonts w:ascii="Garamond" w:hAnsi="Garamond"/>
          <w:color w:val="0D0D0D"/>
          <w:sz w:val="24"/>
          <w:szCs w:val="24"/>
          <w:lang w:val="sq-AL"/>
        </w:rPr>
        <w:t>ikës së kalimit kufitar – Qafët</w:t>
      </w:r>
      <w:r w:rsidRPr="00770F9D">
        <w:rPr>
          <w:rFonts w:ascii="Garamond" w:hAnsi="Garamond"/>
          <w:color w:val="0D0D0D"/>
          <w:sz w:val="24"/>
          <w:szCs w:val="24"/>
          <w:lang w:val="sq-AL"/>
        </w:rPr>
        <w:t>hanë</w:t>
      </w:r>
      <w:r w:rsidR="00353A7F">
        <w:rPr>
          <w:rFonts w:ascii="Garamond" w:hAnsi="Garamond"/>
          <w:color w:val="0D0D0D"/>
          <w:sz w:val="24"/>
          <w:szCs w:val="24"/>
          <w:lang w:val="sq-AL"/>
        </w:rPr>
        <w:t>–</w:t>
      </w:r>
      <w:r w:rsidRPr="00770F9D">
        <w:rPr>
          <w:rFonts w:ascii="Garamond" w:hAnsi="Garamond"/>
          <w:color w:val="0D0D0D"/>
          <w:sz w:val="24"/>
          <w:szCs w:val="24"/>
          <w:lang w:val="sq-AL"/>
        </w:rPr>
        <w:t>Kjasafan</w:t>
      </w:r>
      <w:r w:rsidR="00DB1B91">
        <w:rPr>
          <w:rFonts w:ascii="Garamond" w:hAnsi="Garamond"/>
          <w:color w:val="0D0D0D"/>
          <w:sz w:val="24"/>
          <w:szCs w:val="24"/>
          <w:lang w:val="sq-AL"/>
        </w:rPr>
        <w:t>;</w:t>
      </w:r>
    </w:p>
    <w:p w14:paraId="770030FE" w14:textId="0AAE0937" w:rsidR="005674F2" w:rsidRPr="00770F9D" w:rsidRDefault="005674F2" w:rsidP="00400806">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h</w:t>
      </w:r>
      <w:r w:rsidR="00576C3E" w:rsidRPr="00770F9D">
        <w:rPr>
          <w:rFonts w:ascii="Garamond" w:hAnsi="Garamond" w:cs="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Zhvillimi i sistemit të TI-së doganore për vënien në</w:t>
      </w:r>
      <w:r w:rsidR="00DB1B91">
        <w:rPr>
          <w:rFonts w:ascii="Garamond" w:hAnsi="Garamond"/>
          <w:color w:val="0D0D0D"/>
          <w:sz w:val="24"/>
          <w:szCs w:val="24"/>
          <w:lang w:val="sq-AL"/>
        </w:rPr>
        <w:t xml:space="preserve"> funksion të deklaratës së para</w:t>
      </w:r>
      <w:r w:rsidRPr="00770F9D">
        <w:rPr>
          <w:rFonts w:ascii="Garamond" w:hAnsi="Garamond"/>
          <w:color w:val="0D0D0D"/>
          <w:sz w:val="24"/>
          <w:szCs w:val="24"/>
          <w:lang w:val="sq-AL"/>
        </w:rPr>
        <w:t>mbërritjes;</w:t>
      </w:r>
    </w:p>
    <w:p w14:paraId="5D6479F5" w14:textId="6D55CDE4" w:rsidR="005674F2" w:rsidRPr="00770F9D" w:rsidRDefault="005674F2" w:rsidP="00400806">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i</w:t>
      </w:r>
      <w:r w:rsidR="00576C3E" w:rsidRPr="00770F9D">
        <w:rPr>
          <w:rFonts w:ascii="Garamond" w:hAnsi="Garamond" w:cs="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Zbatimi i njohjes reciproke të protokolleve AEOS me Serbinë dhe Maqedoninë e Veriut.</w:t>
      </w:r>
    </w:p>
    <w:p w14:paraId="72A7853E" w14:textId="092D2BAB" w:rsidR="005674F2" w:rsidRPr="00770F9D" w:rsidRDefault="005674F2" w:rsidP="000F6F7A">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b</w:t>
      </w:r>
      <w:r w:rsidR="00576C3E" w:rsidRPr="00770F9D">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 xml:space="preserve">Aktivitete të planifikuara </w:t>
      </w:r>
      <w:r w:rsidR="000F6F7A">
        <w:rPr>
          <w:rFonts w:ascii="Garamond" w:hAnsi="Garamond"/>
          <w:b/>
          <w:bCs/>
          <w:color w:val="0D0D0D"/>
          <w:sz w:val="24"/>
          <w:szCs w:val="24"/>
          <w:lang w:val="sq-AL"/>
        </w:rPr>
        <w:t>m</w:t>
      </w:r>
      <w:r w:rsidRPr="00770F9D">
        <w:rPr>
          <w:rFonts w:ascii="Garamond" w:hAnsi="Garamond"/>
          <w:b/>
          <w:bCs/>
          <w:color w:val="0D0D0D"/>
          <w:sz w:val="24"/>
          <w:szCs w:val="24"/>
          <w:lang w:val="sq-AL"/>
        </w:rPr>
        <w:t>ë</w:t>
      </w:r>
      <w:r w:rsidR="00DB1B91">
        <w:rPr>
          <w:rFonts w:ascii="Garamond" w:hAnsi="Garamond"/>
          <w:b/>
          <w:bCs/>
          <w:color w:val="0D0D0D"/>
          <w:sz w:val="24"/>
          <w:szCs w:val="24"/>
          <w:lang w:val="sq-AL"/>
        </w:rPr>
        <w:t xml:space="preserve"> </w:t>
      </w:r>
      <w:r w:rsidRPr="00770F9D">
        <w:rPr>
          <w:rFonts w:ascii="Garamond" w:hAnsi="Garamond"/>
          <w:b/>
          <w:bCs/>
          <w:color w:val="0D0D0D"/>
          <w:sz w:val="24"/>
          <w:szCs w:val="24"/>
          <w:lang w:val="sq-AL"/>
        </w:rPr>
        <w:t>2024</w:t>
      </w:r>
      <w:r w:rsidR="00DB1B91">
        <w:rPr>
          <w:rFonts w:ascii="Garamond" w:hAnsi="Garamond"/>
          <w:b/>
          <w:bCs/>
          <w:color w:val="0D0D0D"/>
          <w:sz w:val="24"/>
          <w:szCs w:val="24"/>
          <w:lang w:val="sq-AL"/>
        </w:rPr>
        <w:t>-n</w:t>
      </w:r>
    </w:p>
    <w:p w14:paraId="1FAF822D" w14:textId="660274D2" w:rsidR="005674F2" w:rsidRPr="00770F9D" w:rsidRDefault="005674F2" w:rsidP="00A146BD">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a</w:t>
      </w:r>
      <w:r w:rsidR="00576C3E" w:rsidRPr="00770F9D">
        <w:rPr>
          <w:rFonts w:ascii="Garamond" w:hAnsi="Garamond" w:cs="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Zbatimi i Planit Rajonal të Veprimit për krijimin e CRM në bashkëpunim me Palët e CEFTA-s, duke finalizuar masat e parashikuara për vitin 2024 në CRM</w:t>
      </w:r>
      <w:r w:rsidR="00A146BD">
        <w:rPr>
          <w:rFonts w:ascii="Garamond" w:hAnsi="Garamond"/>
          <w:color w:val="0D0D0D"/>
          <w:sz w:val="24"/>
          <w:szCs w:val="24"/>
          <w:lang w:val="sq-AL"/>
        </w:rPr>
        <w:t>;</w:t>
      </w:r>
    </w:p>
    <w:p w14:paraId="2B21CC7E" w14:textId="06974BBC" w:rsidR="005674F2" w:rsidRPr="00770F9D" w:rsidRDefault="005674F2" w:rsidP="00A146BD">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b</w:t>
      </w:r>
      <w:r w:rsidR="00576C3E" w:rsidRPr="00770F9D">
        <w:rPr>
          <w:rFonts w:ascii="Garamond" w:hAnsi="Garamond" w:cs="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Zbatimi i Planit të ri të Veprimit të KKKT</w:t>
      </w:r>
      <w:r w:rsidR="00A146BD">
        <w:rPr>
          <w:rFonts w:ascii="Garamond" w:hAnsi="Garamond"/>
          <w:color w:val="0D0D0D"/>
          <w:sz w:val="24"/>
          <w:szCs w:val="24"/>
          <w:lang w:val="sq-AL"/>
        </w:rPr>
        <w:t>-së;</w:t>
      </w:r>
    </w:p>
    <w:p w14:paraId="4AAED6F0" w14:textId="75412630" w:rsidR="005674F2" w:rsidRPr="00770F9D" w:rsidRDefault="005674F2" w:rsidP="00400806">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c</w:t>
      </w:r>
      <w:r w:rsidR="00576C3E" w:rsidRPr="00770F9D">
        <w:rPr>
          <w:rFonts w:ascii="Garamond" w:hAnsi="Garamond" w:cs="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Zbatimi i Iniciativës Ballkanike të Hapur</w:t>
      </w:r>
      <w:r w:rsidR="00A146BD">
        <w:rPr>
          <w:rFonts w:ascii="Garamond" w:hAnsi="Garamond"/>
          <w:color w:val="0D0D0D"/>
          <w:sz w:val="24"/>
          <w:szCs w:val="24"/>
          <w:lang w:val="sq-AL"/>
        </w:rPr>
        <w:t>;</w:t>
      </w:r>
    </w:p>
    <w:p w14:paraId="307894DF" w14:textId="70AB0A52" w:rsidR="005674F2" w:rsidRPr="00770F9D" w:rsidRDefault="005674F2" w:rsidP="00400806">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d</w:t>
      </w:r>
      <w:r w:rsidR="00576C3E" w:rsidRPr="00770F9D">
        <w:rPr>
          <w:rFonts w:ascii="Garamond" w:hAnsi="Garamond" w:cs="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Projektimi dhe instalimi i një dritareje të vetme kombëtare</w:t>
      </w:r>
      <w:r w:rsidR="00A146BD">
        <w:rPr>
          <w:rFonts w:ascii="Garamond" w:hAnsi="Garamond"/>
          <w:color w:val="0D0D0D"/>
          <w:sz w:val="24"/>
          <w:szCs w:val="24"/>
          <w:lang w:val="sq-AL"/>
        </w:rPr>
        <w:t xml:space="preserve"> –</w:t>
      </w:r>
      <w:r w:rsidRPr="00770F9D">
        <w:rPr>
          <w:rFonts w:ascii="Garamond" w:hAnsi="Garamond"/>
          <w:color w:val="0D0D0D"/>
          <w:sz w:val="24"/>
          <w:szCs w:val="24"/>
          <w:lang w:val="sq-AL"/>
        </w:rPr>
        <w:t xml:space="preserve"> </w:t>
      </w:r>
      <w:r w:rsidRPr="00A146BD">
        <w:rPr>
          <w:rFonts w:ascii="Garamond" w:hAnsi="Garamond"/>
          <w:i/>
          <w:iCs/>
          <w:color w:val="0D0D0D"/>
          <w:sz w:val="24"/>
          <w:szCs w:val="24"/>
          <w:lang w:val="sq-AL"/>
        </w:rPr>
        <w:t>national single window;</w:t>
      </w:r>
    </w:p>
    <w:p w14:paraId="1CF40721" w14:textId="129C7AA9" w:rsidR="005674F2" w:rsidRPr="00770F9D" w:rsidRDefault="005674F2" w:rsidP="00400806">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e</w:t>
      </w:r>
      <w:r w:rsidR="00576C3E" w:rsidRPr="00770F9D">
        <w:rPr>
          <w:rFonts w:ascii="Garamond" w:hAnsi="Garamond" w:cs="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Sistemi i ri i Kompjuterizuar i Transitit – NCTS</w:t>
      </w:r>
      <w:r w:rsidR="001F2271">
        <w:rPr>
          <w:rFonts w:ascii="Garamond" w:hAnsi="Garamond"/>
          <w:color w:val="0D0D0D"/>
          <w:sz w:val="24"/>
          <w:szCs w:val="24"/>
          <w:lang w:val="sq-AL"/>
        </w:rPr>
        <w:t>;</w:t>
      </w:r>
    </w:p>
    <w:p w14:paraId="58C247D7" w14:textId="33A962D0" w:rsidR="005674F2" w:rsidRPr="00770F9D" w:rsidRDefault="005674F2" w:rsidP="00743647">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f</w:t>
      </w:r>
      <w:r w:rsidR="00576C3E" w:rsidRPr="00770F9D">
        <w:rPr>
          <w:rFonts w:ascii="Garamond" w:hAnsi="Garamond" w:cs="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Përmirësimi i pikës së kalimit kufitar </w:t>
      </w:r>
      <w:r w:rsidR="001F2271">
        <w:rPr>
          <w:rFonts w:ascii="Garamond" w:hAnsi="Garamond"/>
          <w:color w:val="0D0D0D"/>
          <w:sz w:val="24"/>
          <w:szCs w:val="24"/>
          <w:lang w:val="sq-AL"/>
        </w:rPr>
        <w:t>–</w:t>
      </w:r>
      <w:r w:rsidRPr="00770F9D">
        <w:rPr>
          <w:rFonts w:ascii="Garamond" w:hAnsi="Garamond"/>
          <w:color w:val="0D0D0D"/>
          <w:sz w:val="24"/>
          <w:szCs w:val="24"/>
          <w:lang w:val="sq-AL"/>
        </w:rPr>
        <w:t>Qaf</w:t>
      </w:r>
      <w:r w:rsidR="001F2271">
        <w:rPr>
          <w:rFonts w:ascii="Garamond" w:hAnsi="Garamond"/>
          <w:color w:val="0D0D0D"/>
          <w:sz w:val="24"/>
          <w:szCs w:val="24"/>
          <w:lang w:val="sq-AL"/>
        </w:rPr>
        <w:t>ët</w:t>
      </w:r>
      <w:r w:rsidRPr="00770F9D">
        <w:rPr>
          <w:rFonts w:ascii="Garamond" w:hAnsi="Garamond"/>
          <w:color w:val="0D0D0D"/>
          <w:sz w:val="24"/>
          <w:szCs w:val="24"/>
          <w:lang w:val="sq-AL"/>
        </w:rPr>
        <w:t>han</w:t>
      </w:r>
      <w:r w:rsidR="00743647">
        <w:rPr>
          <w:rFonts w:ascii="Garamond" w:hAnsi="Garamond"/>
          <w:color w:val="0D0D0D"/>
          <w:sz w:val="24"/>
          <w:szCs w:val="24"/>
          <w:lang w:val="sq-AL"/>
        </w:rPr>
        <w:t>ë–</w:t>
      </w:r>
      <w:r w:rsidRPr="00770F9D">
        <w:rPr>
          <w:rFonts w:ascii="Garamond" w:hAnsi="Garamond"/>
          <w:color w:val="0D0D0D"/>
          <w:sz w:val="24"/>
          <w:szCs w:val="24"/>
          <w:lang w:val="sq-AL"/>
        </w:rPr>
        <w:t>Kjasafan</w:t>
      </w:r>
      <w:r w:rsidR="001F2271">
        <w:rPr>
          <w:rFonts w:ascii="Garamond" w:hAnsi="Garamond"/>
          <w:color w:val="0D0D0D"/>
          <w:sz w:val="24"/>
          <w:szCs w:val="24"/>
          <w:lang w:val="sq-AL"/>
        </w:rPr>
        <w:t>;</w:t>
      </w:r>
    </w:p>
    <w:p w14:paraId="304AEE8E" w14:textId="4D5E1943" w:rsidR="005674F2" w:rsidRPr="00770F9D" w:rsidRDefault="005674F2" w:rsidP="00400806">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g</w:t>
      </w:r>
      <w:r w:rsidR="00576C3E" w:rsidRPr="00770F9D">
        <w:rPr>
          <w:rFonts w:ascii="Garamond" w:hAnsi="Garamond" w:cs="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Zhvillimi i sistemit të TI-së doganore për vënien në</w:t>
      </w:r>
      <w:r w:rsidR="00743647">
        <w:rPr>
          <w:rFonts w:ascii="Garamond" w:hAnsi="Garamond"/>
          <w:color w:val="0D0D0D"/>
          <w:sz w:val="24"/>
          <w:szCs w:val="24"/>
          <w:lang w:val="sq-AL"/>
        </w:rPr>
        <w:t xml:space="preserve"> funksion të deklaratës së para</w:t>
      </w:r>
      <w:r w:rsidRPr="00770F9D">
        <w:rPr>
          <w:rFonts w:ascii="Garamond" w:hAnsi="Garamond"/>
          <w:color w:val="0D0D0D"/>
          <w:sz w:val="24"/>
          <w:szCs w:val="24"/>
          <w:lang w:val="sq-AL"/>
        </w:rPr>
        <w:t>mbërritjes</w:t>
      </w:r>
      <w:r w:rsidR="00743647">
        <w:rPr>
          <w:rFonts w:ascii="Garamond" w:hAnsi="Garamond"/>
          <w:color w:val="0D0D0D"/>
          <w:sz w:val="24"/>
          <w:szCs w:val="24"/>
          <w:lang w:val="sq-AL"/>
        </w:rPr>
        <w:t>.</w:t>
      </w:r>
    </w:p>
    <w:p w14:paraId="45AE8332" w14:textId="2B9FDA7F" w:rsidR="005674F2" w:rsidRPr="00770F9D" w:rsidRDefault="005674F2" w:rsidP="00400806">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c</w:t>
      </w:r>
      <w:r w:rsidR="00576C3E" w:rsidRPr="00770F9D">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Aktivitete të planifikuara në</w:t>
      </w:r>
      <w:r w:rsidR="00743647">
        <w:rPr>
          <w:rFonts w:ascii="Garamond" w:hAnsi="Garamond"/>
          <w:b/>
          <w:bCs/>
          <w:color w:val="0D0D0D"/>
          <w:sz w:val="24"/>
          <w:szCs w:val="24"/>
          <w:lang w:val="sq-AL"/>
        </w:rPr>
        <w:t xml:space="preserve"> </w:t>
      </w:r>
      <w:r w:rsidRPr="00770F9D">
        <w:rPr>
          <w:rFonts w:ascii="Garamond" w:hAnsi="Garamond"/>
          <w:b/>
          <w:bCs/>
          <w:color w:val="0D0D0D"/>
          <w:sz w:val="24"/>
          <w:szCs w:val="24"/>
          <w:lang w:val="sq-AL"/>
        </w:rPr>
        <w:t>2025</w:t>
      </w:r>
      <w:r w:rsidR="00743647">
        <w:rPr>
          <w:rFonts w:ascii="Garamond" w:hAnsi="Garamond"/>
          <w:b/>
          <w:bCs/>
          <w:color w:val="0D0D0D"/>
          <w:sz w:val="24"/>
          <w:szCs w:val="24"/>
          <w:lang w:val="sq-AL"/>
        </w:rPr>
        <w:t>-n</w:t>
      </w:r>
    </w:p>
    <w:p w14:paraId="52EBE530" w14:textId="69BB7AF1" w:rsidR="005674F2" w:rsidRPr="00770F9D" w:rsidRDefault="005674F2" w:rsidP="00743647">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a</w:t>
      </w:r>
      <w:r w:rsidR="00576C3E" w:rsidRPr="00770F9D">
        <w:rPr>
          <w:rFonts w:ascii="Garamond" w:hAnsi="Garamond" w:cs="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Vazhdon me monitorimin e brendshëm të </w:t>
      </w:r>
      <w:r w:rsidR="00743647" w:rsidRPr="00770F9D">
        <w:rPr>
          <w:rFonts w:ascii="Garamond" w:hAnsi="Garamond"/>
          <w:color w:val="0D0D0D"/>
          <w:sz w:val="24"/>
          <w:szCs w:val="24"/>
          <w:lang w:val="sq-AL"/>
        </w:rPr>
        <w:t xml:space="preserve">planit të veprimit për krijimin e tregut </w:t>
      </w:r>
      <w:r w:rsidRPr="00770F9D">
        <w:rPr>
          <w:rFonts w:ascii="Garamond" w:hAnsi="Garamond"/>
          <w:color w:val="0D0D0D"/>
          <w:sz w:val="24"/>
          <w:szCs w:val="24"/>
          <w:lang w:val="sq-AL"/>
        </w:rPr>
        <w:t xml:space="preserve">të </w:t>
      </w:r>
      <w:r w:rsidR="00743647" w:rsidRPr="00770F9D">
        <w:rPr>
          <w:rFonts w:ascii="Garamond" w:hAnsi="Garamond"/>
          <w:color w:val="0D0D0D"/>
          <w:sz w:val="24"/>
          <w:szCs w:val="24"/>
          <w:lang w:val="sq-AL"/>
        </w:rPr>
        <w:t>përbashkët rajonal</w:t>
      </w:r>
      <w:r w:rsidRPr="00770F9D">
        <w:rPr>
          <w:rFonts w:ascii="Garamond" w:hAnsi="Garamond"/>
          <w:color w:val="0D0D0D"/>
          <w:sz w:val="24"/>
          <w:szCs w:val="24"/>
          <w:lang w:val="sq-AL"/>
        </w:rPr>
        <w:t xml:space="preserve">, në bashkëpunim me </w:t>
      </w:r>
      <w:r w:rsidR="00743647" w:rsidRPr="00770F9D">
        <w:rPr>
          <w:rFonts w:ascii="Garamond" w:hAnsi="Garamond"/>
          <w:color w:val="0D0D0D"/>
          <w:sz w:val="24"/>
          <w:szCs w:val="24"/>
          <w:lang w:val="sq-AL"/>
        </w:rPr>
        <w:t xml:space="preserve">palët </w:t>
      </w:r>
      <w:r w:rsidRPr="00770F9D">
        <w:rPr>
          <w:rFonts w:ascii="Garamond" w:hAnsi="Garamond"/>
          <w:color w:val="0D0D0D"/>
          <w:sz w:val="24"/>
          <w:szCs w:val="24"/>
          <w:lang w:val="sq-AL"/>
        </w:rPr>
        <w:t>e CEFTA-s</w:t>
      </w:r>
      <w:r w:rsidR="00743647">
        <w:rPr>
          <w:rFonts w:ascii="Garamond" w:hAnsi="Garamond"/>
          <w:color w:val="0D0D0D"/>
          <w:sz w:val="24"/>
          <w:szCs w:val="24"/>
          <w:lang w:val="sq-AL"/>
        </w:rPr>
        <w:t>;</w:t>
      </w:r>
    </w:p>
    <w:p w14:paraId="3EC43BFA" w14:textId="167ECCEF" w:rsidR="005674F2" w:rsidRPr="00770F9D" w:rsidRDefault="005674F2" w:rsidP="00743647">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b</w:t>
      </w:r>
      <w:r w:rsidR="00576C3E" w:rsidRPr="00770F9D">
        <w:rPr>
          <w:rFonts w:ascii="Garamond" w:hAnsi="Garamond" w:cs="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Zbatimi i Planit të ri të Veprimit të KKKT</w:t>
      </w:r>
      <w:r w:rsidR="00743647">
        <w:rPr>
          <w:rFonts w:ascii="Garamond" w:hAnsi="Garamond"/>
          <w:color w:val="0D0D0D"/>
          <w:sz w:val="24"/>
          <w:szCs w:val="24"/>
          <w:lang w:val="sq-AL"/>
        </w:rPr>
        <w:t>-së;</w:t>
      </w:r>
    </w:p>
    <w:p w14:paraId="093DC1FC" w14:textId="19889E21" w:rsidR="005674F2" w:rsidRPr="00770F9D" w:rsidRDefault="005674F2" w:rsidP="00400806">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c</w:t>
      </w:r>
      <w:r w:rsidR="00576C3E" w:rsidRPr="00770F9D">
        <w:rPr>
          <w:rFonts w:ascii="Garamond" w:hAnsi="Garamond" w:cs="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Zbatimi i Iniciativës Ballkanike të Hapur</w:t>
      </w:r>
      <w:r w:rsidR="00743647">
        <w:rPr>
          <w:rFonts w:ascii="Garamond" w:hAnsi="Garamond"/>
          <w:color w:val="0D0D0D"/>
          <w:sz w:val="24"/>
          <w:szCs w:val="24"/>
          <w:lang w:val="sq-AL"/>
        </w:rPr>
        <w:t>;</w:t>
      </w:r>
    </w:p>
    <w:p w14:paraId="2147A40F" w14:textId="24515428" w:rsidR="005674F2" w:rsidRPr="00770F9D" w:rsidRDefault="005674F2" w:rsidP="00400806">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d</w:t>
      </w:r>
      <w:r w:rsidR="00576C3E" w:rsidRPr="00770F9D">
        <w:rPr>
          <w:rFonts w:ascii="Garamond" w:hAnsi="Garamond" w:cs="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Projektimi dhe instalimi i një dritareje të vetme kombëtare</w:t>
      </w:r>
      <w:r w:rsidR="00743647">
        <w:rPr>
          <w:rFonts w:ascii="Garamond" w:hAnsi="Garamond"/>
          <w:color w:val="0D0D0D"/>
          <w:sz w:val="24"/>
          <w:szCs w:val="24"/>
          <w:lang w:val="sq-AL"/>
        </w:rPr>
        <w:t xml:space="preserve"> –</w:t>
      </w:r>
      <w:r w:rsidRPr="00770F9D">
        <w:rPr>
          <w:rFonts w:ascii="Garamond" w:hAnsi="Garamond"/>
          <w:color w:val="0D0D0D"/>
          <w:sz w:val="24"/>
          <w:szCs w:val="24"/>
          <w:lang w:val="sq-AL"/>
        </w:rPr>
        <w:t xml:space="preserve"> </w:t>
      </w:r>
      <w:r w:rsidRPr="00743647">
        <w:rPr>
          <w:rFonts w:ascii="Garamond" w:hAnsi="Garamond"/>
          <w:i/>
          <w:iCs/>
          <w:color w:val="0D0D0D"/>
          <w:sz w:val="24"/>
          <w:szCs w:val="24"/>
          <w:lang w:val="sq-AL"/>
        </w:rPr>
        <w:t>national single window;</w:t>
      </w:r>
    </w:p>
    <w:p w14:paraId="546DA02D" w14:textId="1610251F" w:rsidR="005674F2" w:rsidRPr="00770F9D" w:rsidRDefault="005674F2" w:rsidP="00743647">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e</w:t>
      </w:r>
      <w:r w:rsidR="00576C3E" w:rsidRPr="00770F9D">
        <w:rPr>
          <w:rFonts w:ascii="Garamond" w:hAnsi="Garamond" w:cs="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Sistemi i ri i Kompjuterizuar i Tran</w:t>
      </w:r>
      <w:r w:rsidR="00743647">
        <w:rPr>
          <w:rFonts w:ascii="Garamond" w:hAnsi="Garamond"/>
          <w:color w:val="0D0D0D"/>
          <w:sz w:val="24"/>
          <w:szCs w:val="24"/>
          <w:lang w:val="sq-AL"/>
        </w:rPr>
        <w:t>z</w:t>
      </w:r>
      <w:r w:rsidRPr="00770F9D">
        <w:rPr>
          <w:rFonts w:ascii="Garamond" w:hAnsi="Garamond"/>
          <w:color w:val="0D0D0D"/>
          <w:sz w:val="24"/>
          <w:szCs w:val="24"/>
          <w:lang w:val="sq-AL"/>
        </w:rPr>
        <w:t>itit – NCTS</w:t>
      </w:r>
      <w:r w:rsidR="00743647">
        <w:rPr>
          <w:rFonts w:ascii="Garamond" w:hAnsi="Garamond"/>
          <w:color w:val="0D0D0D"/>
          <w:sz w:val="24"/>
          <w:szCs w:val="24"/>
          <w:lang w:val="sq-AL"/>
        </w:rPr>
        <w:t>;</w:t>
      </w:r>
    </w:p>
    <w:p w14:paraId="0CA6B831" w14:textId="0F23F5BA" w:rsidR="005674F2" w:rsidRPr="00770F9D" w:rsidRDefault="005674F2" w:rsidP="00743647">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f</w:t>
      </w:r>
      <w:r w:rsidR="00576C3E" w:rsidRPr="00770F9D">
        <w:rPr>
          <w:rFonts w:ascii="Garamond" w:hAnsi="Garamond" w:cs="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Përmirësimi i pikës së kalimit kufitar </w:t>
      </w:r>
      <w:r w:rsidR="00743647">
        <w:rPr>
          <w:rFonts w:ascii="Garamond" w:hAnsi="Garamond"/>
          <w:color w:val="0D0D0D"/>
          <w:sz w:val="24"/>
          <w:szCs w:val="24"/>
          <w:lang w:val="sq-AL"/>
        </w:rPr>
        <w:t>–</w:t>
      </w:r>
      <w:r w:rsidRPr="00770F9D">
        <w:rPr>
          <w:rFonts w:ascii="Garamond" w:hAnsi="Garamond"/>
          <w:color w:val="0D0D0D"/>
          <w:sz w:val="24"/>
          <w:szCs w:val="24"/>
          <w:lang w:val="sq-AL"/>
        </w:rPr>
        <w:t xml:space="preserve"> Qafë</w:t>
      </w:r>
      <w:r w:rsidR="00743647">
        <w:rPr>
          <w:rFonts w:ascii="Garamond" w:hAnsi="Garamond"/>
          <w:color w:val="0D0D0D"/>
          <w:sz w:val="24"/>
          <w:szCs w:val="24"/>
          <w:lang w:val="sq-AL"/>
        </w:rPr>
        <w:t>t</w:t>
      </w:r>
      <w:r w:rsidRPr="00770F9D">
        <w:rPr>
          <w:rFonts w:ascii="Garamond" w:hAnsi="Garamond"/>
          <w:color w:val="0D0D0D"/>
          <w:sz w:val="24"/>
          <w:szCs w:val="24"/>
          <w:lang w:val="sq-AL"/>
        </w:rPr>
        <w:t>han</w:t>
      </w:r>
      <w:r w:rsidR="00743647">
        <w:rPr>
          <w:rFonts w:ascii="Garamond" w:hAnsi="Garamond"/>
          <w:color w:val="0D0D0D"/>
          <w:sz w:val="24"/>
          <w:szCs w:val="24"/>
          <w:lang w:val="sq-AL"/>
        </w:rPr>
        <w:t>ë–</w:t>
      </w:r>
      <w:r w:rsidRPr="00770F9D">
        <w:rPr>
          <w:rFonts w:ascii="Garamond" w:hAnsi="Garamond"/>
          <w:color w:val="0D0D0D"/>
          <w:sz w:val="24"/>
          <w:szCs w:val="24"/>
          <w:lang w:val="sq-AL"/>
        </w:rPr>
        <w:t>Kjasafan</w:t>
      </w:r>
    </w:p>
    <w:p w14:paraId="36869A90" w14:textId="0B996D09" w:rsidR="005674F2" w:rsidRPr="00770F9D" w:rsidRDefault="00A67654"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2</w:t>
      </w:r>
      <w:r w:rsidR="005674F2" w:rsidRPr="00770F9D">
        <w:rPr>
          <w:rFonts w:ascii="Garamond" w:hAnsi="Garamond"/>
          <w:color w:val="0D0D0D"/>
          <w:u w:val="none"/>
        </w:rPr>
        <w:t>.</w:t>
      </w:r>
      <w:r w:rsidR="00BA4F1A" w:rsidRPr="00770F9D">
        <w:rPr>
          <w:rFonts w:ascii="Garamond" w:hAnsi="Garamond"/>
          <w:color w:val="0D0D0D"/>
          <w:u w:val="none"/>
        </w:rPr>
        <w:t xml:space="preserve"> </w:t>
      </w:r>
      <w:r w:rsidR="005674F2" w:rsidRPr="00770F9D">
        <w:rPr>
          <w:rFonts w:ascii="Garamond" w:hAnsi="Garamond"/>
          <w:color w:val="0D0D0D"/>
          <w:u w:val="none"/>
        </w:rPr>
        <w:t>Treguesit e rezultateve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27"/>
        <w:gridCol w:w="780"/>
        <w:gridCol w:w="1284"/>
        <w:gridCol w:w="896"/>
      </w:tblGrid>
      <w:tr w:rsidR="00FA29AB" w:rsidRPr="00770F9D" w14:paraId="26687139" w14:textId="77777777" w:rsidTr="008924BF">
        <w:trPr>
          <w:trHeight w:val="589"/>
          <w:jc w:val="center"/>
        </w:trPr>
        <w:tc>
          <w:tcPr>
            <w:tcW w:w="3407" w:type="pct"/>
            <w:shd w:val="clear" w:color="auto" w:fill="auto"/>
            <w:vAlign w:val="center"/>
            <w:hideMark/>
          </w:tcPr>
          <w:p w14:paraId="6086734C" w14:textId="77777777" w:rsidR="00A54F3A" w:rsidRPr="00353A7F" w:rsidRDefault="00B2062A" w:rsidP="00353A7F">
            <w:pPr>
              <w:jc w:val="center"/>
              <w:rPr>
                <w:rFonts w:ascii="Garamond" w:eastAsia="Times New Roman" w:hAnsi="Garamond" w:cstheme="majorBidi"/>
                <w:b/>
                <w:bCs/>
                <w:color w:val="0D0D0D" w:themeColor="text1" w:themeTint="F2"/>
                <w:sz w:val="20"/>
                <w:szCs w:val="20"/>
              </w:rPr>
            </w:pPr>
            <w:r w:rsidRPr="00353A7F">
              <w:rPr>
                <w:rFonts w:ascii="Garamond" w:eastAsia="Times New Roman" w:hAnsi="Garamond" w:cstheme="majorBidi"/>
                <w:b/>
                <w:bCs/>
                <w:color w:val="0D0D0D" w:themeColor="text1" w:themeTint="F2"/>
                <w:sz w:val="20"/>
                <w:szCs w:val="20"/>
              </w:rPr>
              <w:t>Tregues</w:t>
            </w:r>
          </w:p>
        </w:tc>
        <w:tc>
          <w:tcPr>
            <w:tcW w:w="418" w:type="pct"/>
            <w:shd w:val="clear" w:color="auto" w:fill="auto"/>
            <w:vAlign w:val="center"/>
            <w:hideMark/>
          </w:tcPr>
          <w:p w14:paraId="21021ED3" w14:textId="77777777" w:rsidR="00A54F3A" w:rsidRPr="00353A7F" w:rsidRDefault="00B2062A" w:rsidP="00353A7F">
            <w:pPr>
              <w:jc w:val="center"/>
              <w:rPr>
                <w:rFonts w:ascii="Garamond" w:eastAsia="Times New Roman" w:hAnsi="Garamond" w:cstheme="majorBidi"/>
                <w:b/>
                <w:bCs/>
                <w:color w:val="0D0D0D" w:themeColor="text1" w:themeTint="F2"/>
                <w:sz w:val="20"/>
                <w:szCs w:val="20"/>
              </w:rPr>
            </w:pPr>
            <w:r w:rsidRPr="00353A7F">
              <w:rPr>
                <w:rFonts w:ascii="Garamond" w:eastAsia="Times New Roman" w:hAnsi="Garamond" w:cstheme="majorBidi"/>
                <w:b/>
                <w:bCs/>
                <w:color w:val="0D0D0D" w:themeColor="text1" w:themeTint="F2"/>
                <w:sz w:val="20"/>
                <w:szCs w:val="20"/>
              </w:rPr>
              <w:t>Bazë</w:t>
            </w:r>
            <w:r w:rsidR="00EB42F4" w:rsidRPr="00353A7F">
              <w:rPr>
                <w:rFonts w:ascii="Garamond" w:eastAsia="Times New Roman" w:hAnsi="Garamond" w:cstheme="majorBidi"/>
                <w:b/>
                <w:bCs/>
                <w:color w:val="0D0D0D" w:themeColor="text1" w:themeTint="F2"/>
                <w:sz w:val="20"/>
                <w:szCs w:val="20"/>
              </w:rPr>
              <w:t xml:space="preserve"> (20</w:t>
            </w:r>
            <w:r w:rsidR="00803A39" w:rsidRPr="00353A7F">
              <w:rPr>
                <w:rFonts w:ascii="Garamond" w:eastAsia="Times New Roman" w:hAnsi="Garamond" w:cstheme="majorBidi"/>
                <w:b/>
                <w:bCs/>
                <w:color w:val="0D0D0D" w:themeColor="text1" w:themeTint="F2"/>
                <w:sz w:val="20"/>
                <w:szCs w:val="20"/>
              </w:rPr>
              <w:t>21</w:t>
            </w:r>
            <w:r w:rsidR="00EB42F4" w:rsidRPr="00353A7F">
              <w:rPr>
                <w:rFonts w:ascii="Garamond" w:eastAsia="Times New Roman" w:hAnsi="Garamond" w:cstheme="majorBidi"/>
                <w:b/>
                <w:bCs/>
                <w:color w:val="0D0D0D" w:themeColor="text1" w:themeTint="F2"/>
                <w:sz w:val="20"/>
                <w:szCs w:val="20"/>
              </w:rPr>
              <w:t>)</w:t>
            </w:r>
          </w:p>
        </w:tc>
        <w:tc>
          <w:tcPr>
            <w:tcW w:w="692" w:type="pct"/>
            <w:shd w:val="clear" w:color="auto" w:fill="auto"/>
            <w:vAlign w:val="center"/>
            <w:hideMark/>
          </w:tcPr>
          <w:p w14:paraId="696553ED" w14:textId="39C24993" w:rsidR="00A54F3A" w:rsidRPr="00353A7F" w:rsidRDefault="00B2062A" w:rsidP="00353A7F">
            <w:pPr>
              <w:jc w:val="center"/>
              <w:rPr>
                <w:rFonts w:ascii="Garamond" w:eastAsia="Times New Roman" w:hAnsi="Garamond" w:cstheme="majorBidi"/>
                <w:b/>
                <w:bCs/>
                <w:color w:val="0D0D0D" w:themeColor="text1" w:themeTint="F2"/>
                <w:sz w:val="20"/>
                <w:szCs w:val="20"/>
              </w:rPr>
            </w:pPr>
            <w:r w:rsidRPr="00353A7F">
              <w:rPr>
                <w:rFonts w:ascii="Garamond" w:eastAsia="Times New Roman" w:hAnsi="Garamond" w:cstheme="majorBidi"/>
                <w:b/>
                <w:bCs/>
                <w:color w:val="0D0D0D" w:themeColor="text1" w:themeTint="F2"/>
                <w:sz w:val="20"/>
                <w:szCs w:val="20"/>
              </w:rPr>
              <w:t>I ndërmjetëm</w:t>
            </w:r>
            <w:r w:rsidR="00E37672" w:rsidRPr="00353A7F">
              <w:rPr>
                <w:rFonts w:ascii="Garamond" w:eastAsia="Times New Roman" w:hAnsi="Garamond" w:cstheme="majorBidi"/>
                <w:b/>
                <w:bCs/>
                <w:color w:val="0D0D0D" w:themeColor="text1" w:themeTint="F2"/>
                <w:sz w:val="20"/>
                <w:szCs w:val="20"/>
              </w:rPr>
              <w:t xml:space="preserve"> (2024)</w:t>
            </w:r>
          </w:p>
        </w:tc>
        <w:tc>
          <w:tcPr>
            <w:tcW w:w="484" w:type="pct"/>
            <w:shd w:val="clear" w:color="auto" w:fill="auto"/>
            <w:vAlign w:val="center"/>
            <w:hideMark/>
          </w:tcPr>
          <w:p w14:paraId="6F518BAD" w14:textId="2A87E0A8" w:rsidR="00A54F3A" w:rsidRPr="00353A7F" w:rsidRDefault="00DB3786" w:rsidP="00353A7F">
            <w:pPr>
              <w:jc w:val="center"/>
              <w:rPr>
                <w:rFonts w:ascii="Garamond" w:eastAsia="Times New Roman" w:hAnsi="Garamond" w:cstheme="majorBidi"/>
                <w:b/>
                <w:bCs/>
                <w:color w:val="0D0D0D" w:themeColor="text1" w:themeTint="F2"/>
                <w:sz w:val="20"/>
                <w:szCs w:val="20"/>
              </w:rPr>
            </w:pPr>
            <w:r w:rsidRPr="00353A7F">
              <w:rPr>
                <w:rFonts w:ascii="Garamond" w:eastAsia="Times New Roman" w:hAnsi="Garamond" w:cstheme="majorBidi"/>
                <w:b/>
                <w:bCs/>
                <w:color w:val="0D0D0D" w:themeColor="text1" w:themeTint="F2"/>
                <w:sz w:val="20"/>
                <w:szCs w:val="20"/>
              </w:rPr>
              <w:t>Final</w:t>
            </w:r>
            <w:r w:rsidR="00E37672" w:rsidRPr="00353A7F">
              <w:rPr>
                <w:rFonts w:ascii="Garamond" w:eastAsia="Times New Roman" w:hAnsi="Garamond" w:cstheme="majorBidi"/>
                <w:b/>
                <w:bCs/>
                <w:color w:val="0D0D0D" w:themeColor="text1" w:themeTint="F2"/>
                <w:sz w:val="20"/>
                <w:szCs w:val="20"/>
              </w:rPr>
              <w:t xml:space="preserve"> (2025)</w:t>
            </w:r>
          </w:p>
        </w:tc>
      </w:tr>
      <w:tr w:rsidR="00803A39" w:rsidRPr="00770F9D" w14:paraId="5CC79195" w14:textId="77777777" w:rsidTr="008924BF">
        <w:trPr>
          <w:trHeight w:val="411"/>
          <w:jc w:val="center"/>
        </w:trPr>
        <w:tc>
          <w:tcPr>
            <w:tcW w:w="3407" w:type="pct"/>
            <w:shd w:val="clear" w:color="auto" w:fill="auto"/>
            <w:vAlign w:val="bottom"/>
          </w:tcPr>
          <w:p w14:paraId="0FCC5779" w14:textId="77777777" w:rsidR="00803A39" w:rsidRPr="00770F9D" w:rsidRDefault="00803A39" w:rsidP="00A67654">
            <w:pPr>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Pjesa e eksporteve shqiptare drejt palëve të CEFTA-s</w:t>
            </w:r>
          </w:p>
        </w:tc>
        <w:tc>
          <w:tcPr>
            <w:tcW w:w="418" w:type="pct"/>
            <w:shd w:val="clear" w:color="auto" w:fill="auto"/>
            <w:vAlign w:val="center"/>
          </w:tcPr>
          <w:p w14:paraId="2D44868A" w14:textId="77777777" w:rsidR="00803A39" w:rsidRPr="00770F9D" w:rsidRDefault="00803A39" w:rsidP="00A67654">
            <w:pPr>
              <w:jc w:val="both"/>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 xml:space="preserve">18.7% </w:t>
            </w:r>
          </w:p>
        </w:tc>
        <w:tc>
          <w:tcPr>
            <w:tcW w:w="692" w:type="pct"/>
            <w:shd w:val="clear" w:color="auto" w:fill="auto"/>
            <w:vAlign w:val="center"/>
          </w:tcPr>
          <w:p w14:paraId="38EA1DD8" w14:textId="77777777" w:rsidR="00803A39" w:rsidRPr="00770F9D" w:rsidRDefault="00803A39" w:rsidP="00A67654">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20%</w:t>
            </w:r>
          </w:p>
        </w:tc>
        <w:tc>
          <w:tcPr>
            <w:tcW w:w="484" w:type="pct"/>
            <w:shd w:val="clear" w:color="auto" w:fill="auto"/>
            <w:vAlign w:val="center"/>
          </w:tcPr>
          <w:p w14:paraId="0887CCC7" w14:textId="77777777" w:rsidR="00803A39" w:rsidRPr="00770F9D" w:rsidRDefault="00803A39" w:rsidP="00A67654">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21%</w:t>
            </w:r>
          </w:p>
        </w:tc>
      </w:tr>
      <w:tr w:rsidR="00803A39" w:rsidRPr="00770F9D" w14:paraId="2DDD5A7C" w14:textId="77777777" w:rsidTr="008924BF">
        <w:trPr>
          <w:trHeight w:val="411"/>
          <w:jc w:val="center"/>
        </w:trPr>
        <w:tc>
          <w:tcPr>
            <w:tcW w:w="3407" w:type="pct"/>
            <w:shd w:val="clear" w:color="auto" w:fill="auto"/>
            <w:vAlign w:val="bottom"/>
          </w:tcPr>
          <w:p w14:paraId="6F28F02C" w14:textId="77777777" w:rsidR="00803A39" w:rsidRPr="00770F9D" w:rsidRDefault="00803A39" w:rsidP="00A67654">
            <w:pPr>
              <w:rPr>
                <w:rFonts w:ascii="Garamond" w:eastAsia="Times New Roman" w:hAnsi="Garamond" w:cstheme="majorBidi"/>
                <w:b/>
                <w:bCs/>
                <w:color w:val="0D0D0D" w:themeColor="text1" w:themeTint="F2"/>
                <w:sz w:val="20"/>
                <w:szCs w:val="20"/>
              </w:rPr>
            </w:pPr>
            <w:r w:rsidRPr="00770F9D">
              <w:rPr>
                <w:rFonts w:ascii="Garamond" w:eastAsia="Times New Roman" w:hAnsi="Garamond" w:cstheme="majorBidi"/>
                <w:color w:val="0D0D0D" w:themeColor="text1" w:themeTint="F2"/>
                <w:sz w:val="20"/>
                <w:szCs w:val="20"/>
              </w:rPr>
              <w:t>Koha e pritjes në pikën e kalimit kufitar për zhdoganimin e mallit</w:t>
            </w:r>
          </w:p>
        </w:tc>
        <w:tc>
          <w:tcPr>
            <w:tcW w:w="418" w:type="pct"/>
            <w:shd w:val="clear" w:color="auto" w:fill="auto"/>
            <w:vAlign w:val="center"/>
          </w:tcPr>
          <w:p w14:paraId="1092A92B" w14:textId="77777777" w:rsidR="00803A39" w:rsidRPr="00770F9D" w:rsidRDefault="00803A39" w:rsidP="00353A7F">
            <w:pPr>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1,5 hours</w:t>
            </w:r>
            <w:r w:rsidRPr="00770F9D">
              <w:rPr>
                <w:rStyle w:val="FootnoteReference"/>
                <w:rFonts w:ascii="Garamond" w:hAnsi="Garamond" w:cstheme="majorBidi"/>
                <w:color w:val="0D0D0D" w:themeColor="text1" w:themeTint="F2"/>
                <w:sz w:val="20"/>
                <w:szCs w:val="20"/>
              </w:rPr>
              <w:footnoteReference w:id="16"/>
            </w:r>
          </w:p>
        </w:tc>
        <w:tc>
          <w:tcPr>
            <w:tcW w:w="692" w:type="pct"/>
            <w:shd w:val="clear" w:color="auto" w:fill="auto"/>
            <w:vAlign w:val="center"/>
          </w:tcPr>
          <w:p w14:paraId="6570A0B9" w14:textId="77777777" w:rsidR="00803A39" w:rsidRPr="00770F9D" w:rsidRDefault="00803A39" w:rsidP="00A67654">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1.2 hour</w:t>
            </w:r>
          </w:p>
        </w:tc>
        <w:tc>
          <w:tcPr>
            <w:tcW w:w="484" w:type="pct"/>
            <w:shd w:val="clear" w:color="auto" w:fill="auto"/>
            <w:vAlign w:val="center"/>
          </w:tcPr>
          <w:p w14:paraId="2CD2CBB3" w14:textId="77777777" w:rsidR="00803A39" w:rsidRPr="00770F9D" w:rsidRDefault="00803A39" w:rsidP="00A67654">
            <w:pPr>
              <w:jc w:val="right"/>
              <w:rPr>
                <w:rFonts w:ascii="Garamond" w:eastAsia="Times New Roman" w:hAnsi="Garamond" w:cstheme="majorBidi"/>
                <w:color w:val="0D0D0D" w:themeColor="text1" w:themeTint="F2"/>
                <w:sz w:val="20"/>
                <w:szCs w:val="20"/>
              </w:rPr>
            </w:pPr>
            <w:r w:rsidRPr="00770F9D">
              <w:rPr>
                <w:rFonts w:ascii="Garamond" w:eastAsia="Times New Roman" w:hAnsi="Garamond" w:cstheme="majorBidi"/>
                <w:color w:val="0D0D0D" w:themeColor="text1" w:themeTint="F2"/>
                <w:sz w:val="20"/>
                <w:szCs w:val="20"/>
              </w:rPr>
              <w:t>1 hour</w:t>
            </w:r>
          </w:p>
        </w:tc>
      </w:tr>
    </w:tbl>
    <w:p w14:paraId="1FE51353" w14:textId="77777777" w:rsidR="00CC1612" w:rsidRPr="00770F9D" w:rsidRDefault="00CC1612" w:rsidP="005674F2">
      <w:pPr>
        <w:snapToGrid w:val="0"/>
        <w:ind w:firstLine="284"/>
        <w:rPr>
          <w:rFonts w:ascii="Garamond" w:hAnsi="Garamond" w:cstheme="majorBidi"/>
          <w:color w:val="0D0D0D" w:themeColor="text1" w:themeTint="F2"/>
        </w:rPr>
      </w:pPr>
    </w:p>
    <w:p w14:paraId="72F9D561" w14:textId="14A9C7C8" w:rsidR="005674F2" w:rsidRPr="00770F9D" w:rsidRDefault="00A67654"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3</w:t>
      </w:r>
      <w:r w:rsidR="005674F2" w:rsidRPr="00770F9D">
        <w:rPr>
          <w:rFonts w:ascii="Garamond" w:hAnsi="Garamond"/>
          <w:color w:val="0D0D0D"/>
          <w:u w:val="none"/>
        </w:rPr>
        <w:t>.</w:t>
      </w:r>
      <w:r w:rsidR="00BA4F1A" w:rsidRPr="00770F9D">
        <w:rPr>
          <w:rFonts w:ascii="Garamond" w:hAnsi="Garamond"/>
          <w:color w:val="0D0D0D"/>
          <w:u w:val="none"/>
        </w:rPr>
        <w:t xml:space="preserve"> </w:t>
      </w:r>
      <w:r w:rsidR="005674F2" w:rsidRPr="00770F9D">
        <w:rPr>
          <w:rFonts w:ascii="Garamond" w:hAnsi="Garamond"/>
          <w:color w:val="0D0D0D"/>
          <w:u w:val="none"/>
        </w:rPr>
        <w:t>Ndikimi i pritshëm në konkurrueshmëri</w:t>
      </w:r>
    </w:p>
    <w:p w14:paraId="757BDA41" w14:textId="2E2DDA81" w:rsidR="005674F2" w:rsidRPr="00770F9D" w:rsidRDefault="005674F2" w:rsidP="00832067">
      <w:pPr>
        <w:ind w:firstLine="284"/>
        <w:jc w:val="both"/>
        <w:rPr>
          <w:rFonts w:ascii="Garamond" w:hAnsi="Garamond"/>
          <w:color w:val="0D0D0D"/>
        </w:rPr>
      </w:pPr>
      <w:r w:rsidRPr="00770F9D">
        <w:rPr>
          <w:rFonts w:ascii="Garamond" w:hAnsi="Garamond"/>
          <w:color w:val="0D0D0D"/>
        </w:rPr>
        <w:t>Orientimi i politikës sonë të tregtisë së jashtme me partnerët tregtarë bazohet në adresimin e problemeve dhe pengesave ekzistuese dhe të ardhshme me të cilat përballen bizneset tona tani dhe në rritjen e pjesëve të tregut</w:t>
      </w:r>
      <w:r w:rsidR="00832067">
        <w:rPr>
          <w:rFonts w:ascii="Garamond" w:hAnsi="Garamond"/>
          <w:color w:val="0D0D0D"/>
        </w:rPr>
        <w:t>,</w:t>
      </w:r>
      <w:r w:rsidRPr="00770F9D">
        <w:rPr>
          <w:rFonts w:ascii="Garamond" w:hAnsi="Garamond"/>
          <w:color w:val="0D0D0D"/>
        </w:rPr>
        <w:t xml:space="preserve"> duke hequr barrierat për tregtinë, harmonizimin e orarit të punës së agjencive kufitare me vendet fqinje</w:t>
      </w:r>
      <w:r w:rsidR="003469F3" w:rsidRPr="00770F9D">
        <w:rPr>
          <w:rFonts w:ascii="Garamond" w:hAnsi="Garamond"/>
          <w:color w:val="0D0D0D"/>
        </w:rPr>
        <w:t xml:space="preserve"> etj</w:t>
      </w:r>
      <w:r w:rsidRPr="00770F9D">
        <w:rPr>
          <w:rFonts w:ascii="Garamond" w:hAnsi="Garamond"/>
          <w:color w:val="0D0D0D"/>
        </w:rPr>
        <w:t xml:space="preserve">. heqja e këtyre pengesave do të nxisë konkurrencën shqiptare në tregjet rajonale, të BE-së dhe të tjera. Ekziston një lidhje e qartë me përmirësimet në mjedisin e përgjithshëm të biznesit dhe përmirësimet sektoriale (industria, bujqësia, transporti/trajtimi i mallrave, </w:t>
      </w:r>
      <w:r w:rsidR="003F4C96" w:rsidRPr="00770F9D">
        <w:rPr>
          <w:rFonts w:ascii="Garamond" w:hAnsi="Garamond"/>
          <w:color w:val="0D0D0D"/>
        </w:rPr>
        <w:t>digjital</w:t>
      </w:r>
      <w:r w:rsidRPr="00770F9D">
        <w:rPr>
          <w:rFonts w:ascii="Garamond" w:hAnsi="Garamond"/>
          <w:color w:val="0D0D0D"/>
        </w:rPr>
        <w:t>izimi, tregtia elektronike</w:t>
      </w:r>
      <w:r w:rsidR="00832067">
        <w:rPr>
          <w:rFonts w:ascii="Garamond" w:hAnsi="Garamond"/>
          <w:color w:val="0D0D0D"/>
        </w:rPr>
        <w:t>...</w:t>
      </w:r>
      <w:r w:rsidRPr="00770F9D">
        <w:rPr>
          <w:rFonts w:ascii="Garamond" w:hAnsi="Garamond"/>
          <w:color w:val="0D0D0D"/>
        </w:rPr>
        <w:t>).</w:t>
      </w:r>
    </w:p>
    <w:p w14:paraId="241D9429" w14:textId="30244461" w:rsidR="005674F2" w:rsidRPr="00770F9D" w:rsidRDefault="00A67654"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4</w:t>
      </w:r>
      <w:r w:rsidR="005674F2" w:rsidRPr="00770F9D">
        <w:rPr>
          <w:rFonts w:ascii="Garamond" w:hAnsi="Garamond"/>
          <w:color w:val="0D0D0D"/>
          <w:u w:val="none"/>
        </w:rPr>
        <w:t>.</w:t>
      </w:r>
      <w:r w:rsidR="00BA4F1A" w:rsidRPr="00770F9D">
        <w:rPr>
          <w:rFonts w:ascii="Garamond" w:hAnsi="Garamond"/>
          <w:color w:val="0D0D0D"/>
          <w:u w:val="none"/>
        </w:rPr>
        <w:t xml:space="preserve"> </w:t>
      </w:r>
      <w:r w:rsidR="005674F2" w:rsidRPr="00770F9D">
        <w:rPr>
          <w:rFonts w:ascii="Garamond" w:hAnsi="Garamond"/>
          <w:color w:val="0D0D0D"/>
          <w:u w:val="none"/>
        </w:rPr>
        <w:t>Kosto</w:t>
      </w:r>
      <w:r w:rsidR="00832067">
        <w:rPr>
          <w:rFonts w:ascii="Garamond" w:hAnsi="Garamond"/>
          <w:color w:val="0D0D0D"/>
          <w:u w:val="none"/>
        </w:rPr>
        <w:t>ja</w:t>
      </w:r>
      <w:r w:rsidR="005674F2" w:rsidRPr="00770F9D">
        <w:rPr>
          <w:rFonts w:ascii="Garamond" w:hAnsi="Garamond"/>
          <w:color w:val="0D0D0D"/>
          <w:u w:val="none"/>
        </w:rPr>
        <w:t xml:space="preserve"> e parashikuar e aktiviteteve dhe burimi i financimit</w:t>
      </w:r>
    </w:p>
    <w:p w14:paraId="1DC9B5C6" w14:textId="77777777" w:rsidR="005674F2" w:rsidRPr="00770F9D" w:rsidRDefault="005674F2" w:rsidP="00400806">
      <w:pPr>
        <w:ind w:firstLine="284"/>
        <w:jc w:val="both"/>
        <w:rPr>
          <w:rFonts w:ascii="Garamond" w:hAnsi="Garamond"/>
          <w:color w:val="0D0D0D"/>
        </w:rPr>
      </w:pPr>
      <w:r w:rsidRPr="00770F9D">
        <w:rPr>
          <w:rFonts w:ascii="Garamond" w:hAnsi="Garamond"/>
          <w:color w:val="0D0D0D"/>
        </w:rPr>
        <w:t>Kostoja e aktiviteteve dhe burimi i financimit janë të detajuara në tabelën 10a dhe tabelën 10b të aneksit 1.</w:t>
      </w:r>
    </w:p>
    <w:p w14:paraId="1EB1AF67" w14:textId="0AC2CC9D" w:rsidR="005674F2" w:rsidRPr="00770F9D" w:rsidRDefault="00A67654"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5</w:t>
      </w:r>
      <w:r w:rsidR="005674F2" w:rsidRPr="00770F9D">
        <w:rPr>
          <w:rFonts w:ascii="Garamond" w:hAnsi="Garamond"/>
          <w:color w:val="0D0D0D"/>
          <w:u w:val="none"/>
        </w:rPr>
        <w:t>.</w:t>
      </w:r>
      <w:r w:rsidR="00BA4F1A" w:rsidRPr="00770F9D">
        <w:rPr>
          <w:rFonts w:ascii="Garamond" w:hAnsi="Garamond"/>
          <w:color w:val="0D0D0D"/>
          <w:u w:val="none"/>
        </w:rPr>
        <w:t xml:space="preserve"> </w:t>
      </w:r>
      <w:r w:rsidR="005674F2" w:rsidRPr="00770F9D">
        <w:rPr>
          <w:rFonts w:ascii="Garamond" w:hAnsi="Garamond"/>
          <w:color w:val="0D0D0D"/>
          <w:u w:val="none"/>
        </w:rPr>
        <w:t>Ndikimi i pritshëm në përfundimet sociale si punësimi, ulja e varfërisë, barazia gjinore dhe aksesi në kujdesin shëndetësor</w:t>
      </w:r>
    </w:p>
    <w:p w14:paraId="21A2B632" w14:textId="77777777" w:rsidR="005674F2" w:rsidRPr="00770F9D" w:rsidRDefault="005674F2" w:rsidP="00400806">
      <w:pPr>
        <w:ind w:firstLine="284"/>
        <w:jc w:val="both"/>
        <w:rPr>
          <w:rFonts w:ascii="Garamond" w:hAnsi="Garamond"/>
          <w:color w:val="0D0D0D"/>
        </w:rPr>
      </w:pPr>
      <w:r w:rsidRPr="00770F9D">
        <w:rPr>
          <w:rFonts w:ascii="Garamond" w:hAnsi="Garamond"/>
          <w:color w:val="0D0D0D"/>
        </w:rPr>
        <w:t>Hapja e mëtejshme e politikës tregtare shqiptare drejt rritjes së mundësive të bizneseve për të rritur peshën e tregut në tregjet tradicionale dhe potenciale, do të ndikojë pozitivisht në ekonomi në rritjen e PBB-së dhe krijimin e vendeve të punës.</w:t>
      </w:r>
    </w:p>
    <w:p w14:paraId="46D4163D" w14:textId="4FE6AC17" w:rsidR="005674F2" w:rsidRPr="00770F9D" w:rsidRDefault="00A67654"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6</w:t>
      </w:r>
      <w:r w:rsidR="005674F2" w:rsidRPr="00770F9D">
        <w:rPr>
          <w:rFonts w:ascii="Garamond" w:hAnsi="Garamond"/>
          <w:color w:val="0D0D0D"/>
          <w:u w:val="none"/>
        </w:rPr>
        <w:t>.</w:t>
      </w:r>
      <w:r w:rsidR="00BA4F1A" w:rsidRPr="00770F9D">
        <w:rPr>
          <w:rFonts w:ascii="Garamond" w:hAnsi="Garamond"/>
          <w:color w:val="0D0D0D"/>
          <w:u w:val="none"/>
        </w:rPr>
        <w:t xml:space="preserve"> </w:t>
      </w:r>
      <w:r w:rsidR="005674F2" w:rsidRPr="00770F9D">
        <w:rPr>
          <w:rFonts w:ascii="Garamond" w:hAnsi="Garamond"/>
          <w:color w:val="0D0D0D"/>
          <w:u w:val="none"/>
        </w:rPr>
        <w:t>Ndikimi i pritshëm në mjedis dhe ndryshimi i klimës</w:t>
      </w:r>
    </w:p>
    <w:p w14:paraId="5165F1F5" w14:textId="77777777" w:rsidR="005674F2" w:rsidRPr="00770F9D" w:rsidRDefault="005674F2" w:rsidP="00400806">
      <w:pPr>
        <w:ind w:firstLine="284"/>
        <w:jc w:val="both"/>
        <w:rPr>
          <w:rFonts w:ascii="Garamond" w:hAnsi="Garamond"/>
          <w:color w:val="0D0D0D"/>
        </w:rPr>
      </w:pPr>
      <w:r w:rsidRPr="00770F9D">
        <w:rPr>
          <w:rFonts w:ascii="Garamond" w:hAnsi="Garamond"/>
          <w:color w:val="0D0D0D"/>
        </w:rPr>
        <w:t>Kjo masë nuk ka asnjë ndikim në mjedis.</w:t>
      </w:r>
    </w:p>
    <w:p w14:paraId="5517FB86" w14:textId="36A08C03" w:rsidR="005674F2" w:rsidRPr="00770F9D" w:rsidRDefault="00A67654"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7</w:t>
      </w:r>
      <w:r w:rsidR="005674F2" w:rsidRPr="00770F9D">
        <w:rPr>
          <w:rFonts w:ascii="Garamond" w:hAnsi="Garamond"/>
          <w:color w:val="0D0D0D"/>
          <w:u w:val="none"/>
        </w:rPr>
        <w:t>.</w:t>
      </w:r>
      <w:r w:rsidR="00BA4F1A" w:rsidRPr="00770F9D">
        <w:rPr>
          <w:rFonts w:ascii="Garamond" w:hAnsi="Garamond"/>
          <w:color w:val="0D0D0D"/>
          <w:u w:val="none"/>
        </w:rPr>
        <w:t xml:space="preserve"> </w:t>
      </w:r>
      <w:r w:rsidR="005674F2" w:rsidRPr="00770F9D">
        <w:rPr>
          <w:rFonts w:ascii="Garamond" w:hAnsi="Garamond"/>
          <w:color w:val="0D0D0D"/>
          <w:u w:val="none"/>
        </w:rPr>
        <w:t>Rreziqet e mundshme</w:t>
      </w:r>
    </w:p>
    <w:tbl>
      <w:tblPr>
        <w:tblStyle w:val="TableGrid"/>
        <w:tblW w:w="5000" w:type="pct"/>
        <w:jc w:val="center"/>
        <w:tblLook w:val="04A0" w:firstRow="1" w:lastRow="0" w:firstColumn="1" w:lastColumn="0" w:noHBand="0" w:noVBand="1"/>
      </w:tblPr>
      <w:tblGrid>
        <w:gridCol w:w="5269"/>
        <w:gridCol w:w="1380"/>
        <w:gridCol w:w="2638"/>
      </w:tblGrid>
      <w:tr w:rsidR="00FA29AB" w:rsidRPr="00770F9D" w14:paraId="66077486" w14:textId="77777777" w:rsidTr="001C17F4">
        <w:trPr>
          <w:jc w:val="center"/>
        </w:trPr>
        <w:tc>
          <w:tcPr>
            <w:tcW w:w="2837" w:type="pct"/>
            <w:vAlign w:val="center"/>
          </w:tcPr>
          <w:p w14:paraId="0809C86B" w14:textId="77777777" w:rsidR="00A54F3A" w:rsidRPr="001C17F4" w:rsidRDefault="00B2062A" w:rsidP="001C17F4">
            <w:pPr>
              <w:snapToGrid w:val="0"/>
              <w:jc w:val="center"/>
              <w:rPr>
                <w:rFonts w:ascii="Garamond" w:hAnsi="Garamond" w:cstheme="majorBidi"/>
                <w:b/>
                <w:bCs/>
                <w:color w:val="0D0D0D" w:themeColor="text1" w:themeTint="F2"/>
                <w:sz w:val="20"/>
              </w:rPr>
            </w:pPr>
            <w:r w:rsidRPr="001C17F4">
              <w:rPr>
                <w:rFonts w:ascii="Garamond" w:hAnsi="Garamond" w:cstheme="majorBidi"/>
                <w:b/>
                <w:bCs/>
                <w:color w:val="0D0D0D" w:themeColor="text1" w:themeTint="F2"/>
                <w:sz w:val="20"/>
              </w:rPr>
              <w:t>Rreziku</w:t>
            </w:r>
          </w:p>
        </w:tc>
        <w:tc>
          <w:tcPr>
            <w:tcW w:w="743" w:type="pct"/>
            <w:vAlign w:val="center"/>
          </w:tcPr>
          <w:p w14:paraId="7A5A561B" w14:textId="77777777" w:rsidR="00A54F3A" w:rsidRPr="001C17F4" w:rsidRDefault="00B2062A" w:rsidP="001C17F4">
            <w:pPr>
              <w:snapToGrid w:val="0"/>
              <w:jc w:val="center"/>
              <w:rPr>
                <w:rFonts w:ascii="Garamond" w:hAnsi="Garamond" w:cstheme="majorBidi"/>
                <w:b/>
                <w:bCs/>
                <w:color w:val="0D0D0D" w:themeColor="text1" w:themeTint="F2"/>
                <w:sz w:val="20"/>
              </w:rPr>
            </w:pPr>
            <w:r w:rsidRPr="001C17F4">
              <w:rPr>
                <w:rFonts w:ascii="Garamond" w:hAnsi="Garamond" w:cstheme="majorBidi"/>
                <w:b/>
                <w:bCs/>
                <w:color w:val="0D0D0D" w:themeColor="text1" w:themeTint="F2"/>
                <w:sz w:val="20"/>
              </w:rPr>
              <w:t>Mundësia</w:t>
            </w:r>
            <w:r w:rsidR="00A54F3A" w:rsidRPr="001C17F4">
              <w:rPr>
                <w:rFonts w:ascii="Garamond" w:hAnsi="Garamond" w:cstheme="majorBidi"/>
                <w:b/>
                <w:bCs/>
                <w:color w:val="0D0D0D" w:themeColor="text1" w:themeTint="F2"/>
                <w:sz w:val="20"/>
              </w:rPr>
              <w:t xml:space="preserve"> (</w:t>
            </w:r>
            <w:r w:rsidRPr="001C17F4">
              <w:rPr>
                <w:rFonts w:ascii="Garamond" w:hAnsi="Garamond" w:cstheme="majorBidi"/>
                <w:b/>
                <w:bCs/>
                <w:color w:val="0D0D0D" w:themeColor="text1" w:themeTint="F2"/>
                <w:sz w:val="20"/>
              </w:rPr>
              <w:t>e ulët, e lartë</w:t>
            </w:r>
            <w:r w:rsidR="00A54F3A" w:rsidRPr="001C17F4">
              <w:rPr>
                <w:rFonts w:ascii="Garamond" w:hAnsi="Garamond" w:cstheme="majorBidi"/>
                <w:b/>
                <w:bCs/>
                <w:color w:val="0D0D0D" w:themeColor="text1" w:themeTint="F2"/>
                <w:sz w:val="20"/>
              </w:rPr>
              <w:t>)</w:t>
            </w:r>
          </w:p>
        </w:tc>
        <w:tc>
          <w:tcPr>
            <w:tcW w:w="1420" w:type="pct"/>
            <w:vAlign w:val="center"/>
          </w:tcPr>
          <w:p w14:paraId="76A65493" w14:textId="77777777" w:rsidR="00A54F3A" w:rsidRPr="001C17F4" w:rsidRDefault="00B2062A" w:rsidP="001C17F4">
            <w:pPr>
              <w:snapToGrid w:val="0"/>
              <w:jc w:val="center"/>
              <w:rPr>
                <w:rFonts w:ascii="Garamond" w:hAnsi="Garamond" w:cstheme="majorBidi"/>
                <w:b/>
                <w:bCs/>
                <w:color w:val="0D0D0D" w:themeColor="text1" w:themeTint="F2"/>
                <w:sz w:val="20"/>
              </w:rPr>
            </w:pPr>
            <w:r w:rsidRPr="001C17F4">
              <w:rPr>
                <w:rFonts w:ascii="Garamond" w:hAnsi="Garamond" w:cstheme="majorBidi"/>
                <w:b/>
                <w:bCs/>
                <w:color w:val="0D0D0D" w:themeColor="text1" w:themeTint="F2"/>
                <w:sz w:val="20"/>
              </w:rPr>
              <w:t>Veprimi zbutës i parashikuar</w:t>
            </w:r>
          </w:p>
        </w:tc>
      </w:tr>
      <w:tr w:rsidR="00803A39" w:rsidRPr="00770F9D" w14:paraId="4851D7CB" w14:textId="77777777" w:rsidTr="001C17F4">
        <w:trPr>
          <w:jc w:val="center"/>
        </w:trPr>
        <w:tc>
          <w:tcPr>
            <w:tcW w:w="2837" w:type="pct"/>
          </w:tcPr>
          <w:p w14:paraId="470E32E3" w14:textId="248D6DD8" w:rsidR="00803A39" w:rsidRPr="00770F9D" w:rsidRDefault="001C17F4" w:rsidP="00A67654">
            <w:pPr>
              <w:snapToGrid w:val="0"/>
              <w:rPr>
                <w:rFonts w:ascii="Garamond" w:hAnsi="Garamond" w:cstheme="majorBidi"/>
                <w:color w:val="0D0D0D" w:themeColor="text1" w:themeTint="F2"/>
                <w:sz w:val="20"/>
              </w:rPr>
            </w:pPr>
            <w:r>
              <w:rPr>
                <w:rFonts w:ascii="Garamond" w:hAnsi="Garamond" w:cstheme="majorBidi"/>
                <w:color w:val="0D0D0D" w:themeColor="text1" w:themeTint="F2"/>
                <w:sz w:val="20"/>
              </w:rPr>
              <w:t>Vonesa në miratimin e draftv</w:t>
            </w:r>
            <w:r w:rsidR="00803A39" w:rsidRPr="00770F9D">
              <w:rPr>
                <w:rFonts w:ascii="Garamond" w:hAnsi="Garamond" w:cstheme="majorBidi"/>
                <w:color w:val="0D0D0D" w:themeColor="text1" w:themeTint="F2"/>
                <w:sz w:val="20"/>
              </w:rPr>
              <w:t>endimit të Komitetit të Përbashkët të CEFTA-s</w:t>
            </w:r>
            <w:r>
              <w:rPr>
                <w:rFonts w:ascii="Garamond" w:hAnsi="Garamond" w:cstheme="majorBidi"/>
                <w:color w:val="0D0D0D" w:themeColor="text1" w:themeTint="F2"/>
                <w:sz w:val="20"/>
              </w:rPr>
              <w:t>,</w:t>
            </w:r>
            <w:r w:rsidR="00803A39" w:rsidRPr="00770F9D">
              <w:rPr>
                <w:rFonts w:ascii="Garamond" w:hAnsi="Garamond" w:cstheme="majorBidi"/>
                <w:color w:val="0D0D0D" w:themeColor="text1" w:themeTint="F2"/>
                <w:sz w:val="20"/>
              </w:rPr>
              <w:t xml:space="preserve"> për shkak të çështjeve politike</w:t>
            </w:r>
          </w:p>
        </w:tc>
        <w:tc>
          <w:tcPr>
            <w:tcW w:w="743" w:type="pct"/>
          </w:tcPr>
          <w:p w14:paraId="06C31220" w14:textId="4D06603B" w:rsidR="00803A39" w:rsidRPr="00770F9D" w:rsidRDefault="001C17F4" w:rsidP="001C17F4">
            <w:pPr>
              <w:snapToGrid w:val="0"/>
              <w:rPr>
                <w:rFonts w:ascii="Garamond" w:hAnsi="Garamond" w:cstheme="majorBidi"/>
                <w:color w:val="0D0D0D" w:themeColor="text1" w:themeTint="F2"/>
                <w:sz w:val="20"/>
              </w:rPr>
            </w:pPr>
            <w:r>
              <w:rPr>
                <w:rFonts w:ascii="Garamond" w:hAnsi="Garamond" w:cstheme="majorBidi"/>
                <w:color w:val="0D0D0D" w:themeColor="text1" w:themeTint="F2"/>
                <w:sz w:val="20"/>
              </w:rPr>
              <w:t xml:space="preserve">E </w:t>
            </w:r>
            <w:r w:rsidRPr="00770F9D">
              <w:rPr>
                <w:rFonts w:ascii="Garamond" w:hAnsi="Garamond" w:cstheme="majorBidi"/>
                <w:color w:val="0D0D0D" w:themeColor="text1" w:themeTint="F2"/>
                <w:sz w:val="20"/>
              </w:rPr>
              <w:t>lart</w:t>
            </w:r>
            <w:r>
              <w:rPr>
                <w:rFonts w:ascii="Garamond" w:hAnsi="Garamond" w:cstheme="majorBidi"/>
                <w:color w:val="0D0D0D" w:themeColor="text1" w:themeTint="F2"/>
                <w:sz w:val="20"/>
              </w:rPr>
              <w:t>ë</w:t>
            </w:r>
          </w:p>
        </w:tc>
        <w:tc>
          <w:tcPr>
            <w:tcW w:w="1420" w:type="pct"/>
          </w:tcPr>
          <w:p w14:paraId="049AF912" w14:textId="77777777" w:rsidR="00803A39" w:rsidRPr="00770F9D" w:rsidRDefault="00803A39" w:rsidP="00A67654">
            <w:pPr>
              <w:snapToGrid w:val="0"/>
              <w:rPr>
                <w:rFonts w:ascii="Garamond" w:hAnsi="Garamond" w:cstheme="majorBidi"/>
                <w:color w:val="0D0D0D" w:themeColor="text1" w:themeTint="F2"/>
                <w:sz w:val="20"/>
              </w:rPr>
            </w:pPr>
            <w:r w:rsidRPr="00770F9D">
              <w:rPr>
                <w:rFonts w:ascii="Garamond" w:hAnsi="Garamond" w:cstheme="majorBidi"/>
                <w:color w:val="0D0D0D" w:themeColor="text1" w:themeTint="F2"/>
                <w:sz w:val="20"/>
              </w:rPr>
              <w:t>Nivel rajonal</w:t>
            </w:r>
          </w:p>
        </w:tc>
      </w:tr>
    </w:tbl>
    <w:p w14:paraId="595C29F5" w14:textId="441CD369" w:rsidR="00C21F03" w:rsidRPr="00770F9D" w:rsidRDefault="00A67654" w:rsidP="00400806">
      <w:pPr>
        <w:pStyle w:val="Heading3"/>
        <w:snapToGrid w:val="0"/>
        <w:ind w:left="0" w:firstLine="284"/>
        <w:jc w:val="both"/>
        <w:rPr>
          <w:rFonts w:ascii="Garamond" w:hAnsi="Garamond" w:cstheme="majorBidi"/>
          <w:b/>
          <w:color w:val="0D0D0D" w:themeColor="text1" w:themeTint="F2"/>
          <w:sz w:val="24"/>
          <w:szCs w:val="24"/>
        </w:rPr>
      </w:pPr>
      <w:bookmarkStart w:id="53" w:name="_Toc126050966"/>
      <w:r w:rsidRPr="00770F9D">
        <w:rPr>
          <w:rFonts w:ascii="Garamond" w:hAnsi="Garamond" w:cstheme="majorBidi"/>
          <w:b/>
          <w:color w:val="0D0D0D" w:themeColor="text1" w:themeTint="F2"/>
          <w:sz w:val="24"/>
          <w:szCs w:val="24"/>
        </w:rPr>
        <w:t>5.2.6.</w:t>
      </w:r>
      <w:r w:rsidR="005674F2" w:rsidRPr="00770F9D">
        <w:rPr>
          <w:rFonts w:ascii="Garamond" w:hAnsi="Garamond" w:cstheme="majorBidi"/>
          <w:b/>
          <w:color w:val="0D0D0D" w:themeColor="text1" w:themeTint="F2"/>
          <w:sz w:val="24"/>
          <w:szCs w:val="24"/>
        </w:rPr>
        <w:t xml:space="preserve"> </w:t>
      </w:r>
      <w:r w:rsidR="0084426F" w:rsidRPr="00770F9D">
        <w:rPr>
          <w:rFonts w:ascii="Garamond" w:hAnsi="Garamond" w:cstheme="majorBidi"/>
          <w:b/>
          <w:color w:val="0D0D0D" w:themeColor="text1" w:themeTint="F2"/>
          <w:sz w:val="24"/>
          <w:szCs w:val="24"/>
        </w:rPr>
        <w:t>Reformat e tregut t</w:t>
      </w:r>
      <w:r w:rsidR="00E77C7F" w:rsidRPr="00770F9D">
        <w:rPr>
          <w:rFonts w:ascii="Garamond" w:hAnsi="Garamond" w:cstheme="majorBidi"/>
          <w:b/>
          <w:color w:val="0D0D0D" w:themeColor="text1" w:themeTint="F2"/>
          <w:sz w:val="24"/>
          <w:szCs w:val="24"/>
        </w:rPr>
        <w:t>ë</w:t>
      </w:r>
      <w:r w:rsidR="0084426F" w:rsidRPr="00770F9D">
        <w:rPr>
          <w:rFonts w:ascii="Garamond" w:hAnsi="Garamond" w:cstheme="majorBidi"/>
          <w:b/>
          <w:color w:val="0D0D0D" w:themeColor="text1" w:themeTint="F2"/>
          <w:sz w:val="24"/>
          <w:szCs w:val="24"/>
        </w:rPr>
        <w:t xml:space="preserve"> e</w:t>
      </w:r>
      <w:r w:rsidR="002C5872" w:rsidRPr="00770F9D">
        <w:rPr>
          <w:rFonts w:ascii="Garamond" w:hAnsi="Garamond" w:cstheme="majorBidi"/>
          <w:b/>
          <w:color w:val="0D0D0D" w:themeColor="text1" w:themeTint="F2"/>
          <w:sz w:val="24"/>
          <w:szCs w:val="24"/>
        </w:rPr>
        <w:t>nergji</w:t>
      </w:r>
      <w:r w:rsidR="0084426F" w:rsidRPr="00770F9D">
        <w:rPr>
          <w:rFonts w:ascii="Garamond" w:hAnsi="Garamond" w:cstheme="majorBidi"/>
          <w:b/>
          <w:color w:val="0D0D0D" w:themeColor="text1" w:themeTint="F2"/>
          <w:sz w:val="24"/>
          <w:szCs w:val="24"/>
        </w:rPr>
        <w:t>s</w:t>
      </w:r>
      <w:r w:rsidR="00E77C7F" w:rsidRPr="00770F9D">
        <w:rPr>
          <w:rFonts w:ascii="Garamond" w:hAnsi="Garamond" w:cstheme="majorBidi"/>
          <w:b/>
          <w:color w:val="0D0D0D" w:themeColor="text1" w:themeTint="F2"/>
          <w:sz w:val="24"/>
          <w:szCs w:val="24"/>
        </w:rPr>
        <w:t>ë</w:t>
      </w:r>
      <w:bookmarkEnd w:id="53"/>
    </w:p>
    <w:p w14:paraId="3FC28C19" w14:textId="512A4986" w:rsidR="00080139" w:rsidRPr="00770F9D" w:rsidRDefault="00A67654" w:rsidP="001C17F4">
      <w:pPr>
        <w:pStyle w:val="Heading4"/>
        <w:snapToGrid w:val="0"/>
        <w:ind w:left="0" w:firstLine="284"/>
        <w:jc w:val="both"/>
        <w:rPr>
          <w:rFonts w:ascii="Garamond" w:hAnsi="Garamond" w:cstheme="majorBidi"/>
          <w:b w:val="0"/>
          <w:i/>
          <w:color w:val="0D0D0D" w:themeColor="text1" w:themeTint="F2"/>
          <w:sz w:val="24"/>
          <w:szCs w:val="24"/>
        </w:rPr>
      </w:pPr>
      <w:r w:rsidRPr="00770F9D">
        <w:rPr>
          <w:rFonts w:ascii="Garamond" w:hAnsi="Garamond" w:cstheme="majorBidi"/>
          <w:b w:val="0"/>
          <w:i/>
          <w:color w:val="0D0D0D" w:themeColor="text1" w:themeTint="F2"/>
          <w:sz w:val="24"/>
          <w:szCs w:val="24"/>
        </w:rPr>
        <w:t>a</w:t>
      </w:r>
      <w:r w:rsidR="001C17F4">
        <w:rPr>
          <w:rFonts w:ascii="Garamond" w:hAnsi="Garamond" w:cstheme="majorBidi"/>
          <w:b w:val="0"/>
          <w:i/>
          <w:color w:val="0D0D0D" w:themeColor="text1" w:themeTint="F2"/>
          <w:sz w:val="24"/>
          <w:szCs w:val="24"/>
        </w:rPr>
        <w:t xml:space="preserve">) </w:t>
      </w:r>
      <w:r w:rsidR="00B2062A" w:rsidRPr="00770F9D">
        <w:rPr>
          <w:rFonts w:ascii="Garamond" w:hAnsi="Garamond" w:cstheme="majorBidi"/>
          <w:b w:val="0"/>
          <w:i/>
          <w:color w:val="0D0D0D" w:themeColor="text1" w:themeTint="F2"/>
          <w:sz w:val="24"/>
          <w:szCs w:val="24"/>
        </w:rPr>
        <w:t>Analiza e pengesave kryesore</w:t>
      </w:r>
    </w:p>
    <w:p w14:paraId="258581BC" w14:textId="5364CA4D" w:rsidR="0084426F" w:rsidRPr="00770F9D" w:rsidRDefault="0084426F" w:rsidP="00DD1F70">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Dokumenti kryesor i politikave në sektorin e energjisë, Strategjia Kombëtare e Energjisë, e miratuar me VKM</w:t>
      </w:r>
      <w:r w:rsidR="001C17F4">
        <w:rPr>
          <w:rFonts w:ascii="Garamond" w:hAnsi="Garamond" w:cstheme="majorBidi"/>
          <w:color w:val="0D0D0D" w:themeColor="text1" w:themeTint="F2"/>
        </w:rPr>
        <w:t>-në</w:t>
      </w:r>
      <w:r w:rsidRPr="00770F9D">
        <w:rPr>
          <w:rFonts w:ascii="Garamond" w:hAnsi="Garamond" w:cstheme="majorBidi"/>
          <w:color w:val="0D0D0D" w:themeColor="text1" w:themeTint="F2"/>
        </w:rPr>
        <w:t xml:space="preserve"> nr. 480/2018, është në përputhje me përpjekjet kombëtare për të mbështetur zhvillimin ekonomik të vendit dhe për të përmbushur angazhimet sipas “Marrëveshjes së Stabilizimit dhe Asociimit”, Traktatit të Komunitetit të Energjisë dhe marrëveshjeve të tjera ndërkombëtare. Në të përcaktohen objektivat dhe synimet për rritjen e sigurisë së furnizimit me energji përmes diversifikimit të burimeve të prodhimit të energjisë nëpërmjet krijimit të një tregu mbështetës </w:t>
      </w:r>
      <w:r w:rsidR="002A4878" w:rsidRPr="00770F9D">
        <w:rPr>
          <w:rFonts w:ascii="Garamond" w:hAnsi="Garamond" w:cstheme="majorBidi"/>
          <w:color w:val="0D0D0D" w:themeColor="text1" w:themeTint="F2"/>
        </w:rPr>
        <w:t>vendës</w:t>
      </w:r>
      <w:r w:rsidRPr="00770F9D">
        <w:rPr>
          <w:rFonts w:ascii="Garamond" w:hAnsi="Garamond" w:cstheme="majorBidi"/>
          <w:color w:val="0D0D0D" w:themeColor="text1" w:themeTint="F2"/>
        </w:rPr>
        <w:t xml:space="preserve"> të energjisë, duke ulur nivelin e humbjeve teknike dhe </w:t>
      </w:r>
      <w:r w:rsidR="00F15F38" w:rsidRPr="00770F9D">
        <w:rPr>
          <w:rFonts w:ascii="Garamond" w:hAnsi="Garamond" w:cstheme="majorBidi"/>
          <w:color w:val="0D0D0D" w:themeColor="text1" w:themeTint="F2"/>
        </w:rPr>
        <w:t>jo</w:t>
      </w:r>
      <w:r w:rsidRPr="00770F9D">
        <w:rPr>
          <w:rFonts w:ascii="Garamond" w:hAnsi="Garamond" w:cstheme="majorBidi"/>
          <w:color w:val="0D0D0D" w:themeColor="text1" w:themeTint="F2"/>
        </w:rPr>
        <w:t>teknike të energjisë në rrjet, rritjen e efi</w:t>
      </w:r>
      <w:r w:rsidR="00123D6B">
        <w:rPr>
          <w:rFonts w:ascii="Garamond" w:hAnsi="Garamond" w:cstheme="majorBidi"/>
          <w:color w:val="0D0D0D" w:themeColor="text1" w:themeTint="F2"/>
        </w:rPr>
        <w:t>ci</w:t>
      </w:r>
      <w:r w:rsidRPr="00770F9D">
        <w:rPr>
          <w:rFonts w:ascii="Garamond" w:hAnsi="Garamond" w:cstheme="majorBidi"/>
          <w:color w:val="0D0D0D" w:themeColor="text1" w:themeTint="F2"/>
        </w:rPr>
        <w:t xml:space="preserve">encës së energjisë (EE) dhe rritjen e </w:t>
      </w:r>
      <w:r w:rsidR="00DD1F70">
        <w:rPr>
          <w:rFonts w:ascii="Garamond" w:hAnsi="Garamond" w:cstheme="majorBidi"/>
          <w:color w:val="0D0D0D" w:themeColor="text1" w:themeTint="F2"/>
        </w:rPr>
        <w:t>për</w:t>
      </w:r>
      <w:r w:rsidR="00623F19" w:rsidRPr="00770F9D">
        <w:rPr>
          <w:rFonts w:ascii="Garamond" w:hAnsi="Garamond" w:cstheme="majorBidi"/>
          <w:color w:val="0D0D0D" w:themeColor="text1" w:themeTint="F2"/>
        </w:rPr>
        <w:t>qind</w:t>
      </w:r>
      <w:r w:rsidRPr="00770F9D">
        <w:rPr>
          <w:rFonts w:ascii="Garamond" w:hAnsi="Garamond" w:cstheme="majorBidi"/>
          <w:color w:val="0D0D0D" w:themeColor="text1" w:themeTint="F2"/>
        </w:rPr>
        <w:t>jes së energjisë nga burimet e rinovueshme në konsumin final bruto të energjisë, e ndjekur nga zvogëlimi i sasisë së energjisë së importuar, përmirësimi i intensitetit të energjisë dhe reduktimi i emetimeve të gazeve serrë (GHG).</w:t>
      </w:r>
    </w:p>
    <w:p w14:paraId="540C5179" w14:textId="13ED3BE9" w:rsidR="0084426F" w:rsidRPr="00770F9D" w:rsidRDefault="0084426F" w:rsidP="00DD5C30">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Në zbatim të Strategjisë Kombëtare të Energjisë dhe referuar rekomandimit të BE-së, me </w:t>
      </w:r>
      <w:r w:rsidR="0048627D" w:rsidRPr="00770F9D">
        <w:rPr>
          <w:rFonts w:ascii="Garamond" w:hAnsi="Garamond" w:cstheme="majorBidi"/>
          <w:color w:val="0D0D0D" w:themeColor="text1" w:themeTint="F2"/>
        </w:rPr>
        <w:t xml:space="preserve">vendimin </w:t>
      </w:r>
      <w:r w:rsidRPr="00770F9D">
        <w:rPr>
          <w:rFonts w:ascii="Garamond" w:hAnsi="Garamond" w:cstheme="majorBidi"/>
          <w:color w:val="0D0D0D" w:themeColor="text1" w:themeTint="F2"/>
        </w:rPr>
        <w:t xml:space="preserve">e Këshillit të Ministrave nr. 872, datë 29.12.2021 është miratuar Plani Kombëtar për Energjinë dhe Klimën (NECP) 2020–2030. Ky </w:t>
      </w:r>
      <w:r w:rsidR="00FF0FB0" w:rsidRPr="00770F9D">
        <w:rPr>
          <w:rFonts w:ascii="Garamond" w:hAnsi="Garamond" w:cstheme="majorBidi"/>
          <w:color w:val="0D0D0D" w:themeColor="text1" w:themeTint="F2"/>
        </w:rPr>
        <w:t xml:space="preserve">plan </w:t>
      </w:r>
      <w:r w:rsidRPr="00770F9D">
        <w:rPr>
          <w:rFonts w:ascii="Garamond" w:hAnsi="Garamond" w:cstheme="majorBidi"/>
          <w:color w:val="0D0D0D" w:themeColor="text1" w:themeTint="F2"/>
        </w:rPr>
        <w:t>plotëson Strategjinë Kombëtare të Energjisë 2018</w:t>
      </w:r>
      <w:r w:rsidR="00FF0FB0">
        <w:rPr>
          <w:rFonts w:ascii="Garamond" w:hAnsi="Garamond"/>
          <w:color w:val="0D0D0D"/>
        </w:rPr>
        <w:t>–</w:t>
      </w:r>
      <w:r w:rsidRPr="00770F9D">
        <w:rPr>
          <w:rFonts w:ascii="Garamond" w:hAnsi="Garamond" w:cstheme="majorBidi"/>
          <w:color w:val="0D0D0D" w:themeColor="text1" w:themeTint="F2"/>
        </w:rPr>
        <w:t>2030 dhe përditëson Planin Kombëtar të Veprimit për Ef</w:t>
      </w:r>
      <w:r w:rsidR="00576C3E" w:rsidRPr="00770F9D">
        <w:rPr>
          <w:rFonts w:ascii="Garamond" w:hAnsi="Garamond" w:cstheme="majorBidi"/>
          <w:color w:val="0D0D0D" w:themeColor="text1" w:themeTint="F2"/>
        </w:rPr>
        <w:t>ci</w:t>
      </w:r>
      <w:r w:rsidRPr="00770F9D">
        <w:rPr>
          <w:rFonts w:ascii="Garamond" w:hAnsi="Garamond" w:cstheme="majorBidi"/>
          <w:color w:val="0D0D0D" w:themeColor="text1" w:themeTint="F2"/>
        </w:rPr>
        <w:t>encën e Energjisë (PKVEE), Planin Kombëtar të Konsoliduar të Veprimit për Burimet e Rinovueshme të Energjisë (PKKVBR) dhe në të njëjtën kohë vendos objektiva të r</w:t>
      </w:r>
      <w:r w:rsidR="008D0C70">
        <w:rPr>
          <w:rFonts w:ascii="Garamond" w:hAnsi="Garamond" w:cstheme="majorBidi"/>
          <w:color w:val="0D0D0D" w:themeColor="text1" w:themeTint="F2"/>
        </w:rPr>
        <w:t>inj</w:t>
      </w:r>
      <w:r w:rsidRPr="00770F9D">
        <w:rPr>
          <w:rFonts w:ascii="Garamond" w:hAnsi="Garamond" w:cstheme="majorBidi"/>
          <w:color w:val="0D0D0D" w:themeColor="text1" w:themeTint="F2"/>
        </w:rPr>
        <w:t xml:space="preserve"> më ambicioze për efi</w:t>
      </w:r>
      <w:r w:rsidR="00C75DD0">
        <w:rPr>
          <w:rFonts w:ascii="Garamond" w:hAnsi="Garamond" w:cstheme="majorBidi"/>
          <w:color w:val="0D0D0D" w:themeColor="text1" w:themeTint="F2"/>
        </w:rPr>
        <w:t>ci</w:t>
      </w:r>
      <w:r w:rsidR="00E46233">
        <w:rPr>
          <w:rFonts w:ascii="Garamond" w:hAnsi="Garamond" w:cstheme="majorBidi"/>
          <w:color w:val="0D0D0D" w:themeColor="text1" w:themeTint="F2"/>
        </w:rPr>
        <w:t>e</w:t>
      </w:r>
      <w:r w:rsidRPr="00770F9D">
        <w:rPr>
          <w:rFonts w:ascii="Garamond" w:hAnsi="Garamond" w:cstheme="majorBidi"/>
          <w:color w:val="0D0D0D" w:themeColor="text1" w:themeTint="F2"/>
        </w:rPr>
        <w:t xml:space="preserve">ncën e energjisë, përdorimin e energjive të rinovueshme dhe dekarbonizimin. Gjatë periudhës </w:t>
      </w:r>
      <w:r w:rsidR="00DD5C30">
        <w:rPr>
          <w:rFonts w:ascii="Garamond" w:hAnsi="Garamond" w:cstheme="majorBidi"/>
          <w:color w:val="0D0D0D" w:themeColor="text1" w:themeTint="F2"/>
        </w:rPr>
        <w:t>janar–</w:t>
      </w:r>
      <w:r w:rsidR="00C75DD0" w:rsidRPr="00770F9D">
        <w:rPr>
          <w:rFonts w:ascii="Garamond" w:hAnsi="Garamond" w:cstheme="majorBidi"/>
          <w:color w:val="0D0D0D" w:themeColor="text1" w:themeTint="F2"/>
        </w:rPr>
        <w:t xml:space="preserve">prill </w:t>
      </w:r>
      <w:r w:rsidRPr="00770F9D">
        <w:rPr>
          <w:rFonts w:ascii="Garamond" w:hAnsi="Garamond" w:cstheme="majorBidi"/>
          <w:color w:val="0D0D0D" w:themeColor="text1" w:themeTint="F2"/>
        </w:rPr>
        <w:t>2022, Plani Kombëtar për Energjinë dhe Klimën është rishikuar bazuar në rekomandimet e Sekretariatit të Komunitetit të Energjisë, duke synuar uljen e konsumit final të energjisë me 9.4% krahasuar me 8.4% në versionin e mëparshëm, rritjen e sasisë së energjisë së rinovueshme në konsumin final bruto të energjisë 59.4% krahasuar me 54.4%, ndërsa reduktimi i emetimeve të GS mbetet në nivelin 18.7%. Objektivat e r</w:t>
      </w:r>
      <w:r w:rsidR="00DD5C30">
        <w:rPr>
          <w:rFonts w:ascii="Garamond" w:hAnsi="Garamond" w:cstheme="majorBidi"/>
          <w:color w:val="0D0D0D" w:themeColor="text1" w:themeTint="F2"/>
        </w:rPr>
        <w:t>inj</w:t>
      </w:r>
      <w:r w:rsidRPr="00770F9D">
        <w:rPr>
          <w:rFonts w:ascii="Garamond" w:hAnsi="Garamond" w:cstheme="majorBidi"/>
          <w:color w:val="0D0D0D" w:themeColor="text1" w:themeTint="F2"/>
        </w:rPr>
        <w:t xml:space="preserve"> të propozuara nga Komisioni Evropian janë aprovuar nga Sekretariati dhe pritet të miratohet projektvendimi nga Këshilli i Ministrave.</w:t>
      </w:r>
    </w:p>
    <w:p w14:paraId="15439379" w14:textId="305E9915" w:rsidR="0084426F" w:rsidRPr="00770F9D" w:rsidRDefault="0084426F" w:rsidP="002967B8">
      <w:pPr>
        <w:ind w:firstLine="284"/>
        <w:jc w:val="both"/>
        <w:rPr>
          <w:rFonts w:ascii="Garamond" w:eastAsia="Noto Sans CJK SC Regular" w:hAnsi="Garamond" w:cstheme="majorBidi"/>
          <w:color w:val="0D0D0D" w:themeColor="text1" w:themeTint="F2"/>
          <w:lang w:eastAsia="zh-CN" w:bidi="hi-IN"/>
        </w:rPr>
      </w:pPr>
      <w:r w:rsidRPr="00770F9D">
        <w:rPr>
          <w:rFonts w:ascii="Garamond" w:hAnsi="Garamond" w:cstheme="majorBidi"/>
          <w:color w:val="0D0D0D" w:themeColor="text1" w:themeTint="F2"/>
        </w:rPr>
        <w:t>Legjislacioni për efi</w:t>
      </w:r>
      <w:r w:rsidR="00EA0991">
        <w:rPr>
          <w:rFonts w:ascii="Garamond" w:hAnsi="Garamond" w:cstheme="majorBidi"/>
          <w:color w:val="0D0D0D" w:themeColor="text1" w:themeTint="F2"/>
        </w:rPr>
        <w:t>ci</w:t>
      </w:r>
      <w:r w:rsidRPr="00770F9D">
        <w:rPr>
          <w:rFonts w:ascii="Garamond" w:hAnsi="Garamond" w:cstheme="majorBidi"/>
          <w:color w:val="0D0D0D" w:themeColor="text1" w:themeTint="F2"/>
        </w:rPr>
        <w:t xml:space="preserve">encën e energjisë dhe burimet e rinovueshme të energjisë, si dhe hartimi i akteve nënligjore përbëjnë një masë të rëndësishme të politikës </w:t>
      </w:r>
      <w:r w:rsidR="00971B43" w:rsidRPr="00770F9D">
        <w:rPr>
          <w:rFonts w:ascii="Garamond" w:hAnsi="Garamond" w:cstheme="majorBidi"/>
          <w:color w:val="0D0D0D" w:themeColor="text1" w:themeTint="F2"/>
        </w:rPr>
        <w:t>energjetik</w:t>
      </w:r>
      <w:r w:rsidRPr="00770F9D">
        <w:rPr>
          <w:rFonts w:ascii="Garamond" w:hAnsi="Garamond" w:cstheme="majorBidi"/>
          <w:color w:val="0D0D0D" w:themeColor="text1" w:themeTint="F2"/>
        </w:rPr>
        <w:t>e. Sektori i efi</w:t>
      </w:r>
      <w:r w:rsidR="009A6D83">
        <w:rPr>
          <w:rFonts w:ascii="Garamond" w:hAnsi="Garamond" w:cstheme="majorBidi"/>
          <w:color w:val="0D0D0D" w:themeColor="text1" w:themeTint="F2"/>
        </w:rPr>
        <w:t>ci</w:t>
      </w:r>
      <w:r w:rsidRPr="00770F9D">
        <w:rPr>
          <w:rFonts w:ascii="Garamond" w:hAnsi="Garamond" w:cstheme="majorBidi"/>
          <w:color w:val="0D0D0D" w:themeColor="text1" w:themeTint="F2"/>
        </w:rPr>
        <w:t>encës së energjisë në Shqipëri rregullohet nga dy ligjet të rëndësishme, Ligji “Për efi</w:t>
      </w:r>
      <w:r w:rsidR="009A6D83">
        <w:rPr>
          <w:rFonts w:ascii="Garamond" w:hAnsi="Garamond" w:cstheme="majorBidi"/>
          <w:color w:val="0D0D0D" w:themeColor="text1" w:themeTint="F2"/>
        </w:rPr>
        <w:t>ci</w:t>
      </w:r>
      <w:r w:rsidRPr="00770F9D">
        <w:rPr>
          <w:rFonts w:ascii="Garamond" w:hAnsi="Garamond" w:cstheme="majorBidi"/>
          <w:color w:val="0D0D0D" w:themeColor="text1" w:themeTint="F2"/>
        </w:rPr>
        <w:t xml:space="preserve">encën e </w:t>
      </w:r>
      <w:r w:rsidR="009A6D83" w:rsidRPr="00770F9D">
        <w:rPr>
          <w:rFonts w:ascii="Garamond" w:hAnsi="Garamond" w:cstheme="majorBidi"/>
          <w:color w:val="0D0D0D" w:themeColor="text1" w:themeTint="F2"/>
        </w:rPr>
        <w:t>energjisë</w:t>
      </w:r>
      <w:r w:rsidRPr="00770F9D">
        <w:rPr>
          <w:rFonts w:ascii="Garamond" w:hAnsi="Garamond" w:cstheme="majorBidi"/>
          <w:color w:val="0D0D0D" w:themeColor="text1" w:themeTint="F2"/>
        </w:rPr>
        <w:t xml:space="preserve">” dhe </w:t>
      </w:r>
      <w:r w:rsidR="009A6D83" w:rsidRPr="00770F9D">
        <w:rPr>
          <w:rFonts w:ascii="Garamond" w:hAnsi="Garamond" w:cstheme="majorBidi"/>
          <w:color w:val="0D0D0D" w:themeColor="text1" w:themeTint="F2"/>
        </w:rPr>
        <w:t xml:space="preserve">ligji </w:t>
      </w:r>
      <w:r w:rsidRPr="00770F9D">
        <w:rPr>
          <w:rFonts w:ascii="Garamond" w:hAnsi="Garamond" w:cstheme="majorBidi"/>
          <w:color w:val="0D0D0D" w:themeColor="text1" w:themeTint="F2"/>
        </w:rPr>
        <w:t xml:space="preserve">“Për </w:t>
      </w:r>
      <w:r w:rsidR="009A6D83" w:rsidRPr="00770F9D">
        <w:rPr>
          <w:rFonts w:ascii="Garamond" w:hAnsi="Garamond" w:cstheme="majorBidi"/>
          <w:color w:val="0D0D0D" w:themeColor="text1" w:themeTint="F2"/>
        </w:rPr>
        <w:t>performancën e energjisë në ndërtesa</w:t>
      </w:r>
      <w:r w:rsidRPr="00770F9D">
        <w:rPr>
          <w:rFonts w:ascii="Garamond" w:hAnsi="Garamond" w:cstheme="majorBidi"/>
          <w:color w:val="0D0D0D" w:themeColor="text1" w:themeTint="F2"/>
        </w:rPr>
        <w:t>”. Ligji “Për efi</w:t>
      </w:r>
      <w:r w:rsidR="009A6D83">
        <w:rPr>
          <w:rFonts w:ascii="Garamond" w:hAnsi="Garamond" w:cstheme="majorBidi"/>
          <w:color w:val="0D0D0D" w:themeColor="text1" w:themeTint="F2"/>
        </w:rPr>
        <w:t>ci</w:t>
      </w:r>
      <w:r w:rsidRPr="00770F9D">
        <w:rPr>
          <w:rFonts w:ascii="Garamond" w:hAnsi="Garamond" w:cstheme="majorBidi"/>
          <w:color w:val="0D0D0D" w:themeColor="text1" w:themeTint="F2"/>
        </w:rPr>
        <w:t xml:space="preserve">encën e energjisë”, i ndryshuar, është kryesisht në përputhje me </w:t>
      </w:r>
      <w:r w:rsidR="002967B8" w:rsidRPr="00770F9D">
        <w:rPr>
          <w:rFonts w:ascii="Garamond" w:hAnsi="Garamond" w:cstheme="majorBidi"/>
          <w:color w:val="0D0D0D" w:themeColor="text1" w:themeTint="F2"/>
        </w:rPr>
        <w:t xml:space="preserve">direktivën </w:t>
      </w:r>
      <w:r w:rsidRPr="00770F9D">
        <w:rPr>
          <w:rFonts w:ascii="Garamond" w:hAnsi="Garamond" w:cstheme="majorBidi"/>
          <w:color w:val="0D0D0D" w:themeColor="text1" w:themeTint="F2"/>
        </w:rPr>
        <w:t>2012/27/BE, veçanërisht si rezultat i ndryshimeve të miratuara në vitin 2021. Ky ligj synon krijimin dhe zbatimin e politikave kombëtare të detyrueshme për sektorin publik, privat përfshirë edhe konsumatorët e mëdhenj për të nxitur dhe përmirësuar përdorimin me efi</w:t>
      </w:r>
      <w:r w:rsidR="002967B8">
        <w:rPr>
          <w:rFonts w:ascii="Garamond" w:hAnsi="Garamond" w:cstheme="majorBidi"/>
          <w:color w:val="0D0D0D" w:themeColor="text1" w:themeTint="F2"/>
        </w:rPr>
        <w:t>ci</w:t>
      </w:r>
      <w:r w:rsidRPr="00770F9D">
        <w:rPr>
          <w:rFonts w:ascii="Garamond" w:hAnsi="Garamond" w:cstheme="majorBidi"/>
          <w:color w:val="0D0D0D" w:themeColor="text1" w:themeTint="F2"/>
        </w:rPr>
        <w:t xml:space="preserve">encë të energjisë. </w:t>
      </w:r>
      <w:r w:rsidRPr="00770F9D">
        <w:rPr>
          <w:rFonts w:ascii="Garamond" w:eastAsia="Noto Sans CJK SC Regular" w:hAnsi="Garamond" w:cstheme="majorBidi"/>
          <w:color w:val="0D0D0D" w:themeColor="text1" w:themeTint="F2"/>
          <w:lang w:eastAsia="zh-CN" w:bidi="hi-IN"/>
        </w:rPr>
        <w:t xml:space="preserve">Ligji </w:t>
      </w:r>
      <w:r w:rsidR="00971CA3" w:rsidRPr="00770F9D">
        <w:rPr>
          <w:rFonts w:ascii="Garamond" w:eastAsia="Noto Sans CJK SC Regular" w:hAnsi="Garamond" w:cstheme="majorBidi"/>
          <w:color w:val="0D0D0D" w:themeColor="text1" w:themeTint="F2"/>
          <w:lang w:eastAsia="zh-CN" w:bidi="hi-IN"/>
        </w:rPr>
        <w:t>nr</w:t>
      </w:r>
      <w:r w:rsidRPr="00770F9D">
        <w:rPr>
          <w:rFonts w:ascii="Garamond" w:eastAsia="Noto Sans CJK SC Regular" w:hAnsi="Garamond" w:cstheme="majorBidi"/>
          <w:color w:val="0D0D0D" w:themeColor="text1" w:themeTint="F2"/>
          <w:lang w:eastAsia="zh-CN" w:bidi="hi-IN"/>
        </w:rPr>
        <w:t>. 116/2016, datë 10.11.2016</w:t>
      </w:r>
      <w:r w:rsidR="00971CA3">
        <w:rPr>
          <w:rFonts w:ascii="Garamond" w:eastAsia="Noto Sans CJK SC Regular" w:hAnsi="Garamond" w:cstheme="majorBidi"/>
          <w:color w:val="0D0D0D" w:themeColor="text1" w:themeTint="F2"/>
          <w:lang w:eastAsia="zh-CN" w:bidi="hi-IN"/>
        </w:rPr>
        <w:t>,</w:t>
      </w:r>
      <w:r w:rsidRPr="00770F9D">
        <w:rPr>
          <w:rFonts w:ascii="Garamond" w:eastAsia="Noto Sans CJK SC Regular" w:hAnsi="Garamond" w:cstheme="majorBidi"/>
          <w:color w:val="0D0D0D" w:themeColor="text1" w:themeTint="F2"/>
          <w:lang w:eastAsia="zh-CN" w:bidi="hi-IN"/>
        </w:rPr>
        <w:t xml:space="preserve"> “Për performancën e energjisë së ndërtesave” është kryesisht në përputhje me </w:t>
      </w:r>
      <w:r w:rsidR="00971CA3" w:rsidRPr="00770F9D">
        <w:rPr>
          <w:rFonts w:ascii="Garamond" w:eastAsia="Noto Sans CJK SC Regular" w:hAnsi="Garamond" w:cstheme="majorBidi"/>
          <w:color w:val="0D0D0D" w:themeColor="text1" w:themeTint="F2"/>
          <w:lang w:eastAsia="zh-CN" w:bidi="hi-IN"/>
        </w:rPr>
        <w:t xml:space="preserve">direktivën </w:t>
      </w:r>
      <w:r w:rsidRPr="00770F9D">
        <w:rPr>
          <w:rFonts w:ascii="Garamond" w:eastAsia="Noto Sans CJK SC Regular" w:hAnsi="Garamond" w:cstheme="majorBidi"/>
          <w:color w:val="0D0D0D" w:themeColor="text1" w:themeTint="F2"/>
          <w:lang w:eastAsia="zh-CN" w:bidi="hi-IN"/>
        </w:rPr>
        <w:t xml:space="preserve">2010/31/BE. Ky ligj rregullon përmirësimin e performancës energjetike të ndërtesave, duke marrë parasysh kushtet klimatike lokale, nivelet e komfortit të brendshëm të një ndërtese dhe efektivitetin e kostos për ndërtimin e ndërtesave të reja dhe rinovimin e atyre ekzistuese. Në zbatim të ligjit nr. 116/2016, Këshilli i Ministrave ka miratuar një sërë rregulloresh zbatuese, të cilat specifikojnë më tej masat dhe procedurat për përmirësimin e performancës energjetike të ndërtesave. </w:t>
      </w:r>
    </w:p>
    <w:p w14:paraId="4A594D72" w14:textId="51E70720" w:rsidR="0084426F" w:rsidRPr="00770F9D" w:rsidRDefault="0084426F" w:rsidP="006A57A5">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Ndërsa aktet nënligjore përbëjnë një masë të rëndësishme në fushën e energjisë, sfida kryesore do të jetë zbatimi i tyre për të përmirësuar efi</w:t>
      </w:r>
      <w:r w:rsidR="006F2002">
        <w:rPr>
          <w:rFonts w:ascii="Garamond" w:hAnsi="Garamond" w:cstheme="majorBidi"/>
          <w:color w:val="0D0D0D" w:themeColor="text1" w:themeTint="F2"/>
        </w:rPr>
        <w:t>ci</w:t>
      </w:r>
      <w:r w:rsidRPr="00770F9D">
        <w:rPr>
          <w:rFonts w:ascii="Garamond" w:hAnsi="Garamond" w:cstheme="majorBidi"/>
          <w:color w:val="0D0D0D" w:themeColor="text1" w:themeTint="F2"/>
        </w:rPr>
        <w:t>encën dhe për të reduktuar konsumin final të energjisë në ndërtesa, në industri, shërbime dhe aktivitete të tjera të njësive të qeverisjes q</w:t>
      </w:r>
      <w:r w:rsidR="006A57A5">
        <w:rPr>
          <w:rFonts w:ascii="Garamond" w:hAnsi="Garamond" w:cstheme="majorBidi"/>
          <w:color w:val="0D0D0D" w:themeColor="text1" w:themeTint="F2"/>
        </w:rPr>
        <w:t>e</w:t>
      </w:r>
      <w:r w:rsidRPr="00770F9D">
        <w:rPr>
          <w:rFonts w:ascii="Garamond" w:hAnsi="Garamond" w:cstheme="majorBidi"/>
          <w:color w:val="0D0D0D" w:themeColor="text1" w:themeTint="F2"/>
        </w:rPr>
        <w:t>ndrore dhe vendore me fokus kryesor sistemet e furnizimit me ujë, trajtimin e ujërave të ndotura, ndriçimi publik, transporti publik etj. Për më tepër, për të mbështetur kët</w:t>
      </w:r>
      <w:r w:rsidR="006A57A5">
        <w:rPr>
          <w:rFonts w:ascii="Garamond" w:hAnsi="Garamond" w:cstheme="majorBidi"/>
          <w:color w:val="0D0D0D" w:themeColor="text1" w:themeTint="F2"/>
        </w:rPr>
        <w:t>a</w:t>
      </w:r>
      <w:r w:rsidRPr="00770F9D">
        <w:rPr>
          <w:rFonts w:ascii="Garamond" w:hAnsi="Garamond" w:cstheme="majorBidi"/>
          <w:color w:val="0D0D0D" w:themeColor="text1" w:themeTint="F2"/>
        </w:rPr>
        <w:t xml:space="preserve"> objektiva nevojiten politika dhe masa shtesë, duke përfshirë ato ligjore, ngritjen e kapaciteteve, aktivitete të zhvillimit organizativ dhe mbështetjeje financiare.</w:t>
      </w:r>
    </w:p>
    <w:p w14:paraId="28528CAF" w14:textId="207E6982" w:rsidR="0084426F" w:rsidRPr="00770F9D" w:rsidRDefault="0084426F" w:rsidP="00D976B6">
      <w:pPr>
        <w:ind w:firstLine="284"/>
        <w:jc w:val="both"/>
        <w:rPr>
          <w:rFonts w:ascii="Garamond" w:hAnsi="Garamond" w:cstheme="majorBidi"/>
          <w:iCs/>
          <w:color w:val="0D0D0D" w:themeColor="text1" w:themeTint="F2"/>
        </w:rPr>
      </w:pPr>
      <w:r w:rsidRPr="00770F9D">
        <w:rPr>
          <w:rFonts w:ascii="Garamond" w:hAnsi="Garamond" w:cstheme="majorBidi"/>
          <w:color w:val="0D0D0D" w:themeColor="text1" w:themeTint="F2"/>
        </w:rPr>
        <w:t xml:space="preserve">Ndërkohë, një sërë aktesh ligjore dhe nënligjore janë parashikuar të cilat janë paraqitur edhe në </w:t>
      </w:r>
      <w:r w:rsidR="002D7053" w:rsidRPr="00770F9D">
        <w:rPr>
          <w:rFonts w:ascii="Garamond" w:hAnsi="Garamond" w:cstheme="majorBidi"/>
          <w:color w:val="0D0D0D" w:themeColor="text1" w:themeTint="F2"/>
        </w:rPr>
        <w:t xml:space="preserve">planin analitik të akteve ligjore për </w:t>
      </w:r>
      <w:r w:rsidRPr="00770F9D">
        <w:rPr>
          <w:rFonts w:ascii="Garamond" w:hAnsi="Garamond" w:cstheme="majorBidi"/>
          <w:color w:val="0D0D0D" w:themeColor="text1" w:themeTint="F2"/>
        </w:rPr>
        <w:t xml:space="preserve">vitin 2023 dhe në Planin Kombëtar për Integrimin Evropian </w:t>
      </w:r>
      <w:r w:rsidR="003F4C96" w:rsidRPr="00770F9D">
        <w:rPr>
          <w:rFonts w:ascii="Garamond" w:hAnsi="Garamond" w:cstheme="majorBidi"/>
          <w:color w:val="0D0D0D" w:themeColor="text1" w:themeTint="F2"/>
        </w:rPr>
        <w:t>2023–2025</w:t>
      </w:r>
      <w:r w:rsidRPr="00770F9D">
        <w:rPr>
          <w:rFonts w:ascii="Garamond" w:hAnsi="Garamond" w:cstheme="majorBidi"/>
          <w:color w:val="0D0D0D" w:themeColor="text1" w:themeTint="F2"/>
        </w:rPr>
        <w:t>. N</w:t>
      </w:r>
      <w:r w:rsidRPr="00770F9D">
        <w:rPr>
          <w:rFonts w:ascii="Garamond" w:eastAsia="Noto Sans CJK SC Regular" w:hAnsi="Garamond" w:cstheme="majorBidi"/>
          <w:color w:val="0D0D0D" w:themeColor="text1" w:themeTint="F2"/>
          <w:lang w:eastAsia="zh-CN" w:bidi="hi-IN"/>
        </w:rPr>
        <w:t xml:space="preserve">ë zbatim të </w:t>
      </w:r>
      <w:r w:rsidR="002D7053" w:rsidRPr="00770F9D">
        <w:rPr>
          <w:rFonts w:ascii="Garamond" w:eastAsia="Noto Sans CJK SC Regular" w:hAnsi="Garamond" w:cstheme="majorBidi"/>
          <w:color w:val="0D0D0D" w:themeColor="text1" w:themeTint="F2"/>
          <w:lang w:eastAsia="zh-CN" w:bidi="hi-IN"/>
        </w:rPr>
        <w:t xml:space="preserve">ligjit nr. </w:t>
      </w:r>
      <w:r w:rsidRPr="00770F9D">
        <w:rPr>
          <w:rFonts w:ascii="Garamond" w:eastAsia="Noto Sans CJK SC Regular" w:hAnsi="Garamond" w:cstheme="majorBidi"/>
          <w:color w:val="0D0D0D" w:themeColor="text1" w:themeTint="F2"/>
          <w:lang w:eastAsia="zh-CN" w:bidi="hi-IN"/>
        </w:rPr>
        <w:t>124/2015, datë 12.11.2015</w:t>
      </w:r>
      <w:r w:rsidR="002D7053">
        <w:rPr>
          <w:rFonts w:ascii="Garamond" w:eastAsia="Noto Sans CJK SC Regular" w:hAnsi="Garamond" w:cstheme="majorBidi"/>
          <w:color w:val="0D0D0D" w:themeColor="text1" w:themeTint="F2"/>
          <w:lang w:eastAsia="zh-CN" w:bidi="hi-IN"/>
        </w:rPr>
        <w:t>,</w:t>
      </w:r>
      <w:r w:rsidRPr="00770F9D">
        <w:rPr>
          <w:rFonts w:ascii="Garamond" w:eastAsia="Noto Sans CJK SC Regular" w:hAnsi="Garamond" w:cstheme="majorBidi"/>
          <w:color w:val="0D0D0D" w:themeColor="text1" w:themeTint="F2"/>
          <w:lang w:eastAsia="zh-CN" w:bidi="hi-IN"/>
        </w:rPr>
        <w:t xml:space="preserve"> “Për efi</w:t>
      </w:r>
      <w:r w:rsidR="002D7053">
        <w:rPr>
          <w:rFonts w:ascii="Garamond" w:eastAsia="Noto Sans CJK SC Regular" w:hAnsi="Garamond" w:cstheme="majorBidi"/>
          <w:color w:val="0D0D0D" w:themeColor="text1" w:themeTint="F2"/>
          <w:lang w:eastAsia="zh-CN" w:bidi="hi-IN"/>
        </w:rPr>
        <w:t>ci</w:t>
      </w:r>
      <w:r w:rsidRPr="00770F9D">
        <w:rPr>
          <w:rFonts w:ascii="Garamond" w:eastAsia="Noto Sans CJK SC Regular" w:hAnsi="Garamond" w:cstheme="majorBidi"/>
          <w:color w:val="0D0D0D" w:themeColor="text1" w:themeTint="F2"/>
          <w:lang w:eastAsia="zh-CN" w:bidi="hi-IN"/>
        </w:rPr>
        <w:t xml:space="preserve">encën e energjisë”, </w:t>
      </w:r>
      <w:r w:rsidR="005E32F3">
        <w:rPr>
          <w:rFonts w:ascii="Garamond" w:eastAsia="Noto Sans CJK SC Regular" w:hAnsi="Garamond" w:cstheme="majorBidi"/>
          <w:color w:val="0D0D0D" w:themeColor="text1" w:themeTint="F2"/>
          <w:lang w:eastAsia="zh-CN" w:bidi="hi-IN"/>
        </w:rPr>
        <w:t xml:space="preserve">të </w:t>
      </w:r>
      <w:r w:rsidRPr="00770F9D">
        <w:rPr>
          <w:rFonts w:ascii="Garamond" w:eastAsia="Noto Sans CJK SC Regular" w:hAnsi="Garamond" w:cstheme="majorBidi"/>
          <w:color w:val="0D0D0D" w:themeColor="text1" w:themeTint="F2"/>
          <w:lang w:eastAsia="zh-CN" w:bidi="hi-IN"/>
        </w:rPr>
        <w:t>ndryshuar</w:t>
      </w:r>
      <w:r w:rsidRPr="00770F9D">
        <w:rPr>
          <w:rFonts w:ascii="Garamond" w:hAnsi="Garamond" w:cstheme="majorBidi"/>
          <w:color w:val="0D0D0D" w:themeColor="text1" w:themeTint="F2"/>
        </w:rPr>
        <w:t xml:space="preserve"> është </w:t>
      </w:r>
      <w:r w:rsidRPr="00770F9D">
        <w:rPr>
          <w:rFonts w:ascii="Garamond" w:eastAsia="Noto Sans CJK SC Regular" w:hAnsi="Garamond" w:cstheme="majorBidi"/>
          <w:color w:val="0D0D0D" w:themeColor="text1" w:themeTint="F2"/>
          <w:lang w:eastAsia="zh-CN" w:bidi="hi-IN"/>
        </w:rPr>
        <w:t>përgatitur projektvendimi i Këshillit të Ministrave</w:t>
      </w:r>
      <w:r w:rsidR="005E32F3">
        <w:rPr>
          <w:rFonts w:ascii="Garamond" w:eastAsia="Noto Sans CJK SC Regular" w:hAnsi="Garamond" w:cstheme="majorBidi"/>
          <w:color w:val="0D0D0D" w:themeColor="text1" w:themeTint="F2"/>
          <w:lang w:eastAsia="zh-CN" w:bidi="hi-IN"/>
        </w:rPr>
        <w:t>,</w:t>
      </w:r>
      <w:r w:rsidRPr="00770F9D">
        <w:rPr>
          <w:rFonts w:ascii="Garamond" w:eastAsia="Noto Sans CJK SC Regular" w:hAnsi="Garamond" w:cstheme="majorBidi"/>
          <w:color w:val="0D0D0D" w:themeColor="text1" w:themeTint="F2"/>
          <w:lang w:eastAsia="zh-CN" w:bidi="hi-IN"/>
        </w:rPr>
        <w:t xml:space="preserve"> “Për miratimin e procedurave dhe metodologjisë së ngritjes së platformës së monitorimit dhe verifikimit të kursimeve të energjisë”, </w:t>
      </w:r>
      <w:r w:rsidRPr="00770F9D">
        <w:rPr>
          <w:rFonts w:ascii="Garamond" w:hAnsi="Garamond" w:cstheme="majorBidi"/>
          <w:color w:val="0D0D0D" w:themeColor="text1" w:themeTint="F2"/>
        </w:rPr>
        <w:t xml:space="preserve">i cili </w:t>
      </w:r>
      <w:r w:rsidRPr="00770F9D">
        <w:rPr>
          <w:rFonts w:ascii="Garamond" w:eastAsia="Noto Sans CJK SC Regular" w:hAnsi="Garamond" w:cstheme="majorBidi"/>
          <w:color w:val="0D0D0D" w:themeColor="text1" w:themeTint="F2"/>
          <w:lang w:eastAsia="zh-CN" w:bidi="hi-IN"/>
        </w:rPr>
        <w:t xml:space="preserve">është parashikuar të miratohet brenda vitit 2023 dhe </w:t>
      </w:r>
      <w:r w:rsidRPr="00770F9D">
        <w:rPr>
          <w:rFonts w:ascii="Garamond" w:hAnsi="Garamond" w:cstheme="majorBidi"/>
          <w:color w:val="0D0D0D" w:themeColor="text1" w:themeTint="F2"/>
        </w:rPr>
        <w:t xml:space="preserve">ka si qëllim krijimin e një platforme </w:t>
      </w:r>
      <w:r w:rsidR="003F4C96" w:rsidRPr="00770F9D">
        <w:rPr>
          <w:rFonts w:ascii="Garamond" w:hAnsi="Garamond" w:cstheme="majorBidi"/>
          <w:color w:val="0D0D0D" w:themeColor="text1" w:themeTint="F2"/>
        </w:rPr>
        <w:t>digjital</w:t>
      </w:r>
      <w:r w:rsidRPr="00770F9D">
        <w:rPr>
          <w:rFonts w:ascii="Garamond" w:hAnsi="Garamond" w:cstheme="majorBidi"/>
          <w:color w:val="0D0D0D" w:themeColor="text1" w:themeTint="F2"/>
        </w:rPr>
        <w:t>e monitorimi dhe verifikimi si bazë për vlerësimin e arritjes së objektivave kombëtar</w:t>
      </w:r>
      <w:r w:rsidR="005E32F3">
        <w:rPr>
          <w:rFonts w:ascii="Garamond" w:hAnsi="Garamond" w:cstheme="majorBidi"/>
          <w:color w:val="0D0D0D" w:themeColor="text1" w:themeTint="F2"/>
        </w:rPr>
        <w:t>ë</w:t>
      </w:r>
      <w:r w:rsidRPr="00770F9D">
        <w:rPr>
          <w:rFonts w:ascii="Garamond" w:hAnsi="Garamond" w:cstheme="majorBidi"/>
          <w:color w:val="0D0D0D" w:themeColor="text1" w:themeTint="F2"/>
        </w:rPr>
        <w:t xml:space="preserve"> të efi</w:t>
      </w:r>
      <w:r w:rsidR="005E32F3">
        <w:rPr>
          <w:rFonts w:ascii="Garamond" w:hAnsi="Garamond" w:cstheme="majorBidi"/>
          <w:color w:val="0D0D0D" w:themeColor="text1" w:themeTint="F2"/>
        </w:rPr>
        <w:t>ci</w:t>
      </w:r>
      <w:r w:rsidRPr="00770F9D">
        <w:rPr>
          <w:rFonts w:ascii="Garamond" w:hAnsi="Garamond" w:cstheme="majorBidi"/>
          <w:color w:val="0D0D0D" w:themeColor="text1" w:themeTint="F2"/>
        </w:rPr>
        <w:t xml:space="preserve">encës së energjisë në nivel kombëtar, rajonal apo vendor. Në vijim të plotësimit të bazës ligjore në zbatim të </w:t>
      </w:r>
      <w:r w:rsidR="003B6DE4" w:rsidRPr="00770F9D">
        <w:rPr>
          <w:rFonts w:ascii="Garamond" w:hAnsi="Garamond" w:cstheme="majorBidi"/>
          <w:color w:val="0D0D0D" w:themeColor="text1" w:themeTint="F2"/>
        </w:rPr>
        <w:t>ligjit n</w:t>
      </w:r>
      <w:r w:rsidRPr="00770F9D">
        <w:rPr>
          <w:rFonts w:ascii="Garamond" w:hAnsi="Garamond" w:cstheme="majorBidi"/>
          <w:color w:val="0D0D0D" w:themeColor="text1" w:themeTint="F2"/>
        </w:rPr>
        <w:t xml:space="preserve">r. 124/2015, i ndryshuar, MIE ka ndërmarrë nismën e ngritjes së një grupi pune për hartimin e </w:t>
      </w:r>
      <w:r w:rsidRPr="00770F9D">
        <w:rPr>
          <w:rFonts w:ascii="Garamond" w:hAnsi="Garamond" w:cstheme="majorBidi"/>
          <w:iCs/>
          <w:color w:val="0D0D0D" w:themeColor="text1" w:themeTint="F2"/>
        </w:rPr>
        <w:t>VKM-së “Për miratimin e rregullave dhe procedurave të prokurimit publik për blerjen e produkteve, shërbimeve dhe ndërtesave me performancë të lartë të efi</w:t>
      </w:r>
      <w:r w:rsidR="003B6DE4">
        <w:rPr>
          <w:rFonts w:ascii="Garamond" w:hAnsi="Garamond" w:cstheme="majorBidi"/>
          <w:iCs/>
          <w:color w:val="0D0D0D" w:themeColor="text1" w:themeTint="F2"/>
        </w:rPr>
        <w:t>ci</w:t>
      </w:r>
      <w:r w:rsidRPr="00770F9D">
        <w:rPr>
          <w:rFonts w:ascii="Garamond" w:hAnsi="Garamond" w:cstheme="majorBidi"/>
          <w:iCs/>
          <w:color w:val="0D0D0D" w:themeColor="text1" w:themeTint="F2"/>
        </w:rPr>
        <w:t>encës së energjisë”, nëpërmjet të cilit do të përcaktohen procedurat e prokurimit publik për blerjen e produkteve, shërbimeve dhe ndërtesave me performancë të lartë të efi</w:t>
      </w:r>
      <w:r w:rsidR="00D976B6">
        <w:rPr>
          <w:rFonts w:ascii="Garamond" w:hAnsi="Garamond" w:cstheme="majorBidi"/>
          <w:iCs/>
          <w:color w:val="0D0D0D" w:themeColor="text1" w:themeTint="F2"/>
        </w:rPr>
        <w:t>ci</w:t>
      </w:r>
      <w:r w:rsidRPr="00770F9D">
        <w:rPr>
          <w:rFonts w:ascii="Garamond" w:hAnsi="Garamond" w:cstheme="majorBidi"/>
          <w:iCs/>
          <w:color w:val="0D0D0D" w:themeColor="text1" w:themeTint="F2"/>
        </w:rPr>
        <w:t>encës së energjisë në përputhje me efektivitetin e kostove, fizibilitetin ekonomik, përshtatshmërinë teknike, si dhe konkurrencën e mjaftueshme.</w:t>
      </w:r>
    </w:p>
    <w:p w14:paraId="4E953D7F" w14:textId="4C215E11" w:rsidR="0084426F" w:rsidRPr="00770F9D" w:rsidRDefault="0084426F" w:rsidP="00400806">
      <w:pPr>
        <w:tabs>
          <w:tab w:val="center" w:pos="4320"/>
          <w:tab w:val="right" w:pos="8640"/>
        </w:tabs>
        <w:ind w:firstLine="284"/>
        <w:jc w:val="both"/>
        <w:rPr>
          <w:rFonts w:ascii="Garamond" w:hAnsi="Garamond" w:cstheme="majorBidi"/>
          <w:iCs/>
          <w:color w:val="0D0D0D" w:themeColor="text1" w:themeTint="F2"/>
        </w:rPr>
      </w:pPr>
      <w:r w:rsidRPr="00770F9D">
        <w:rPr>
          <w:rFonts w:ascii="Garamond" w:eastAsia="Noto Sans CJK SC Regular" w:hAnsi="Garamond" w:cstheme="majorBidi"/>
          <w:color w:val="0D0D0D" w:themeColor="text1" w:themeTint="F2"/>
          <w:lang w:eastAsia="zh-CN" w:bidi="hi-IN"/>
        </w:rPr>
        <w:t xml:space="preserve">Në zbatim të </w:t>
      </w:r>
      <w:r w:rsidR="00D976B6" w:rsidRPr="00770F9D">
        <w:rPr>
          <w:rFonts w:ascii="Garamond" w:eastAsia="Noto Sans CJK SC Regular" w:hAnsi="Garamond" w:cstheme="majorBidi"/>
          <w:color w:val="0D0D0D" w:themeColor="text1" w:themeTint="F2"/>
          <w:lang w:eastAsia="zh-CN" w:bidi="hi-IN"/>
        </w:rPr>
        <w:t>ligjit nr</w:t>
      </w:r>
      <w:r w:rsidRPr="00770F9D">
        <w:rPr>
          <w:rFonts w:ascii="Garamond" w:eastAsia="Noto Sans CJK SC Regular" w:hAnsi="Garamond" w:cstheme="majorBidi"/>
          <w:color w:val="0D0D0D" w:themeColor="text1" w:themeTint="F2"/>
          <w:lang w:eastAsia="zh-CN" w:bidi="hi-IN"/>
        </w:rPr>
        <w:t>. 116/2016, datë 10.11.2016</w:t>
      </w:r>
      <w:r w:rsidR="00D976B6">
        <w:rPr>
          <w:rFonts w:ascii="Garamond" w:eastAsia="Noto Sans CJK SC Regular" w:hAnsi="Garamond" w:cstheme="majorBidi"/>
          <w:color w:val="0D0D0D" w:themeColor="text1" w:themeTint="F2"/>
          <w:lang w:eastAsia="zh-CN" w:bidi="hi-IN"/>
        </w:rPr>
        <w:t>,</w:t>
      </w:r>
      <w:r w:rsidRPr="00770F9D">
        <w:rPr>
          <w:rFonts w:ascii="Garamond" w:eastAsia="Noto Sans CJK SC Regular" w:hAnsi="Garamond" w:cstheme="majorBidi"/>
          <w:color w:val="0D0D0D" w:themeColor="text1" w:themeTint="F2"/>
          <w:lang w:eastAsia="zh-CN" w:bidi="hi-IN"/>
        </w:rPr>
        <w:t xml:space="preserve"> “Për performancën e energjisë së ndërtesave”</w:t>
      </w:r>
      <w:r w:rsidR="00D976B6">
        <w:rPr>
          <w:rFonts w:ascii="Garamond" w:eastAsia="Noto Sans CJK SC Regular" w:hAnsi="Garamond" w:cstheme="majorBidi"/>
          <w:color w:val="0D0D0D" w:themeColor="text1" w:themeTint="F2"/>
          <w:lang w:eastAsia="zh-CN" w:bidi="hi-IN"/>
        </w:rPr>
        <w:t>,</w:t>
      </w:r>
      <w:r w:rsidRPr="00770F9D">
        <w:rPr>
          <w:rFonts w:ascii="Garamond" w:eastAsia="Noto Sans CJK SC Regular" w:hAnsi="Garamond" w:cstheme="majorBidi"/>
          <w:color w:val="0D0D0D" w:themeColor="text1" w:themeTint="F2"/>
          <w:lang w:eastAsia="zh-CN" w:bidi="hi-IN"/>
        </w:rPr>
        <w:t xml:space="preserve"> është përgatitur edhe projektvendimi i Këshillit të Ministrave</w:t>
      </w:r>
      <w:r w:rsidR="00D976B6">
        <w:rPr>
          <w:rFonts w:ascii="Garamond" w:eastAsia="Noto Sans CJK SC Regular" w:hAnsi="Garamond" w:cstheme="majorBidi"/>
          <w:color w:val="0D0D0D" w:themeColor="text1" w:themeTint="F2"/>
          <w:lang w:eastAsia="zh-CN" w:bidi="hi-IN"/>
        </w:rPr>
        <w:t>,</w:t>
      </w:r>
      <w:r w:rsidRPr="00770F9D">
        <w:rPr>
          <w:rFonts w:ascii="Garamond" w:eastAsia="Noto Sans CJK SC Regular" w:hAnsi="Garamond" w:cstheme="majorBidi"/>
          <w:color w:val="0D0D0D" w:themeColor="text1" w:themeTint="F2"/>
          <w:lang w:eastAsia="zh-CN" w:bidi="hi-IN"/>
        </w:rPr>
        <w:t xml:space="preserve"> “Për kategoritë e ndërtesave që përjashtohen nga zbatimi i ligjit për performancën energjetike në ndërtesa”, i cili është parashikuar të miratohet gjithashtu gjatë vitit 2023. </w:t>
      </w:r>
    </w:p>
    <w:p w14:paraId="15FE3A84" w14:textId="615C7848" w:rsidR="0084426F" w:rsidRPr="00770F9D" w:rsidRDefault="0084426F" w:rsidP="00400806">
      <w:pPr>
        <w:ind w:firstLine="284"/>
        <w:jc w:val="both"/>
        <w:rPr>
          <w:rFonts w:ascii="Garamond" w:eastAsia="Noto Sans CJK SC Regular" w:hAnsi="Garamond" w:cstheme="majorBidi"/>
          <w:color w:val="0D0D0D" w:themeColor="text1" w:themeTint="F2"/>
          <w:lang w:eastAsia="zh-CN" w:bidi="hi-IN"/>
        </w:rPr>
      </w:pPr>
      <w:r w:rsidRPr="00770F9D">
        <w:rPr>
          <w:rFonts w:ascii="Garamond" w:eastAsia="Noto Sans CJK SC Regular" w:hAnsi="Garamond" w:cstheme="majorBidi"/>
          <w:color w:val="0D0D0D" w:themeColor="text1" w:themeTint="F2"/>
          <w:lang w:eastAsia="zh-CN" w:bidi="hi-IN"/>
        </w:rPr>
        <w:t xml:space="preserve">Ministria e Infrastrukturës dhe Energjisë ka parashikuar në Planin Analitik të Projektakteve, përgatitjen e projektligjit “Për etiketimin e produkteve me ndikim në energji” brenda vitit 2023, i cili synon të transpozojë </w:t>
      </w:r>
      <w:r w:rsidR="00D976B6" w:rsidRPr="00770F9D">
        <w:rPr>
          <w:rFonts w:ascii="Garamond" w:eastAsia="Noto Sans CJK SC Regular" w:hAnsi="Garamond" w:cstheme="majorBidi"/>
          <w:color w:val="0D0D0D" w:themeColor="text1" w:themeTint="F2"/>
          <w:lang w:eastAsia="zh-CN" w:bidi="hi-IN"/>
        </w:rPr>
        <w:t xml:space="preserve">rregulloren </w:t>
      </w:r>
      <w:r w:rsidRPr="00770F9D">
        <w:rPr>
          <w:rFonts w:ascii="Garamond" w:eastAsia="Noto Sans CJK SC Regular" w:hAnsi="Garamond" w:cstheme="majorBidi"/>
          <w:color w:val="0D0D0D" w:themeColor="text1" w:themeTint="F2"/>
          <w:lang w:eastAsia="zh-CN" w:bidi="hi-IN"/>
        </w:rPr>
        <w:t xml:space="preserve">(BE) 2017/1369 të Parlamentit Evropian, i cili do të përcaktojë detyrimet për tregtarët dhe furnitorët për të informuar përdoruesit fundorë për konsumin e energjisë të produkteve që ata vendosin në treg. </w:t>
      </w:r>
    </w:p>
    <w:p w14:paraId="55178B8E" w14:textId="5F1CD729" w:rsidR="0084426F" w:rsidRPr="00770F9D" w:rsidRDefault="0084426F" w:rsidP="00D976B6">
      <w:pPr>
        <w:ind w:firstLine="284"/>
        <w:jc w:val="both"/>
        <w:rPr>
          <w:rFonts w:ascii="Garamond" w:hAnsi="Garamond" w:cstheme="majorBidi"/>
          <w:color w:val="0D0D0D" w:themeColor="text1" w:themeTint="F2"/>
        </w:rPr>
      </w:pPr>
      <w:r w:rsidRPr="00770F9D">
        <w:rPr>
          <w:rFonts w:ascii="Garamond" w:eastAsia="Noto Sans CJK SC Regular" w:hAnsi="Garamond" w:cstheme="majorBidi"/>
          <w:color w:val="0D0D0D" w:themeColor="text1" w:themeTint="F2"/>
          <w:lang w:eastAsia="zh-CN" w:bidi="hi-IN"/>
        </w:rPr>
        <w:t xml:space="preserve">Gjithashtu është parashikuar përgatitja e projektligjit </w:t>
      </w:r>
      <w:r w:rsidRPr="00770F9D">
        <w:rPr>
          <w:rFonts w:ascii="Garamond" w:hAnsi="Garamond" w:cstheme="majorBidi"/>
          <w:color w:val="0D0D0D" w:themeColor="text1" w:themeTint="F2"/>
        </w:rPr>
        <w:t xml:space="preserve">“Për përcaktimin e kërkesave të ekoprojektimit të produkteve me ndikim në energji” </w:t>
      </w:r>
      <w:r w:rsidRPr="00770F9D">
        <w:rPr>
          <w:rFonts w:ascii="Garamond" w:eastAsia="Noto Sans CJK SC Regular" w:hAnsi="Garamond" w:cstheme="majorBidi"/>
          <w:color w:val="0D0D0D" w:themeColor="text1" w:themeTint="F2"/>
          <w:lang w:eastAsia="zh-CN" w:bidi="hi-IN"/>
        </w:rPr>
        <w:t xml:space="preserve">deri në vitin 2025, i cili synon të transpozojë </w:t>
      </w:r>
      <w:r w:rsidR="00D976B6" w:rsidRPr="00770F9D">
        <w:rPr>
          <w:rFonts w:ascii="Garamond" w:eastAsia="Noto Sans CJK SC Regular" w:hAnsi="Garamond" w:cstheme="majorBidi"/>
          <w:color w:val="0D0D0D" w:themeColor="text1" w:themeTint="F2"/>
          <w:lang w:eastAsia="zh-CN" w:bidi="hi-IN"/>
        </w:rPr>
        <w:t xml:space="preserve">direktivën </w:t>
      </w:r>
      <w:r w:rsidRPr="00770F9D">
        <w:rPr>
          <w:rFonts w:ascii="Garamond" w:eastAsia="Noto Sans CJK SC Regular" w:hAnsi="Garamond" w:cstheme="majorBidi"/>
          <w:color w:val="0D0D0D" w:themeColor="text1" w:themeTint="F2"/>
          <w:lang w:eastAsia="zh-CN" w:bidi="hi-IN"/>
        </w:rPr>
        <w:t xml:space="preserve">2009/125/KE dhe do të krijojë një kornizë ligjore për vendosjen e kritereve të projektimit ekologjik për produktet me ndikim në energji. </w:t>
      </w:r>
      <w:r w:rsidRPr="00770F9D">
        <w:rPr>
          <w:rFonts w:ascii="Garamond" w:hAnsi="Garamond" w:cstheme="majorBidi"/>
          <w:color w:val="0D0D0D" w:themeColor="text1" w:themeTint="F2"/>
        </w:rPr>
        <w:t xml:space="preserve">Sigurimi i asistencës teknike për hartimin e këtyre akteve me cilësi dhe sipas afateve mbetet aktualisht sfidë. </w:t>
      </w:r>
    </w:p>
    <w:p w14:paraId="6EEE76F9" w14:textId="33DAB40B" w:rsidR="0084426F" w:rsidRPr="00770F9D" w:rsidRDefault="0084426F" w:rsidP="00D976B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Investimet në fushën e efi</w:t>
      </w:r>
      <w:r w:rsidR="00D976B6">
        <w:rPr>
          <w:rFonts w:ascii="Garamond" w:hAnsi="Garamond" w:cstheme="majorBidi"/>
          <w:color w:val="0D0D0D" w:themeColor="text1" w:themeTint="F2"/>
        </w:rPr>
        <w:t>ci</w:t>
      </w:r>
      <w:r w:rsidRPr="00770F9D">
        <w:rPr>
          <w:rFonts w:ascii="Garamond" w:hAnsi="Garamond" w:cstheme="majorBidi"/>
          <w:color w:val="0D0D0D" w:themeColor="text1" w:themeTint="F2"/>
        </w:rPr>
        <w:t>encës së energjisë janë në vijimësi me mbështetje të vazhdueshme nga buxheti i shtetit dhe financimi i huaj. Edhe pse buxheti i shtetit ka rritur kontributin</w:t>
      </w:r>
      <w:r w:rsidR="00D976B6">
        <w:rPr>
          <w:rFonts w:ascii="Garamond" w:hAnsi="Garamond" w:cstheme="majorBidi"/>
          <w:color w:val="0D0D0D" w:themeColor="text1" w:themeTint="F2"/>
        </w:rPr>
        <w:t xml:space="preserve"> në këtë fushë për vitet 2022–</w:t>
      </w:r>
      <w:r w:rsidRPr="00770F9D">
        <w:rPr>
          <w:rFonts w:ascii="Garamond" w:hAnsi="Garamond" w:cstheme="majorBidi"/>
          <w:color w:val="0D0D0D" w:themeColor="text1" w:themeTint="F2"/>
        </w:rPr>
        <w:t>2025, mungesa e një instrumenti financimi për zbatimin e masave të efi</w:t>
      </w:r>
      <w:r w:rsidR="00D976B6">
        <w:rPr>
          <w:rFonts w:ascii="Garamond" w:hAnsi="Garamond" w:cstheme="majorBidi"/>
          <w:color w:val="0D0D0D" w:themeColor="text1" w:themeTint="F2"/>
        </w:rPr>
        <w:t>ci</w:t>
      </w:r>
      <w:r w:rsidRPr="00770F9D">
        <w:rPr>
          <w:rFonts w:ascii="Garamond" w:hAnsi="Garamond" w:cstheme="majorBidi"/>
          <w:color w:val="0D0D0D" w:themeColor="text1" w:themeTint="F2"/>
        </w:rPr>
        <w:t xml:space="preserve">encës së energjisë mbetet ende një problematikë. </w:t>
      </w:r>
    </w:p>
    <w:p w14:paraId="21811648" w14:textId="723F9AA9" w:rsidR="0084426F" w:rsidRPr="00770F9D" w:rsidRDefault="0084426F" w:rsidP="00400806">
      <w:pPr>
        <w:ind w:firstLine="284"/>
        <w:jc w:val="both"/>
        <w:rPr>
          <w:rFonts w:ascii="Garamond" w:eastAsia="Noto Sans CJK SC Regular" w:hAnsi="Garamond" w:cstheme="majorBidi"/>
          <w:color w:val="0D0D0D" w:themeColor="text1" w:themeTint="F2"/>
          <w:lang w:eastAsia="zh-CN" w:bidi="hi-IN"/>
        </w:rPr>
      </w:pPr>
      <w:r w:rsidRPr="00770F9D">
        <w:rPr>
          <w:rFonts w:ascii="Garamond" w:eastAsia="Noto Sans CJK SC Regular" w:hAnsi="Garamond" w:cstheme="majorBidi"/>
          <w:color w:val="0D0D0D" w:themeColor="text1" w:themeTint="F2"/>
          <w:lang w:eastAsia="zh-CN" w:bidi="hi-IN"/>
        </w:rPr>
        <w:t xml:space="preserve">Ministria e Infrastrukturës dhe Energjisë ka rishikuar bazën ligjore në fuqi për të realizuar përafrimin e plotë me </w:t>
      </w:r>
      <w:r w:rsidRPr="00770F9D">
        <w:rPr>
          <w:rFonts w:ascii="Garamond" w:eastAsia="Noto Sans CJK SC Regular" w:hAnsi="Garamond" w:cstheme="majorBidi"/>
          <w:i/>
          <w:color w:val="0D0D0D" w:themeColor="text1" w:themeTint="F2"/>
          <w:lang w:eastAsia="zh-CN" w:bidi="hi-IN"/>
        </w:rPr>
        <w:t>acquis</w:t>
      </w:r>
      <w:r w:rsidRPr="00770F9D">
        <w:rPr>
          <w:rFonts w:ascii="Garamond" w:eastAsia="Noto Sans CJK SC Regular" w:hAnsi="Garamond" w:cstheme="majorBidi"/>
          <w:color w:val="0D0D0D" w:themeColor="text1" w:themeTint="F2"/>
          <w:lang w:eastAsia="zh-CN" w:bidi="hi-IN"/>
        </w:rPr>
        <w:t xml:space="preserve"> të BE-së dhe ka marrë iniciativën për të propozuar miratimin e një ligji të ri në fushën e energjisë nga burimet e rinovueshme me qëllim shfuqizimin e ligjit nr. 7/2017</w:t>
      </w:r>
      <w:r w:rsidR="00684AAA">
        <w:rPr>
          <w:rFonts w:ascii="Garamond" w:eastAsia="Noto Sans CJK SC Regular" w:hAnsi="Garamond" w:cstheme="majorBidi"/>
          <w:color w:val="0D0D0D" w:themeColor="text1" w:themeTint="F2"/>
          <w:lang w:eastAsia="zh-CN" w:bidi="hi-IN"/>
        </w:rPr>
        <w:t>,</w:t>
      </w:r>
      <w:r w:rsidRPr="00770F9D">
        <w:rPr>
          <w:rFonts w:ascii="Garamond" w:eastAsia="Noto Sans CJK SC Regular" w:hAnsi="Garamond" w:cstheme="majorBidi"/>
          <w:color w:val="0D0D0D" w:themeColor="text1" w:themeTint="F2"/>
          <w:lang w:eastAsia="zh-CN" w:bidi="hi-IN"/>
        </w:rPr>
        <w:t xml:space="preserve"> “Për nxitjen e përdorimit të energjisë nga burimet e rinovueshme”. Procesi i hartimit të projektligjit të ri ka nisur me synimin për të transpozuar </w:t>
      </w:r>
      <w:r w:rsidR="00684AAA" w:rsidRPr="00770F9D">
        <w:rPr>
          <w:rFonts w:ascii="Garamond" w:eastAsia="Noto Sans CJK SC Regular" w:hAnsi="Garamond" w:cstheme="majorBidi"/>
          <w:color w:val="0D0D0D" w:themeColor="text1" w:themeTint="F2"/>
          <w:lang w:eastAsia="zh-CN" w:bidi="hi-IN"/>
        </w:rPr>
        <w:t xml:space="preserve">direktivën </w:t>
      </w:r>
      <w:r w:rsidRPr="00770F9D">
        <w:rPr>
          <w:rFonts w:ascii="Garamond" w:eastAsia="Noto Sans CJK SC Regular" w:hAnsi="Garamond" w:cstheme="majorBidi"/>
          <w:color w:val="0D0D0D" w:themeColor="text1" w:themeTint="F2"/>
          <w:lang w:eastAsia="zh-CN" w:bidi="hi-IN"/>
        </w:rPr>
        <w:t>2018/2001</w:t>
      </w:r>
      <w:r w:rsidR="00684AAA">
        <w:rPr>
          <w:rFonts w:ascii="Garamond" w:eastAsia="Noto Sans CJK SC Regular" w:hAnsi="Garamond" w:cstheme="majorBidi"/>
          <w:color w:val="0D0D0D" w:themeColor="text1" w:themeTint="F2"/>
          <w:lang w:eastAsia="zh-CN" w:bidi="hi-IN"/>
        </w:rPr>
        <w:t>,</w:t>
      </w:r>
      <w:r w:rsidRPr="00770F9D">
        <w:rPr>
          <w:rFonts w:ascii="Garamond" w:eastAsia="Noto Sans CJK SC Regular" w:hAnsi="Garamond" w:cstheme="majorBidi"/>
          <w:color w:val="0D0D0D" w:themeColor="text1" w:themeTint="F2"/>
          <w:lang w:eastAsia="zh-CN" w:bidi="hi-IN"/>
        </w:rPr>
        <w:t xml:space="preserve"> “Për nxitjen e përdorimit të energjisë nga burimet e rinovueshme”. </w:t>
      </w:r>
      <w:r w:rsidRPr="00770F9D">
        <w:rPr>
          <w:rFonts w:ascii="Garamond" w:hAnsi="Garamond" w:cstheme="majorBidi"/>
          <w:color w:val="0D0D0D" w:themeColor="text1" w:themeTint="F2"/>
        </w:rPr>
        <w:t xml:space="preserve">Rishikimi i kësaj politike vjen edhe si rezultat i domosdoshmërisë së rregullimit të kuadrit legjislativ për energjinë nga burimet e rinovueshme, nisur nga rekomandimet e ndryshme të organizmave ndërkombëtarë, si: Komisioni </w:t>
      </w:r>
      <w:r w:rsidR="00684AAA" w:rsidRPr="00770F9D">
        <w:rPr>
          <w:rFonts w:ascii="Garamond" w:hAnsi="Garamond" w:cstheme="majorBidi"/>
          <w:color w:val="0D0D0D" w:themeColor="text1" w:themeTint="F2"/>
        </w:rPr>
        <w:t>Evropian</w:t>
      </w:r>
      <w:r w:rsidRPr="00770F9D">
        <w:rPr>
          <w:rFonts w:ascii="Garamond" w:hAnsi="Garamond" w:cstheme="majorBidi"/>
          <w:color w:val="0D0D0D" w:themeColor="text1" w:themeTint="F2"/>
        </w:rPr>
        <w:t xml:space="preserve">, Parlamenti </w:t>
      </w:r>
      <w:r w:rsidR="00684AAA" w:rsidRPr="00770F9D">
        <w:rPr>
          <w:rFonts w:ascii="Garamond" w:hAnsi="Garamond" w:cstheme="majorBidi"/>
          <w:color w:val="0D0D0D" w:themeColor="text1" w:themeTint="F2"/>
        </w:rPr>
        <w:t>Evropian</w:t>
      </w:r>
      <w:r w:rsidRPr="00770F9D">
        <w:rPr>
          <w:rFonts w:ascii="Garamond" w:hAnsi="Garamond" w:cstheme="majorBidi"/>
          <w:color w:val="0D0D0D" w:themeColor="text1" w:themeTint="F2"/>
        </w:rPr>
        <w:t xml:space="preserve"> dhe Këshilli, si rezultat i problematikave të ndryshme të hasura në praktikë gjatë sigurimit të burimeve të energjisë së rinovueshme në përpjekje për të përmbushur nevojat e vendit për furnizim me energji</w:t>
      </w:r>
      <w:r w:rsidRPr="00770F9D">
        <w:rPr>
          <w:rFonts w:ascii="Garamond" w:eastAsia="Noto Sans CJK SC Regular" w:hAnsi="Garamond" w:cstheme="majorBidi"/>
          <w:color w:val="0D0D0D" w:themeColor="text1" w:themeTint="F2"/>
          <w:lang w:eastAsia="zh-CN" w:bidi="hi-IN"/>
        </w:rPr>
        <w:t xml:space="preserve">. Projektligji ka përfunduar procesin e konsultimit publik dhe po vijohet me miratimin e draftit. </w:t>
      </w:r>
      <w:r w:rsidRPr="00770F9D">
        <w:rPr>
          <w:rFonts w:ascii="Garamond" w:hAnsi="Garamond" w:cstheme="majorBidi"/>
          <w:color w:val="0D0D0D" w:themeColor="text1" w:themeTint="F2"/>
        </w:rPr>
        <w:t xml:space="preserve">Përgatitja e akteve nënligjore në zbatim të ligjit të ri </w:t>
      </w:r>
      <w:r w:rsidRPr="00770F9D">
        <w:rPr>
          <w:rFonts w:ascii="Garamond" w:eastAsia="Noto Sans CJK SC Regular" w:hAnsi="Garamond" w:cstheme="majorBidi"/>
          <w:color w:val="0D0D0D" w:themeColor="text1" w:themeTint="F2"/>
          <w:lang w:eastAsia="zh-CN" w:bidi="hi-IN"/>
        </w:rPr>
        <w:t>“Për nxitjen e përdorimit të energjisë nga burimet e rinovueshme”</w:t>
      </w:r>
      <w:r w:rsidRPr="00770F9D">
        <w:rPr>
          <w:rFonts w:ascii="Garamond" w:hAnsi="Garamond" w:cstheme="majorBidi"/>
          <w:color w:val="0D0D0D" w:themeColor="text1" w:themeTint="F2"/>
        </w:rPr>
        <w:t xml:space="preserve"> që do të rregullojë tregun </w:t>
      </w:r>
      <w:r w:rsidR="002A4878" w:rsidRPr="00770F9D">
        <w:rPr>
          <w:rFonts w:ascii="Garamond" w:hAnsi="Garamond" w:cstheme="majorBidi"/>
          <w:color w:val="0D0D0D" w:themeColor="text1" w:themeTint="F2"/>
        </w:rPr>
        <w:t>vendës</w:t>
      </w:r>
      <w:r w:rsidRPr="00770F9D">
        <w:rPr>
          <w:rFonts w:ascii="Garamond" w:hAnsi="Garamond" w:cstheme="majorBidi"/>
          <w:color w:val="0D0D0D" w:themeColor="text1" w:themeTint="F2"/>
        </w:rPr>
        <w:t xml:space="preserve"> të energjive të rinovueshme, mbetet një sfidë, edhe pse kapacitetet e reja gjeneruese në përgjithësi janë investime private që nuk ndikojnë në buxhetin e shtetit.</w:t>
      </w:r>
    </w:p>
    <w:p w14:paraId="7999708F" w14:textId="02D3514B" w:rsidR="0084426F" w:rsidRPr="00770F9D" w:rsidRDefault="0084426F" w:rsidP="00684AAA">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Energjia në Shqipëri prodhohet 100% nga burimet e rinovueshme (99% nga HEC-et dhe 1% nga FV), e cila përfaqëson një </w:t>
      </w:r>
      <w:r w:rsidR="007A2FF2" w:rsidRPr="00770F9D">
        <w:rPr>
          <w:rFonts w:ascii="Garamond" w:hAnsi="Garamond" w:cstheme="majorBidi"/>
          <w:color w:val="0D0D0D" w:themeColor="text1" w:themeTint="F2"/>
        </w:rPr>
        <w:t xml:space="preserve">përqindje </w:t>
      </w:r>
      <w:r w:rsidRPr="00770F9D">
        <w:rPr>
          <w:rFonts w:ascii="Garamond" w:hAnsi="Garamond" w:cstheme="majorBidi"/>
          <w:color w:val="0D0D0D" w:themeColor="text1" w:themeTint="F2"/>
        </w:rPr>
        <w:t xml:space="preserve">të lartë të energjisë së rinovueshme në miksin e energjive midis vendeve në botë. Për vitin 2021, prodhimi total neto </w:t>
      </w:r>
      <w:r w:rsidR="002A4878" w:rsidRPr="00770F9D">
        <w:rPr>
          <w:rFonts w:ascii="Garamond" w:hAnsi="Garamond" w:cstheme="majorBidi"/>
          <w:color w:val="0D0D0D" w:themeColor="text1" w:themeTint="F2"/>
        </w:rPr>
        <w:t>vendës</w:t>
      </w:r>
      <w:r w:rsidRPr="00770F9D">
        <w:rPr>
          <w:rFonts w:ascii="Garamond" w:hAnsi="Garamond" w:cstheme="majorBidi"/>
          <w:color w:val="0D0D0D" w:themeColor="text1" w:themeTint="F2"/>
        </w:rPr>
        <w:t xml:space="preserve"> i realizuar është 8,962 </w:t>
      </w:r>
      <w:r w:rsidR="00684AAA" w:rsidRPr="00770F9D">
        <w:rPr>
          <w:rFonts w:ascii="Garamond" w:hAnsi="Garamond" w:cstheme="majorBidi"/>
          <w:color w:val="0D0D0D" w:themeColor="text1" w:themeTint="F2"/>
        </w:rPr>
        <w:t>gwh</w:t>
      </w:r>
      <w:r w:rsidRPr="00770F9D">
        <w:rPr>
          <w:rFonts w:ascii="Garamond" w:hAnsi="Garamond" w:cstheme="majorBidi"/>
          <w:color w:val="0D0D0D" w:themeColor="text1" w:themeTint="F2"/>
        </w:rPr>
        <w:t xml:space="preserve">, nga të cilat 5,343 </w:t>
      </w:r>
      <w:r w:rsidR="00684AAA" w:rsidRPr="00770F9D">
        <w:rPr>
          <w:rFonts w:ascii="Garamond" w:hAnsi="Garamond" w:cstheme="majorBidi"/>
          <w:color w:val="0D0D0D" w:themeColor="text1" w:themeTint="F2"/>
        </w:rPr>
        <w:t>gw</w:t>
      </w:r>
      <w:r w:rsidRPr="00770F9D">
        <w:rPr>
          <w:rFonts w:ascii="Garamond" w:hAnsi="Garamond" w:cstheme="majorBidi"/>
          <w:color w:val="0D0D0D" w:themeColor="text1" w:themeTint="F2"/>
        </w:rPr>
        <w:t xml:space="preserve">h është prodhuar nga impiantet në pronësi të kompanisë publike KESH dhe 3,618 </w:t>
      </w:r>
      <w:r w:rsidR="00684AAA" w:rsidRPr="00770F9D">
        <w:rPr>
          <w:rFonts w:ascii="Garamond" w:hAnsi="Garamond" w:cstheme="majorBidi"/>
          <w:color w:val="0D0D0D" w:themeColor="text1" w:themeTint="F2"/>
        </w:rPr>
        <w:t>gw</w:t>
      </w:r>
      <w:r w:rsidRPr="00770F9D">
        <w:rPr>
          <w:rFonts w:ascii="Garamond" w:hAnsi="Garamond" w:cstheme="majorBidi"/>
          <w:color w:val="0D0D0D" w:themeColor="text1" w:themeTint="F2"/>
        </w:rPr>
        <w:t>h është prodhuar nga centralet e tjera në pronësi të prodhuesve t</w:t>
      </w:r>
      <w:r w:rsidR="00684AAA">
        <w:rPr>
          <w:rFonts w:ascii="Garamond" w:hAnsi="Garamond" w:cstheme="majorBidi"/>
          <w:color w:val="0D0D0D" w:themeColor="text1" w:themeTint="F2"/>
        </w:rPr>
        <w:t>ë</w:t>
      </w:r>
      <w:r w:rsidRPr="00770F9D">
        <w:rPr>
          <w:rFonts w:ascii="Garamond" w:hAnsi="Garamond" w:cstheme="majorBidi"/>
          <w:color w:val="0D0D0D" w:themeColor="text1" w:themeTint="F2"/>
        </w:rPr>
        <w:t xml:space="preserve"> pavarur dhe ato me përparësi. Numri i prodhuesve të pavarur të energjisë elektrike po rritet çdo vit, duke rritur kështu rëndësinë e këtyre prodhuesve në treg, që është një hap i rëndësishëm për liberalizimin e tregut të energjisë elektrike në vendin tonë.</w:t>
      </w:r>
    </w:p>
    <w:p w14:paraId="60403BE2" w14:textId="78597EA9" w:rsidR="0084426F" w:rsidRPr="00770F9D" w:rsidRDefault="0084426F"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Duke qenë të varur ndaj kushteve hidrologjike dhe me burime të pamjaftueshme për të plotësuar nevojat e saj për furnizimin me energji, Shqipëria është një importues neto i energjisë elektrike. Varësia nga importet e energjisë përbën 20</w:t>
      </w:r>
      <w:r w:rsidR="00B32CFB">
        <w:rPr>
          <w:rFonts w:ascii="Garamond" w:hAnsi="Garamond" w:cstheme="majorBidi"/>
          <w:color w:val="0D0D0D" w:themeColor="text1" w:themeTint="F2"/>
        </w:rPr>
        <w:t>–</w:t>
      </w:r>
      <w:r w:rsidRPr="00770F9D">
        <w:rPr>
          <w:rFonts w:ascii="Garamond" w:hAnsi="Garamond" w:cstheme="majorBidi"/>
          <w:color w:val="0D0D0D" w:themeColor="text1" w:themeTint="F2"/>
        </w:rPr>
        <w:t xml:space="preserve">30% të kërkesës për energji dhe garantimi i sigurisë së furnizimit me energji elektrike është një sfidë. Sistemi duhet të mbështetet në prodhimin </w:t>
      </w:r>
      <w:r w:rsidR="002A4878" w:rsidRPr="00770F9D">
        <w:rPr>
          <w:rFonts w:ascii="Garamond" w:hAnsi="Garamond" w:cstheme="majorBidi"/>
          <w:color w:val="0D0D0D" w:themeColor="text1" w:themeTint="F2"/>
        </w:rPr>
        <w:t>vendës</w:t>
      </w:r>
      <w:r w:rsidRPr="00770F9D">
        <w:rPr>
          <w:rFonts w:ascii="Garamond" w:hAnsi="Garamond" w:cstheme="majorBidi"/>
          <w:color w:val="0D0D0D" w:themeColor="text1" w:themeTint="F2"/>
        </w:rPr>
        <w:t xml:space="preserve"> dhe të jetë i përballueshëm për konsumatorët</w:t>
      </w:r>
      <w:r w:rsidR="00314BCF">
        <w:rPr>
          <w:rFonts w:ascii="Garamond" w:hAnsi="Garamond" w:cstheme="majorBidi"/>
          <w:color w:val="0D0D0D" w:themeColor="text1" w:themeTint="F2"/>
        </w:rPr>
        <w:t>,</w:t>
      </w:r>
      <w:r w:rsidRPr="00770F9D">
        <w:rPr>
          <w:rFonts w:ascii="Garamond" w:hAnsi="Garamond" w:cstheme="majorBidi"/>
          <w:color w:val="0D0D0D" w:themeColor="text1" w:themeTint="F2"/>
        </w:rPr>
        <w:t xml:space="preserve"> duke krijuar një impakt në uljen e varfërisë.</w:t>
      </w:r>
    </w:p>
    <w:p w14:paraId="714D2F4F" w14:textId="77777777" w:rsidR="0084426F" w:rsidRPr="00770F9D" w:rsidRDefault="0084426F"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Në përgjigje të krizës së vazhdueshme energjetike për të parandaluar rritjen e çmimeve në vend dhe për të garantuar energjinë e pandërprerë, në tetor 2021, Qeveria e Shqipërisë shpalli gjendjen e jashtëzakonshme në furnizimin me energji elektrike, e cila u shty deri më 30 qershor 2023.</w:t>
      </w:r>
    </w:p>
    <w:p w14:paraId="246E7E4B" w14:textId="24FE1698" w:rsidR="0084426F" w:rsidRPr="00770F9D" w:rsidRDefault="0084426F"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Si rezultat i kësaj situatë emergjente, shoqëritë publike KESH, OST dhe OSHEE Group sh.a</w:t>
      </w:r>
      <w:r w:rsidR="00314BCF">
        <w:rPr>
          <w:rFonts w:ascii="Garamond" w:hAnsi="Garamond" w:cstheme="majorBidi"/>
          <w:color w:val="0D0D0D" w:themeColor="text1" w:themeTint="F2"/>
        </w:rPr>
        <w:t>.</w:t>
      </w:r>
      <w:r w:rsidRPr="00770F9D">
        <w:rPr>
          <w:rFonts w:ascii="Garamond" w:hAnsi="Garamond" w:cstheme="majorBidi"/>
          <w:color w:val="0D0D0D" w:themeColor="text1" w:themeTint="F2"/>
        </w:rPr>
        <w:t>, u detyruan të pezullojnë planet e tyre të investimit deri më 15 prill 2022, me përjashtim të investimeve të nevojshme për ushtrimin e aktivitetit të tyre, situate e cila ka ndikuar drejtpërdrejtë në objektivat e tyre</w:t>
      </w:r>
      <w:r w:rsidR="00996F2C">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 shkak të shtyrjes së investimeve. </w:t>
      </w:r>
    </w:p>
    <w:p w14:paraId="3083C5E8" w14:textId="35AF4D7E" w:rsidR="0084426F" w:rsidRPr="00770F9D" w:rsidRDefault="00B65723" w:rsidP="004D0E6D">
      <w:pPr>
        <w:ind w:firstLine="284"/>
        <w:jc w:val="both"/>
        <w:rPr>
          <w:rFonts w:ascii="Garamond" w:hAnsi="Garamond" w:cstheme="majorBidi"/>
          <w:color w:val="0D0D0D" w:themeColor="text1" w:themeTint="F2"/>
        </w:rPr>
      </w:pPr>
      <w:r>
        <w:rPr>
          <w:rFonts w:ascii="Garamond" w:hAnsi="Garamond" w:cstheme="majorBidi"/>
          <w:color w:val="0D0D0D" w:themeColor="text1" w:themeTint="F2"/>
        </w:rPr>
        <w:t xml:space="preserve">Sikurse </w:t>
      </w:r>
      <w:r w:rsidR="0084426F" w:rsidRPr="00770F9D">
        <w:rPr>
          <w:rFonts w:ascii="Garamond" w:hAnsi="Garamond" w:cstheme="majorBidi"/>
          <w:color w:val="0D0D0D" w:themeColor="text1" w:themeTint="F2"/>
        </w:rPr>
        <w:t>edhe prodhuesit me përparësi që kanë një marrëveshje për blerjen e energjisë elektrike me FTL kanë detyrimin e shërbimit publik që deri më 30 qershor 2023, t</w:t>
      </w:r>
      <w:r w:rsidR="004D0E6D">
        <w:rPr>
          <w:rFonts w:ascii="Garamond" w:hAnsi="Garamond" w:cstheme="majorBidi"/>
          <w:color w:val="0D0D0D" w:themeColor="text1" w:themeTint="F2"/>
        </w:rPr>
        <w:t>’</w:t>
      </w:r>
      <w:r w:rsidR="0084426F" w:rsidRPr="00770F9D">
        <w:rPr>
          <w:rFonts w:ascii="Garamond" w:hAnsi="Garamond" w:cstheme="majorBidi"/>
          <w:color w:val="0D0D0D" w:themeColor="text1" w:themeTint="F2"/>
        </w:rPr>
        <w:t>ia shesin energjinë e prodhuar FTL-së dhe pas këtij afati mund të zgjedhin nëse duan të vazhdojnë këtë kontratë apo ta shesin në tregun e lirë.</w:t>
      </w:r>
    </w:p>
    <w:p w14:paraId="64F289E0" w14:textId="3B35897E" w:rsidR="0084426F" w:rsidRPr="00770F9D" w:rsidRDefault="0084426F" w:rsidP="001B1D2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Ndërkohë, nga qershori 2022, tregu i energjisë elektrike në Shqipëri funksionon sipas </w:t>
      </w:r>
      <w:r w:rsidR="00FD3B5F" w:rsidRPr="00770F9D">
        <w:rPr>
          <w:rFonts w:ascii="Garamond" w:hAnsi="Garamond" w:cstheme="majorBidi"/>
          <w:color w:val="0D0D0D" w:themeColor="text1" w:themeTint="F2"/>
        </w:rPr>
        <w:t xml:space="preserve">vendimit </w:t>
      </w:r>
      <w:r w:rsidRPr="00770F9D">
        <w:rPr>
          <w:rFonts w:ascii="Garamond" w:hAnsi="Garamond" w:cstheme="majorBidi"/>
          <w:color w:val="0D0D0D" w:themeColor="text1" w:themeTint="F2"/>
        </w:rPr>
        <w:t>të Këshil</w:t>
      </w:r>
      <w:r w:rsidR="00FD3B5F">
        <w:rPr>
          <w:rFonts w:ascii="Garamond" w:hAnsi="Garamond" w:cstheme="majorBidi"/>
          <w:color w:val="0D0D0D" w:themeColor="text1" w:themeTint="F2"/>
        </w:rPr>
        <w:t>lit të Ministrave 456, datë 29.</w:t>
      </w:r>
      <w:r w:rsidRPr="00770F9D">
        <w:rPr>
          <w:rFonts w:ascii="Garamond" w:hAnsi="Garamond" w:cstheme="majorBidi"/>
          <w:color w:val="0D0D0D" w:themeColor="text1" w:themeTint="F2"/>
        </w:rPr>
        <w:t>6.2022</w:t>
      </w:r>
      <w:r w:rsidR="00FD3B5F">
        <w:rPr>
          <w:rFonts w:ascii="Garamond" w:hAnsi="Garamond" w:cstheme="majorBidi"/>
          <w:color w:val="0D0D0D" w:themeColor="text1" w:themeTint="F2"/>
        </w:rPr>
        <w:t>,</w:t>
      </w:r>
      <w:r w:rsidRPr="00770F9D">
        <w:rPr>
          <w:rFonts w:ascii="Garamond" w:hAnsi="Garamond" w:cstheme="majorBidi"/>
          <w:color w:val="0D0D0D" w:themeColor="text1" w:themeTint="F2"/>
        </w:rPr>
        <w:t xml:space="preserve"> </w:t>
      </w:r>
      <w:r w:rsidRPr="00FD3B5F">
        <w:rPr>
          <w:rFonts w:ascii="Garamond" w:hAnsi="Garamond" w:cstheme="majorBidi"/>
          <w:color w:val="0D0D0D" w:themeColor="text1" w:themeTint="F2"/>
        </w:rPr>
        <w:t>“Për miratimin e kushteve për vendosjen e detyrimit të shërbimit publik, që do të zbatohet ndaj të licencuarve në sektorin e energjisë elektrike, që ushtrojnë aktivitetin e prodhimit, transmetimit, shpërndarjes dhe furnizimit me energji elektrike”.</w:t>
      </w:r>
      <w:r w:rsidRPr="00770F9D">
        <w:rPr>
          <w:rFonts w:ascii="Garamond" w:hAnsi="Garamond" w:cstheme="majorBidi"/>
          <w:color w:val="0D0D0D" w:themeColor="text1" w:themeTint="F2"/>
        </w:rPr>
        <w:t xml:space="preserve"> Në bazë të dispozitave të saj, shoqëria publike e prodhimit, KESH sh.a, ka detyrimin të furnizojë Furnizuesin e Shërbimit Universal me të gjithë sasinë e nevojshme, për të përmbushur nevojat e klientëve universalë, si dhe të drejtën për t</w:t>
      </w:r>
      <w:r w:rsidR="001B1D22">
        <w:rPr>
          <w:rFonts w:ascii="Garamond" w:hAnsi="Garamond" w:cstheme="majorBidi"/>
          <w:color w:val="0D0D0D" w:themeColor="text1" w:themeTint="F2"/>
        </w:rPr>
        <w:t>’i</w:t>
      </w:r>
      <w:r w:rsidRPr="00770F9D">
        <w:rPr>
          <w:rFonts w:ascii="Garamond" w:hAnsi="Garamond" w:cstheme="majorBidi"/>
          <w:color w:val="0D0D0D" w:themeColor="text1" w:themeTint="F2"/>
        </w:rPr>
        <w:t xml:space="preserve"> shitur energji Furnizuesit të Mundësisë së Fundit, për furnizimin e kategori të caktuara klientësh në tregun e lirë. Nga korriku 2022 </w:t>
      </w:r>
      <w:r w:rsidR="001B1D22" w:rsidRPr="00770F9D">
        <w:rPr>
          <w:rFonts w:ascii="Garamond" w:hAnsi="Garamond" w:cstheme="majorBidi"/>
          <w:color w:val="0D0D0D" w:themeColor="text1" w:themeTint="F2"/>
        </w:rPr>
        <w:t xml:space="preserve">KESH </w:t>
      </w:r>
      <w:r w:rsidRPr="00770F9D">
        <w:rPr>
          <w:rFonts w:ascii="Garamond" w:hAnsi="Garamond" w:cstheme="majorBidi"/>
          <w:color w:val="0D0D0D" w:themeColor="text1" w:themeTint="F2"/>
        </w:rPr>
        <w:t>sh</w:t>
      </w:r>
      <w:r w:rsidR="001B1D22">
        <w:rPr>
          <w:rFonts w:ascii="Garamond" w:hAnsi="Garamond" w:cstheme="majorBidi"/>
          <w:color w:val="0D0D0D" w:themeColor="text1" w:themeTint="F2"/>
        </w:rPr>
        <w:t>.</w:t>
      </w:r>
      <w:r w:rsidRPr="00770F9D">
        <w:rPr>
          <w:rFonts w:ascii="Garamond" w:hAnsi="Garamond" w:cstheme="majorBidi"/>
          <w:color w:val="0D0D0D" w:themeColor="text1" w:themeTint="F2"/>
        </w:rPr>
        <w:t>a</w:t>
      </w:r>
      <w:r w:rsidR="001B1D22">
        <w:rPr>
          <w:rFonts w:ascii="Garamond" w:hAnsi="Garamond" w:cstheme="majorBidi"/>
          <w:color w:val="0D0D0D" w:themeColor="text1" w:themeTint="F2"/>
        </w:rPr>
        <w:t>.</w:t>
      </w:r>
      <w:r w:rsidRPr="00770F9D">
        <w:rPr>
          <w:rFonts w:ascii="Garamond" w:hAnsi="Garamond" w:cstheme="majorBidi"/>
          <w:color w:val="0D0D0D" w:themeColor="text1" w:themeTint="F2"/>
        </w:rPr>
        <w:t xml:space="preserve"> mbulon</w:t>
      </w:r>
      <w:r w:rsidR="00F01C09">
        <w:rPr>
          <w:rFonts w:ascii="Garamond" w:hAnsi="Garamond" w:cstheme="majorBidi"/>
          <w:color w:val="0D0D0D" w:themeColor="text1" w:themeTint="F2"/>
        </w:rPr>
        <w:t>,</w:t>
      </w:r>
      <w:r w:rsidRPr="00770F9D">
        <w:rPr>
          <w:rFonts w:ascii="Garamond" w:hAnsi="Garamond" w:cstheme="majorBidi"/>
          <w:color w:val="0D0D0D" w:themeColor="text1" w:themeTint="F2"/>
        </w:rPr>
        <w:t xml:space="preserve"> gjithashtu</w:t>
      </w:r>
      <w:r w:rsidR="00F01C09">
        <w:rPr>
          <w:rFonts w:ascii="Garamond" w:hAnsi="Garamond" w:cstheme="majorBidi"/>
          <w:color w:val="0D0D0D" w:themeColor="text1" w:themeTint="F2"/>
        </w:rPr>
        <w:t>,</w:t>
      </w:r>
      <w:r w:rsidRPr="00770F9D">
        <w:rPr>
          <w:rFonts w:ascii="Garamond" w:hAnsi="Garamond" w:cstheme="majorBidi"/>
          <w:color w:val="0D0D0D" w:themeColor="text1" w:themeTint="F2"/>
        </w:rPr>
        <w:t xml:space="preserve"> humbjet në transmetim gjatë kohëzgjatjes së gjendjes së emergjencës. Furnizuesi i Tregut të Lirë (FTL) ka detyrimin të shesë energji elektrike për të mbuluar humbjet e operatorit të shpërndarjes. Ndonëse këto rregulla kufizojnë konkurrencën, ato do të shërbejnë si model i përkohshëm për funksionimin e tregut të energjisë elektrike derisa bursa e energjisë të jetë funksionale dhe të ketë likuiditet.</w:t>
      </w:r>
    </w:p>
    <w:p w14:paraId="6A65FD1F" w14:textId="17186187" w:rsidR="0084426F" w:rsidRPr="00770F9D" w:rsidRDefault="0084426F"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Për sa i përket Bursës Shqiptare të Energjisë, në datën 10 shkurt</w:t>
      </w:r>
      <w:r w:rsidR="00987B4E" w:rsidRPr="00770F9D">
        <w:rPr>
          <w:rFonts w:ascii="Garamond" w:hAnsi="Garamond" w:cstheme="majorBidi"/>
          <w:color w:val="0D0D0D" w:themeColor="text1" w:themeTint="F2"/>
        </w:rPr>
        <w:t xml:space="preserve"> </w:t>
      </w:r>
      <w:r w:rsidR="00BE78E7" w:rsidRPr="00770F9D">
        <w:rPr>
          <w:rFonts w:ascii="Garamond" w:hAnsi="Garamond" w:cstheme="majorBidi"/>
          <w:color w:val="0D0D0D" w:themeColor="text1" w:themeTint="F2"/>
        </w:rPr>
        <w:t xml:space="preserve">të </w:t>
      </w:r>
      <w:r w:rsidR="00987B4E" w:rsidRPr="00770F9D">
        <w:rPr>
          <w:rFonts w:ascii="Garamond" w:hAnsi="Garamond" w:cstheme="majorBidi"/>
          <w:color w:val="0D0D0D" w:themeColor="text1" w:themeTint="F2"/>
        </w:rPr>
        <w:t xml:space="preserve">vitit </w:t>
      </w:r>
      <w:r w:rsidR="009A473B" w:rsidRPr="00770F9D">
        <w:rPr>
          <w:rFonts w:ascii="Garamond" w:hAnsi="Garamond" w:cstheme="majorBidi"/>
          <w:color w:val="0D0D0D" w:themeColor="text1" w:themeTint="F2"/>
        </w:rPr>
        <w:t>2022</w:t>
      </w:r>
      <w:r w:rsidRPr="00770F9D">
        <w:rPr>
          <w:rFonts w:ascii="Garamond" w:hAnsi="Garamond" w:cstheme="majorBidi"/>
          <w:color w:val="0D0D0D" w:themeColor="text1" w:themeTint="F2"/>
        </w:rPr>
        <w:t>, ALPEX nënshkroi me Ofruesin e Shërbimeve Marrëveshjen për ofrimin e Platformës Elektronike të Tregtimit dhe Shërbimeve të Tregun në Avancë dhe Brenda Ditës, të nevojshme për funksionimin e Tregut të Organizuar në Shqipëri dhe Kosovë. Ngritja e këtij tregu do të përmirësojë sigurinë e furnizimit me energji elektrike, për të dy vendet (Shqipëri dhe Kosovë), dhe integriteti i tregjeve do të ndikojë ndjeshëm në rritjen e konkurrencës në shitjen e energjisë elektrike në tregun me shumicë dhe</w:t>
      </w:r>
      <w:r w:rsidR="00F01C09">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pasojë</w:t>
      </w:r>
      <w:r w:rsidR="00F01C09">
        <w:rPr>
          <w:rFonts w:ascii="Garamond" w:hAnsi="Garamond" w:cstheme="majorBidi"/>
          <w:color w:val="0D0D0D" w:themeColor="text1" w:themeTint="F2"/>
        </w:rPr>
        <w:t>,</w:t>
      </w:r>
      <w:r w:rsidRPr="00770F9D">
        <w:rPr>
          <w:rFonts w:ascii="Garamond" w:hAnsi="Garamond" w:cstheme="majorBidi"/>
          <w:color w:val="0D0D0D" w:themeColor="text1" w:themeTint="F2"/>
        </w:rPr>
        <w:t xml:space="preserve"> mund të sjellë uljen e çmimet e energjisë elektrike në tregun me pakicë. Nga data 23 </w:t>
      </w:r>
      <w:r w:rsidR="00F01C09" w:rsidRPr="00770F9D">
        <w:rPr>
          <w:rFonts w:ascii="Garamond" w:hAnsi="Garamond" w:cstheme="majorBidi"/>
          <w:color w:val="0D0D0D" w:themeColor="text1" w:themeTint="F2"/>
        </w:rPr>
        <w:t xml:space="preserve">nëntor </w:t>
      </w:r>
      <w:r w:rsidRPr="00770F9D">
        <w:rPr>
          <w:rFonts w:ascii="Garamond" w:hAnsi="Garamond" w:cstheme="majorBidi"/>
          <w:color w:val="0D0D0D" w:themeColor="text1" w:themeTint="F2"/>
        </w:rPr>
        <w:t>2022, ALPEX ka hapur zyrtarisht periudhën e trajnimit përmes platformës së tregtimit për të garantuar një fillim të sigurt për Bursën Shqiptare të Energjisë.</w:t>
      </w:r>
    </w:p>
    <w:p w14:paraId="23E5CAD1" w14:textId="23E09257" w:rsidR="0084426F" w:rsidRPr="00770F9D" w:rsidRDefault="0084426F" w:rsidP="00782C1D">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Sa i përket hapjes së tregut, nga 1 janari 2022, 7358 konsumatorë të lidhur në tensionin 20/10/6 kV, pasi plotësuan kushtet teknike të instalimit të sistemit të matjes, kanë hyrë në tregun e liberalizuar dhe kanë të drejtë të zgjedhin lirisht furnizuesin e tyre. Nëse nuk gjejnë një furnizues tjetër, në bazë të parashikimeve të ligjit nr. 43/2015</w:t>
      </w:r>
      <w:r w:rsidR="005B3E04">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 sektorin e energjisë elektrike”, </w:t>
      </w:r>
      <w:r w:rsidR="005B3E04">
        <w:rPr>
          <w:rFonts w:ascii="Garamond" w:hAnsi="Garamond" w:cstheme="majorBidi"/>
          <w:color w:val="0D0D0D" w:themeColor="text1" w:themeTint="F2"/>
        </w:rPr>
        <w:t>të</w:t>
      </w:r>
      <w:r w:rsidRPr="00770F9D">
        <w:rPr>
          <w:rFonts w:ascii="Garamond" w:hAnsi="Garamond" w:cstheme="majorBidi"/>
          <w:color w:val="0D0D0D" w:themeColor="text1" w:themeTint="F2"/>
        </w:rPr>
        <w:t xml:space="preserve"> ndryshuar, ato do të vazhdojnë të furnizohen nga FSHU</w:t>
      </w:r>
      <w:r w:rsidR="005B3E04">
        <w:rPr>
          <w:rFonts w:ascii="Garamond" w:hAnsi="Garamond" w:cstheme="majorBidi"/>
          <w:color w:val="0D0D0D" w:themeColor="text1" w:themeTint="F2"/>
        </w:rPr>
        <w:t>-ja</w:t>
      </w:r>
      <w:r w:rsidRPr="00770F9D">
        <w:rPr>
          <w:rFonts w:ascii="Garamond" w:hAnsi="Garamond" w:cstheme="majorBidi"/>
          <w:color w:val="0D0D0D" w:themeColor="text1" w:themeTint="F2"/>
        </w:rPr>
        <w:t xml:space="preserve"> si </w:t>
      </w:r>
      <w:r w:rsidR="00782C1D" w:rsidRPr="00770F9D">
        <w:rPr>
          <w:rFonts w:ascii="Garamond" w:hAnsi="Garamond" w:cstheme="majorBidi"/>
          <w:color w:val="0D0D0D" w:themeColor="text1" w:themeTint="F2"/>
        </w:rPr>
        <w:t xml:space="preserve">Furnizuesi </w:t>
      </w:r>
      <w:r w:rsidRPr="00770F9D">
        <w:rPr>
          <w:rFonts w:ascii="Garamond" w:hAnsi="Garamond" w:cstheme="majorBidi"/>
          <w:color w:val="0D0D0D" w:themeColor="text1" w:themeTint="F2"/>
        </w:rPr>
        <w:t xml:space="preserve">i </w:t>
      </w:r>
      <w:r w:rsidR="00782C1D" w:rsidRPr="00770F9D">
        <w:rPr>
          <w:rFonts w:ascii="Garamond" w:hAnsi="Garamond" w:cstheme="majorBidi"/>
          <w:color w:val="0D0D0D" w:themeColor="text1" w:themeTint="F2"/>
        </w:rPr>
        <w:t xml:space="preserve">Mundësisë </w:t>
      </w:r>
      <w:r w:rsidRPr="00770F9D">
        <w:rPr>
          <w:rFonts w:ascii="Garamond" w:hAnsi="Garamond" w:cstheme="majorBidi"/>
          <w:color w:val="0D0D0D" w:themeColor="text1" w:themeTint="F2"/>
        </w:rPr>
        <w:t xml:space="preserve">së </w:t>
      </w:r>
      <w:r w:rsidR="00782C1D" w:rsidRPr="00770F9D">
        <w:rPr>
          <w:rFonts w:ascii="Garamond" w:hAnsi="Garamond" w:cstheme="majorBidi"/>
          <w:color w:val="0D0D0D" w:themeColor="text1" w:themeTint="F2"/>
        </w:rPr>
        <w:t xml:space="preserve">Fundit </w:t>
      </w:r>
      <w:r w:rsidRPr="00770F9D">
        <w:rPr>
          <w:rFonts w:ascii="Garamond" w:hAnsi="Garamond" w:cstheme="majorBidi"/>
          <w:color w:val="0D0D0D" w:themeColor="text1" w:themeTint="F2"/>
        </w:rPr>
        <w:t>për një periudhë dyvjeçare. Në fund të kësaj periudhe operatori i sistemit do të ndërpresë furnizimin me energji të këtij konsumatori. Edhe pse janë në kushtet ku mund të zgjedhin lirisht furnizuesin e tyre, këta konsumatorë kanë zgjedhur të qëndrojnë nën Furnizuesin e Mundësisë së Fundit, për shkak të çmimit të favorshëm në krahasim me ato të tregut të lirë.</w:t>
      </w:r>
    </w:p>
    <w:p w14:paraId="0F1AC3F2" w14:textId="77777777" w:rsidR="0084426F" w:rsidRPr="00770F9D" w:rsidRDefault="0084426F"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Pavarësisht situatës që ka krijuar kriza globale energjetike, qeveria shqiptare mbetet e angazhuar të mbrojë sipërmarrësit që krijojnë vende pune dhe nxisin zhvillimin ekonomik, duke u fokusuar tek qytetarët dhe jo për të ndikuar në jetën e tyre.</w:t>
      </w:r>
    </w:p>
    <w:p w14:paraId="37C78025" w14:textId="7C0D291C" w:rsidR="005674F2" w:rsidRPr="00770F9D" w:rsidRDefault="00A67654" w:rsidP="00685A32">
      <w:pPr>
        <w:pStyle w:val="Heading4"/>
        <w:ind w:left="0" w:firstLine="284"/>
        <w:jc w:val="both"/>
        <w:rPr>
          <w:rFonts w:ascii="Garamond" w:hAnsi="Garamond"/>
          <w:b w:val="0"/>
          <w:bCs w:val="0"/>
          <w:i/>
          <w:iCs/>
          <w:color w:val="0D0D0D"/>
          <w:sz w:val="24"/>
          <w:szCs w:val="24"/>
        </w:rPr>
      </w:pPr>
      <w:r w:rsidRPr="00770F9D">
        <w:rPr>
          <w:rFonts w:ascii="Garamond" w:hAnsi="Garamond"/>
          <w:b w:val="0"/>
          <w:bCs w:val="0"/>
          <w:i/>
          <w:iCs/>
          <w:color w:val="0D0D0D"/>
          <w:sz w:val="24"/>
          <w:szCs w:val="24"/>
        </w:rPr>
        <w:t>b</w:t>
      </w:r>
      <w:r w:rsidR="00685A32">
        <w:rPr>
          <w:rFonts w:ascii="Garamond" w:hAnsi="Garamond"/>
          <w:b w:val="0"/>
          <w:bCs w:val="0"/>
          <w:i/>
          <w:iCs/>
          <w:color w:val="0D0D0D"/>
          <w:sz w:val="24"/>
          <w:szCs w:val="24"/>
        </w:rPr>
        <w:t xml:space="preserve">) </w:t>
      </w:r>
      <w:r w:rsidR="005674F2" w:rsidRPr="00770F9D">
        <w:rPr>
          <w:rFonts w:ascii="Garamond" w:hAnsi="Garamond"/>
          <w:b w:val="0"/>
          <w:bCs w:val="0"/>
          <w:i/>
          <w:iCs/>
          <w:color w:val="0D0D0D"/>
          <w:sz w:val="24"/>
          <w:szCs w:val="24"/>
        </w:rPr>
        <w:t>Masat e reformës</w:t>
      </w:r>
    </w:p>
    <w:p w14:paraId="7B8BEC3F" w14:textId="65A99F5C" w:rsidR="005674F2" w:rsidRPr="00770F9D" w:rsidRDefault="005674F2" w:rsidP="00306D2D">
      <w:pPr>
        <w:pStyle w:val="Heading5"/>
        <w:ind w:left="0" w:firstLine="284"/>
        <w:jc w:val="both"/>
        <w:rPr>
          <w:rFonts w:ascii="Garamond" w:hAnsi="Garamond"/>
          <w:i w:val="0"/>
          <w:iCs/>
          <w:color w:val="0D0D0D"/>
          <w:sz w:val="24"/>
          <w:szCs w:val="24"/>
        </w:rPr>
      </w:pPr>
      <w:r w:rsidRPr="00770F9D">
        <w:rPr>
          <w:rFonts w:ascii="Garamond" w:hAnsi="Garamond"/>
          <w:i w:val="0"/>
          <w:iCs/>
          <w:color w:val="0D0D0D"/>
          <w:sz w:val="24"/>
          <w:szCs w:val="24"/>
        </w:rPr>
        <w:t>Masa e reformës 14: Siguria energjetike përmes liberalizimit të tregut të energjisë, promovimit të burimeve të rinovueshme dhe përmirësimit të efi</w:t>
      </w:r>
      <w:r w:rsidR="00306D2D">
        <w:rPr>
          <w:rFonts w:ascii="Garamond" w:hAnsi="Garamond"/>
          <w:i w:val="0"/>
          <w:iCs/>
          <w:color w:val="0D0D0D"/>
          <w:sz w:val="24"/>
          <w:szCs w:val="24"/>
        </w:rPr>
        <w:t>ci</w:t>
      </w:r>
      <w:r w:rsidRPr="00770F9D">
        <w:rPr>
          <w:rFonts w:ascii="Garamond" w:hAnsi="Garamond"/>
          <w:i w:val="0"/>
          <w:iCs/>
          <w:color w:val="0D0D0D"/>
          <w:sz w:val="24"/>
          <w:szCs w:val="24"/>
        </w:rPr>
        <w:t>encës së energjisë</w:t>
      </w:r>
    </w:p>
    <w:p w14:paraId="41F320CD" w14:textId="37FC6609" w:rsidR="005674F2" w:rsidRPr="00770F9D" w:rsidRDefault="005674F2"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1.</w:t>
      </w:r>
      <w:r w:rsidR="00BA4F1A" w:rsidRPr="00770F9D">
        <w:rPr>
          <w:rFonts w:ascii="Garamond" w:hAnsi="Garamond"/>
          <w:color w:val="0D0D0D"/>
          <w:u w:val="none"/>
        </w:rPr>
        <w:t xml:space="preserve"> </w:t>
      </w:r>
      <w:r w:rsidRPr="00770F9D">
        <w:rPr>
          <w:rFonts w:ascii="Garamond" w:hAnsi="Garamond"/>
          <w:color w:val="0D0D0D"/>
          <w:u w:val="none"/>
        </w:rPr>
        <w:t>Përshkrimi i masës</w:t>
      </w:r>
    </w:p>
    <w:p w14:paraId="273E3250" w14:textId="359E2BC0" w:rsidR="005674F2" w:rsidRPr="00770F9D" w:rsidRDefault="005674F2" w:rsidP="00253644">
      <w:pPr>
        <w:ind w:firstLine="284"/>
        <w:jc w:val="both"/>
        <w:rPr>
          <w:rFonts w:ascii="Garamond" w:hAnsi="Garamond"/>
          <w:color w:val="0D0D0D"/>
        </w:rPr>
      </w:pPr>
      <w:r w:rsidRPr="00770F9D">
        <w:rPr>
          <w:rFonts w:ascii="Garamond" w:hAnsi="Garamond"/>
          <w:color w:val="0D0D0D"/>
        </w:rPr>
        <w:t>Masa është në përputhje me kuadrin strategjik të Strategjisë Kombëtare të Energjisë (2018</w:t>
      </w:r>
      <w:r w:rsidR="00253644">
        <w:rPr>
          <w:rFonts w:ascii="Garamond" w:hAnsi="Garamond"/>
          <w:color w:val="0D0D0D"/>
        </w:rPr>
        <w:t>–</w:t>
      </w:r>
      <w:r w:rsidRPr="00770F9D">
        <w:rPr>
          <w:rFonts w:ascii="Garamond" w:hAnsi="Garamond"/>
          <w:color w:val="0D0D0D"/>
        </w:rPr>
        <w:t>2030), Planin Kombëtar të Energjisë dhe Klimës (2020</w:t>
      </w:r>
      <w:r w:rsidR="00253644">
        <w:rPr>
          <w:rFonts w:ascii="Garamond" w:hAnsi="Garamond"/>
          <w:color w:val="0D0D0D"/>
        </w:rPr>
        <w:t>–</w:t>
      </w:r>
      <w:r w:rsidRPr="00770F9D">
        <w:rPr>
          <w:rFonts w:ascii="Garamond" w:hAnsi="Garamond"/>
          <w:color w:val="0D0D0D"/>
        </w:rPr>
        <w:t>2030), dhe me vizionin e qeverisë për zhvillimin e sektorit të energjisë duke rritur sigurinë energjetike, nëpërmjet rritjes së kapaciteteve prodhuese nëpërmjet diversifikimit të burimeve, masave për efi</w:t>
      </w:r>
      <w:r w:rsidR="00253644">
        <w:rPr>
          <w:rFonts w:ascii="Garamond" w:hAnsi="Garamond"/>
          <w:color w:val="0D0D0D"/>
        </w:rPr>
        <w:t>ci</w:t>
      </w:r>
      <w:r w:rsidRPr="00770F9D">
        <w:rPr>
          <w:rFonts w:ascii="Garamond" w:hAnsi="Garamond"/>
          <w:color w:val="0D0D0D"/>
        </w:rPr>
        <w:t xml:space="preserve">encën e energjisë dhe rritjes së kapaciteteve të transmetimit të energjisë, </w:t>
      </w:r>
      <w:r w:rsidR="007B4EC9">
        <w:rPr>
          <w:rFonts w:ascii="Garamond" w:hAnsi="Garamond"/>
          <w:color w:val="0D0D0D"/>
        </w:rPr>
        <w:t>në mënyrë të qëndrueshme</w:t>
      </w:r>
      <w:r w:rsidRPr="00770F9D">
        <w:rPr>
          <w:rFonts w:ascii="Garamond" w:hAnsi="Garamond"/>
          <w:color w:val="0D0D0D"/>
        </w:rPr>
        <w:t xml:space="preserve"> dhe miqësore me mjedisin.</w:t>
      </w:r>
    </w:p>
    <w:p w14:paraId="155EAB5C" w14:textId="4AC32D79" w:rsidR="0084426F" w:rsidRPr="00770F9D" w:rsidRDefault="0084426F" w:rsidP="005F7374">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Ministria e Infrastrukturës dhe Energjisë ka rishikuar bazën ligjore në fuqi për burimet e rinovueshme me qellim përafrimin e plotë me </w:t>
      </w:r>
      <w:r w:rsidRPr="00253644">
        <w:rPr>
          <w:rFonts w:ascii="Garamond" w:hAnsi="Garamond" w:cstheme="majorBidi"/>
          <w:i/>
          <w:iCs/>
          <w:color w:val="0D0D0D" w:themeColor="text1" w:themeTint="F2"/>
        </w:rPr>
        <w:t>acquis</w:t>
      </w:r>
      <w:r w:rsidRPr="00770F9D">
        <w:rPr>
          <w:rFonts w:ascii="Garamond" w:hAnsi="Garamond" w:cstheme="majorBidi"/>
          <w:color w:val="0D0D0D" w:themeColor="text1" w:themeTint="F2"/>
        </w:rPr>
        <w:t xml:space="preserve"> të BE-së (</w:t>
      </w:r>
      <w:r w:rsidR="007B4EC9" w:rsidRPr="00770F9D">
        <w:rPr>
          <w:rFonts w:ascii="Garamond" w:hAnsi="Garamond" w:cstheme="majorBidi"/>
          <w:color w:val="0D0D0D" w:themeColor="text1" w:themeTint="F2"/>
        </w:rPr>
        <w:t xml:space="preserve">direktiva </w:t>
      </w:r>
      <w:r w:rsidRPr="00770F9D">
        <w:rPr>
          <w:rFonts w:ascii="Garamond" w:hAnsi="Garamond" w:cstheme="majorBidi"/>
          <w:color w:val="0D0D0D" w:themeColor="text1" w:themeTint="F2"/>
        </w:rPr>
        <w:t>2018/2001) dhe ka marrë iniciativën për të propozuar miratimin e një ligji të ri në fushën e energjisë nga burimet e rinovueshme</w:t>
      </w:r>
      <w:r w:rsidR="007B4EC9">
        <w:rPr>
          <w:rFonts w:ascii="Garamond" w:hAnsi="Garamond" w:cstheme="majorBidi"/>
          <w:color w:val="0D0D0D" w:themeColor="text1" w:themeTint="F2"/>
        </w:rPr>
        <w:t>,</w:t>
      </w:r>
      <w:r w:rsidRPr="00770F9D">
        <w:rPr>
          <w:rFonts w:ascii="Garamond" w:hAnsi="Garamond" w:cstheme="majorBidi"/>
          <w:color w:val="0D0D0D" w:themeColor="text1" w:themeTint="F2"/>
        </w:rPr>
        <w:t xml:space="preserve"> i cili do të shfuqizoje ligjin nr. 7/2017</w:t>
      </w:r>
      <w:r w:rsidR="007B4EC9">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 nxitjen e përdorimit të energjisë nga</w:t>
      </w:r>
      <w:r w:rsidR="007B4EC9">
        <w:rPr>
          <w:rFonts w:ascii="Garamond" w:hAnsi="Garamond" w:cstheme="majorBidi"/>
          <w:color w:val="0D0D0D" w:themeColor="text1" w:themeTint="F2"/>
        </w:rPr>
        <w:t xml:space="preserve"> burimet e rinovueshme. Projekt</w:t>
      </w:r>
      <w:r w:rsidRPr="00770F9D">
        <w:rPr>
          <w:rFonts w:ascii="Garamond" w:hAnsi="Garamond" w:cstheme="majorBidi"/>
          <w:color w:val="0D0D0D" w:themeColor="text1" w:themeTint="F2"/>
        </w:rPr>
        <w:t>ligji përcakton kuadrin ligjor përcakton objektivat kombëtar</w:t>
      </w:r>
      <w:r w:rsidR="007B4EC9">
        <w:rPr>
          <w:rFonts w:ascii="Garamond" w:hAnsi="Garamond" w:cstheme="majorBidi"/>
          <w:color w:val="0D0D0D" w:themeColor="text1" w:themeTint="F2"/>
        </w:rPr>
        <w:t>ë</w:t>
      </w:r>
      <w:r w:rsidRPr="00770F9D">
        <w:rPr>
          <w:rFonts w:ascii="Garamond" w:hAnsi="Garamond" w:cstheme="majorBidi"/>
          <w:color w:val="0D0D0D" w:themeColor="text1" w:themeTint="F2"/>
        </w:rPr>
        <w:t xml:space="preserve"> detyruese dhe detyrimet raportuese për kontributin e energjisë nga burimet e rinovueshme të energjisë në konsumin përfundimtar bruto të energjisë, rregullat për informacion, statistika, certifikim, për mekanizmat e bashkëpunimit, për mbështetje, rregullat lidhur me aksesin dhe funksionimin e rrjeteve për burimet e energjive</w:t>
      </w:r>
      <w:r w:rsidR="009A473B"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 xml:space="preserve">të rinovueshme dhe lidhjen e tyre me rrjetin e energjisë elektrike, rregullat për dhënien, transferimin dhe anulimin e </w:t>
      </w:r>
      <w:r w:rsidR="007B4EC9" w:rsidRPr="00770F9D">
        <w:rPr>
          <w:rFonts w:ascii="Garamond" w:hAnsi="Garamond" w:cstheme="majorBidi"/>
          <w:color w:val="0D0D0D" w:themeColor="text1" w:themeTint="F2"/>
        </w:rPr>
        <w:t xml:space="preserve">garancive të origjinës </w:t>
      </w:r>
      <w:r w:rsidRPr="00770F9D">
        <w:rPr>
          <w:rFonts w:ascii="Garamond" w:hAnsi="Garamond" w:cstheme="majorBidi"/>
          <w:color w:val="0D0D0D" w:themeColor="text1" w:themeTint="F2"/>
        </w:rPr>
        <w:t>për energjinë e prodhuar nga burimet e rinovueshme, si dhe rregullat për integrimin e vetëkonsumatorëve dhe komuniteteve të energjisë së rinovueshme në sektorin e energjisë elektrike. Draft akti është në proces miratimi brenda vitit 2022.</w:t>
      </w:r>
    </w:p>
    <w:p w14:paraId="22D237D7" w14:textId="77777777" w:rsidR="0084426F" w:rsidRPr="00770F9D" w:rsidRDefault="0084426F"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Përgatitja e akteve nënligjore në zbatim të ligjit të ri në RES që do të rregullojë tregun e energjisë së rinovueshme në Shqipëri, mbetet një sfidë edhe pse kapacitetet e reja gjeneruese janë në përgjithësi investime private.</w:t>
      </w:r>
    </w:p>
    <w:p w14:paraId="3BD5C792" w14:textId="3C1F68F2" w:rsidR="0084426F" w:rsidRPr="00770F9D" w:rsidRDefault="0084426F" w:rsidP="00624574">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Skemat mbështetëse për nxitjen e përdorimit të energjisë elektrike nga burimet e rinovueshme të diellit dhe të erës bazuar në </w:t>
      </w:r>
      <w:r w:rsidR="00624574" w:rsidRPr="00770F9D">
        <w:rPr>
          <w:rFonts w:ascii="Garamond" w:hAnsi="Garamond" w:cstheme="majorBidi"/>
          <w:color w:val="0D0D0D" w:themeColor="text1" w:themeTint="F2"/>
        </w:rPr>
        <w:t xml:space="preserve">vendimin </w:t>
      </w:r>
      <w:r w:rsidRPr="00770F9D">
        <w:rPr>
          <w:rFonts w:ascii="Garamond" w:hAnsi="Garamond" w:cstheme="majorBidi"/>
          <w:color w:val="0D0D0D" w:themeColor="text1" w:themeTint="F2"/>
        </w:rPr>
        <w:t xml:space="preserve">e Këshillit </w:t>
      </w:r>
      <w:r w:rsidR="00624574">
        <w:rPr>
          <w:rFonts w:ascii="Garamond" w:hAnsi="Garamond" w:cstheme="majorBidi"/>
          <w:color w:val="0D0D0D" w:themeColor="text1" w:themeTint="F2"/>
        </w:rPr>
        <w:t>të Ministrave nr. 349, datë 12.</w:t>
      </w:r>
      <w:r w:rsidRPr="00770F9D">
        <w:rPr>
          <w:rFonts w:ascii="Garamond" w:hAnsi="Garamond" w:cstheme="majorBidi"/>
          <w:color w:val="0D0D0D" w:themeColor="text1" w:themeTint="F2"/>
        </w:rPr>
        <w:t>6.2018</w:t>
      </w:r>
      <w:r w:rsidR="00624574">
        <w:rPr>
          <w:rFonts w:ascii="Garamond" w:hAnsi="Garamond" w:cstheme="majorBidi"/>
          <w:color w:val="0D0D0D" w:themeColor="text1" w:themeTint="F2"/>
        </w:rPr>
        <w:t>,</w:t>
      </w:r>
      <w:r w:rsidRPr="00770F9D">
        <w:rPr>
          <w:rFonts w:ascii="Garamond" w:hAnsi="Garamond" w:cstheme="majorBidi"/>
          <w:color w:val="0D0D0D" w:themeColor="text1" w:themeTint="F2"/>
        </w:rPr>
        <w:t xml:space="preserve"> dhe vendimin e Këshillit të Ministrave nr. 822, datë 7.10. 2015</w:t>
      </w:r>
      <w:r w:rsidR="00624574">
        <w:rPr>
          <w:rFonts w:ascii="Garamond" w:hAnsi="Garamond" w:cstheme="majorBidi"/>
          <w:color w:val="0D0D0D" w:themeColor="text1" w:themeTint="F2"/>
        </w:rPr>
        <w:t>,</w:t>
      </w:r>
      <w:r w:rsidRPr="00770F9D">
        <w:rPr>
          <w:rFonts w:ascii="Garamond" w:hAnsi="Garamond" w:cstheme="majorBidi"/>
          <w:color w:val="0D0D0D" w:themeColor="text1" w:themeTint="F2"/>
        </w:rPr>
        <w:t xml:space="preserve"> jepen nga </w:t>
      </w:r>
      <w:r w:rsidR="00624574" w:rsidRPr="00770F9D">
        <w:rPr>
          <w:rFonts w:ascii="Garamond" w:hAnsi="Garamond" w:cstheme="majorBidi"/>
          <w:color w:val="0D0D0D" w:themeColor="text1" w:themeTint="F2"/>
        </w:rPr>
        <w:t xml:space="preserve">grupi </w:t>
      </w:r>
      <w:r w:rsidRPr="00770F9D">
        <w:rPr>
          <w:rFonts w:ascii="Garamond" w:hAnsi="Garamond" w:cstheme="majorBidi"/>
          <w:color w:val="0D0D0D" w:themeColor="text1" w:themeTint="F2"/>
        </w:rPr>
        <w:t>OSHEE nëpërmjet një kontrate për blerjen e energjisë elektrike të prodhuar nga operatorët e li</w:t>
      </w:r>
      <w:r w:rsidR="00624574">
        <w:rPr>
          <w:rFonts w:ascii="Garamond" w:hAnsi="Garamond" w:cstheme="majorBidi"/>
          <w:color w:val="0D0D0D" w:themeColor="text1" w:themeTint="F2"/>
        </w:rPr>
        <w:t>c</w:t>
      </w:r>
      <w:r w:rsidRPr="00770F9D">
        <w:rPr>
          <w:rFonts w:ascii="Garamond" w:hAnsi="Garamond" w:cstheme="majorBidi"/>
          <w:color w:val="0D0D0D" w:themeColor="text1" w:themeTint="F2"/>
        </w:rPr>
        <w:t xml:space="preserve">encuar me afat 15 vjet. Bazuar në legjislacionin në fuqi, prodhuesit me përparësi që </w:t>
      </w:r>
      <w:r w:rsidR="00624574">
        <w:rPr>
          <w:rFonts w:ascii="Garamond" w:hAnsi="Garamond" w:cstheme="majorBidi"/>
          <w:color w:val="0D0D0D" w:themeColor="text1" w:themeTint="F2"/>
        </w:rPr>
        <w:t>operojnë</w:t>
      </w:r>
      <w:r w:rsidRPr="00770F9D">
        <w:rPr>
          <w:rFonts w:ascii="Garamond" w:hAnsi="Garamond" w:cstheme="majorBidi"/>
          <w:color w:val="0D0D0D" w:themeColor="text1" w:themeTint="F2"/>
        </w:rPr>
        <w:t xml:space="preserve"> në treg do të paguhen nga OSHEE </w:t>
      </w:r>
      <w:r w:rsidR="00624574" w:rsidRPr="00770F9D">
        <w:rPr>
          <w:rFonts w:ascii="Garamond" w:hAnsi="Garamond" w:cstheme="majorBidi"/>
          <w:color w:val="0D0D0D" w:themeColor="text1" w:themeTint="F2"/>
        </w:rPr>
        <w:t>Group</w:t>
      </w:r>
      <w:r w:rsidRPr="00770F9D">
        <w:rPr>
          <w:rFonts w:ascii="Garamond" w:hAnsi="Garamond" w:cstheme="majorBidi"/>
          <w:color w:val="0D0D0D" w:themeColor="text1" w:themeTint="F2"/>
        </w:rPr>
        <w:t xml:space="preserve">. Buxheti i Shtetit nuk ka kosto për këtë kategori prodhuesish. </w:t>
      </w:r>
    </w:p>
    <w:p w14:paraId="679C49DB" w14:textId="5D5EE1E6" w:rsidR="0084426F" w:rsidRPr="00770F9D" w:rsidRDefault="0084426F" w:rsidP="00863467">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Projektet e përzgjedhur nëpërmjet procedurave konkur</w:t>
      </w:r>
      <w:r w:rsidR="00863467">
        <w:rPr>
          <w:rFonts w:ascii="Garamond" w:hAnsi="Garamond" w:cstheme="majorBidi"/>
          <w:color w:val="0D0D0D" w:themeColor="text1" w:themeTint="F2"/>
        </w:rPr>
        <w:t>r</w:t>
      </w:r>
      <w:r w:rsidRPr="00770F9D">
        <w:rPr>
          <w:rFonts w:ascii="Garamond" w:hAnsi="Garamond" w:cstheme="majorBidi"/>
          <w:color w:val="0D0D0D" w:themeColor="text1" w:themeTint="F2"/>
        </w:rPr>
        <w:t>uese përcaktojnë një çmim fiks të blerjes së energjisë prej 15 v</w:t>
      </w:r>
      <w:r w:rsidR="00863467">
        <w:rPr>
          <w:rFonts w:ascii="Garamond" w:hAnsi="Garamond" w:cstheme="majorBidi"/>
          <w:color w:val="0D0D0D" w:themeColor="text1" w:themeTint="F2"/>
        </w:rPr>
        <w:t>jetë</w:t>
      </w:r>
      <w:r w:rsidRPr="00770F9D">
        <w:rPr>
          <w:rFonts w:ascii="Garamond" w:hAnsi="Garamond" w:cstheme="majorBidi"/>
          <w:color w:val="0D0D0D" w:themeColor="text1" w:themeTint="F2"/>
        </w:rPr>
        <w:t>sh në bazë të kontratës</w:t>
      </w:r>
      <w:r w:rsidR="009403C3">
        <w:rPr>
          <w:rFonts w:ascii="Garamond" w:hAnsi="Garamond" w:cstheme="majorBidi"/>
          <w:color w:val="0D0D0D" w:themeColor="text1" w:themeTint="F2"/>
        </w:rPr>
        <w:t>,</w:t>
      </w:r>
      <w:r w:rsidRPr="00770F9D">
        <w:rPr>
          <w:rFonts w:ascii="Garamond" w:hAnsi="Garamond" w:cstheme="majorBidi"/>
          <w:color w:val="0D0D0D" w:themeColor="text1" w:themeTint="F2"/>
        </w:rPr>
        <w:t xml:space="preserve"> e cila do të jetë një </w:t>
      </w:r>
      <w:r w:rsidR="009403C3" w:rsidRPr="00770F9D">
        <w:rPr>
          <w:rFonts w:ascii="Garamond" w:hAnsi="Garamond" w:cstheme="majorBidi"/>
          <w:color w:val="0D0D0D" w:themeColor="text1" w:themeTint="F2"/>
        </w:rPr>
        <w:t xml:space="preserve">kontratë për diferencë </w:t>
      </w:r>
      <w:r w:rsidRPr="00770F9D">
        <w:rPr>
          <w:rFonts w:ascii="Garamond" w:hAnsi="Garamond" w:cstheme="majorBidi"/>
          <w:color w:val="0D0D0D" w:themeColor="text1" w:themeTint="F2"/>
        </w:rPr>
        <w:t xml:space="preserve">(CfD) dhe mund të ushtrohet në një tregun të liberalizuar të energjisë elektrike. </w:t>
      </w:r>
    </w:p>
    <w:p w14:paraId="760E3AF2" w14:textId="5BA30B88" w:rsidR="0084426F" w:rsidRPr="00770F9D" w:rsidRDefault="0084426F" w:rsidP="00EB64CA">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Pas miratimit t</w:t>
      </w:r>
      <w:r w:rsidR="00EB64CA">
        <w:rPr>
          <w:rFonts w:ascii="Garamond" w:hAnsi="Garamond" w:cstheme="majorBidi"/>
          <w:color w:val="0D0D0D" w:themeColor="text1" w:themeTint="F2"/>
        </w:rPr>
        <w:t>ë</w:t>
      </w:r>
      <w:r w:rsidRPr="00770F9D">
        <w:rPr>
          <w:rFonts w:ascii="Garamond" w:hAnsi="Garamond" w:cstheme="majorBidi"/>
          <w:color w:val="0D0D0D" w:themeColor="text1" w:themeTint="F2"/>
        </w:rPr>
        <w:t xml:space="preserve"> ligjit t</w:t>
      </w:r>
      <w:r w:rsidR="00EB64CA">
        <w:rPr>
          <w:rFonts w:ascii="Garamond" w:hAnsi="Garamond" w:cstheme="majorBidi"/>
          <w:color w:val="0D0D0D" w:themeColor="text1" w:themeTint="F2"/>
        </w:rPr>
        <w:t>ë</w:t>
      </w:r>
      <w:r w:rsidRPr="00770F9D">
        <w:rPr>
          <w:rFonts w:ascii="Garamond" w:hAnsi="Garamond" w:cstheme="majorBidi"/>
          <w:color w:val="0D0D0D" w:themeColor="text1" w:themeTint="F2"/>
        </w:rPr>
        <w:t xml:space="preserve"> ri t</w:t>
      </w:r>
      <w:r w:rsidR="00EB64CA">
        <w:rPr>
          <w:rFonts w:ascii="Garamond" w:hAnsi="Garamond" w:cstheme="majorBidi"/>
          <w:color w:val="0D0D0D" w:themeColor="text1" w:themeTint="F2"/>
        </w:rPr>
        <w:t>ë</w:t>
      </w:r>
      <w:r w:rsidRPr="00770F9D">
        <w:rPr>
          <w:rFonts w:ascii="Garamond" w:hAnsi="Garamond" w:cstheme="majorBidi"/>
          <w:color w:val="0D0D0D" w:themeColor="text1" w:themeTint="F2"/>
        </w:rPr>
        <w:t>BRE-ve do t</w:t>
      </w:r>
      <w:r w:rsidR="00EB64CA">
        <w:rPr>
          <w:rFonts w:ascii="Garamond" w:hAnsi="Garamond" w:cstheme="majorBidi"/>
          <w:color w:val="0D0D0D" w:themeColor="text1" w:themeTint="F2"/>
        </w:rPr>
        <w:t>ë</w:t>
      </w:r>
      <w:r w:rsidRPr="00770F9D">
        <w:rPr>
          <w:rFonts w:ascii="Garamond" w:hAnsi="Garamond" w:cstheme="majorBidi"/>
          <w:color w:val="0D0D0D" w:themeColor="text1" w:themeTint="F2"/>
        </w:rPr>
        <w:t xml:space="preserve"> kalohet nga skemat ekzistuese </w:t>
      </w:r>
      <w:r w:rsidRPr="001B7683">
        <w:rPr>
          <w:rFonts w:ascii="Garamond" w:hAnsi="Garamond" w:cstheme="majorBidi"/>
          <w:i/>
          <w:iCs/>
          <w:color w:val="0D0D0D" w:themeColor="text1" w:themeTint="F2"/>
        </w:rPr>
        <w:t>“Feed-in Tariff”</w:t>
      </w:r>
      <w:r w:rsidRPr="00770F9D">
        <w:rPr>
          <w:rFonts w:ascii="Garamond" w:hAnsi="Garamond" w:cstheme="majorBidi"/>
          <w:color w:val="0D0D0D" w:themeColor="text1" w:themeTint="F2"/>
        </w:rPr>
        <w:t xml:space="preserve"> (FiT) në </w:t>
      </w:r>
      <w:r w:rsidRPr="001B7683">
        <w:rPr>
          <w:rFonts w:ascii="Garamond" w:hAnsi="Garamond" w:cstheme="majorBidi"/>
          <w:i/>
          <w:iCs/>
          <w:color w:val="0D0D0D" w:themeColor="text1" w:themeTint="F2"/>
        </w:rPr>
        <w:t>“Feed-in-Premium”</w:t>
      </w:r>
      <w:r w:rsidRPr="00770F9D">
        <w:rPr>
          <w:rFonts w:ascii="Garamond" w:hAnsi="Garamond" w:cstheme="majorBidi"/>
          <w:color w:val="0D0D0D" w:themeColor="text1" w:themeTint="F2"/>
        </w:rPr>
        <w:t xml:space="preserve"> (tarifa FiP), e cila konsiston në transformimin e FiT në Kontratën për Diferencë (Ankande), si skemë incentivuese për BRE-të</w:t>
      </w:r>
      <w:r w:rsidR="005C3237">
        <w:rPr>
          <w:rFonts w:ascii="Garamond" w:hAnsi="Garamond" w:cstheme="majorBidi"/>
          <w:color w:val="0D0D0D" w:themeColor="text1" w:themeTint="F2"/>
        </w:rPr>
        <w:t xml:space="preserve">, sipas rekomandimeve. Projektvendimit të </w:t>
      </w:r>
      <w:r w:rsidRPr="00770F9D">
        <w:rPr>
          <w:rFonts w:ascii="Garamond" w:hAnsi="Garamond" w:cstheme="majorBidi"/>
          <w:color w:val="0D0D0D" w:themeColor="text1" w:themeTint="F2"/>
        </w:rPr>
        <w:t>KM</w:t>
      </w:r>
      <w:r w:rsidR="005C3237">
        <w:rPr>
          <w:rFonts w:ascii="Garamond" w:hAnsi="Garamond" w:cstheme="majorBidi"/>
          <w:color w:val="0D0D0D" w:themeColor="text1" w:themeTint="F2"/>
        </w:rPr>
        <w:t>-së</w:t>
      </w:r>
      <w:r w:rsidRPr="00770F9D">
        <w:rPr>
          <w:rFonts w:ascii="Garamond" w:hAnsi="Garamond" w:cstheme="majorBidi"/>
          <w:color w:val="0D0D0D" w:themeColor="text1" w:themeTint="F2"/>
        </w:rPr>
        <w:t xml:space="preserve"> </w:t>
      </w:r>
      <w:r w:rsidR="005C3237">
        <w:rPr>
          <w:rFonts w:ascii="Garamond" w:hAnsi="Garamond" w:cstheme="majorBidi"/>
          <w:color w:val="0D0D0D" w:themeColor="text1" w:themeTint="F2"/>
        </w:rPr>
        <w:t>“</w:t>
      </w:r>
      <w:r w:rsidRPr="00770F9D">
        <w:rPr>
          <w:rFonts w:ascii="Garamond" w:hAnsi="Garamond" w:cstheme="majorBidi"/>
          <w:color w:val="0D0D0D" w:themeColor="text1" w:themeTint="F2"/>
        </w:rPr>
        <w:t xml:space="preserve">Për </w:t>
      </w:r>
      <w:r w:rsidR="005C3237" w:rsidRPr="00770F9D">
        <w:rPr>
          <w:rFonts w:ascii="Garamond" w:hAnsi="Garamond" w:cstheme="majorBidi"/>
          <w:color w:val="0D0D0D" w:themeColor="text1" w:themeTint="F2"/>
        </w:rPr>
        <w:t xml:space="preserve">modelin e kontratës </w:t>
      </w:r>
      <w:r w:rsidRPr="00770F9D">
        <w:rPr>
          <w:rFonts w:ascii="Garamond" w:hAnsi="Garamond" w:cstheme="majorBidi"/>
          <w:color w:val="0D0D0D" w:themeColor="text1" w:themeTint="F2"/>
        </w:rPr>
        <w:t>për diferencë, kushtet dhe procedurat</w:t>
      </w:r>
      <w:r w:rsidR="005C3237">
        <w:rPr>
          <w:rFonts w:ascii="Garamond" w:hAnsi="Garamond" w:cstheme="majorBidi"/>
          <w:color w:val="0D0D0D" w:themeColor="text1" w:themeTint="F2"/>
        </w:rPr>
        <w:t>”</w:t>
      </w:r>
      <w:r w:rsidRPr="00770F9D">
        <w:rPr>
          <w:rFonts w:ascii="Garamond" w:hAnsi="Garamond" w:cstheme="majorBidi"/>
          <w:color w:val="0D0D0D" w:themeColor="text1" w:themeTint="F2"/>
        </w:rPr>
        <w:t xml:space="preserve"> është parashikuar të miratohet gjatë vitit 2023, nëpërmjet </w:t>
      </w:r>
      <w:r w:rsidR="00116FD4">
        <w:rPr>
          <w:rFonts w:ascii="Garamond" w:hAnsi="Garamond" w:cstheme="majorBidi"/>
          <w:color w:val="0D0D0D" w:themeColor="text1" w:themeTint="F2"/>
        </w:rPr>
        <w:t>s</w:t>
      </w:r>
      <w:r w:rsidRPr="00770F9D">
        <w:rPr>
          <w:rFonts w:ascii="Garamond" w:hAnsi="Garamond" w:cstheme="majorBidi"/>
          <w:color w:val="0D0D0D" w:themeColor="text1" w:themeTint="F2"/>
        </w:rPr>
        <w:t>ë cilës do të ndryshojë modeli i funksionimit të tregut në fushën e BRE-ve.</w:t>
      </w:r>
    </w:p>
    <w:p w14:paraId="43601668" w14:textId="53DDECD7" w:rsidR="0084426F" w:rsidRPr="00770F9D" w:rsidRDefault="0084426F" w:rsidP="00EB64CA">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Investimet në fushën e burimeve t</w:t>
      </w:r>
      <w:r w:rsidR="00EB64CA">
        <w:rPr>
          <w:rFonts w:ascii="Garamond" w:hAnsi="Garamond" w:cstheme="majorBidi"/>
          <w:color w:val="0D0D0D" w:themeColor="text1" w:themeTint="F2"/>
        </w:rPr>
        <w:t>ë</w:t>
      </w:r>
      <w:r w:rsidRPr="00770F9D">
        <w:rPr>
          <w:rFonts w:ascii="Garamond" w:hAnsi="Garamond" w:cstheme="majorBidi"/>
          <w:color w:val="0D0D0D" w:themeColor="text1" w:themeTint="F2"/>
        </w:rPr>
        <w:t xml:space="preserve"> rinovueshme të energjisë janë në vijimësi nëpërmjet iniciativave private dhe proceseve konku</w:t>
      </w:r>
      <w:r w:rsidR="005B790B">
        <w:rPr>
          <w:rFonts w:ascii="Garamond" w:hAnsi="Garamond" w:cstheme="majorBidi"/>
          <w:color w:val="0D0D0D" w:themeColor="text1" w:themeTint="F2"/>
        </w:rPr>
        <w:t>r</w:t>
      </w:r>
      <w:r w:rsidRPr="00770F9D">
        <w:rPr>
          <w:rFonts w:ascii="Garamond" w:hAnsi="Garamond" w:cstheme="majorBidi"/>
          <w:color w:val="0D0D0D" w:themeColor="text1" w:themeTint="F2"/>
        </w:rPr>
        <w:t>ruese. Disa nga aktivitetet afatgjat</w:t>
      </w:r>
      <w:r w:rsidR="005B790B">
        <w:rPr>
          <w:rFonts w:ascii="Garamond" w:hAnsi="Garamond" w:cstheme="majorBidi"/>
          <w:color w:val="0D0D0D" w:themeColor="text1" w:themeTint="F2"/>
        </w:rPr>
        <w:t>e</w:t>
      </w:r>
      <w:r w:rsidRPr="00770F9D">
        <w:rPr>
          <w:rFonts w:ascii="Garamond" w:hAnsi="Garamond" w:cstheme="majorBidi"/>
          <w:color w:val="0D0D0D" w:themeColor="text1" w:themeTint="F2"/>
        </w:rPr>
        <w:t xml:space="preserve"> në proces lidhur me këtë masë janë përshkruar</w:t>
      </w:r>
      <w:r w:rsidR="005B790B">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më poshtë vijon:</w:t>
      </w:r>
    </w:p>
    <w:p w14:paraId="6B6BF7E9" w14:textId="525C723B" w:rsidR="0084426F" w:rsidRPr="00770F9D" w:rsidRDefault="0084426F" w:rsidP="00400806">
      <w:pPr>
        <w:ind w:firstLine="284"/>
        <w:jc w:val="both"/>
        <w:rPr>
          <w:rFonts w:ascii="Garamond" w:hAnsi="Garamond" w:cstheme="majorBidi"/>
          <w:b/>
          <w:bCs/>
          <w:color w:val="0D0D0D" w:themeColor="text1" w:themeTint="F2"/>
        </w:rPr>
      </w:pPr>
      <w:r w:rsidRPr="00770F9D">
        <w:rPr>
          <w:rFonts w:ascii="Garamond" w:hAnsi="Garamond" w:cstheme="majorBidi"/>
          <w:b/>
          <w:bCs/>
          <w:color w:val="0D0D0D" w:themeColor="text1" w:themeTint="F2"/>
        </w:rPr>
        <w:t xml:space="preserve">Impianti </w:t>
      </w:r>
      <w:r w:rsidR="005B790B" w:rsidRPr="00770F9D">
        <w:rPr>
          <w:rFonts w:ascii="Garamond" w:hAnsi="Garamond" w:cstheme="majorBidi"/>
          <w:b/>
          <w:bCs/>
          <w:color w:val="0D0D0D" w:themeColor="text1" w:themeTint="F2"/>
        </w:rPr>
        <w:t xml:space="preserve">fotovoltaik </w:t>
      </w:r>
      <w:r w:rsidRPr="00770F9D">
        <w:rPr>
          <w:rFonts w:ascii="Garamond" w:hAnsi="Garamond" w:cstheme="majorBidi"/>
          <w:b/>
          <w:bCs/>
          <w:color w:val="0D0D0D" w:themeColor="text1" w:themeTint="F2"/>
        </w:rPr>
        <w:t>i Karavastasë</w:t>
      </w:r>
    </w:p>
    <w:p w14:paraId="28128541" w14:textId="070771E3" w:rsidR="0084426F" w:rsidRPr="00770F9D" w:rsidRDefault="0084426F" w:rsidP="003D2D3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Ministria </w:t>
      </w:r>
      <w:r w:rsidR="005B790B">
        <w:rPr>
          <w:rFonts w:ascii="Garamond" w:hAnsi="Garamond" w:cstheme="majorBidi"/>
          <w:color w:val="0D0D0D" w:themeColor="text1" w:themeTint="F2"/>
        </w:rPr>
        <w:t>e Infrastrukturës dhe Energjisë</w:t>
      </w:r>
      <w:r w:rsidRPr="00770F9D">
        <w:rPr>
          <w:rFonts w:ascii="Garamond" w:hAnsi="Garamond" w:cstheme="majorBidi"/>
          <w:color w:val="0D0D0D" w:themeColor="text1" w:themeTint="F2"/>
        </w:rPr>
        <w:t xml:space="preserve"> ka nënshkruar në vitin 2020 Marrëveshjen e Zhvillimit të Projektit me kompaninë Voltalia a.s</w:t>
      </w:r>
      <w:r w:rsidR="005B790B">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 ndërtimin e impiantit fotovoltaik në Remas</w:t>
      </w:r>
      <w:r w:rsidR="005B790B">
        <w:rPr>
          <w:rFonts w:ascii="Garamond" w:hAnsi="Garamond" w:cstheme="majorBidi"/>
          <w:color w:val="0D0D0D" w:themeColor="text1" w:themeTint="F2"/>
        </w:rPr>
        <w:t>,</w:t>
      </w:r>
      <w:r w:rsidRPr="00770F9D">
        <w:rPr>
          <w:rFonts w:ascii="Garamond" w:hAnsi="Garamond" w:cstheme="majorBidi"/>
          <w:color w:val="0D0D0D" w:themeColor="text1" w:themeTint="F2"/>
        </w:rPr>
        <w:t xml:space="preserve"> Karavasta (afër zonës së Lushnjës) me fuqi të instaluar 140 </w:t>
      </w:r>
      <w:r w:rsidR="00935633" w:rsidRPr="00770F9D">
        <w:rPr>
          <w:rFonts w:ascii="Garamond" w:hAnsi="Garamond" w:cstheme="majorBidi"/>
          <w:color w:val="0D0D0D" w:themeColor="text1" w:themeTint="F2"/>
        </w:rPr>
        <w:t>mw</w:t>
      </w:r>
      <w:r w:rsidRPr="00770F9D">
        <w:rPr>
          <w:rFonts w:ascii="Garamond" w:hAnsi="Garamond" w:cstheme="majorBidi"/>
          <w:color w:val="0D0D0D" w:themeColor="text1" w:themeTint="F2"/>
        </w:rPr>
        <w:t xml:space="preserve">, nga ku 70 </w:t>
      </w:r>
      <w:r w:rsidR="00935633" w:rsidRPr="00770F9D">
        <w:rPr>
          <w:rFonts w:ascii="Garamond" w:hAnsi="Garamond" w:cstheme="majorBidi"/>
          <w:color w:val="0D0D0D" w:themeColor="text1" w:themeTint="F2"/>
        </w:rPr>
        <w:t>mw</w:t>
      </w:r>
      <w:r w:rsidRPr="00770F9D">
        <w:rPr>
          <w:rFonts w:ascii="Garamond" w:hAnsi="Garamond" w:cstheme="majorBidi"/>
          <w:color w:val="0D0D0D" w:themeColor="text1" w:themeTint="F2"/>
        </w:rPr>
        <w:t xml:space="preserve">, si pjesë e masave mbështetëse dhe 70 </w:t>
      </w:r>
      <w:r w:rsidR="00935633" w:rsidRPr="00770F9D">
        <w:rPr>
          <w:rFonts w:ascii="Garamond" w:hAnsi="Garamond" w:cstheme="majorBidi"/>
          <w:color w:val="0D0D0D" w:themeColor="text1" w:themeTint="F2"/>
        </w:rPr>
        <w:t xml:space="preserve">mw </w:t>
      </w:r>
      <w:r w:rsidRPr="00770F9D">
        <w:rPr>
          <w:rFonts w:ascii="Garamond" w:hAnsi="Garamond" w:cstheme="majorBidi"/>
          <w:color w:val="0D0D0D" w:themeColor="text1" w:themeTint="F2"/>
        </w:rPr>
        <w:t>të cilat do të jenë në treg të lirë. Fituesi i procedurës konkur</w:t>
      </w:r>
      <w:r w:rsidR="00935633">
        <w:rPr>
          <w:rFonts w:ascii="Garamond" w:hAnsi="Garamond" w:cstheme="majorBidi"/>
          <w:color w:val="0D0D0D" w:themeColor="text1" w:themeTint="F2"/>
        </w:rPr>
        <w:t>r</w:t>
      </w:r>
      <w:r w:rsidRPr="00770F9D">
        <w:rPr>
          <w:rFonts w:ascii="Garamond" w:hAnsi="Garamond" w:cstheme="majorBidi"/>
          <w:color w:val="0D0D0D" w:themeColor="text1" w:themeTint="F2"/>
        </w:rPr>
        <w:t>uese ka ofruar një çmim prej 24.89 euro</w:t>
      </w:r>
      <w:r w:rsidR="00935633">
        <w:rPr>
          <w:rFonts w:ascii="Garamond" w:hAnsi="Garamond" w:cstheme="majorBidi"/>
          <w:color w:val="0D0D0D" w:themeColor="text1" w:themeTint="F2"/>
        </w:rPr>
        <w:t>sh</w:t>
      </w:r>
      <w:r w:rsidRPr="00770F9D">
        <w:rPr>
          <w:rFonts w:ascii="Garamond" w:hAnsi="Garamond" w:cstheme="majorBidi"/>
          <w:color w:val="0D0D0D" w:themeColor="text1" w:themeTint="F2"/>
        </w:rPr>
        <w:t>/</w:t>
      </w:r>
      <w:r w:rsidR="00935633" w:rsidRPr="00770F9D">
        <w:rPr>
          <w:rFonts w:ascii="Garamond" w:hAnsi="Garamond" w:cstheme="majorBidi"/>
          <w:color w:val="0D0D0D" w:themeColor="text1" w:themeTint="F2"/>
        </w:rPr>
        <w:t>mwh</w:t>
      </w:r>
      <w:r w:rsidRPr="00770F9D">
        <w:rPr>
          <w:rFonts w:ascii="Garamond" w:hAnsi="Garamond" w:cstheme="majorBidi"/>
          <w:color w:val="0D0D0D" w:themeColor="text1" w:themeTint="F2"/>
        </w:rPr>
        <w:t>, për 15 vjet dhe në përputhje me lejet</w:t>
      </w:r>
      <w:r w:rsidR="003D2D36">
        <w:rPr>
          <w:rFonts w:ascii="Garamond" w:hAnsi="Garamond" w:cstheme="majorBidi"/>
          <w:color w:val="0D0D0D" w:themeColor="text1" w:themeTint="F2"/>
        </w:rPr>
        <w:t xml:space="preserve"> </w:t>
      </w:r>
      <w:r w:rsidRPr="00770F9D">
        <w:rPr>
          <w:rFonts w:ascii="Garamond" w:hAnsi="Garamond" w:cstheme="majorBidi"/>
          <w:color w:val="0D0D0D" w:themeColor="text1" w:themeTint="F2"/>
        </w:rPr>
        <w:t>e mara, ka filluar me fazën e ndërtimit.</w:t>
      </w:r>
    </w:p>
    <w:p w14:paraId="292B0AD1" w14:textId="41C845AC" w:rsidR="0084426F" w:rsidRPr="00770F9D" w:rsidRDefault="0084426F" w:rsidP="00400806">
      <w:pPr>
        <w:ind w:firstLine="284"/>
        <w:jc w:val="both"/>
        <w:rPr>
          <w:rFonts w:ascii="Garamond" w:hAnsi="Garamond" w:cstheme="majorBidi"/>
          <w:b/>
          <w:bCs/>
          <w:color w:val="0D0D0D" w:themeColor="text1" w:themeTint="F2"/>
        </w:rPr>
      </w:pPr>
      <w:r w:rsidRPr="00770F9D">
        <w:rPr>
          <w:rFonts w:ascii="Garamond" w:hAnsi="Garamond" w:cstheme="majorBidi"/>
          <w:b/>
          <w:bCs/>
          <w:color w:val="0D0D0D" w:themeColor="text1" w:themeTint="F2"/>
        </w:rPr>
        <w:t xml:space="preserve">Impianti </w:t>
      </w:r>
      <w:r w:rsidR="003D2D36" w:rsidRPr="00770F9D">
        <w:rPr>
          <w:rFonts w:ascii="Garamond" w:hAnsi="Garamond" w:cstheme="majorBidi"/>
          <w:b/>
          <w:bCs/>
          <w:color w:val="0D0D0D" w:themeColor="text1" w:themeTint="F2"/>
        </w:rPr>
        <w:t xml:space="preserve">fotovoltaik </w:t>
      </w:r>
      <w:r w:rsidRPr="00770F9D">
        <w:rPr>
          <w:rFonts w:ascii="Garamond" w:hAnsi="Garamond" w:cstheme="majorBidi"/>
          <w:b/>
          <w:bCs/>
          <w:color w:val="0D0D0D" w:themeColor="text1" w:themeTint="F2"/>
        </w:rPr>
        <w:t>i Spitallës</w:t>
      </w:r>
    </w:p>
    <w:p w14:paraId="734AB8A2" w14:textId="6761518A" w:rsidR="0084426F" w:rsidRPr="00770F9D" w:rsidRDefault="0084426F"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Ministria e Infrastrukturës dhe Energjisë ka zhvilluar procedurën konkur</w:t>
      </w:r>
      <w:r w:rsidR="003D2D36">
        <w:rPr>
          <w:rFonts w:ascii="Garamond" w:hAnsi="Garamond" w:cstheme="majorBidi"/>
          <w:color w:val="0D0D0D" w:themeColor="text1" w:themeTint="F2"/>
        </w:rPr>
        <w:t>r</w:t>
      </w:r>
      <w:r w:rsidRPr="00770F9D">
        <w:rPr>
          <w:rFonts w:ascii="Garamond" w:hAnsi="Garamond" w:cstheme="majorBidi"/>
          <w:color w:val="0D0D0D" w:themeColor="text1" w:themeTint="F2"/>
        </w:rPr>
        <w:t xml:space="preserve">uese për ndërtimin e parkut fotovoltaik të Spitallës, Durrës me një kapacitet të instaluar prej 100 </w:t>
      </w:r>
      <w:r w:rsidR="003D2D36" w:rsidRPr="00770F9D">
        <w:rPr>
          <w:rFonts w:ascii="Garamond" w:hAnsi="Garamond" w:cstheme="majorBidi"/>
          <w:color w:val="0D0D0D" w:themeColor="text1" w:themeTint="F2"/>
        </w:rPr>
        <w:t>mw</w:t>
      </w:r>
      <w:r w:rsidRPr="00770F9D">
        <w:rPr>
          <w:rFonts w:ascii="Garamond" w:hAnsi="Garamond" w:cstheme="majorBidi"/>
          <w:color w:val="0D0D0D" w:themeColor="text1" w:themeTint="F2"/>
        </w:rPr>
        <w:t xml:space="preserve">, prej të cilave 70 </w:t>
      </w:r>
      <w:r w:rsidR="003D2D36" w:rsidRPr="00770F9D">
        <w:rPr>
          <w:rFonts w:ascii="Garamond" w:hAnsi="Garamond" w:cstheme="majorBidi"/>
          <w:color w:val="0D0D0D" w:themeColor="text1" w:themeTint="F2"/>
        </w:rPr>
        <w:t>mw</w:t>
      </w:r>
      <w:r w:rsidRPr="00770F9D">
        <w:rPr>
          <w:rFonts w:ascii="Garamond" w:hAnsi="Garamond" w:cstheme="majorBidi"/>
          <w:color w:val="0D0D0D" w:themeColor="text1" w:themeTint="F2"/>
        </w:rPr>
        <w:t xml:space="preserve">, si pjesë e </w:t>
      </w:r>
      <w:r w:rsidR="003D2D36" w:rsidRPr="00770F9D">
        <w:rPr>
          <w:rFonts w:ascii="Garamond" w:hAnsi="Garamond" w:cstheme="majorBidi"/>
          <w:color w:val="0D0D0D" w:themeColor="text1" w:themeTint="F2"/>
        </w:rPr>
        <w:t xml:space="preserve">masave mbështetëse </w:t>
      </w:r>
      <w:r w:rsidRPr="00770F9D">
        <w:rPr>
          <w:rFonts w:ascii="Garamond" w:hAnsi="Garamond" w:cstheme="majorBidi"/>
          <w:color w:val="0D0D0D" w:themeColor="text1" w:themeTint="F2"/>
        </w:rPr>
        <w:t xml:space="preserve">dhe 30 MW të cilat do të jenë në treg të lirë, </w:t>
      </w:r>
      <w:r w:rsidR="003D2D36" w:rsidRPr="00770F9D">
        <w:rPr>
          <w:rFonts w:ascii="Garamond" w:hAnsi="Garamond" w:cstheme="majorBidi"/>
          <w:color w:val="0D0D0D" w:themeColor="text1" w:themeTint="F2"/>
        </w:rPr>
        <w:t xml:space="preserve">fituesi </w:t>
      </w:r>
      <w:r w:rsidRPr="00770F9D">
        <w:rPr>
          <w:rFonts w:ascii="Garamond" w:hAnsi="Garamond" w:cstheme="majorBidi"/>
          <w:color w:val="0D0D0D" w:themeColor="text1" w:themeTint="F2"/>
        </w:rPr>
        <w:t>i procedurës konkur</w:t>
      </w:r>
      <w:r w:rsidR="003D2D36">
        <w:rPr>
          <w:rFonts w:ascii="Garamond" w:hAnsi="Garamond" w:cstheme="majorBidi"/>
          <w:color w:val="0D0D0D" w:themeColor="text1" w:themeTint="F2"/>
        </w:rPr>
        <w:t>r</w:t>
      </w:r>
      <w:r w:rsidRPr="00770F9D">
        <w:rPr>
          <w:rFonts w:ascii="Garamond" w:hAnsi="Garamond" w:cstheme="majorBidi"/>
          <w:color w:val="0D0D0D" w:themeColor="text1" w:themeTint="F2"/>
        </w:rPr>
        <w:t>uese ka ofruar një çmim prej 29.89 euro/</w:t>
      </w:r>
      <w:r w:rsidR="003D2D36" w:rsidRPr="00770F9D">
        <w:rPr>
          <w:rFonts w:ascii="Garamond" w:hAnsi="Garamond" w:cstheme="majorBidi"/>
          <w:color w:val="0D0D0D" w:themeColor="text1" w:themeTint="F2"/>
        </w:rPr>
        <w:t>mwh</w:t>
      </w:r>
      <w:r w:rsidRPr="00770F9D">
        <w:rPr>
          <w:rFonts w:ascii="Garamond" w:hAnsi="Garamond" w:cstheme="majorBidi"/>
          <w:color w:val="0D0D0D" w:themeColor="text1" w:themeTint="F2"/>
        </w:rPr>
        <w:t>, për 15 vjet dhe aktualisht është në fazën e marrjes së lejeve në përputhje me parashikimet e kontratës të në</w:t>
      </w:r>
      <w:r w:rsidR="003D2D36">
        <w:rPr>
          <w:rFonts w:ascii="Garamond" w:hAnsi="Garamond" w:cstheme="majorBidi"/>
          <w:color w:val="0D0D0D" w:themeColor="text1" w:themeTint="F2"/>
        </w:rPr>
        <w:t>n</w:t>
      </w:r>
      <w:r w:rsidRPr="00770F9D">
        <w:rPr>
          <w:rFonts w:ascii="Garamond" w:hAnsi="Garamond" w:cstheme="majorBidi"/>
          <w:color w:val="0D0D0D" w:themeColor="text1" w:themeTint="F2"/>
        </w:rPr>
        <w:t xml:space="preserve">shkruar në </w:t>
      </w:r>
      <w:r w:rsidR="003D2D36" w:rsidRPr="00770F9D">
        <w:rPr>
          <w:rFonts w:ascii="Garamond" w:hAnsi="Garamond" w:cstheme="majorBidi"/>
          <w:color w:val="0D0D0D" w:themeColor="text1" w:themeTint="F2"/>
        </w:rPr>
        <w:t xml:space="preserve">qershor </w:t>
      </w:r>
      <w:r w:rsidRPr="00770F9D">
        <w:rPr>
          <w:rFonts w:ascii="Garamond" w:hAnsi="Garamond" w:cstheme="majorBidi"/>
          <w:color w:val="0D0D0D" w:themeColor="text1" w:themeTint="F2"/>
        </w:rPr>
        <w:t>2021.</w:t>
      </w:r>
    </w:p>
    <w:p w14:paraId="75252A98" w14:textId="77777777" w:rsidR="0084426F" w:rsidRPr="00770F9D" w:rsidRDefault="0084426F" w:rsidP="00400806">
      <w:pPr>
        <w:ind w:firstLine="284"/>
        <w:jc w:val="both"/>
        <w:rPr>
          <w:rFonts w:ascii="Garamond" w:hAnsi="Garamond" w:cstheme="majorBidi"/>
          <w:b/>
          <w:bCs/>
          <w:color w:val="0D0D0D" w:themeColor="text1" w:themeTint="F2"/>
        </w:rPr>
      </w:pPr>
      <w:r w:rsidRPr="00770F9D">
        <w:rPr>
          <w:rFonts w:ascii="Garamond" w:hAnsi="Garamond" w:cstheme="majorBidi"/>
          <w:b/>
          <w:bCs/>
          <w:color w:val="0D0D0D" w:themeColor="text1" w:themeTint="F2"/>
        </w:rPr>
        <w:t>Burime gjeneresuese shtesë fotovoltaike dhe të erës</w:t>
      </w:r>
    </w:p>
    <w:p w14:paraId="2DE00740" w14:textId="4412F413" w:rsidR="0084426F" w:rsidRPr="00770F9D" w:rsidRDefault="0084426F"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Ministria e Infrastrukturës dhe Energjisë ka shpallur një procedurën konkurruese për gjenerimin e energjisë elektrike nga era, me kapacitet të instaluar nga 10 </w:t>
      </w:r>
      <w:r w:rsidR="003D2D36" w:rsidRPr="00770F9D">
        <w:rPr>
          <w:rFonts w:ascii="Garamond" w:hAnsi="Garamond" w:cstheme="majorBidi"/>
          <w:color w:val="0D0D0D" w:themeColor="text1" w:themeTint="F2"/>
        </w:rPr>
        <w:t xml:space="preserve">mw </w:t>
      </w:r>
      <w:r w:rsidRPr="00770F9D">
        <w:rPr>
          <w:rFonts w:ascii="Garamond" w:hAnsi="Garamond" w:cstheme="majorBidi"/>
          <w:color w:val="0D0D0D" w:themeColor="text1" w:themeTint="F2"/>
        </w:rPr>
        <w:t xml:space="preserve">në 75 </w:t>
      </w:r>
      <w:r w:rsidR="003D2D36" w:rsidRPr="00770F9D">
        <w:rPr>
          <w:rFonts w:ascii="Garamond" w:hAnsi="Garamond" w:cstheme="majorBidi"/>
          <w:color w:val="0D0D0D" w:themeColor="text1" w:themeTint="F2"/>
        </w:rPr>
        <w:t>mw</w:t>
      </w:r>
      <w:r w:rsidRPr="00770F9D">
        <w:rPr>
          <w:rFonts w:ascii="Garamond" w:hAnsi="Garamond" w:cstheme="majorBidi"/>
          <w:color w:val="0D0D0D" w:themeColor="text1" w:themeTint="F2"/>
        </w:rPr>
        <w:t>. Nëpërmjet kësaj procedure konkur</w:t>
      </w:r>
      <w:r w:rsidR="003D2D36">
        <w:rPr>
          <w:rFonts w:ascii="Garamond" w:hAnsi="Garamond" w:cstheme="majorBidi"/>
          <w:color w:val="0D0D0D" w:themeColor="text1" w:themeTint="F2"/>
        </w:rPr>
        <w:t>r</w:t>
      </w:r>
      <w:r w:rsidRPr="00770F9D">
        <w:rPr>
          <w:rFonts w:ascii="Garamond" w:hAnsi="Garamond" w:cstheme="majorBidi"/>
          <w:color w:val="0D0D0D" w:themeColor="text1" w:themeTint="F2"/>
        </w:rPr>
        <w:t xml:space="preserve">uese, Ministria do të përzgjedhë projekte me kapacitet total prej 100 </w:t>
      </w:r>
      <w:r w:rsidR="003D2D36" w:rsidRPr="00770F9D">
        <w:rPr>
          <w:rFonts w:ascii="Garamond" w:hAnsi="Garamond" w:cstheme="majorBidi"/>
          <w:color w:val="0D0D0D" w:themeColor="text1" w:themeTint="F2"/>
        </w:rPr>
        <w:t>mw</w:t>
      </w:r>
      <w:r w:rsidRPr="00770F9D">
        <w:rPr>
          <w:rFonts w:ascii="Garamond" w:hAnsi="Garamond" w:cstheme="majorBidi"/>
          <w:color w:val="0D0D0D" w:themeColor="text1" w:themeTint="F2"/>
        </w:rPr>
        <w:t xml:space="preserve">, të cilat do të përfitojnë nga masat mbështetëse. Autoriteti kontraktor më vonë mund të vendosë të rrisë kapacitetin total të tenderuar deri në 150 </w:t>
      </w:r>
      <w:r w:rsidR="003D2D36" w:rsidRPr="00770F9D">
        <w:rPr>
          <w:rFonts w:ascii="Garamond" w:hAnsi="Garamond" w:cstheme="majorBidi"/>
          <w:color w:val="0D0D0D" w:themeColor="text1" w:themeTint="F2"/>
        </w:rPr>
        <w:t>mw</w:t>
      </w:r>
      <w:r w:rsidRPr="00770F9D">
        <w:rPr>
          <w:rFonts w:ascii="Garamond" w:hAnsi="Garamond" w:cstheme="majorBidi"/>
          <w:color w:val="0D0D0D" w:themeColor="text1" w:themeTint="F2"/>
        </w:rPr>
        <w:t>. Ofertuesit e mundshëm duhet të identifikojnë dhe propozojnë zona të qëndrueshme për projektimin, financimin, ndërtimin dhe funksionimin e parqeve eolike. Në qershor 2022 u përmbyll faza e parë, nga e cila janë kualifikuar 6 kompani. Procesi është në vazhdim. Fituesi do të zgjidhet në qershor 2023.</w:t>
      </w:r>
    </w:p>
    <w:p w14:paraId="67506F95" w14:textId="77777777" w:rsidR="0084426F" w:rsidRPr="00770F9D" w:rsidRDefault="0084426F" w:rsidP="00400806">
      <w:pPr>
        <w:ind w:firstLine="284"/>
        <w:jc w:val="both"/>
        <w:rPr>
          <w:rFonts w:ascii="Garamond" w:hAnsi="Garamond" w:cstheme="majorBidi"/>
          <w:b/>
          <w:bCs/>
          <w:color w:val="0D0D0D" w:themeColor="text1" w:themeTint="F2"/>
        </w:rPr>
      </w:pPr>
      <w:r w:rsidRPr="00770F9D">
        <w:rPr>
          <w:rFonts w:ascii="Garamond" w:hAnsi="Garamond" w:cstheme="majorBidi"/>
          <w:b/>
          <w:bCs/>
          <w:color w:val="0D0D0D" w:themeColor="text1" w:themeTint="F2"/>
        </w:rPr>
        <w:t>Hidrocentrali i Skavicës</w:t>
      </w:r>
    </w:p>
    <w:p w14:paraId="13D5889D" w14:textId="0FA324A1" w:rsidR="0084426F" w:rsidRPr="00770F9D" w:rsidRDefault="0084426F" w:rsidP="00417FF8">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Ndërtimi i </w:t>
      </w:r>
      <w:r w:rsidR="003D2D36" w:rsidRPr="00770F9D">
        <w:rPr>
          <w:rFonts w:ascii="Garamond" w:hAnsi="Garamond" w:cstheme="majorBidi"/>
          <w:color w:val="0D0D0D" w:themeColor="text1" w:themeTint="F2"/>
        </w:rPr>
        <w:t xml:space="preserve">hidrocentralit </w:t>
      </w:r>
      <w:r w:rsidRPr="00770F9D">
        <w:rPr>
          <w:rFonts w:ascii="Garamond" w:hAnsi="Garamond" w:cstheme="majorBidi"/>
          <w:color w:val="0D0D0D" w:themeColor="text1" w:themeTint="F2"/>
        </w:rPr>
        <w:t>të Skavicës është një hap i rëndësishëm drejt rritjes së sigurisë energjetike, reduktimit të importit të energjisë elektrike dhe rritjes së efi</w:t>
      </w:r>
      <w:r w:rsidR="003D2D36">
        <w:rPr>
          <w:rFonts w:ascii="Garamond" w:hAnsi="Garamond" w:cstheme="majorBidi"/>
          <w:color w:val="0D0D0D" w:themeColor="text1" w:themeTint="F2"/>
        </w:rPr>
        <w:t>ci</w:t>
      </w:r>
      <w:r w:rsidRPr="00770F9D">
        <w:rPr>
          <w:rFonts w:ascii="Garamond" w:hAnsi="Garamond" w:cstheme="majorBidi"/>
          <w:color w:val="0D0D0D" w:themeColor="text1" w:themeTint="F2"/>
        </w:rPr>
        <w:t>encës dhe prodhimit të energjisë nga hidrocentralet e tjer</w:t>
      </w:r>
      <w:r w:rsidR="00417FF8">
        <w:rPr>
          <w:rFonts w:ascii="Garamond" w:hAnsi="Garamond" w:cstheme="majorBidi"/>
          <w:color w:val="0D0D0D" w:themeColor="text1" w:themeTint="F2"/>
        </w:rPr>
        <w:t>a</w:t>
      </w:r>
      <w:r w:rsidRPr="00770F9D">
        <w:rPr>
          <w:rFonts w:ascii="Garamond" w:hAnsi="Garamond" w:cstheme="majorBidi"/>
          <w:color w:val="0D0D0D" w:themeColor="text1" w:themeTint="F2"/>
        </w:rPr>
        <w:t xml:space="preserve"> të kaskadës së lumit Drin. Hidrocentrali i Skavicës, si tr</w:t>
      </w:r>
      <w:r w:rsidR="00417FF8">
        <w:rPr>
          <w:rFonts w:ascii="Garamond" w:hAnsi="Garamond" w:cstheme="majorBidi"/>
          <w:color w:val="0D0D0D" w:themeColor="text1" w:themeTint="F2"/>
        </w:rPr>
        <w:t>i</w:t>
      </w:r>
      <w:r w:rsidRPr="00770F9D">
        <w:rPr>
          <w:rFonts w:ascii="Garamond" w:hAnsi="Garamond" w:cstheme="majorBidi"/>
          <w:color w:val="0D0D0D" w:themeColor="text1" w:themeTint="F2"/>
        </w:rPr>
        <w:t xml:space="preserve"> hidrocentralet e tjerë në kaskadën e lumit Drin, do të operohet nga Korporata Elektroenergjetike Shqiptare (KESH).</w:t>
      </w:r>
    </w:p>
    <w:p w14:paraId="09C41872" w14:textId="200CC3DF" w:rsidR="0084426F" w:rsidRPr="00770F9D" w:rsidRDefault="0084426F"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Ligji nr. 38/2021 parashikon një procedurë të veçantë për negocimin e ekzekutimit dhe miratimin e kontratës me </w:t>
      </w:r>
      <w:r w:rsidRPr="00417FF8">
        <w:rPr>
          <w:rFonts w:ascii="Garamond" w:hAnsi="Garamond" w:cstheme="majorBidi"/>
          <w:i/>
          <w:iCs/>
          <w:color w:val="0D0D0D" w:themeColor="text1" w:themeTint="F2"/>
        </w:rPr>
        <w:t>“Bechtel Internationa</w:t>
      </w:r>
      <w:r w:rsidR="00417FF8">
        <w:rPr>
          <w:rFonts w:ascii="Garamond" w:hAnsi="Garamond" w:cstheme="majorBidi"/>
          <w:i/>
          <w:iCs/>
          <w:color w:val="0D0D0D" w:themeColor="text1" w:themeTint="F2"/>
        </w:rPr>
        <w:t>l,</w:t>
      </w:r>
      <w:r w:rsidRPr="00417FF8">
        <w:rPr>
          <w:rFonts w:ascii="Garamond" w:hAnsi="Garamond" w:cstheme="majorBidi"/>
          <w:i/>
          <w:iCs/>
          <w:color w:val="0D0D0D" w:themeColor="text1" w:themeTint="F2"/>
        </w:rPr>
        <w:t xml:space="preserve"> Inc”</w:t>
      </w:r>
      <w:r w:rsidRPr="00770F9D">
        <w:rPr>
          <w:rFonts w:ascii="Garamond" w:hAnsi="Garamond" w:cstheme="majorBidi"/>
          <w:color w:val="0D0D0D" w:themeColor="text1" w:themeTint="F2"/>
        </w:rPr>
        <w:t xml:space="preserve"> ose filialet e saj për projektimin dhe ndërtimin e </w:t>
      </w:r>
      <w:r w:rsidR="00417FF8" w:rsidRPr="00770F9D">
        <w:rPr>
          <w:rFonts w:ascii="Garamond" w:hAnsi="Garamond" w:cstheme="majorBidi"/>
          <w:color w:val="0D0D0D" w:themeColor="text1" w:themeTint="F2"/>
        </w:rPr>
        <w:t xml:space="preserve">hidrocentralit </w:t>
      </w:r>
      <w:r w:rsidRPr="00770F9D">
        <w:rPr>
          <w:rFonts w:ascii="Garamond" w:hAnsi="Garamond" w:cstheme="majorBidi"/>
          <w:color w:val="0D0D0D" w:themeColor="text1" w:themeTint="F2"/>
        </w:rPr>
        <w:t xml:space="preserve">të Skavicës bazuar në shprehjen paraprake të interesit të depozituar pranë Ministrisë. të Infrastrukturës dhe Energjisë. Kontrata me </w:t>
      </w:r>
      <w:r w:rsidRPr="00417FF8">
        <w:rPr>
          <w:rFonts w:ascii="Garamond" w:hAnsi="Garamond" w:cstheme="majorBidi"/>
          <w:i/>
          <w:iCs/>
          <w:color w:val="0D0D0D" w:themeColor="text1" w:themeTint="F2"/>
        </w:rPr>
        <w:t>Bechtel</w:t>
      </w:r>
      <w:r w:rsidRPr="00770F9D">
        <w:rPr>
          <w:rFonts w:ascii="Garamond" w:hAnsi="Garamond" w:cstheme="majorBidi"/>
          <w:color w:val="0D0D0D" w:themeColor="text1" w:themeTint="F2"/>
        </w:rPr>
        <w:t xml:space="preserve"> është e ndarë në dy faza.</w:t>
      </w:r>
    </w:p>
    <w:p w14:paraId="379C47CC" w14:textId="00E756F0" w:rsidR="0084426F" w:rsidRPr="00770F9D" w:rsidRDefault="0084426F" w:rsidP="00417FF8">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Kontrata e fazës së parë, miratuar me vendim të Këshillit </w:t>
      </w:r>
      <w:r w:rsidR="00417FF8">
        <w:rPr>
          <w:rFonts w:ascii="Garamond" w:hAnsi="Garamond" w:cstheme="majorBidi"/>
          <w:color w:val="0D0D0D" w:themeColor="text1" w:themeTint="F2"/>
        </w:rPr>
        <w:t>të Ministrave nr. 485, datë 30.</w:t>
      </w:r>
      <w:r w:rsidRPr="00770F9D">
        <w:rPr>
          <w:rFonts w:ascii="Garamond" w:hAnsi="Garamond" w:cstheme="majorBidi"/>
          <w:color w:val="0D0D0D" w:themeColor="text1" w:themeTint="F2"/>
        </w:rPr>
        <w:t>7.2021, përfshin aktivitete paraprake të cilat do t</w:t>
      </w:r>
      <w:r w:rsidR="00417FF8">
        <w:rPr>
          <w:rFonts w:ascii="Garamond" w:hAnsi="Garamond" w:cstheme="majorBidi"/>
          <w:color w:val="0D0D0D" w:themeColor="text1" w:themeTint="F2"/>
        </w:rPr>
        <w:t>’</w:t>
      </w:r>
      <w:r w:rsidRPr="00770F9D">
        <w:rPr>
          <w:rFonts w:ascii="Garamond" w:hAnsi="Garamond" w:cstheme="majorBidi"/>
          <w:color w:val="0D0D0D" w:themeColor="text1" w:themeTint="F2"/>
        </w:rPr>
        <w:t xml:space="preserve">i mundësojnë </w:t>
      </w:r>
      <w:r w:rsidRPr="00417FF8">
        <w:rPr>
          <w:rFonts w:ascii="Garamond" w:hAnsi="Garamond" w:cstheme="majorBidi"/>
          <w:i/>
          <w:iCs/>
          <w:color w:val="0D0D0D" w:themeColor="text1" w:themeTint="F2"/>
        </w:rPr>
        <w:t>Bechtel</w:t>
      </w:r>
      <w:r w:rsidRPr="00770F9D">
        <w:rPr>
          <w:rFonts w:ascii="Garamond" w:hAnsi="Garamond" w:cstheme="majorBidi"/>
          <w:color w:val="0D0D0D" w:themeColor="text1" w:themeTint="F2"/>
        </w:rPr>
        <w:t xml:space="preserve">-it të paraqesë një propozim pranë </w:t>
      </w:r>
      <w:r w:rsidR="00417FF8" w:rsidRPr="00770F9D">
        <w:rPr>
          <w:rFonts w:ascii="Garamond" w:hAnsi="Garamond" w:cstheme="majorBidi"/>
          <w:color w:val="0D0D0D" w:themeColor="text1" w:themeTint="F2"/>
        </w:rPr>
        <w:t xml:space="preserve">autoritetit kontraktor </w:t>
      </w:r>
      <w:r w:rsidRPr="00770F9D">
        <w:rPr>
          <w:rFonts w:ascii="Garamond" w:hAnsi="Garamond" w:cstheme="majorBidi"/>
          <w:color w:val="0D0D0D" w:themeColor="text1" w:themeTint="F2"/>
        </w:rPr>
        <w:t xml:space="preserve">për kontratën e fazës së dytë dhe do të ndihmojë </w:t>
      </w:r>
      <w:r w:rsidR="00417FF8" w:rsidRPr="00770F9D">
        <w:rPr>
          <w:rFonts w:ascii="Garamond" w:hAnsi="Garamond" w:cstheme="majorBidi"/>
          <w:color w:val="0D0D0D" w:themeColor="text1" w:themeTint="F2"/>
        </w:rPr>
        <w:t xml:space="preserve">autoritetin kontraktor </w:t>
      </w:r>
      <w:r w:rsidRPr="00770F9D">
        <w:rPr>
          <w:rFonts w:ascii="Garamond" w:hAnsi="Garamond" w:cstheme="majorBidi"/>
          <w:color w:val="0D0D0D" w:themeColor="text1" w:themeTint="F2"/>
        </w:rPr>
        <w:t>dhe Këshilli i Ministrave të Shqipërisë të sigurojë mbështetjen financiare për projektin. Kontrata e fazës së dytë konsiston në projektimin dhe ndërtimin e hidrocentralit të S</w:t>
      </w:r>
      <w:r w:rsidR="00417FF8">
        <w:rPr>
          <w:rFonts w:ascii="Garamond" w:hAnsi="Garamond" w:cstheme="majorBidi"/>
          <w:color w:val="0D0D0D" w:themeColor="text1" w:themeTint="F2"/>
        </w:rPr>
        <w:t>k</w:t>
      </w:r>
      <w:r w:rsidRPr="00770F9D">
        <w:rPr>
          <w:rFonts w:ascii="Garamond" w:hAnsi="Garamond" w:cstheme="majorBidi"/>
          <w:color w:val="0D0D0D" w:themeColor="text1" w:themeTint="F2"/>
        </w:rPr>
        <w:t xml:space="preserve">avicës. </w:t>
      </w:r>
    </w:p>
    <w:p w14:paraId="7039CB76" w14:textId="624AF074" w:rsidR="0084426F" w:rsidRPr="00770F9D" w:rsidRDefault="0084426F" w:rsidP="009D44D9">
      <w:pPr>
        <w:suppressAutoHyphens/>
        <w:ind w:firstLine="284"/>
        <w:jc w:val="both"/>
        <w:rPr>
          <w:rFonts w:ascii="Garamond" w:hAnsi="Garamond" w:cstheme="majorBidi"/>
          <w:b/>
          <w:bCs/>
          <w:color w:val="0D0D0D" w:themeColor="text1" w:themeTint="F2"/>
        </w:rPr>
      </w:pPr>
      <w:r w:rsidRPr="00770F9D">
        <w:rPr>
          <w:rFonts w:ascii="Garamond" w:hAnsi="Garamond" w:cstheme="majorBidi"/>
          <w:b/>
          <w:bCs/>
          <w:color w:val="0D0D0D" w:themeColor="text1" w:themeTint="F2"/>
        </w:rPr>
        <w:t>Efi</w:t>
      </w:r>
      <w:r w:rsidR="009D44D9">
        <w:rPr>
          <w:rFonts w:ascii="Garamond" w:hAnsi="Garamond" w:cstheme="majorBidi"/>
          <w:b/>
          <w:bCs/>
          <w:color w:val="0D0D0D" w:themeColor="text1" w:themeTint="F2"/>
        </w:rPr>
        <w:t>ci</w:t>
      </w:r>
      <w:r w:rsidRPr="00770F9D">
        <w:rPr>
          <w:rFonts w:ascii="Garamond" w:hAnsi="Garamond" w:cstheme="majorBidi"/>
          <w:b/>
          <w:bCs/>
          <w:color w:val="0D0D0D" w:themeColor="text1" w:themeTint="F2"/>
        </w:rPr>
        <w:t>enca e energjisë</w:t>
      </w:r>
    </w:p>
    <w:p w14:paraId="743F6C6B" w14:textId="353466C4" w:rsidR="0084426F" w:rsidRPr="00770F9D" w:rsidRDefault="0084426F" w:rsidP="006241C4">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Kjo masë e reformës synon të kontribuojë në përmirësimin e efi</w:t>
      </w:r>
      <w:r w:rsidR="006241C4">
        <w:rPr>
          <w:rFonts w:ascii="Garamond" w:hAnsi="Garamond" w:cstheme="majorBidi"/>
          <w:color w:val="0D0D0D" w:themeColor="text1" w:themeTint="F2"/>
        </w:rPr>
        <w:t>ci</w:t>
      </w:r>
      <w:r w:rsidRPr="00770F9D">
        <w:rPr>
          <w:rFonts w:ascii="Garamond" w:hAnsi="Garamond" w:cstheme="majorBidi"/>
          <w:color w:val="0D0D0D" w:themeColor="text1" w:themeTint="F2"/>
        </w:rPr>
        <w:t>encës së energjisë, si një instrument i rëndësishëm i politikes energjetike të Shqipërisë, për rritjen e sigurisë në furnizimin me energji, në mënyrë të qëndrueshme dhe miqësore me mjedisin. Në përputhje me Strategjinë Kombëtare të Energjisë dhe Planin Kombëtar për Energjinë dhe Klimën janë miratuar objektivat kombëtar</w:t>
      </w:r>
      <w:r w:rsidR="007A6FAF">
        <w:rPr>
          <w:rFonts w:ascii="Garamond" w:hAnsi="Garamond" w:cstheme="majorBidi"/>
          <w:color w:val="0D0D0D" w:themeColor="text1" w:themeTint="F2"/>
        </w:rPr>
        <w:t>ë</w:t>
      </w:r>
      <w:r w:rsidRPr="00770F9D">
        <w:rPr>
          <w:rFonts w:ascii="Garamond" w:hAnsi="Garamond" w:cstheme="majorBidi"/>
          <w:color w:val="0D0D0D" w:themeColor="text1" w:themeTint="F2"/>
        </w:rPr>
        <w:t xml:space="preserve"> për uljen e k</w:t>
      </w:r>
      <w:r w:rsidR="007A6FAF">
        <w:rPr>
          <w:rFonts w:ascii="Garamond" w:hAnsi="Garamond" w:cstheme="majorBidi"/>
          <w:color w:val="0D0D0D" w:themeColor="text1" w:themeTint="F2"/>
        </w:rPr>
        <w:t>onsumit final të energjisë (efici</w:t>
      </w:r>
      <w:r w:rsidRPr="00770F9D">
        <w:rPr>
          <w:rFonts w:ascii="Garamond" w:hAnsi="Garamond" w:cstheme="majorBidi"/>
          <w:color w:val="0D0D0D" w:themeColor="text1" w:themeTint="F2"/>
        </w:rPr>
        <w:t>enca e energjisë) në nivelin 8.4% dhe reduktimin e emetimeve neto të GHG (dekarbonizimin) në nivelin 18.7% deri në vitin 2030.</w:t>
      </w:r>
    </w:p>
    <w:p w14:paraId="7103B570" w14:textId="59E5240C" w:rsidR="0084426F" w:rsidRPr="00770F9D" w:rsidRDefault="0084426F" w:rsidP="0001595D">
      <w:pPr>
        <w:ind w:firstLine="284"/>
        <w:jc w:val="both"/>
        <w:rPr>
          <w:rFonts w:ascii="Garamond" w:eastAsia="Noto Sans CJK SC Regular" w:hAnsi="Garamond" w:cstheme="majorBidi"/>
          <w:color w:val="0D0D0D" w:themeColor="text1" w:themeTint="F2"/>
          <w:lang w:eastAsia="zh-CN" w:bidi="hi-IN"/>
        </w:rPr>
      </w:pPr>
      <w:r w:rsidRPr="00770F9D">
        <w:rPr>
          <w:rFonts w:ascii="Garamond" w:eastAsia="Noto Sans CJK SC Regular" w:hAnsi="Garamond" w:cstheme="majorBidi"/>
          <w:color w:val="0D0D0D" w:themeColor="text1" w:themeTint="F2"/>
          <w:lang w:eastAsia="zh-CN" w:bidi="hi-IN"/>
        </w:rPr>
        <w:t xml:space="preserve">Në zbatim të ligjit </w:t>
      </w:r>
      <w:r w:rsidR="007A6FAF" w:rsidRPr="00770F9D">
        <w:rPr>
          <w:rFonts w:ascii="Garamond" w:eastAsia="Noto Sans CJK SC Regular" w:hAnsi="Garamond" w:cstheme="majorBidi"/>
          <w:color w:val="0D0D0D" w:themeColor="text1" w:themeTint="F2"/>
          <w:lang w:eastAsia="zh-CN" w:bidi="hi-IN"/>
        </w:rPr>
        <w:t>nr</w:t>
      </w:r>
      <w:r w:rsidRPr="00770F9D">
        <w:rPr>
          <w:rFonts w:ascii="Garamond" w:eastAsia="Noto Sans CJK SC Regular" w:hAnsi="Garamond" w:cstheme="majorBidi"/>
          <w:color w:val="0D0D0D" w:themeColor="text1" w:themeTint="F2"/>
          <w:lang w:eastAsia="zh-CN" w:bidi="hi-IN"/>
        </w:rPr>
        <w:t>. 124/2015</w:t>
      </w:r>
      <w:r w:rsidR="007A6FAF">
        <w:rPr>
          <w:rFonts w:ascii="Garamond" w:eastAsia="Noto Sans CJK SC Regular" w:hAnsi="Garamond" w:cstheme="majorBidi"/>
          <w:color w:val="0D0D0D" w:themeColor="text1" w:themeTint="F2"/>
          <w:lang w:eastAsia="zh-CN" w:bidi="hi-IN"/>
        </w:rPr>
        <w:t>,</w:t>
      </w:r>
      <w:r w:rsidRPr="00770F9D">
        <w:rPr>
          <w:rFonts w:ascii="Garamond" w:eastAsia="Noto Sans CJK SC Regular" w:hAnsi="Garamond" w:cstheme="majorBidi"/>
          <w:color w:val="0D0D0D" w:themeColor="text1" w:themeTint="F2"/>
          <w:lang w:eastAsia="zh-CN" w:bidi="hi-IN"/>
        </w:rPr>
        <w:t xml:space="preserve"> “Për efi</w:t>
      </w:r>
      <w:r w:rsidR="007A6FAF">
        <w:rPr>
          <w:rFonts w:ascii="Garamond" w:eastAsia="Noto Sans CJK SC Regular" w:hAnsi="Garamond" w:cstheme="majorBidi"/>
          <w:color w:val="0D0D0D" w:themeColor="text1" w:themeTint="F2"/>
          <w:lang w:eastAsia="zh-CN" w:bidi="hi-IN"/>
        </w:rPr>
        <w:t>ci</w:t>
      </w:r>
      <w:r w:rsidRPr="00770F9D">
        <w:rPr>
          <w:rFonts w:ascii="Garamond" w:eastAsia="Noto Sans CJK SC Regular" w:hAnsi="Garamond" w:cstheme="majorBidi"/>
          <w:color w:val="0D0D0D" w:themeColor="text1" w:themeTint="F2"/>
          <w:lang w:eastAsia="zh-CN" w:bidi="hi-IN"/>
        </w:rPr>
        <w:t>encën e energjisë”, të ndryshuar, gjate vitit 2022 u miratuan disa akte nënligjore për miratimin e formatit të planeve të veprimit të efic</w:t>
      </w:r>
      <w:r w:rsidR="00A84AFC">
        <w:rPr>
          <w:rFonts w:ascii="Garamond" w:eastAsia="Noto Sans CJK SC Regular" w:hAnsi="Garamond" w:cstheme="majorBidi"/>
          <w:color w:val="0D0D0D" w:themeColor="text1" w:themeTint="F2"/>
          <w:lang w:eastAsia="zh-CN" w:bidi="hi-IN"/>
        </w:rPr>
        <w:t>i</w:t>
      </w:r>
      <w:r w:rsidRPr="00770F9D">
        <w:rPr>
          <w:rFonts w:ascii="Garamond" w:eastAsia="Noto Sans CJK SC Regular" w:hAnsi="Garamond" w:cstheme="majorBidi"/>
          <w:color w:val="0D0D0D" w:themeColor="text1" w:themeTint="F2"/>
          <w:lang w:eastAsia="zh-CN" w:bidi="hi-IN"/>
        </w:rPr>
        <w:t>encës së energjisë për konsumatorët e mëdhenj të energjisë dhe modelin e raportimit vjetor të progresit të tyre, formatit të planeve vendore të veprimit për efi</w:t>
      </w:r>
      <w:r w:rsidR="00A84AFC">
        <w:rPr>
          <w:rFonts w:ascii="Garamond" w:eastAsia="Noto Sans CJK SC Regular" w:hAnsi="Garamond" w:cstheme="majorBidi"/>
          <w:color w:val="0D0D0D" w:themeColor="text1" w:themeTint="F2"/>
          <w:lang w:eastAsia="zh-CN" w:bidi="hi-IN"/>
        </w:rPr>
        <w:t>ci</w:t>
      </w:r>
      <w:r w:rsidRPr="00770F9D">
        <w:rPr>
          <w:rFonts w:ascii="Garamond" w:eastAsia="Noto Sans CJK SC Regular" w:hAnsi="Garamond" w:cstheme="majorBidi"/>
          <w:color w:val="0D0D0D" w:themeColor="text1" w:themeTint="F2"/>
          <w:lang w:eastAsia="zh-CN" w:bidi="hi-IN"/>
        </w:rPr>
        <w:t xml:space="preserve">encën e energjisë dhe modelin e raportimit të progresit të tyre dhe </w:t>
      </w:r>
      <w:r w:rsidR="00A84AFC" w:rsidRPr="00770F9D">
        <w:rPr>
          <w:rFonts w:ascii="Garamond" w:eastAsia="Noto Sans CJK SC Regular" w:hAnsi="Garamond" w:cstheme="majorBidi"/>
          <w:color w:val="0D0D0D" w:themeColor="text1" w:themeTint="F2"/>
          <w:lang w:eastAsia="zh-CN" w:bidi="hi-IN"/>
        </w:rPr>
        <w:t xml:space="preserve">udhëzuesi </w:t>
      </w:r>
      <w:r w:rsidRPr="00770F9D">
        <w:rPr>
          <w:rFonts w:ascii="Garamond" w:eastAsia="Noto Sans CJK SC Regular" w:hAnsi="Garamond" w:cstheme="majorBidi"/>
          <w:color w:val="0D0D0D" w:themeColor="text1" w:themeTint="F2"/>
          <w:lang w:eastAsia="zh-CN" w:bidi="hi-IN"/>
        </w:rPr>
        <w:t>“Për modelin e kontratës për kontraktimin e performancës së energjisë” (kontrata ESCO). Këto akte nënligjore janë hartuar në përput</w:t>
      </w:r>
      <w:r w:rsidR="00A84AFC">
        <w:rPr>
          <w:rFonts w:ascii="Garamond" w:eastAsia="Noto Sans CJK SC Regular" w:hAnsi="Garamond" w:cstheme="majorBidi"/>
          <w:color w:val="0D0D0D" w:themeColor="text1" w:themeTint="F2"/>
          <w:lang w:eastAsia="zh-CN" w:bidi="hi-IN"/>
        </w:rPr>
        <w:t>hje me objektivat e parashikuar</w:t>
      </w:r>
      <w:r w:rsidRPr="00770F9D">
        <w:rPr>
          <w:rFonts w:ascii="Garamond" w:eastAsia="Noto Sans CJK SC Regular" w:hAnsi="Garamond" w:cstheme="majorBidi"/>
          <w:color w:val="0D0D0D" w:themeColor="text1" w:themeTint="F2"/>
          <w:lang w:eastAsia="zh-CN" w:bidi="hi-IN"/>
        </w:rPr>
        <w:t xml:space="preserve"> në PKEK (Dimensioni i Efi</w:t>
      </w:r>
      <w:r w:rsidR="00A84AFC">
        <w:rPr>
          <w:rFonts w:ascii="Garamond" w:eastAsia="Noto Sans CJK SC Regular" w:hAnsi="Garamond" w:cstheme="majorBidi"/>
          <w:color w:val="0D0D0D" w:themeColor="text1" w:themeTint="F2"/>
          <w:lang w:eastAsia="zh-CN" w:bidi="hi-IN"/>
        </w:rPr>
        <w:t>ci</w:t>
      </w:r>
      <w:r w:rsidRPr="00770F9D">
        <w:rPr>
          <w:rFonts w:ascii="Garamond" w:eastAsia="Noto Sans CJK SC Regular" w:hAnsi="Garamond" w:cstheme="majorBidi"/>
          <w:color w:val="0D0D0D" w:themeColor="text1" w:themeTint="F2"/>
          <w:lang w:eastAsia="zh-CN" w:bidi="hi-IN"/>
        </w:rPr>
        <w:t>encës së Energjisë), implementimi i të cilave do të ndihmojë në uljen e konsumit të energjisë dhe arritjen e objektivave kombëtar</w:t>
      </w:r>
      <w:r w:rsidR="0001595D">
        <w:rPr>
          <w:rFonts w:ascii="Garamond" w:eastAsia="Noto Sans CJK SC Regular" w:hAnsi="Garamond" w:cstheme="majorBidi"/>
          <w:color w:val="0D0D0D" w:themeColor="text1" w:themeTint="F2"/>
          <w:lang w:eastAsia="zh-CN" w:bidi="hi-IN"/>
        </w:rPr>
        <w:t>ë</w:t>
      </w:r>
      <w:r w:rsidRPr="00770F9D">
        <w:rPr>
          <w:rFonts w:ascii="Garamond" w:eastAsia="Noto Sans CJK SC Regular" w:hAnsi="Garamond" w:cstheme="majorBidi"/>
          <w:color w:val="0D0D0D" w:themeColor="text1" w:themeTint="F2"/>
          <w:lang w:eastAsia="zh-CN" w:bidi="hi-IN"/>
        </w:rPr>
        <w:t xml:space="preserve"> për efic</w:t>
      </w:r>
      <w:r w:rsidR="0001595D">
        <w:rPr>
          <w:rFonts w:ascii="Garamond" w:eastAsia="Noto Sans CJK SC Regular" w:hAnsi="Garamond" w:cstheme="majorBidi"/>
          <w:color w:val="0D0D0D" w:themeColor="text1" w:themeTint="F2"/>
          <w:lang w:eastAsia="zh-CN" w:bidi="hi-IN"/>
        </w:rPr>
        <w:t>i</w:t>
      </w:r>
      <w:r w:rsidRPr="00770F9D">
        <w:rPr>
          <w:rFonts w:ascii="Garamond" w:eastAsia="Noto Sans CJK SC Regular" w:hAnsi="Garamond" w:cstheme="majorBidi"/>
          <w:color w:val="0D0D0D" w:themeColor="text1" w:themeTint="F2"/>
          <w:lang w:eastAsia="zh-CN" w:bidi="hi-IN"/>
        </w:rPr>
        <w:t>encën e energjisë në plan afatgjatë.</w:t>
      </w:r>
    </w:p>
    <w:p w14:paraId="644EE0BE" w14:textId="49A7FD83" w:rsidR="0084426F" w:rsidRPr="00770F9D" w:rsidRDefault="0084426F" w:rsidP="00400806">
      <w:pPr>
        <w:suppressAutoHyphens/>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Në kuadër të gjendjes së emergjencës për furnizimin me energji elektrike, Këshilli i Ministrave ka miratuar </w:t>
      </w:r>
      <w:r w:rsidR="0001595D" w:rsidRPr="00770F9D">
        <w:rPr>
          <w:rFonts w:ascii="Garamond" w:hAnsi="Garamond" w:cstheme="majorBidi"/>
          <w:color w:val="0D0D0D" w:themeColor="text1" w:themeTint="F2"/>
        </w:rPr>
        <w:t xml:space="preserve">aktin normativ </w:t>
      </w:r>
      <w:r w:rsidRPr="00770F9D">
        <w:rPr>
          <w:rFonts w:ascii="Garamond" w:hAnsi="Garamond" w:cstheme="majorBidi"/>
          <w:color w:val="0D0D0D" w:themeColor="text1" w:themeTint="F2"/>
        </w:rPr>
        <w:t xml:space="preserve">“Për marrjen e masave të veçanta gjatë kohëzgjatjes së gjendjes së emergjencës në furnizim me energji elektrike”. Nëpërmjet këtij </w:t>
      </w:r>
      <w:r w:rsidR="0001595D" w:rsidRPr="00770F9D">
        <w:rPr>
          <w:rFonts w:ascii="Garamond" w:hAnsi="Garamond" w:cstheme="majorBidi"/>
          <w:color w:val="0D0D0D" w:themeColor="text1" w:themeTint="F2"/>
        </w:rPr>
        <w:t xml:space="preserve">akti normativ </w:t>
      </w:r>
      <w:r w:rsidRPr="00770F9D">
        <w:rPr>
          <w:rFonts w:ascii="Garamond" w:hAnsi="Garamond" w:cstheme="majorBidi"/>
          <w:color w:val="0D0D0D" w:themeColor="text1" w:themeTint="F2"/>
        </w:rPr>
        <w:t xml:space="preserve">synohet forcimi i zbatimit të masave dhe rregullave të detyrueshme për uljen e konsumit të energjisë elektrike me 15% të konsumit mujor gjatë kohëzgjatjes së situatës emergjente në furnizimin me energji elektrike. </w:t>
      </w:r>
    </w:p>
    <w:p w14:paraId="3C1D1241" w14:textId="633E51E0" w:rsidR="0084426F" w:rsidRPr="00770F9D" w:rsidRDefault="0084426F" w:rsidP="00400806">
      <w:pPr>
        <w:suppressAutoHyphens/>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Në zbatim të aktit normativ të sipërcituar, është miratuar </w:t>
      </w:r>
      <w:r w:rsidR="0001595D" w:rsidRPr="00770F9D">
        <w:rPr>
          <w:rFonts w:ascii="Garamond" w:hAnsi="Garamond" w:cstheme="majorBidi"/>
          <w:color w:val="0D0D0D" w:themeColor="text1" w:themeTint="F2"/>
        </w:rPr>
        <w:t xml:space="preserve">urdhri </w:t>
      </w:r>
      <w:r w:rsidRPr="00770F9D">
        <w:rPr>
          <w:rFonts w:ascii="Garamond" w:hAnsi="Garamond" w:cstheme="majorBidi"/>
          <w:color w:val="0D0D0D" w:themeColor="text1" w:themeTint="F2"/>
        </w:rPr>
        <w:t>“</w:t>
      </w:r>
      <w:r w:rsidRPr="00770F9D">
        <w:rPr>
          <w:rFonts w:ascii="Garamond" w:hAnsi="Garamond" w:cstheme="majorBidi"/>
          <w:color w:val="0D0D0D" w:themeColor="text1" w:themeTint="F2"/>
          <w:lang w:eastAsia="zh-CN"/>
        </w:rPr>
        <w:t>Për caktimin e administratorit energjetik</w:t>
      </w:r>
      <w:r w:rsidR="0001595D">
        <w:rPr>
          <w:rFonts w:ascii="Garamond" w:hAnsi="Garamond" w:cstheme="majorBidi"/>
          <w:color w:val="0D0D0D" w:themeColor="text1" w:themeTint="F2"/>
          <w:lang w:eastAsia="zh-CN"/>
        </w:rPr>
        <w:t xml:space="preserve"> </w:t>
      </w:r>
      <w:r w:rsidRPr="00770F9D">
        <w:rPr>
          <w:rFonts w:ascii="Garamond" w:hAnsi="Garamond" w:cstheme="majorBidi"/>
          <w:color w:val="0D0D0D" w:themeColor="text1" w:themeTint="F2"/>
          <w:lang w:eastAsia="zh-CN"/>
        </w:rPr>
        <w:t>për marrjen e masave të veçanta gjatë kohëzgjatjes së gjendjes së emergjencës në furnizimin me energji elektrike”</w:t>
      </w:r>
      <w:r w:rsidR="00421485">
        <w:rPr>
          <w:rFonts w:ascii="Garamond" w:hAnsi="Garamond" w:cstheme="majorBidi"/>
          <w:color w:val="0D0D0D" w:themeColor="text1" w:themeTint="F2"/>
          <w:lang w:eastAsia="zh-CN"/>
        </w:rPr>
        <w:t>,</w:t>
      </w:r>
      <w:r w:rsidRPr="00770F9D">
        <w:rPr>
          <w:rFonts w:ascii="Garamond" w:hAnsi="Garamond" w:cstheme="majorBidi"/>
          <w:color w:val="0D0D0D" w:themeColor="text1" w:themeTint="F2"/>
          <w:lang w:eastAsia="zh-CN"/>
        </w:rPr>
        <w:t xml:space="preserve"> sipas të cilit</w:t>
      </w:r>
      <w:r w:rsidRPr="00770F9D">
        <w:rPr>
          <w:rFonts w:ascii="Garamond" w:hAnsi="Garamond" w:cstheme="majorBidi"/>
          <w:color w:val="0D0D0D" w:themeColor="text1" w:themeTint="F2"/>
        </w:rPr>
        <w:t xml:space="preserve"> çdo institucion publik duhet të përcaktojë një administrator energjie, i cili do të menaxhojë arritjen e targetit të përcaktuar për kursimin e energjisë. </w:t>
      </w:r>
    </w:p>
    <w:p w14:paraId="63E8902A" w14:textId="0A5E57C2" w:rsidR="0084426F" w:rsidRPr="00770F9D" w:rsidRDefault="0084426F" w:rsidP="00400806">
      <w:pPr>
        <w:suppressAutoHyphens/>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Në vijim, është miratuar </w:t>
      </w:r>
      <w:r w:rsidR="00421485" w:rsidRPr="00770F9D">
        <w:rPr>
          <w:rFonts w:ascii="Garamond" w:hAnsi="Garamond" w:cstheme="majorBidi"/>
          <w:color w:val="0D0D0D" w:themeColor="text1" w:themeTint="F2"/>
        </w:rPr>
        <w:t xml:space="preserve">udhëzimi </w:t>
      </w:r>
      <w:r w:rsidRPr="00770F9D">
        <w:rPr>
          <w:rFonts w:ascii="Garamond" w:hAnsi="Garamond" w:cstheme="majorBidi"/>
          <w:color w:val="0D0D0D" w:themeColor="text1" w:themeTint="F2"/>
        </w:rPr>
        <w:t xml:space="preserve">i </w:t>
      </w:r>
      <w:r w:rsidR="00421485" w:rsidRPr="00770F9D">
        <w:rPr>
          <w:rFonts w:ascii="Garamond" w:hAnsi="Garamond" w:cstheme="majorBidi"/>
          <w:color w:val="0D0D0D" w:themeColor="text1" w:themeTint="F2"/>
        </w:rPr>
        <w:t xml:space="preserve">ministrit </w:t>
      </w:r>
      <w:r w:rsidRPr="00770F9D">
        <w:rPr>
          <w:rFonts w:ascii="Garamond" w:hAnsi="Garamond" w:cstheme="majorBidi"/>
          <w:color w:val="0D0D0D" w:themeColor="text1" w:themeTint="F2"/>
        </w:rPr>
        <w:t>të Infrastrukturës dhe Energjisë</w:t>
      </w:r>
      <w:r w:rsidR="00421485">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 përcaktimin e rregullave, procedurave dhe metodologjisë për klientët familjarë që përfitojnë nga masat e financimit për kursimin e energjisë nga panelet diellore”</w:t>
      </w:r>
      <w:r w:rsidR="00421485">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 klientët familjarë, të cilët përfitojnë nga financimi i masave për kursimin e energjisë nga panelet diellore. Ky udhëzues përcakton rregullat dhe procedurat për tregtimin dhe marrjen e subvencioneve deri në 70% të kostos për instalimin e paneleve diellore</w:t>
      </w:r>
      <w:r w:rsidR="00421485">
        <w:rPr>
          <w:rFonts w:ascii="Garamond" w:hAnsi="Garamond" w:cstheme="majorBidi"/>
          <w:color w:val="0D0D0D" w:themeColor="text1" w:themeTint="F2"/>
        </w:rPr>
        <w:t>,</w:t>
      </w:r>
      <w:r w:rsidRPr="00770F9D">
        <w:rPr>
          <w:rFonts w:ascii="Garamond" w:hAnsi="Garamond" w:cstheme="majorBidi"/>
          <w:color w:val="0D0D0D" w:themeColor="text1" w:themeTint="F2"/>
        </w:rPr>
        <w:t xml:space="preserve"> që do të furnizojnë klientët familjare me ujë të ngrohtë sanitar, duke kontribuar në uljen e konsumit afatgjatë të energjisë elektrike dhe do të minimizojnë efektet gjatë gjendjes së jashtëzakonshme në energji elektrike. </w:t>
      </w:r>
    </w:p>
    <w:p w14:paraId="5F0413E1" w14:textId="4BE525AB" w:rsidR="0084426F" w:rsidRPr="00770F9D" w:rsidRDefault="0084426F" w:rsidP="00421485">
      <w:pPr>
        <w:suppressAutoHyphens/>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Së fundmi është miratuar </w:t>
      </w:r>
      <w:r w:rsidR="00421485" w:rsidRPr="00770F9D">
        <w:rPr>
          <w:rFonts w:ascii="Garamond" w:hAnsi="Garamond" w:cstheme="majorBidi"/>
          <w:color w:val="0D0D0D" w:themeColor="text1" w:themeTint="F2"/>
        </w:rPr>
        <w:t xml:space="preserve">vendimi i Këshillit </w:t>
      </w:r>
      <w:r w:rsidRPr="00770F9D">
        <w:rPr>
          <w:rFonts w:ascii="Garamond" w:hAnsi="Garamond" w:cstheme="majorBidi"/>
          <w:color w:val="0D0D0D" w:themeColor="text1" w:themeTint="F2"/>
        </w:rPr>
        <w:t>t</w:t>
      </w:r>
      <w:r w:rsidR="00421485">
        <w:rPr>
          <w:rFonts w:ascii="Garamond" w:hAnsi="Garamond" w:cstheme="majorBidi"/>
          <w:color w:val="0D0D0D" w:themeColor="text1" w:themeTint="F2"/>
        </w:rPr>
        <w:t>ë</w:t>
      </w:r>
      <w:r w:rsidRPr="00770F9D">
        <w:rPr>
          <w:rFonts w:ascii="Garamond" w:hAnsi="Garamond" w:cstheme="majorBidi"/>
          <w:color w:val="0D0D0D" w:themeColor="text1" w:themeTint="F2"/>
        </w:rPr>
        <w:t xml:space="preserve"> Ministrave “Për ngarkimin e Fondit Shqiptar të Zhvillimit, si organ </w:t>
      </w:r>
      <w:r w:rsidR="00421485" w:rsidRPr="00770F9D">
        <w:rPr>
          <w:rFonts w:ascii="Garamond" w:hAnsi="Garamond" w:cstheme="majorBidi"/>
          <w:color w:val="0D0D0D" w:themeColor="text1" w:themeTint="F2"/>
        </w:rPr>
        <w:t>qendror</w:t>
      </w:r>
      <w:r w:rsidRPr="00770F9D">
        <w:rPr>
          <w:rFonts w:ascii="Garamond" w:hAnsi="Garamond" w:cstheme="majorBidi"/>
          <w:color w:val="0D0D0D" w:themeColor="text1" w:themeTint="F2"/>
        </w:rPr>
        <w:t xml:space="preserve"> blerës, për kryerjen e procedurës së prokurimit publik për zbatimin e projektit për vendosjen e paneleve fotovoltaike në tarracën e Kryeministrisë dhe të ministrive të linjës”, nëpërmjet implementimit të të cilit synohet ulja e konsumit të energjisë nga institucionet e administratës publike. </w:t>
      </w:r>
    </w:p>
    <w:p w14:paraId="2ED04BCD" w14:textId="062C4981" w:rsidR="0084426F" w:rsidRPr="00770F9D" w:rsidRDefault="0084426F" w:rsidP="00421485">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Investimet në </w:t>
      </w:r>
      <w:r w:rsidR="00421485">
        <w:rPr>
          <w:rFonts w:ascii="Garamond" w:hAnsi="Garamond" w:cstheme="majorBidi"/>
          <w:color w:val="0D0D0D" w:themeColor="text1" w:themeTint="F2"/>
        </w:rPr>
        <w:t>eficienc</w:t>
      </w:r>
      <w:r w:rsidRPr="00770F9D">
        <w:rPr>
          <w:rFonts w:ascii="Garamond" w:hAnsi="Garamond" w:cstheme="majorBidi"/>
          <w:color w:val="0D0D0D" w:themeColor="text1" w:themeTint="F2"/>
        </w:rPr>
        <w:t>ën e energjisë janë duke vazhduar përmes buxhetit të shtetit dhe projekteve të ndihmës financiare të huaj. Buxheti i shtetit ka rritur kontributin</w:t>
      </w:r>
      <w:r w:rsidR="00421485">
        <w:rPr>
          <w:rFonts w:ascii="Garamond" w:hAnsi="Garamond" w:cstheme="majorBidi"/>
          <w:color w:val="0D0D0D" w:themeColor="text1" w:themeTint="F2"/>
        </w:rPr>
        <w:t xml:space="preserve"> në këtë fushë për vitet 2022–</w:t>
      </w:r>
      <w:r w:rsidRPr="00770F9D">
        <w:rPr>
          <w:rFonts w:ascii="Garamond" w:hAnsi="Garamond" w:cstheme="majorBidi"/>
          <w:color w:val="0D0D0D" w:themeColor="text1" w:themeTint="F2"/>
        </w:rPr>
        <w:t>2024. Miratimi i akteve nënligjore që rrjedhin nga ligji nr. 116/2016</w:t>
      </w:r>
      <w:r w:rsidR="00421485">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 performancën energjetike të ndërtesave”</w:t>
      </w:r>
      <w:r w:rsidR="00421485">
        <w:rPr>
          <w:rFonts w:ascii="Garamond" w:hAnsi="Garamond" w:cstheme="majorBidi"/>
          <w:color w:val="0D0D0D" w:themeColor="text1" w:themeTint="F2"/>
        </w:rPr>
        <w:t>,</w:t>
      </w:r>
      <w:r w:rsidRPr="00770F9D">
        <w:rPr>
          <w:rFonts w:ascii="Garamond" w:hAnsi="Garamond" w:cstheme="majorBidi"/>
          <w:color w:val="0D0D0D" w:themeColor="text1" w:themeTint="F2"/>
        </w:rPr>
        <w:t xml:space="preserve"> do të përmirësojë </w:t>
      </w:r>
      <w:r w:rsidR="00421485">
        <w:rPr>
          <w:rFonts w:ascii="Garamond" w:hAnsi="Garamond" w:cstheme="majorBidi"/>
          <w:color w:val="0D0D0D" w:themeColor="text1" w:themeTint="F2"/>
        </w:rPr>
        <w:t>eficienc</w:t>
      </w:r>
      <w:r w:rsidRPr="00770F9D">
        <w:rPr>
          <w:rFonts w:ascii="Garamond" w:hAnsi="Garamond" w:cstheme="majorBidi"/>
          <w:color w:val="0D0D0D" w:themeColor="text1" w:themeTint="F2"/>
        </w:rPr>
        <w:t>ën e energjisë dhe do të rrisë kursimet në ndërtesat e reja në përgjithësi nëpërmjet raportet e auditimit të vendosura</w:t>
      </w:r>
      <w:r w:rsidR="00421485">
        <w:rPr>
          <w:rFonts w:ascii="Garamond" w:hAnsi="Garamond" w:cstheme="majorBidi"/>
          <w:color w:val="0D0D0D" w:themeColor="text1" w:themeTint="F2"/>
        </w:rPr>
        <w:t>,</w:t>
      </w:r>
      <w:r w:rsidRPr="00770F9D">
        <w:rPr>
          <w:rFonts w:ascii="Garamond" w:hAnsi="Garamond" w:cstheme="majorBidi"/>
          <w:color w:val="0D0D0D" w:themeColor="text1" w:themeTint="F2"/>
        </w:rPr>
        <w:t xml:space="preserve"> në përputhje me rregulloret e miratuara, duke zbatuar kriteret minimale të </w:t>
      </w:r>
      <w:r w:rsidR="00421485">
        <w:rPr>
          <w:rFonts w:ascii="Garamond" w:hAnsi="Garamond" w:cstheme="majorBidi"/>
          <w:color w:val="0D0D0D" w:themeColor="text1" w:themeTint="F2"/>
        </w:rPr>
        <w:t>eficienc</w:t>
      </w:r>
      <w:r w:rsidRPr="00770F9D">
        <w:rPr>
          <w:rFonts w:ascii="Garamond" w:hAnsi="Garamond" w:cstheme="majorBidi"/>
          <w:color w:val="0D0D0D" w:themeColor="text1" w:themeTint="F2"/>
        </w:rPr>
        <w:t>ës së energjisë në ndërtesat e reja, nëpërmjet incentivave nga pushteti lokal për investime individuale në masat e EE</w:t>
      </w:r>
      <w:r w:rsidR="00421485">
        <w:rPr>
          <w:rFonts w:ascii="Garamond" w:hAnsi="Garamond" w:cstheme="majorBidi"/>
          <w:color w:val="0D0D0D" w:themeColor="text1" w:themeTint="F2"/>
        </w:rPr>
        <w:t>-së</w:t>
      </w:r>
      <w:r w:rsidRPr="00770F9D">
        <w:rPr>
          <w:rFonts w:ascii="Garamond" w:hAnsi="Garamond" w:cstheme="majorBidi"/>
          <w:color w:val="0D0D0D" w:themeColor="text1" w:themeTint="F2"/>
        </w:rPr>
        <w:t xml:space="preserve"> në sektorin e banimit dhe nëpërmjet finalizimit të disa studimeve të fizibilitetit që janë në proces prej Agjencia e Efi</w:t>
      </w:r>
      <w:r w:rsidR="00421485">
        <w:rPr>
          <w:rFonts w:ascii="Garamond" w:hAnsi="Garamond" w:cstheme="majorBidi"/>
          <w:color w:val="0D0D0D" w:themeColor="text1" w:themeTint="F2"/>
        </w:rPr>
        <w:t>c</w:t>
      </w:r>
      <w:r w:rsidRPr="00770F9D">
        <w:rPr>
          <w:rFonts w:ascii="Garamond" w:hAnsi="Garamond" w:cstheme="majorBidi"/>
          <w:color w:val="0D0D0D" w:themeColor="text1" w:themeTint="F2"/>
        </w:rPr>
        <w:t>iencës së Energjisë.</w:t>
      </w:r>
      <w:r w:rsidR="00421485">
        <w:rPr>
          <w:rFonts w:ascii="Garamond" w:hAnsi="Garamond" w:cstheme="majorBidi"/>
          <w:color w:val="0D0D0D" w:themeColor="text1" w:themeTint="F2"/>
        </w:rPr>
        <w:t xml:space="preserve"> </w:t>
      </w:r>
      <w:r w:rsidRPr="00770F9D">
        <w:rPr>
          <w:rFonts w:ascii="Garamond" w:eastAsia="Times New Roman" w:hAnsi="Garamond" w:cstheme="majorBidi"/>
          <w:color w:val="0D0D0D" w:themeColor="text1" w:themeTint="F2"/>
        </w:rPr>
        <w:t xml:space="preserve">Ndërkohë, </w:t>
      </w:r>
      <w:r w:rsidRPr="00770F9D">
        <w:rPr>
          <w:rFonts w:ascii="Garamond" w:hAnsi="Garamond" w:cstheme="majorBidi"/>
          <w:color w:val="0D0D0D" w:themeColor="text1" w:themeTint="F2"/>
        </w:rPr>
        <w:t>janë në proces implementimi (rikonstruksion dhe nd</w:t>
      </w:r>
      <w:r w:rsidR="00421485">
        <w:rPr>
          <w:rFonts w:ascii="Garamond" w:hAnsi="Garamond" w:cstheme="majorBidi"/>
          <w:color w:val="0D0D0D" w:themeColor="text1" w:themeTint="F2"/>
        </w:rPr>
        <w:t>ë</w:t>
      </w:r>
      <w:r w:rsidRPr="00770F9D">
        <w:rPr>
          <w:rFonts w:ascii="Garamond" w:hAnsi="Garamond" w:cstheme="majorBidi"/>
          <w:color w:val="0D0D0D" w:themeColor="text1" w:themeTint="F2"/>
        </w:rPr>
        <w:t xml:space="preserve">rtim) disa projekte cilat ndiqen nga Agjencia për </w:t>
      </w:r>
      <w:r w:rsidR="00421485">
        <w:rPr>
          <w:rFonts w:ascii="Garamond" w:hAnsi="Garamond" w:cstheme="majorBidi"/>
          <w:color w:val="0D0D0D" w:themeColor="text1" w:themeTint="F2"/>
        </w:rPr>
        <w:t>Eficienc</w:t>
      </w:r>
      <w:r w:rsidRPr="00770F9D">
        <w:rPr>
          <w:rFonts w:ascii="Garamond" w:hAnsi="Garamond" w:cstheme="majorBidi"/>
          <w:color w:val="0D0D0D" w:themeColor="text1" w:themeTint="F2"/>
        </w:rPr>
        <w:t>ën e Energjisë.</w:t>
      </w:r>
    </w:p>
    <w:p w14:paraId="6B9A68BD" w14:textId="77777777" w:rsidR="0084426F" w:rsidRPr="00770F9D" w:rsidRDefault="0084426F" w:rsidP="00400806">
      <w:pPr>
        <w:ind w:firstLine="284"/>
        <w:jc w:val="both"/>
        <w:rPr>
          <w:rFonts w:ascii="Garamond" w:hAnsi="Garamond" w:cstheme="majorBidi"/>
          <w:b/>
          <w:bCs/>
          <w:color w:val="0D0D0D" w:themeColor="text1" w:themeTint="F2"/>
        </w:rPr>
      </w:pPr>
      <w:r w:rsidRPr="00770F9D">
        <w:rPr>
          <w:rFonts w:ascii="Garamond" w:hAnsi="Garamond" w:cstheme="majorBidi"/>
          <w:b/>
          <w:bCs/>
          <w:color w:val="0D0D0D" w:themeColor="text1" w:themeTint="F2"/>
        </w:rPr>
        <w:t>Bursa Shqiptare e Energjisë</w:t>
      </w:r>
    </w:p>
    <w:p w14:paraId="1DB102BD" w14:textId="6C0C9B80" w:rsidR="0084426F" w:rsidRPr="00770F9D" w:rsidRDefault="0084426F"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Me hyrjen në operim ALPEX (Bursa Shqiptare e Energjisë) do të ndryshojë marrëdhëniet ndërmjet pjesëmarrësve të tregut</w:t>
      </w:r>
      <w:r w:rsidR="00421485">
        <w:rPr>
          <w:rFonts w:ascii="Garamond" w:hAnsi="Garamond" w:cstheme="majorBidi"/>
          <w:color w:val="0D0D0D" w:themeColor="text1" w:themeTint="F2"/>
        </w:rPr>
        <w:t>,</w:t>
      </w:r>
      <w:r w:rsidRPr="00770F9D">
        <w:rPr>
          <w:rFonts w:ascii="Garamond" w:hAnsi="Garamond" w:cstheme="majorBidi"/>
          <w:color w:val="0D0D0D" w:themeColor="text1" w:themeTint="F2"/>
        </w:rPr>
        <w:t xml:space="preserve"> duke shmangur marrëdhëniet dypalëshe mes tyre. Në këtë kontekst, çdo kompani që operon në tregun e energjisë bazuar në licencën përkatëse të marrë nga ERE do të shesë ose blejë energji nëpërmjet bursës, e cili i orienton çmimet në bazë të tregut të liberalizuar (tregu i BE-së) dhe për rrjedhojë do të kontribuojë në rritjen e konkurrencën mes tyre. Qëllimi është të kemi një treg që prodhon, transmeton dhe konsumon energji elektrike në mënyrë efikase, si dhe një treg që çon në fitime më të larta, të organizuar sipas modelit të BE-së, i cili udhëhiqet nga parimet e transparencës, mosdiskriminimit dhe të qëndrueshëm në terma afatgjatë, bazuar në çmime konkurruese, me synim integrimin e tij të mëtejshëm në tregun më të gjerë rajonal dhe në fund të brendshëm të energjisë në BE.</w:t>
      </w:r>
    </w:p>
    <w:p w14:paraId="0E0C7C79" w14:textId="77777777" w:rsidR="0084426F" w:rsidRPr="00770F9D" w:rsidRDefault="0084426F" w:rsidP="00400806">
      <w:pPr>
        <w:ind w:firstLine="284"/>
        <w:jc w:val="both"/>
        <w:rPr>
          <w:rFonts w:ascii="Garamond" w:hAnsi="Garamond" w:cstheme="majorBidi"/>
          <w:b/>
          <w:bCs/>
          <w:i/>
          <w:iCs/>
          <w:color w:val="0D0D0D" w:themeColor="text1" w:themeTint="F2"/>
        </w:rPr>
      </w:pPr>
      <w:r w:rsidRPr="00770F9D">
        <w:rPr>
          <w:rFonts w:ascii="Garamond" w:hAnsi="Garamond" w:cstheme="majorBidi"/>
          <w:b/>
          <w:bCs/>
          <w:i/>
          <w:iCs/>
          <w:color w:val="0D0D0D" w:themeColor="text1" w:themeTint="F2"/>
        </w:rPr>
        <w:t>Linjat e interkoneksionit</w:t>
      </w:r>
    </w:p>
    <w:p w14:paraId="100FF285" w14:textId="77777777" w:rsidR="0084426F" w:rsidRPr="00770F9D" w:rsidRDefault="0084426F"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Të gjitha projektet në vazhdim në lidhje me linjat e interkoneksionit janë të rëndësishme për të garantuar sigurinë dhe për të përballuar energjisë siç parashikohet përmes Agjendës së Ndërlidhjes Evropiane dhe për të krijuar mundësi për zhvillimin dhe tregtimin e energjisë së gjelbër.</w:t>
      </w:r>
    </w:p>
    <w:p w14:paraId="3F42CF19" w14:textId="4FA27349" w:rsidR="0084426F" w:rsidRPr="00770F9D" w:rsidRDefault="0084426F" w:rsidP="00400806">
      <w:pPr>
        <w:pStyle w:val="Text1"/>
        <w:ind w:left="0" w:firstLine="284"/>
        <w:jc w:val="both"/>
        <w:rPr>
          <w:rFonts w:ascii="Garamond" w:hAnsi="Garamond" w:cstheme="majorBidi"/>
          <w:b/>
          <w:bCs/>
          <w:color w:val="0D0D0D" w:themeColor="text1" w:themeTint="F2"/>
        </w:rPr>
      </w:pPr>
      <w:r w:rsidRPr="00770F9D">
        <w:rPr>
          <w:rFonts w:ascii="Garamond" w:hAnsi="Garamond" w:cstheme="majorBidi"/>
          <w:b/>
          <w:color w:val="0D0D0D" w:themeColor="text1" w:themeTint="F2"/>
        </w:rPr>
        <w:t>-</w:t>
      </w:r>
      <w:r w:rsidR="00E634D6">
        <w:rPr>
          <w:rFonts w:ascii="Garamond" w:hAnsi="Garamond" w:cstheme="majorBidi"/>
          <w:b/>
          <w:color w:val="0D0D0D" w:themeColor="text1" w:themeTint="F2"/>
        </w:rPr>
        <w:t xml:space="preserve"> </w:t>
      </w:r>
      <w:r w:rsidRPr="00770F9D">
        <w:rPr>
          <w:rFonts w:ascii="Garamond" w:hAnsi="Garamond" w:cstheme="majorBidi"/>
          <w:b/>
          <w:bCs/>
          <w:color w:val="0D0D0D" w:themeColor="text1" w:themeTint="F2"/>
        </w:rPr>
        <w:t>Linja e interkonjeksion</w:t>
      </w:r>
      <w:r w:rsidR="006F6A44">
        <w:rPr>
          <w:rFonts w:ascii="Garamond" w:hAnsi="Garamond" w:cstheme="majorBidi"/>
          <w:b/>
          <w:bCs/>
          <w:color w:val="0D0D0D" w:themeColor="text1" w:themeTint="F2"/>
        </w:rPr>
        <w:t>it 400 kV Elbasani (Shqipëri)–</w:t>
      </w:r>
      <w:r w:rsidRPr="00770F9D">
        <w:rPr>
          <w:rFonts w:ascii="Garamond" w:hAnsi="Garamond" w:cstheme="majorBidi"/>
          <w:b/>
          <w:bCs/>
          <w:color w:val="0D0D0D" w:themeColor="text1" w:themeTint="F2"/>
        </w:rPr>
        <w:t>Manastir (Republika e Maqedonisë së Veriut)</w:t>
      </w:r>
    </w:p>
    <w:p w14:paraId="010FC901" w14:textId="68ECAB2B" w:rsidR="0084426F" w:rsidRPr="00770F9D" w:rsidRDefault="0084426F"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Linja e interkonjeksionit</w:t>
      </w:r>
      <w:r w:rsidR="006F6A44">
        <w:rPr>
          <w:rFonts w:ascii="Garamond" w:hAnsi="Garamond" w:cstheme="majorBidi"/>
          <w:color w:val="0D0D0D" w:themeColor="text1" w:themeTint="F2"/>
        </w:rPr>
        <w:t xml:space="preserve"> 400 kV Elbasani (Shqipëri)–</w:t>
      </w:r>
      <w:r w:rsidRPr="00770F9D">
        <w:rPr>
          <w:rFonts w:ascii="Garamond" w:hAnsi="Garamond" w:cstheme="majorBidi"/>
          <w:color w:val="0D0D0D" w:themeColor="text1" w:themeTint="F2"/>
        </w:rPr>
        <w:t>Manastir (Republika e Maqedonisë së Veriut) pritet të përmirësojë sigurinë e furnizimit dhe funksionimin e përgjithshëm të sistemit energjetik të Shqipërisë, si dhe të ndikojë pozitivisht në tregun rajonal dhe bashkimit të tij.</w:t>
      </w:r>
    </w:p>
    <w:p w14:paraId="4922C370" w14:textId="590893B6" w:rsidR="0084426F" w:rsidRPr="00770F9D" w:rsidRDefault="0084426F"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Kontrata për </w:t>
      </w:r>
      <w:r w:rsidR="006F6A44" w:rsidRPr="00770F9D">
        <w:rPr>
          <w:rFonts w:ascii="Garamond" w:hAnsi="Garamond" w:cstheme="majorBidi"/>
          <w:color w:val="0D0D0D" w:themeColor="text1" w:themeTint="F2"/>
        </w:rPr>
        <w:t xml:space="preserve">lotin </w:t>
      </w:r>
      <w:r w:rsidRPr="00770F9D">
        <w:rPr>
          <w:rFonts w:ascii="Garamond" w:hAnsi="Garamond" w:cstheme="majorBidi"/>
          <w:color w:val="0D0D0D" w:themeColor="text1" w:themeTint="F2"/>
        </w:rPr>
        <w:t>1 “</w:t>
      </w:r>
      <w:r w:rsidR="006F6A44">
        <w:rPr>
          <w:rFonts w:ascii="Garamond" w:hAnsi="Garamond" w:cstheme="majorBidi"/>
          <w:color w:val="0D0D0D" w:themeColor="text1" w:themeTint="F2"/>
        </w:rPr>
        <w:t>Linjat” është nënshkruar më 14.</w:t>
      </w:r>
      <w:r w:rsidRPr="00770F9D">
        <w:rPr>
          <w:rFonts w:ascii="Garamond" w:hAnsi="Garamond" w:cstheme="majorBidi"/>
          <w:color w:val="0D0D0D" w:themeColor="text1" w:themeTint="F2"/>
        </w:rPr>
        <w:t>1.2021 dhe ka hyrë në fuqi më 10 mars 2021. Afati/data e përfundimit të projektit për këtë lot është parashikuar 24 muaj nga data e hyrjes në fuqi të kontratës.</w:t>
      </w:r>
    </w:p>
    <w:p w14:paraId="6BFCBB31" w14:textId="15DACB6E" w:rsidR="0084426F" w:rsidRPr="00770F9D" w:rsidRDefault="0084426F"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Kontrata për </w:t>
      </w:r>
      <w:r w:rsidR="006F6A44" w:rsidRPr="00770F9D">
        <w:rPr>
          <w:rFonts w:ascii="Garamond" w:hAnsi="Garamond" w:cstheme="majorBidi"/>
          <w:color w:val="0D0D0D" w:themeColor="text1" w:themeTint="F2"/>
        </w:rPr>
        <w:t xml:space="preserve">lotin </w:t>
      </w:r>
      <w:r w:rsidRPr="00770F9D">
        <w:rPr>
          <w:rFonts w:ascii="Garamond" w:hAnsi="Garamond" w:cstheme="majorBidi"/>
          <w:color w:val="0D0D0D" w:themeColor="text1" w:themeTint="F2"/>
        </w:rPr>
        <w:t>2 “Nënstacionet” ësh</w:t>
      </w:r>
      <w:r w:rsidR="006F6A44">
        <w:rPr>
          <w:rFonts w:ascii="Garamond" w:hAnsi="Garamond" w:cstheme="majorBidi"/>
          <w:color w:val="0D0D0D" w:themeColor="text1" w:themeTint="F2"/>
        </w:rPr>
        <w:t>të nënshkruar më 14.</w:t>
      </w:r>
      <w:r w:rsidRPr="00770F9D">
        <w:rPr>
          <w:rFonts w:ascii="Garamond" w:hAnsi="Garamond" w:cstheme="majorBidi"/>
          <w:color w:val="0D0D0D" w:themeColor="text1" w:themeTint="F2"/>
        </w:rPr>
        <w:t>4.2021 dhe ka hyrë në fuqi më 27 korrik 2021. Afati/data e përfundimit të projektit për këtë lot është parashikuar 24 muaj nga data e hyrjes në fuqi të kontratës.</w:t>
      </w:r>
    </w:p>
    <w:p w14:paraId="561C5B4A" w14:textId="570EB127" w:rsidR="0084426F" w:rsidRPr="00770F9D" w:rsidRDefault="0084426F"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Implementimi</w:t>
      </w:r>
      <w:r w:rsidR="00FE212F">
        <w:rPr>
          <w:rFonts w:ascii="Garamond" w:hAnsi="Garamond" w:cstheme="majorBidi"/>
          <w:color w:val="0D0D0D" w:themeColor="text1" w:themeTint="F2"/>
        </w:rPr>
        <w:t xml:space="preserve"> i interkonjeksionit Shqipëri–</w:t>
      </w:r>
      <w:r w:rsidRPr="00770F9D">
        <w:rPr>
          <w:rFonts w:ascii="Garamond" w:hAnsi="Garamond" w:cstheme="majorBidi"/>
          <w:color w:val="0D0D0D" w:themeColor="text1" w:themeTint="F2"/>
        </w:rPr>
        <w:t>Maqedoni e Veriut (për të dy</w:t>
      </w:r>
      <w:r w:rsidR="00FE212F">
        <w:rPr>
          <w:rFonts w:ascii="Garamond" w:hAnsi="Garamond" w:cstheme="majorBidi"/>
          <w:color w:val="0D0D0D" w:themeColor="text1" w:themeTint="F2"/>
        </w:rPr>
        <w:t>ja</w:t>
      </w:r>
      <w:r w:rsidRPr="00770F9D">
        <w:rPr>
          <w:rFonts w:ascii="Garamond" w:hAnsi="Garamond" w:cstheme="majorBidi"/>
          <w:color w:val="0D0D0D" w:themeColor="text1" w:themeTint="F2"/>
        </w:rPr>
        <w:t xml:space="preserve"> lotet) nuk ka filluar ende. Kontraktorët e të dy</w:t>
      </w:r>
      <w:r w:rsidR="00EB292A">
        <w:rPr>
          <w:rFonts w:ascii="Garamond" w:hAnsi="Garamond" w:cstheme="majorBidi"/>
          <w:color w:val="0D0D0D" w:themeColor="text1" w:themeTint="F2"/>
        </w:rPr>
        <w:t>ja</w:t>
      </w:r>
      <w:r w:rsidRPr="00770F9D">
        <w:rPr>
          <w:rFonts w:ascii="Garamond" w:hAnsi="Garamond" w:cstheme="majorBidi"/>
          <w:color w:val="0D0D0D" w:themeColor="text1" w:themeTint="F2"/>
        </w:rPr>
        <w:t xml:space="preserve"> loteve kanë paraqitur që në fund të vitit 2021 ankesat/pretendimet përkatëse, duke paraqitur vështirësitë e tyre për të rënë dakord me prodhuesit/furnizuesit për blerjen e mallrave/materialeve – pjesë e kontratës, për shkak të rritjes së çmimeve të metaleve në tregun ndërkombëtar, si dhe kostot e punës dhe transportit, si rezultat i situatës së pandemisë </w:t>
      </w:r>
      <w:r w:rsidR="00FA2904" w:rsidRPr="00770F9D">
        <w:rPr>
          <w:rFonts w:ascii="Garamond" w:hAnsi="Garamond" w:cstheme="majorBidi"/>
          <w:color w:val="0D0D0D" w:themeColor="text1" w:themeTint="F2"/>
        </w:rPr>
        <w:t>COVID</w:t>
      </w:r>
      <w:r w:rsidRPr="00770F9D">
        <w:rPr>
          <w:rFonts w:ascii="Garamond" w:hAnsi="Garamond" w:cstheme="majorBidi"/>
          <w:color w:val="0D0D0D" w:themeColor="text1" w:themeTint="F2"/>
        </w:rPr>
        <w:t>-19 dhe agresionit rus në Ukrainë</w:t>
      </w:r>
    </w:p>
    <w:p w14:paraId="750C1E6A" w14:textId="0D397F7C" w:rsidR="0084426F" w:rsidRPr="00770F9D" w:rsidRDefault="0084426F"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Konsulenti/</w:t>
      </w:r>
      <w:r w:rsidR="00FA2904" w:rsidRPr="00770F9D">
        <w:rPr>
          <w:rFonts w:ascii="Garamond" w:hAnsi="Garamond" w:cstheme="majorBidi"/>
          <w:color w:val="0D0D0D" w:themeColor="text1" w:themeTint="F2"/>
        </w:rPr>
        <w:t xml:space="preserve">inxhinieri </w:t>
      </w:r>
      <w:r w:rsidRPr="00770F9D">
        <w:rPr>
          <w:rFonts w:ascii="Garamond" w:hAnsi="Garamond" w:cstheme="majorBidi"/>
          <w:color w:val="0D0D0D" w:themeColor="text1" w:themeTint="F2"/>
        </w:rPr>
        <w:t>ka propozuar përshkallëzimin e kostos së rritjes së çmimit kontraktual për mallrat dhe punimet, nëpërmjet ndryshimit të kontratës së çdo loti – propozim i pranuar dhe konfirmuar edhe nga institucioni financiar i këtij projekti KfW. Ndryshimet e kontratave përkatëse janë planifikuar të nënshkruhen në mesin e janarit 2023 dhe për rrjedhojë puna për të dy</w:t>
      </w:r>
      <w:r w:rsidR="00FA2904">
        <w:rPr>
          <w:rFonts w:ascii="Garamond" w:hAnsi="Garamond" w:cstheme="majorBidi"/>
          <w:color w:val="0D0D0D" w:themeColor="text1" w:themeTint="F2"/>
        </w:rPr>
        <w:t>ja</w:t>
      </w:r>
      <w:r w:rsidRPr="00770F9D">
        <w:rPr>
          <w:rFonts w:ascii="Garamond" w:hAnsi="Garamond" w:cstheme="majorBidi"/>
          <w:color w:val="0D0D0D" w:themeColor="text1" w:themeTint="F2"/>
        </w:rPr>
        <w:t xml:space="preserve"> lotet pritet të nisë në shkurt 2023.</w:t>
      </w:r>
    </w:p>
    <w:p w14:paraId="765ABCA0" w14:textId="5710B2E7" w:rsidR="0084426F" w:rsidRPr="00770F9D" w:rsidRDefault="0084426F" w:rsidP="00400806">
      <w:pPr>
        <w:ind w:firstLine="284"/>
        <w:jc w:val="both"/>
        <w:rPr>
          <w:rFonts w:ascii="Garamond" w:hAnsi="Garamond" w:cstheme="majorBidi"/>
          <w:b/>
          <w:bCs/>
          <w:color w:val="0D0D0D" w:themeColor="text1" w:themeTint="F2"/>
        </w:rPr>
      </w:pPr>
      <w:r w:rsidRPr="00770F9D">
        <w:rPr>
          <w:rFonts w:ascii="Garamond" w:hAnsi="Garamond" w:cstheme="majorBidi"/>
          <w:b/>
          <w:bCs/>
          <w:color w:val="0D0D0D" w:themeColor="text1" w:themeTint="F2"/>
        </w:rPr>
        <w:t>-</w:t>
      </w:r>
      <w:r w:rsidR="00A65BCB">
        <w:rPr>
          <w:rFonts w:ascii="Garamond" w:hAnsi="Garamond" w:cstheme="majorBidi"/>
          <w:b/>
          <w:bCs/>
          <w:color w:val="0D0D0D" w:themeColor="text1" w:themeTint="F2"/>
        </w:rPr>
        <w:t xml:space="preserve"> </w:t>
      </w:r>
      <w:r w:rsidRPr="00770F9D">
        <w:rPr>
          <w:rFonts w:ascii="Garamond" w:hAnsi="Garamond" w:cstheme="majorBidi"/>
          <w:b/>
          <w:bCs/>
          <w:color w:val="0D0D0D" w:themeColor="text1" w:themeTint="F2"/>
        </w:rPr>
        <w:t>Linja e interkonjeks</w:t>
      </w:r>
      <w:r w:rsidR="00A65BCB">
        <w:rPr>
          <w:rFonts w:ascii="Garamond" w:hAnsi="Garamond" w:cstheme="majorBidi"/>
          <w:b/>
          <w:bCs/>
          <w:color w:val="0D0D0D" w:themeColor="text1" w:themeTint="F2"/>
        </w:rPr>
        <w:t>ionit 400 kV Shqipëri (Fieri</w:t>
      </w:r>
      <w:r w:rsidR="00B245B1">
        <w:rPr>
          <w:rFonts w:ascii="Garamond" w:hAnsi="Garamond" w:cstheme="majorBidi"/>
          <w:b/>
          <w:bCs/>
          <w:color w:val="0D0D0D" w:themeColor="text1" w:themeTint="F2"/>
        </w:rPr>
        <w:t>)</w:t>
      </w:r>
      <w:r w:rsidR="00A65BCB">
        <w:rPr>
          <w:rFonts w:ascii="Garamond" w:hAnsi="Garamond" w:cstheme="majorBidi"/>
          <w:b/>
          <w:bCs/>
          <w:color w:val="0D0D0D" w:themeColor="text1" w:themeTint="F2"/>
        </w:rPr>
        <w:t xml:space="preserve"> –Greqi (Arachtos)</w:t>
      </w:r>
    </w:p>
    <w:p w14:paraId="1203443C" w14:textId="6B7055AE" w:rsidR="0084426F" w:rsidRPr="00770F9D" w:rsidRDefault="0084426F"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Bazuar në parashikimet dhe potencialet e mëdha zhvillimore të burimeve të rinovueshme, në planet afatgjata të OST parashikohet ndërtimi i linjës së re të interkoneks</w:t>
      </w:r>
      <w:r w:rsidR="00431D84">
        <w:rPr>
          <w:rFonts w:ascii="Garamond" w:hAnsi="Garamond" w:cstheme="majorBidi"/>
          <w:color w:val="0D0D0D" w:themeColor="text1" w:themeTint="F2"/>
        </w:rPr>
        <w:t>ionit 400 kV Shqipëri (Fieri)–</w:t>
      </w:r>
      <w:r w:rsidRPr="00770F9D">
        <w:rPr>
          <w:rFonts w:ascii="Garamond" w:hAnsi="Garamond" w:cstheme="majorBidi"/>
          <w:color w:val="0D0D0D" w:themeColor="text1" w:themeTint="F2"/>
        </w:rPr>
        <w:t>Greqi (Arachtos), ajrore dhe me një qark të vetëm, me një gjatësi rreth 125 km.</w:t>
      </w:r>
    </w:p>
    <w:p w14:paraId="724E13C2" w14:textId="7394DEA4" w:rsidR="0084426F" w:rsidRPr="00770F9D" w:rsidRDefault="0084426F" w:rsidP="00431D84">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Ky projekt synon të forcojë lidhjen midis sistemeve të transmetimit të Shqipërisë dhe Greqisë dhe të rrisë kapacitetin neto të transmetimit të rrjetit shqiptar</w:t>
      </w:r>
      <w:r w:rsidR="00431D84">
        <w:rPr>
          <w:rFonts w:ascii="Garamond" w:hAnsi="Garamond" w:cstheme="majorBidi"/>
          <w:color w:val="0D0D0D" w:themeColor="text1" w:themeTint="F2"/>
        </w:rPr>
        <w:t>,</w:t>
      </w:r>
      <w:r w:rsidRPr="00770F9D">
        <w:rPr>
          <w:rFonts w:ascii="Garamond" w:hAnsi="Garamond" w:cstheme="majorBidi"/>
          <w:color w:val="0D0D0D" w:themeColor="text1" w:themeTint="F2"/>
        </w:rPr>
        <w:t xml:space="preserve"> duke lejuar rritjen e shkëmbimit të energjisë midis dy vendeve dhe reduktimin e sfidave teknike</w:t>
      </w:r>
      <w:r w:rsidR="00431D84">
        <w:rPr>
          <w:rFonts w:ascii="Garamond" w:hAnsi="Garamond" w:cstheme="majorBidi"/>
          <w:color w:val="0D0D0D" w:themeColor="text1" w:themeTint="F2"/>
        </w:rPr>
        <w:t>,</w:t>
      </w:r>
      <w:r w:rsidRPr="00770F9D">
        <w:rPr>
          <w:rFonts w:ascii="Garamond" w:hAnsi="Garamond" w:cstheme="majorBidi"/>
          <w:color w:val="0D0D0D" w:themeColor="text1" w:themeTint="F2"/>
        </w:rPr>
        <w:t xml:space="preserve"> në kuadër të liberalizimit të tregut të energjisë elektrike, por edhe si korridor elektrik drejt E</w:t>
      </w:r>
      <w:r w:rsidR="00431D84">
        <w:rPr>
          <w:rFonts w:ascii="Garamond" w:hAnsi="Garamond" w:cstheme="majorBidi"/>
          <w:color w:val="0D0D0D" w:themeColor="text1" w:themeTint="F2"/>
        </w:rPr>
        <w:t>v</w:t>
      </w:r>
      <w:r w:rsidRPr="00770F9D">
        <w:rPr>
          <w:rFonts w:ascii="Garamond" w:hAnsi="Garamond" w:cstheme="majorBidi"/>
          <w:color w:val="0D0D0D" w:themeColor="text1" w:themeTint="F2"/>
        </w:rPr>
        <w:t>ropës Qendrore dhe Italisë</w:t>
      </w:r>
      <w:r w:rsidR="00431D84">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 shkak të vendndodhjes së Shqipërisë.</w:t>
      </w:r>
    </w:p>
    <w:p w14:paraId="44814739" w14:textId="49D23C51" w:rsidR="0084426F" w:rsidRPr="00770F9D" w:rsidRDefault="0084426F"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Në nëntor 2022, midis dy kompanive të transmetimit OST dhe IPTO u nënshkrua një Memorandum Mirëkuptimi. Aktualisht, Studimi i Projektit është në fazën përfundimtare. Gjurma paraprake e linjës lidhëse deri në kufijtë GR-AL është ende në proces (IPTO), ndërsa OS</w:t>
      </w:r>
      <w:r w:rsidR="00431D84">
        <w:rPr>
          <w:rFonts w:ascii="Garamond" w:hAnsi="Garamond" w:cstheme="majorBidi"/>
          <w:color w:val="0D0D0D" w:themeColor="text1" w:themeTint="F2"/>
        </w:rPr>
        <w:t>T ka përfunduar studimin e para</w:t>
      </w:r>
      <w:r w:rsidRPr="00770F9D">
        <w:rPr>
          <w:rFonts w:ascii="Garamond" w:hAnsi="Garamond" w:cstheme="majorBidi"/>
          <w:color w:val="0D0D0D" w:themeColor="text1" w:themeTint="F2"/>
        </w:rPr>
        <w:t xml:space="preserve">fizibilitetit të këtij projekti në kuadër të zhvillimit të </w:t>
      </w:r>
      <w:r w:rsidR="00431D84" w:rsidRPr="00770F9D">
        <w:rPr>
          <w:rFonts w:ascii="Garamond" w:hAnsi="Garamond" w:cstheme="majorBidi"/>
          <w:color w:val="0D0D0D" w:themeColor="text1" w:themeTint="F2"/>
        </w:rPr>
        <w:t xml:space="preserve">masterplanit </w:t>
      </w:r>
      <w:r w:rsidRPr="00770F9D">
        <w:rPr>
          <w:rFonts w:ascii="Garamond" w:hAnsi="Garamond" w:cstheme="majorBidi"/>
          <w:color w:val="0D0D0D" w:themeColor="text1" w:themeTint="F2"/>
        </w:rPr>
        <w:t>të rrjetit të transmetimit të Shqipërisë deri në vitin 2033.</w:t>
      </w:r>
    </w:p>
    <w:p w14:paraId="44DABB61" w14:textId="48530361" w:rsidR="005674F2" w:rsidRPr="00770F9D" w:rsidRDefault="005674F2" w:rsidP="000F6F7A">
      <w:pPr>
        <w:pStyle w:val="ListParagraph"/>
        <w:ind w:left="0" w:firstLine="284"/>
        <w:jc w:val="both"/>
        <w:rPr>
          <w:rFonts w:ascii="Garamond" w:hAnsi="Garamond" w:cs="Garamond"/>
          <w:b/>
          <w:bCs/>
          <w:color w:val="0D0D0D"/>
          <w:sz w:val="24"/>
          <w:szCs w:val="24"/>
          <w:lang w:val="sq-AL"/>
        </w:rPr>
      </w:pPr>
      <w:r w:rsidRPr="00770F9D">
        <w:rPr>
          <w:rFonts w:ascii="Garamond" w:hAnsi="Garamond" w:cs="Garamond"/>
          <w:b/>
          <w:bCs/>
          <w:color w:val="0D0D0D"/>
          <w:sz w:val="24"/>
          <w:szCs w:val="24"/>
          <w:lang w:val="sq-AL"/>
        </w:rPr>
        <w:t>a</w:t>
      </w:r>
      <w:r w:rsidR="00431D84">
        <w:rPr>
          <w:rFonts w:ascii="Garamond" w:hAnsi="Garamond" w:cs="Garamond"/>
          <w:b/>
          <w:bCs/>
          <w:color w:val="0D0D0D"/>
          <w:sz w:val="24"/>
          <w:szCs w:val="24"/>
          <w:lang w:val="sq-AL"/>
        </w:rPr>
        <w:t>)</w:t>
      </w:r>
      <w:r w:rsidR="00BA4F1A" w:rsidRPr="00770F9D">
        <w:rPr>
          <w:rFonts w:ascii="Garamond" w:hAnsi="Garamond" w:cs="Garamond"/>
          <w:b/>
          <w:bCs/>
          <w:color w:val="0D0D0D"/>
          <w:sz w:val="24"/>
          <w:szCs w:val="24"/>
          <w:lang w:val="sq-AL"/>
        </w:rPr>
        <w:t xml:space="preserve"> </w:t>
      </w:r>
      <w:r w:rsidRPr="00770F9D">
        <w:rPr>
          <w:rFonts w:ascii="Garamond" w:hAnsi="Garamond" w:cs="Garamond"/>
          <w:b/>
          <w:bCs/>
          <w:color w:val="0D0D0D"/>
          <w:sz w:val="24"/>
          <w:szCs w:val="24"/>
          <w:lang w:val="sq-AL"/>
        </w:rPr>
        <w:t xml:space="preserve">Aktivitete të planifikuara </w:t>
      </w:r>
      <w:r w:rsidR="000F6F7A">
        <w:rPr>
          <w:rFonts w:ascii="Garamond" w:hAnsi="Garamond" w:cs="Garamond"/>
          <w:b/>
          <w:bCs/>
          <w:color w:val="0D0D0D"/>
          <w:sz w:val="24"/>
          <w:szCs w:val="24"/>
          <w:lang w:val="sq-AL"/>
        </w:rPr>
        <w:t>m</w:t>
      </w:r>
      <w:r w:rsidRPr="00770F9D">
        <w:rPr>
          <w:rFonts w:ascii="Garamond" w:hAnsi="Garamond" w:cs="Garamond"/>
          <w:b/>
          <w:bCs/>
          <w:color w:val="0D0D0D"/>
          <w:sz w:val="24"/>
          <w:szCs w:val="24"/>
          <w:lang w:val="sq-AL"/>
        </w:rPr>
        <w:t>ë 2023</w:t>
      </w:r>
      <w:r w:rsidR="00431D84">
        <w:rPr>
          <w:rFonts w:ascii="Garamond" w:hAnsi="Garamond" w:cs="Garamond"/>
          <w:b/>
          <w:bCs/>
          <w:color w:val="0D0D0D"/>
          <w:sz w:val="24"/>
          <w:szCs w:val="24"/>
          <w:lang w:val="sq-AL"/>
        </w:rPr>
        <w:t>-shin</w:t>
      </w:r>
    </w:p>
    <w:p w14:paraId="16534D82" w14:textId="36A66AC9" w:rsidR="005674F2" w:rsidRPr="00770F9D" w:rsidRDefault="005674F2" w:rsidP="00400806">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 xml:space="preserve">Zbatimi i Projektit të Parkut Fotovoltaik të Karavastasë 140 </w:t>
      </w:r>
      <w:r w:rsidR="007270BA" w:rsidRPr="00770F9D">
        <w:rPr>
          <w:rFonts w:ascii="Garamond" w:hAnsi="Garamond" w:cs="Garamond"/>
          <w:color w:val="0D0D0D"/>
          <w:sz w:val="24"/>
          <w:szCs w:val="24"/>
          <w:lang w:val="sq-AL"/>
        </w:rPr>
        <w:t xml:space="preserve">mw </w:t>
      </w:r>
      <w:r w:rsidRPr="00770F9D">
        <w:rPr>
          <w:rFonts w:ascii="Garamond" w:hAnsi="Garamond" w:cs="Garamond"/>
          <w:color w:val="0D0D0D"/>
          <w:sz w:val="24"/>
          <w:szCs w:val="24"/>
          <w:lang w:val="sq-AL"/>
        </w:rPr>
        <w:t>(</w:t>
      </w:r>
      <w:r w:rsidR="007270BA" w:rsidRPr="00770F9D">
        <w:rPr>
          <w:rFonts w:ascii="Garamond" w:hAnsi="Garamond" w:cs="Garamond"/>
          <w:color w:val="0D0D0D"/>
          <w:sz w:val="24"/>
          <w:szCs w:val="24"/>
          <w:lang w:val="sq-AL"/>
        </w:rPr>
        <w:t xml:space="preserve">faza </w:t>
      </w:r>
      <w:r w:rsidRPr="00770F9D">
        <w:rPr>
          <w:rFonts w:ascii="Garamond" w:hAnsi="Garamond" w:cs="Garamond"/>
          <w:color w:val="0D0D0D"/>
          <w:sz w:val="24"/>
          <w:szCs w:val="24"/>
          <w:lang w:val="sq-AL"/>
        </w:rPr>
        <w:t>e ndërtimit)</w:t>
      </w:r>
      <w:r w:rsidR="007270BA">
        <w:rPr>
          <w:rFonts w:ascii="Garamond" w:hAnsi="Garamond" w:cs="Garamond"/>
          <w:color w:val="0D0D0D"/>
          <w:sz w:val="24"/>
          <w:szCs w:val="24"/>
          <w:lang w:val="sq-AL"/>
        </w:rPr>
        <w:t>;</w:t>
      </w:r>
    </w:p>
    <w:p w14:paraId="14D142D4" w14:textId="35CA187E" w:rsidR="005674F2" w:rsidRPr="00770F9D" w:rsidRDefault="005674F2" w:rsidP="007270BA">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 xml:space="preserve">Zbatimi i Projektit të Parkut Fotovoltaik të Spitallës prej 100 </w:t>
      </w:r>
      <w:r w:rsidR="007270BA" w:rsidRPr="00770F9D">
        <w:rPr>
          <w:rFonts w:ascii="Garamond" w:hAnsi="Garamond" w:cs="Garamond"/>
          <w:color w:val="0D0D0D"/>
          <w:sz w:val="24"/>
          <w:szCs w:val="24"/>
          <w:lang w:val="sq-AL"/>
        </w:rPr>
        <w:t xml:space="preserve">mw </w:t>
      </w:r>
      <w:r w:rsidRPr="00770F9D">
        <w:rPr>
          <w:rFonts w:ascii="Garamond" w:hAnsi="Garamond" w:cs="Garamond"/>
          <w:color w:val="0D0D0D"/>
          <w:sz w:val="24"/>
          <w:szCs w:val="24"/>
          <w:lang w:val="sq-AL"/>
        </w:rPr>
        <w:t>(</w:t>
      </w:r>
      <w:r w:rsidR="007270BA" w:rsidRPr="00770F9D">
        <w:rPr>
          <w:rFonts w:ascii="Garamond" w:hAnsi="Garamond" w:cs="Garamond"/>
          <w:color w:val="0D0D0D"/>
          <w:sz w:val="24"/>
          <w:szCs w:val="24"/>
          <w:lang w:val="sq-AL"/>
        </w:rPr>
        <w:t xml:space="preserve">faza </w:t>
      </w:r>
      <w:r w:rsidRPr="00770F9D">
        <w:rPr>
          <w:rFonts w:ascii="Garamond" w:hAnsi="Garamond" w:cs="Garamond"/>
          <w:color w:val="0D0D0D"/>
          <w:sz w:val="24"/>
          <w:szCs w:val="24"/>
          <w:lang w:val="sq-AL"/>
        </w:rPr>
        <w:t>e ndërtimit)</w:t>
      </w:r>
      <w:r w:rsidR="007270BA">
        <w:rPr>
          <w:rFonts w:ascii="Garamond" w:hAnsi="Garamond" w:cs="Garamond"/>
          <w:color w:val="0D0D0D"/>
          <w:sz w:val="24"/>
          <w:szCs w:val="24"/>
          <w:lang w:val="sq-AL"/>
        </w:rPr>
        <w:t>;</w:t>
      </w:r>
    </w:p>
    <w:p w14:paraId="3AFD873F" w14:textId="251A5CFC" w:rsidR="005674F2" w:rsidRPr="00770F9D" w:rsidRDefault="005674F2" w:rsidP="00400806">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Ankandi i erës (Faza e përzgjedhjes do të jetë gjatë vitit 2023)</w:t>
      </w:r>
      <w:r w:rsidR="007270BA">
        <w:rPr>
          <w:rFonts w:ascii="Garamond" w:hAnsi="Garamond" w:cs="Garamond"/>
          <w:color w:val="0D0D0D"/>
          <w:sz w:val="24"/>
          <w:szCs w:val="24"/>
          <w:lang w:val="sq-AL"/>
        </w:rPr>
        <w:t>;</w:t>
      </w:r>
    </w:p>
    <w:p w14:paraId="2B3A59A0" w14:textId="3B06512A" w:rsidR="005674F2" w:rsidRPr="00770F9D" w:rsidRDefault="005674F2" w:rsidP="007270BA">
      <w:pPr>
        <w:pStyle w:val="ListParagraph"/>
        <w:tabs>
          <w:tab w:val="left" w:pos="440"/>
        </w:tabs>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Monitorimi i zbatimit të projekteve të reja të energjisë së erës dhe diellit që janë pajisur me miratimin përfundimtar për ndërtimin e kapaciteteve të reja prodhuese të energjisë elektrike; (MIE/AKBN)</w:t>
      </w:r>
      <w:r w:rsidR="007270BA">
        <w:rPr>
          <w:rFonts w:ascii="Garamond" w:hAnsi="Garamond" w:cs="Garamond"/>
          <w:color w:val="0D0D0D"/>
          <w:sz w:val="24"/>
          <w:szCs w:val="24"/>
          <w:lang w:val="sq-AL"/>
        </w:rPr>
        <w:t>;</w:t>
      </w:r>
    </w:p>
    <w:p w14:paraId="788D0B84" w14:textId="33AD6295" w:rsidR="005674F2" w:rsidRPr="00770F9D" w:rsidRDefault="005674F2" w:rsidP="007270BA">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 xml:space="preserve">Studim fizibiliteti për instalimin e </w:t>
      </w:r>
      <w:r w:rsidR="00B245B1" w:rsidRPr="00770F9D">
        <w:rPr>
          <w:rFonts w:ascii="Garamond" w:hAnsi="Garamond" w:cs="Garamond"/>
          <w:color w:val="0D0D0D"/>
          <w:sz w:val="24"/>
          <w:szCs w:val="24"/>
          <w:lang w:val="sq-AL"/>
        </w:rPr>
        <w:t xml:space="preserve">kullave të karikimit </w:t>
      </w:r>
      <w:r w:rsidRPr="00770F9D">
        <w:rPr>
          <w:rFonts w:ascii="Garamond" w:hAnsi="Garamond" w:cs="Garamond"/>
          <w:color w:val="0D0D0D"/>
          <w:sz w:val="24"/>
          <w:szCs w:val="24"/>
          <w:lang w:val="sq-AL"/>
        </w:rPr>
        <w:t>për makinat elektrike në Republikën e Shqipërisë</w:t>
      </w:r>
      <w:r w:rsidR="007270BA">
        <w:rPr>
          <w:rFonts w:ascii="Garamond" w:hAnsi="Garamond" w:cs="Garamond"/>
          <w:color w:val="0D0D0D"/>
          <w:sz w:val="24"/>
          <w:szCs w:val="24"/>
          <w:lang w:val="sq-AL"/>
        </w:rPr>
        <w:t>;</w:t>
      </w:r>
    </w:p>
    <w:p w14:paraId="55FFB03A" w14:textId="46C043E0" w:rsidR="005674F2" w:rsidRPr="00770F9D" w:rsidRDefault="005674F2" w:rsidP="007270BA">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 xml:space="preserve">Zbatimi i projektit të auditimit dhe zbatimi i masave për </w:t>
      </w:r>
      <w:r w:rsidR="00421485">
        <w:rPr>
          <w:rFonts w:ascii="Garamond" w:hAnsi="Garamond" w:cs="Garamond"/>
          <w:color w:val="0D0D0D"/>
          <w:sz w:val="24"/>
          <w:szCs w:val="24"/>
          <w:lang w:val="sq-AL"/>
        </w:rPr>
        <w:t>eficienc</w:t>
      </w:r>
      <w:r w:rsidRPr="00770F9D">
        <w:rPr>
          <w:rFonts w:ascii="Garamond" w:hAnsi="Garamond" w:cs="Garamond"/>
          <w:color w:val="0D0D0D"/>
          <w:sz w:val="24"/>
          <w:szCs w:val="24"/>
          <w:lang w:val="sq-AL"/>
        </w:rPr>
        <w:t>ën e energjisë në disa shkolla publike të qytetit të Bulqizës</w:t>
      </w:r>
      <w:r w:rsidR="007270BA">
        <w:rPr>
          <w:rFonts w:ascii="Garamond" w:hAnsi="Garamond" w:cs="Garamond"/>
          <w:color w:val="0D0D0D"/>
          <w:sz w:val="24"/>
          <w:szCs w:val="24"/>
          <w:lang w:val="sq-AL"/>
        </w:rPr>
        <w:t>;</w:t>
      </w:r>
    </w:p>
    <w:p w14:paraId="4D1882DA" w14:textId="18A35A35" w:rsidR="005674F2" w:rsidRPr="00770F9D" w:rsidRDefault="005674F2" w:rsidP="007270BA">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 xml:space="preserve">Përgatitja e studimit të fizibilitetit të </w:t>
      </w:r>
      <w:r w:rsidR="00B245B1" w:rsidRPr="00770F9D">
        <w:rPr>
          <w:rFonts w:ascii="Garamond" w:hAnsi="Garamond" w:cs="Garamond"/>
          <w:color w:val="0D0D0D"/>
          <w:sz w:val="24"/>
          <w:szCs w:val="24"/>
          <w:lang w:val="sq-AL"/>
        </w:rPr>
        <w:t xml:space="preserve">projektit hidrocentral </w:t>
      </w:r>
      <w:r w:rsidRPr="00770F9D">
        <w:rPr>
          <w:rFonts w:ascii="Garamond" w:hAnsi="Garamond" w:cs="Garamond"/>
          <w:color w:val="0D0D0D"/>
          <w:sz w:val="24"/>
          <w:szCs w:val="24"/>
          <w:lang w:val="sq-AL"/>
        </w:rPr>
        <w:t>të Skavicës</w:t>
      </w:r>
      <w:r w:rsidR="007270BA">
        <w:rPr>
          <w:rFonts w:ascii="Garamond" w:hAnsi="Garamond" w:cs="Garamond"/>
          <w:color w:val="0D0D0D"/>
          <w:sz w:val="24"/>
          <w:szCs w:val="24"/>
          <w:lang w:val="sq-AL"/>
        </w:rPr>
        <w:t>;</w:t>
      </w:r>
    </w:p>
    <w:p w14:paraId="4060C09C" w14:textId="0FD90010" w:rsidR="005674F2" w:rsidRPr="00770F9D" w:rsidRDefault="005674F2" w:rsidP="007270BA">
      <w:pPr>
        <w:pStyle w:val="ListParagraph"/>
        <w:tabs>
          <w:tab w:val="left" w:pos="260"/>
        </w:tabs>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Zbatimi</w:t>
      </w:r>
      <w:r w:rsidR="00B245B1">
        <w:rPr>
          <w:rFonts w:ascii="Garamond" w:hAnsi="Garamond" w:cs="Garamond"/>
          <w:color w:val="0D0D0D"/>
          <w:sz w:val="24"/>
          <w:szCs w:val="24"/>
          <w:lang w:val="sq-AL"/>
        </w:rPr>
        <w:t xml:space="preserve"> i projektit Elbasan (Shqipëri)–</w:t>
      </w:r>
      <w:r w:rsidRPr="00770F9D">
        <w:rPr>
          <w:rFonts w:ascii="Garamond" w:hAnsi="Garamond" w:cs="Garamond"/>
          <w:color w:val="0D0D0D"/>
          <w:sz w:val="24"/>
          <w:szCs w:val="24"/>
          <w:lang w:val="sq-AL"/>
        </w:rPr>
        <w:t xml:space="preserve">Manastir (RNM) Linja e interkoneksionit 400 kV: </w:t>
      </w:r>
      <w:r w:rsidR="007270BA" w:rsidRPr="00770F9D">
        <w:rPr>
          <w:rFonts w:ascii="Garamond" w:hAnsi="Garamond" w:cs="Garamond"/>
          <w:color w:val="0D0D0D"/>
          <w:sz w:val="24"/>
          <w:szCs w:val="24"/>
          <w:lang w:val="sq-AL"/>
        </w:rPr>
        <w:t xml:space="preserve">loti </w:t>
      </w:r>
      <w:r w:rsidRPr="00770F9D">
        <w:rPr>
          <w:rFonts w:ascii="Garamond" w:hAnsi="Garamond" w:cs="Garamond"/>
          <w:color w:val="0D0D0D"/>
          <w:sz w:val="24"/>
          <w:szCs w:val="24"/>
          <w:lang w:val="sq-AL"/>
        </w:rPr>
        <w:t>1 &amp;</w:t>
      </w:r>
      <w:r w:rsidR="007270BA">
        <w:rPr>
          <w:rFonts w:ascii="Garamond" w:hAnsi="Garamond" w:cs="Garamond"/>
          <w:color w:val="0D0D0D"/>
          <w:sz w:val="24"/>
          <w:szCs w:val="24"/>
          <w:lang w:val="sq-AL"/>
        </w:rPr>
        <w:t>dhe</w:t>
      </w:r>
      <w:r w:rsidRPr="00770F9D">
        <w:rPr>
          <w:rFonts w:ascii="Garamond" w:hAnsi="Garamond" w:cs="Garamond"/>
          <w:color w:val="0D0D0D"/>
          <w:sz w:val="24"/>
          <w:szCs w:val="24"/>
          <w:lang w:val="sq-AL"/>
        </w:rPr>
        <w:t xml:space="preserve"> </w:t>
      </w:r>
      <w:r w:rsidR="007270BA" w:rsidRPr="00770F9D">
        <w:rPr>
          <w:rFonts w:ascii="Garamond" w:hAnsi="Garamond" w:cs="Garamond"/>
          <w:color w:val="0D0D0D"/>
          <w:sz w:val="24"/>
          <w:szCs w:val="24"/>
          <w:lang w:val="sq-AL"/>
        </w:rPr>
        <w:t xml:space="preserve">loti </w:t>
      </w:r>
      <w:r w:rsidRPr="00770F9D">
        <w:rPr>
          <w:rFonts w:ascii="Garamond" w:hAnsi="Garamond" w:cs="Garamond"/>
          <w:color w:val="0D0D0D"/>
          <w:sz w:val="24"/>
          <w:szCs w:val="24"/>
          <w:lang w:val="sq-AL"/>
        </w:rPr>
        <w:t>2</w:t>
      </w:r>
      <w:r w:rsidR="007270BA">
        <w:rPr>
          <w:rFonts w:ascii="Garamond" w:hAnsi="Garamond" w:cs="Garamond"/>
          <w:color w:val="0D0D0D"/>
          <w:sz w:val="24"/>
          <w:szCs w:val="24"/>
          <w:lang w:val="sq-AL"/>
        </w:rPr>
        <w:t>;</w:t>
      </w:r>
    </w:p>
    <w:p w14:paraId="5AC9EB39" w14:textId="009F1FBA" w:rsidR="005674F2" w:rsidRPr="00770F9D" w:rsidRDefault="005674F2" w:rsidP="00400806">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Studimi i fizibilitetit të linjës së interkonjeks</w:t>
      </w:r>
      <w:r w:rsidR="007270BA">
        <w:rPr>
          <w:rFonts w:ascii="Garamond" w:hAnsi="Garamond" w:cs="Garamond"/>
          <w:color w:val="0D0D0D"/>
          <w:sz w:val="24"/>
          <w:szCs w:val="24"/>
          <w:lang w:val="sq-AL"/>
        </w:rPr>
        <w:t>ionit 400 kV Shqipëri (Fieri)–</w:t>
      </w:r>
      <w:r w:rsidRPr="00770F9D">
        <w:rPr>
          <w:rFonts w:ascii="Garamond" w:hAnsi="Garamond" w:cs="Garamond"/>
          <w:color w:val="0D0D0D"/>
          <w:sz w:val="24"/>
          <w:szCs w:val="24"/>
          <w:lang w:val="sq-AL"/>
        </w:rPr>
        <w:t>Greqi (Arachtos)</w:t>
      </w:r>
      <w:r w:rsidR="007270BA">
        <w:rPr>
          <w:rFonts w:ascii="Garamond" w:hAnsi="Garamond" w:cs="Garamond"/>
          <w:color w:val="0D0D0D"/>
          <w:sz w:val="24"/>
          <w:szCs w:val="24"/>
          <w:lang w:val="sq-AL"/>
        </w:rPr>
        <w:t>;</w:t>
      </w:r>
    </w:p>
    <w:p w14:paraId="0F51DFA6" w14:textId="7390E4E1" w:rsidR="005674F2" w:rsidRPr="00770F9D" w:rsidRDefault="005674F2" w:rsidP="00400806">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Investimi në rrjetin e shpërndarjes (rrjeti inteligjent) për të reduktuar më tej humbjet e shpërndarjes dhe për të përmbushur kushtet teknike që konsumatorët të zgjedhin lirisht furnizuesin e tyre</w:t>
      </w:r>
      <w:r w:rsidR="007270BA">
        <w:rPr>
          <w:rFonts w:ascii="Garamond" w:hAnsi="Garamond" w:cs="Garamond"/>
          <w:color w:val="0D0D0D"/>
          <w:sz w:val="24"/>
          <w:szCs w:val="24"/>
          <w:lang w:val="sq-AL"/>
        </w:rPr>
        <w:t>.</w:t>
      </w:r>
    </w:p>
    <w:p w14:paraId="52FD9308" w14:textId="524D37A1" w:rsidR="005674F2" w:rsidRPr="00770F9D" w:rsidRDefault="005674F2" w:rsidP="000F6F7A">
      <w:pPr>
        <w:pStyle w:val="ListParagraph"/>
        <w:ind w:left="0" w:firstLine="284"/>
        <w:jc w:val="both"/>
        <w:rPr>
          <w:rFonts w:ascii="Garamond" w:hAnsi="Garamond" w:cs="Garamond"/>
          <w:b/>
          <w:bCs/>
          <w:color w:val="0D0D0D"/>
          <w:sz w:val="24"/>
          <w:szCs w:val="24"/>
          <w:lang w:val="sq-AL"/>
        </w:rPr>
      </w:pPr>
      <w:r w:rsidRPr="00770F9D">
        <w:rPr>
          <w:rFonts w:ascii="Garamond" w:hAnsi="Garamond" w:cs="Garamond"/>
          <w:b/>
          <w:bCs/>
          <w:color w:val="0D0D0D"/>
          <w:sz w:val="24"/>
          <w:szCs w:val="24"/>
          <w:lang w:val="sq-AL"/>
        </w:rPr>
        <w:t>b</w:t>
      </w:r>
      <w:r w:rsidR="007270BA">
        <w:rPr>
          <w:rFonts w:ascii="Garamond" w:hAnsi="Garamond" w:cs="Garamond"/>
          <w:b/>
          <w:bCs/>
          <w:color w:val="0D0D0D"/>
          <w:sz w:val="24"/>
          <w:szCs w:val="24"/>
          <w:lang w:val="sq-AL"/>
        </w:rPr>
        <w:t>)</w:t>
      </w:r>
      <w:r w:rsidR="00BA4F1A" w:rsidRPr="00770F9D">
        <w:rPr>
          <w:rFonts w:ascii="Garamond" w:hAnsi="Garamond" w:cs="Garamond"/>
          <w:b/>
          <w:bCs/>
          <w:color w:val="0D0D0D"/>
          <w:sz w:val="24"/>
          <w:szCs w:val="24"/>
          <w:lang w:val="sq-AL"/>
        </w:rPr>
        <w:t xml:space="preserve"> </w:t>
      </w:r>
      <w:r w:rsidRPr="00770F9D">
        <w:rPr>
          <w:rFonts w:ascii="Garamond" w:hAnsi="Garamond" w:cs="Garamond"/>
          <w:b/>
          <w:bCs/>
          <w:color w:val="0D0D0D"/>
          <w:sz w:val="24"/>
          <w:szCs w:val="24"/>
          <w:lang w:val="sq-AL"/>
        </w:rPr>
        <w:t xml:space="preserve">Aktivitete të planifikuara </w:t>
      </w:r>
      <w:r w:rsidR="000F6F7A">
        <w:rPr>
          <w:rFonts w:ascii="Garamond" w:hAnsi="Garamond" w:cs="Garamond"/>
          <w:b/>
          <w:bCs/>
          <w:color w:val="0D0D0D"/>
          <w:sz w:val="24"/>
          <w:szCs w:val="24"/>
          <w:lang w:val="sq-AL"/>
        </w:rPr>
        <w:t>m</w:t>
      </w:r>
      <w:r w:rsidRPr="00770F9D">
        <w:rPr>
          <w:rFonts w:ascii="Garamond" w:hAnsi="Garamond" w:cs="Garamond"/>
          <w:b/>
          <w:bCs/>
          <w:color w:val="0D0D0D"/>
          <w:sz w:val="24"/>
          <w:szCs w:val="24"/>
          <w:lang w:val="sq-AL"/>
        </w:rPr>
        <w:t>ë 2024</w:t>
      </w:r>
      <w:r w:rsidR="007270BA">
        <w:rPr>
          <w:rFonts w:ascii="Garamond" w:hAnsi="Garamond" w:cs="Garamond"/>
          <w:b/>
          <w:bCs/>
          <w:color w:val="0D0D0D"/>
          <w:sz w:val="24"/>
          <w:szCs w:val="24"/>
          <w:lang w:val="sq-AL"/>
        </w:rPr>
        <w:t>-n</w:t>
      </w:r>
    </w:p>
    <w:p w14:paraId="64FE8ECB" w14:textId="24EAEDE8" w:rsidR="005674F2" w:rsidRPr="00770F9D" w:rsidRDefault="005674F2" w:rsidP="00400806">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 xml:space="preserve">Zbatimi i Projektit të Parkut Fotovoltaik të Karavastasë 140 </w:t>
      </w:r>
      <w:r w:rsidR="00EB1483" w:rsidRPr="00770F9D">
        <w:rPr>
          <w:rFonts w:ascii="Garamond" w:hAnsi="Garamond" w:cs="Garamond"/>
          <w:color w:val="0D0D0D"/>
          <w:sz w:val="24"/>
          <w:szCs w:val="24"/>
          <w:lang w:val="sq-AL"/>
        </w:rPr>
        <w:t xml:space="preserve">mw </w:t>
      </w:r>
      <w:r w:rsidRPr="00770F9D">
        <w:rPr>
          <w:rFonts w:ascii="Garamond" w:hAnsi="Garamond" w:cs="Garamond"/>
          <w:color w:val="0D0D0D"/>
          <w:sz w:val="24"/>
          <w:szCs w:val="24"/>
          <w:lang w:val="sq-AL"/>
        </w:rPr>
        <w:t>(</w:t>
      </w:r>
      <w:r w:rsidR="00EB1483" w:rsidRPr="00770F9D">
        <w:rPr>
          <w:rFonts w:ascii="Garamond" w:hAnsi="Garamond" w:cs="Garamond"/>
          <w:color w:val="0D0D0D"/>
          <w:sz w:val="24"/>
          <w:szCs w:val="24"/>
          <w:lang w:val="sq-AL"/>
        </w:rPr>
        <w:t xml:space="preserve">faza </w:t>
      </w:r>
      <w:r w:rsidRPr="00770F9D">
        <w:rPr>
          <w:rFonts w:ascii="Garamond" w:hAnsi="Garamond" w:cs="Garamond"/>
          <w:color w:val="0D0D0D"/>
          <w:sz w:val="24"/>
          <w:szCs w:val="24"/>
          <w:lang w:val="sq-AL"/>
        </w:rPr>
        <w:t>e ndërtimit)</w:t>
      </w:r>
      <w:r w:rsidR="00EB1483">
        <w:rPr>
          <w:rFonts w:ascii="Garamond" w:hAnsi="Garamond" w:cs="Garamond"/>
          <w:color w:val="0D0D0D"/>
          <w:sz w:val="24"/>
          <w:szCs w:val="24"/>
          <w:lang w:val="sq-AL"/>
        </w:rPr>
        <w:t>;</w:t>
      </w:r>
    </w:p>
    <w:p w14:paraId="14B8E960" w14:textId="4B1FAA60" w:rsidR="005674F2" w:rsidRPr="00770F9D" w:rsidRDefault="005674F2" w:rsidP="00EB1483">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 xml:space="preserve">Zbatimi i Projektit të Parkut Fotovoltaik të Spitallës prej 100 </w:t>
      </w:r>
      <w:r w:rsidR="00EB1483" w:rsidRPr="00770F9D">
        <w:rPr>
          <w:rFonts w:ascii="Garamond" w:hAnsi="Garamond" w:cs="Garamond"/>
          <w:color w:val="0D0D0D"/>
          <w:sz w:val="24"/>
          <w:szCs w:val="24"/>
          <w:lang w:val="sq-AL"/>
        </w:rPr>
        <w:t xml:space="preserve">mw </w:t>
      </w:r>
      <w:r w:rsidRPr="00770F9D">
        <w:rPr>
          <w:rFonts w:ascii="Garamond" w:hAnsi="Garamond" w:cs="Garamond"/>
          <w:color w:val="0D0D0D"/>
          <w:sz w:val="24"/>
          <w:szCs w:val="24"/>
          <w:lang w:val="sq-AL"/>
        </w:rPr>
        <w:t>(</w:t>
      </w:r>
      <w:r w:rsidR="00EB1483" w:rsidRPr="00770F9D">
        <w:rPr>
          <w:rFonts w:ascii="Garamond" w:hAnsi="Garamond" w:cs="Garamond"/>
          <w:color w:val="0D0D0D"/>
          <w:sz w:val="24"/>
          <w:szCs w:val="24"/>
          <w:lang w:val="sq-AL"/>
        </w:rPr>
        <w:t xml:space="preserve">faza </w:t>
      </w:r>
      <w:r w:rsidRPr="00770F9D">
        <w:rPr>
          <w:rFonts w:ascii="Garamond" w:hAnsi="Garamond" w:cs="Garamond"/>
          <w:color w:val="0D0D0D"/>
          <w:sz w:val="24"/>
          <w:szCs w:val="24"/>
          <w:lang w:val="sq-AL"/>
        </w:rPr>
        <w:t>e ndërtimit)</w:t>
      </w:r>
      <w:r w:rsidR="00EB1483">
        <w:rPr>
          <w:rFonts w:ascii="Garamond" w:hAnsi="Garamond" w:cs="Garamond"/>
          <w:color w:val="0D0D0D"/>
          <w:sz w:val="24"/>
          <w:szCs w:val="24"/>
          <w:lang w:val="sq-AL"/>
        </w:rPr>
        <w:t>;</w:t>
      </w:r>
    </w:p>
    <w:p w14:paraId="14DDC35F" w14:textId="32FFD0E2" w:rsidR="005674F2" w:rsidRPr="00770F9D" w:rsidRDefault="005674F2" w:rsidP="00EB1483">
      <w:pPr>
        <w:pStyle w:val="ListParagraph"/>
        <w:tabs>
          <w:tab w:val="left" w:pos="440"/>
        </w:tabs>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Monitorimi i zbatimit të projekteve të reja të energjisë së erës dhe diellit që janë pajisur me miratimin përfundimtar për ndërtimin e kapaciteteve të reja prodhuese të energjisë elektrike; (MIE/AKBN)</w:t>
      </w:r>
      <w:r w:rsidR="00EB1483">
        <w:rPr>
          <w:rFonts w:ascii="Garamond" w:hAnsi="Garamond" w:cs="Garamond"/>
          <w:color w:val="0D0D0D"/>
          <w:sz w:val="24"/>
          <w:szCs w:val="24"/>
          <w:lang w:val="sq-AL"/>
        </w:rPr>
        <w:t>;</w:t>
      </w:r>
    </w:p>
    <w:p w14:paraId="1A9CCF88" w14:textId="1AFD4745" w:rsidR="005674F2" w:rsidRPr="00770F9D" w:rsidRDefault="005674F2" w:rsidP="00400806">
      <w:pPr>
        <w:pStyle w:val="ListParagraph"/>
        <w:ind w:left="0" w:firstLine="284"/>
        <w:jc w:val="both"/>
        <w:rPr>
          <w:rFonts w:ascii="Garamond" w:hAnsi="Garamond" w:cs="Garamond"/>
          <w:b/>
          <w:bCs/>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Ankandi i erës</w:t>
      </w:r>
      <w:r w:rsidR="00EB1483">
        <w:rPr>
          <w:rFonts w:ascii="Garamond" w:hAnsi="Garamond" w:cs="Garamond"/>
          <w:color w:val="0D0D0D"/>
          <w:sz w:val="24"/>
          <w:szCs w:val="24"/>
          <w:lang w:val="sq-AL"/>
        </w:rPr>
        <w:t>;</w:t>
      </w:r>
      <w:r w:rsidRPr="00770F9D">
        <w:rPr>
          <w:rFonts w:ascii="Garamond" w:hAnsi="Garamond" w:cs="Garamond"/>
          <w:color w:val="0D0D0D"/>
          <w:sz w:val="24"/>
          <w:szCs w:val="24"/>
          <w:lang w:val="sq-AL"/>
        </w:rPr>
        <w:t xml:space="preserve"> </w:t>
      </w:r>
    </w:p>
    <w:p w14:paraId="0CD25AD8" w14:textId="3BB61E14" w:rsidR="005674F2" w:rsidRPr="00770F9D" w:rsidRDefault="005674F2" w:rsidP="004038D6">
      <w:pPr>
        <w:pStyle w:val="ListParagraph"/>
        <w:ind w:left="0" w:firstLine="284"/>
        <w:jc w:val="both"/>
        <w:rPr>
          <w:rFonts w:ascii="Garamond" w:hAnsi="Garamond" w:cs="Garamond"/>
          <w:b/>
          <w:bCs/>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Projekt ide për elektrifikimin e linjave të transportit urban dhe ndërqytetës në Bashkitë Tiranë, Vlorë, Durrës</w:t>
      </w:r>
      <w:r w:rsidR="00EB1483">
        <w:rPr>
          <w:rFonts w:ascii="Garamond" w:hAnsi="Garamond" w:cs="Garamond"/>
          <w:color w:val="0D0D0D"/>
          <w:sz w:val="24"/>
          <w:szCs w:val="24"/>
          <w:lang w:val="sq-AL"/>
        </w:rPr>
        <w:t>;</w:t>
      </w:r>
    </w:p>
    <w:p w14:paraId="7CF3BA0D" w14:textId="3748197C" w:rsidR="005674F2" w:rsidRPr="00770F9D" w:rsidRDefault="005674F2" w:rsidP="00EB1483">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 xml:space="preserve">Zbatimi i projektit të auditimit dhe zbatimi i masave për </w:t>
      </w:r>
      <w:r w:rsidR="00421485">
        <w:rPr>
          <w:rFonts w:ascii="Garamond" w:hAnsi="Garamond" w:cs="Garamond"/>
          <w:color w:val="0D0D0D"/>
          <w:sz w:val="24"/>
          <w:szCs w:val="24"/>
          <w:lang w:val="sq-AL"/>
        </w:rPr>
        <w:t>eficienc</w:t>
      </w:r>
      <w:r w:rsidRPr="00770F9D">
        <w:rPr>
          <w:rFonts w:ascii="Garamond" w:hAnsi="Garamond" w:cs="Garamond"/>
          <w:color w:val="0D0D0D"/>
          <w:sz w:val="24"/>
          <w:szCs w:val="24"/>
          <w:lang w:val="sq-AL"/>
        </w:rPr>
        <w:t>ën e energjisë në disa shkolla publike të qytetit të Bulqizës</w:t>
      </w:r>
      <w:r w:rsidR="00EB1483">
        <w:rPr>
          <w:rFonts w:ascii="Garamond" w:hAnsi="Garamond" w:cs="Garamond"/>
          <w:color w:val="0D0D0D"/>
          <w:sz w:val="24"/>
          <w:szCs w:val="24"/>
          <w:lang w:val="sq-AL"/>
        </w:rPr>
        <w:t>;</w:t>
      </w:r>
    </w:p>
    <w:p w14:paraId="2D357DA9" w14:textId="7662A67C" w:rsidR="005674F2" w:rsidRPr="00770F9D" w:rsidRDefault="005674F2" w:rsidP="00EB1483">
      <w:pPr>
        <w:pStyle w:val="ListParagraph"/>
        <w:tabs>
          <w:tab w:val="left" w:pos="260"/>
        </w:tabs>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Zbatimi</w:t>
      </w:r>
      <w:r w:rsidR="004E6089">
        <w:rPr>
          <w:rFonts w:ascii="Garamond" w:hAnsi="Garamond" w:cs="Garamond"/>
          <w:color w:val="0D0D0D"/>
          <w:sz w:val="24"/>
          <w:szCs w:val="24"/>
          <w:lang w:val="sq-AL"/>
        </w:rPr>
        <w:t xml:space="preserve"> i projektit Elbasan (Shqipëri)–</w:t>
      </w:r>
      <w:r w:rsidRPr="00770F9D">
        <w:rPr>
          <w:rFonts w:ascii="Garamond" w:hAnsi="Garamond" w:cs="Garamond"/>
          <w:color w:val="0D0D0D"/>
          <w:sz w:val="24"/>
          <w:szCs w:val="24"/>
          <w:lang w:val="sq-AL"/>
        </w:rPr>
        <w:t xml:space="preserve">Manastir (RNM) </w:t>
      </w:r>
      <w:r w:rsidR="00F320F8" w:rsidRPr="00770F9D">
        <w:rPr>
          <w:rFonts w:ascii="Garamond" w:hAnsi="Garamond" w:cs="Garamond"/>
          <w:color w:val="0D0D0D"/>
          <w:sz w:val="24"/>
          <w:szCs w:val="24"/>
          <w:lang w:val="sq-AL"/>
        </w:rPr>
        <w:t xml:space="preserve">linja </w:t>
      </w:r>
      <w:r w:rsidRPr="00770F9D">
        <w:rPr>
          <w:rFonts w:ascii="Garamond" w:hAnsi="Garamond" w:cs="Garamond"/>
          <w:color w:val="0D0D0D"/>
          <w:sz w:val="24"/>
          <w:szCs w:val="24"/>
          <w:lang w:val="sq-AL"/>
        </w:rPr>
        <w:t xml:space="preserve">e interkoneksionit 400 kV: </w:t>
      </w:r>
      <w:r w:rsidR="00EB1483" w:rsidRPr="00770F9D">
        <w:rPr>
          <w:rFonts w:ascii="Garamond" w:hAnsi="Garamond" w:cs="Garamond"/>
          <w:color w:val="0D0D0D"/>
          <w:sz w:val="24"/>
          <w:szCs w:val="24"/>
          <w:lang w:val="sq-AL"/>
        </w:rPr>
        <w:t xml:space="preserve">loti </w:t>
      </w:r>
      <w:r w:rsidRPr="00770F9D">
        <w:rPr>
          <w:rFonts w:ascii="Garamond" w:hAnsi="Garamond" w:cs="Garamond"/>
          <w:color w:val="0D0D0D"/>
          <w:sz w:val="24"/>
          <w:szCs w:val="24"/>
          <w:lang w:val="sq-AL"/>
        </w:rPr>
        <w:t xml:space="preserve">1 </w:t>
      </w:r>
      <w:r w:rsidR="00EB1483">
        <w:rPr>
          <w:rFonts w:ascii="Garamond" w:hAnsi="Garamond" w:cs="Garamond"/>
          <w:color w:val="0D0D0D"/>
          <w:sz w:val="24"/>
          <w:szCs w:val="24"/>
          <w:lang w:val="sq-AL"/>
        </w:rPr>
        <w:t>dhe</w:t>
      </w:r>
      <w:r w:rsidRPr="00770F9D">
        <w:rPr>
          <w:rFonts w:ascii="Garamond" w:hAnsi="Garamond" w:cs="Garamond"/>
          <w:color w:val="0D0D0D"/>
          <w:sz w:val="24"/>
          <w:szCs w:val="24"/>
          <w:lang w:val="sq-AL"/>
        </w:rPr>
        <w:t xml:space="preserve"> </w:t>
      </w:r>
      <w:r w:rsidR="00EB1483" w:rsidRPr="00770F9D">
        <w:rPr>
          <w:rFonts w:ascii="Garamond" w:hAnsi="Garamond" w:cs="Garamond"/>
          <w:color w:val="0D0D0D"/>
          <w:sz w:val="24"/>
          <w:szCs w:val="24"/>
          <w:lang w:val="sq-AL"/>
        </w:rPr>
        <w:t xml:space="preserve">loti </w:t>
      </w:r>
      <w:r w:rsidRPr="00770F9D">
        <w:rPr>
          <w:rFonts w:ascii="Garamond" w:hAnsi="Garamond" w:cs="Garamond"/>
          <w:color w:val="0D0D0D"/>
          <w:sz w:val="24"/>
          <w:szCs w:val="24"/>
          <w:lang w:val="sq-AL"/>
        </w:rPr>
        <w:t>2</w:t>
      </w:r>
      <w:r w:rsidR="00EB1483">
        <w:rPr>
          <w:rFonts w:ascii="Garamond" w:hAnsi="Garamond" w:cs="Garamond"/>
          <w:color w:val="0D0D0D"/>
          <w:sz w:val="24"/>
          <w:szCs w:val="24"/>
          <w:lang w:val="sq-AL"/>
        </w:rPr>
        <w:t>;</w:t>
      </w:r>
    </w:p>
    <w:p w14:paraId="78227676" w14:textId="342D2F15" w:rsidR="005674F2" w:rsidRPr="00770F9D" w:rsidRDefault="005674F2" w:rsidP="00400806">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Studimi i fizibilitetit të linjës së interkonjeks</w:t>
      </w:r>
      <w:r w:rsidR="00EB1483">
        <w:rPr>
          <w:rFonts w:ascii="Garamond" w:hAnsi="Garamond" w:cs="Garamond"/>
          <w:color w:val="0D0D0D"/>
          <w:sz w:val="24"/>
          <w:szCs w:val="24"/>
          <w:lang w:val="sq-AL"/>
        </w:rPr>
        <w:t>ionit 400 kV Shqipëri (Fieri)–</w:t>
      </w:r>
      <w:r w:rsidRPr="00770F9D">
        <w:rPr>
          <w:rFonts w:ascii="Garamond" w:hAnsi="Garamond" w:cs="Garamond"/>
          <w:color w:val="0D0D0D"/>
          <w:sz w:val="24"/>
          <w:szCs w:val="24"/>
          <w:lang w:val="sq-AL"/>
        </w:rPr>
        <w:t>Greqi (Arachtos)</w:t>
      </w:r>
      <w:r w:rsidR="00EB1483">
        <w:rPr>
          <w:rFonts w:ascii="Garamond" w:hAnsi="Garamond" w:cs="Garamond"/>
          <w:color w:val="0D0D0D"/>
          <w:sz w:val="24"/>
          <w:szCs w:val="24"/>
          <w:lang w:val="sq-AL"/>
        </w:rPr>
        <w:t>;</w:t>
      </w:r>
    </w:p>
    <w:p w14:paraId="5D27844D" w14:textId="26AF7521" w:rsidR="005674F2" w:rsidRPr="00770F9D" w:rsidRDefault="005674F2" w:rsidP="00EB1483">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Vijimi i përgatitjes së studimit të fizibilitetit të Projektit Hidrocentral të Skavicës</w:t>
      </w:r>
      <w:r w:rsidR="00EB1483">
        <w:rPr>
          <w:rFonts w:ascii="Garamond" w:hAnsi="Garamond" w:cs="Garamond"/>
          <w:color w:val="0D0D0D"/>
          <w:sz w:val="24"/>
          <w:szCs w:val="24"/>
          <w:lang w:val="sq-AL"/>
        </w:rPr>
        <w:t>;</w:t>
      </w:r>
    </w:p>
    <w:p w14:paraId="500B6C7E" w14:textId="44740608" w:rsidR="005674F2" w:rsidRPr="00770F9D" w:rsidRDefault="005674F2" w:rsidP="00400806">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Investimi në rrjetin e shpërndarjes (rrjeti inteligjent) për të reduktuar më tej humbjet e shpërndarjes dhe për të përmbushur kushtet teknike që konsumatorët të zgjedhin lirisht furnizuesin e tyre</w:t>
      </w:r>
      <w:r w:rsidR="00EB1483">
        <w:rPr>
          <w:rFonts w:ascii="Garamond" w:hAnsi="Garamond" w:cs="Garamond"/>
          <w:color w:val="0D0D0D"/>
          <w:sz w:val="24"/>
          <w:szCs w:val="24"/>
          <w:lang w:val="sq-AL"/>
        </w:rPr>
        <w:t>.</w:t>
      </w:r>
    </w:p>
    <w:p w14:paraId="614DF48A" w14:textId="1EE21D8D" w:rsidR="005674F2" w:rsidRPr="00770F9D" w:rsidRDefault="005674F2" w:rsidP="000F6F7A">
      <w:pPr>
        <w:pStyle w:val="ListParagraph"/>
        <w:ind w:left="0" w:firstLine="284"/>
        <w:jc w:val="both"/>
        <w:rPr>
          <w:rFonts w:ascii="Garamond" w:hAnsi="Garamond" w:cs="Garamond"/>
          <w:b/>
          <w:bCs/>
          <w:color w:val="0D0D0D"/>
          <w:sz w:val="24"/>
          <w:szCs w:val="24"/>
          <w:lang w:val="sq-AL"/>
        </w:rPr>
      </w:pPr>
      <w:r w:rsidRPr="00770F9D">
        <w:rPr>
          <w:rFonts w:ascii="Garamond" w:hAnsi="Garamond" w:cs="Garamond"/>
          <w:b/>
          <w:bCs/>
          <w:color w:val="0D0D0D"/>
          <w:sz w:val="24"/>
          <w:szCs w:val="24"/>
          <w:lang w:val="sq-AL"/>
        </w:rPr>
        <w:t>c</w:t>
      </w:r>
      <w:r w:rsidR="00EB1483">
        <w:rPr>
          <w:rFonts w:ascii="Garamond" w:hAnsi="Garamond" w:cs="Garamond"/>
          <w:b/>
          <w:bCs/>
          <w:color w:val="0D0D0D"/>
          <w:sz w:val="24"/>
          <w:szCs w:val="24"/>
          <w:lang w:val="sq-AL"/>
        </w:rPr>
        <w:t>)</w:t>
      </w:r>
      <w:r w:rsidR="00BA4F1A" w:rsidRPr="00770F9D">
        <w:rPr>
          <w:rFonts w:ascii="Garamond" w:hAnsi="Garamond" w:cs="Garamond"/>
          <w:b/>
          <w:bCs/>
          <w:color w:val="0D0D0D"/>
          <w:sz w:val="24"/>
          <w:szCs w:val="24"/>
          <w:lang w:val="sq-AL"/>
        </w:rPr>
        <w:t xml:space="preserve"> </w:t>
      </w:r>
      <w:r w:rsidRPr="00770F9D">
        <w:rPr>
          <w:rFonts w:ascii="Garamond" w:hAnsi="Garamond" w:cs="Garamond"/>
          <w:b/>
          <w:bCs/>
          <w:color w:val="0D0D0D"/>
          <w:sz w:val="24"/>
          <w:szCs w:val="24"/>
          <w:lang w:val="sq-AL"/>
        </w:rPr>
        <w:t xml:space="preserve">Aktivitete të planifikuara </w:t>
      </w:r>
      <w:r w:rsidR="000F6F7A">
        <w:rPr>
          <w:rFonts w:ascii="Garamond" w:hAnsi="Garamond" w:cs="Garamond"/>
          <w:b/>
          <w:bCs/>
          <w:color w:val="0D0D0D"/>
          <w:sz w:val="24"/>
          <w:szCs w:val="24"/>
          <w:lang w:val="sq-AL"/>
        </w:rPr>
        <w:t>m</w:t>
      </w:r>
      <w:r w:rsidRPr="00770F9D">
        <w:rPr>
          <w:rFonts w:ascii="Garamond" w:hAnsi="Garamond" w:cs="Garamond"/>
          <w:b/>
          <w:bCs/>
          <w:color w:val="0D0D0D"/>
          <w:sz w:val="24"/>
          <w:szCs w:val="24"/>
          <w:lang w:val="sq-AL"/>
        </w:rPr>
        <w:t>ë 2025</w:t>
      </w:r>
      <w:r w:rsidR="00EB1483">
        <w:rPr>
          <w:rFonts w:ascii="Garamond" w:hAnsi="Garamond" w:cs="Garamond"/>
          <w:b/>
          <w:bCs/>
          <w:color w:val="0D0D0D"/>
          <w:sz w:val="24"/>
          <w:szCs w:val="24"/>
          <w:lang w:val="sq-AL"/>
        </w:rPr>
        <w:t>-n</w:t>
      </w:r>
    </w:p>
    <w:p w14:paraId="06AB3903" w14:textId="3F6A98F3" w:rsidR="005674F2" w:rsidRPr="00770F9D" w:rsidRDefault="005674F2" w:rsidP="00400806">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 xml:space="preserve">Zbatimi i </w:t>
      </w:r>
      <w:r w:rsidR="00F320F8" w:rsidRPr="00770F9D">
        <w:rPr>
          <w:rFonts w:ascii="Garamond" w:hAnsi="Garamond" w:cs="Garamond"/>
          <w:color w:val="0D0D0D"/>
          <w:sz w:val="24"/>
          <w:szCs w:val="24"/>
          <w:lang w:val="sq-AL"/>
        </w:rPr>
        <w:t xml:space="preserve">projektit </w:t>
      </w:r>
      <w:r w:rsidRPr="00770F9D">
        <w:rPr>
          <w:rFonts w:ascii="Garamond" w:hAnsi="Garamond" w:cs="Garamond"/>
          <w:color w:val="0D0D0D"/>
          <w:sz w:val="24"/>
          <w:szCs w:val="24"/>
          <w:lang w:val="sq-AL"/>
        </w:rPr>
        <w:t xml:space="preserve">të Parkut Fotovoltaik të Karavastasë 140 </w:t>
      </w:r>
      <w:r w:rsidR="00EB1483" w:rsidRPr="00770F9D">
        <w:rPr>
          <w:rFonts w:ascii="Garamond" w:hAnsi="Garamond" w:cs="Garamond"/>
          <w:color w:val="0D0D0D"/>
          <w:sz w:val="24"/>
          <w:szCs w:val="24"/>
          <w:lang w:val="sq-AL"/>
        </w:rPr>
        <w:t xml:space="preserve">mw </w:t>
      </w:r>
      <w:r w:rsidRPr="00770F9D">
        <w:rPr>
          <w:rFonts w:ascii="Garamond" w:hAnsi="Garamond" w:cs="Garamond"/>
          <w:color w:val="0D0D0D"/>
          <w:sz w:val="24"/>
          <w:szCs w:val="24"/>
          <w:lang w:val="sq-AL"/>
        </w:rPr>
        <w:t>(</w:t>
      </w:r>
      <w:r w:rsidR="00EB1483" w:rsidRPr="00770F9D">
        <w:rPr>
          <w:rFonts w:ascii="Garamond" w:hAnsi="Garamond" w:cs="Garamond"/>
          <w:color w:val="0D0D0D"/>
          <w:sz w:val="24"/>
          <w:szCs w:val="24"/>
          <w:lang w:val="sq-AL"/>
        </w:rPr>
        <w:t xml:space="preserve">faza </w:t>
      </w:r>
      <w:r w:rsidRPr="00770F9D">
        <w:rPr>
          <w:rFonts w:ascii="Garamond" w:hAnsi="Garamond" w:cs="Garamond"/>
          <w:color w:val="0D0D0D"/>
          <w:sz w:val="24"/>
          <w:szCs w:val="24"/>
          <w:lang w:val="sq-AL"/>
        </w:rPr>
        <w:t>e ndërtimit)</w:t>
      </w:r>
      <w:r w:rsidR="00EB1483">
        <w:rPr>
          <w:rFonts w:ascii="Garamond" w:hAnsi="Garamond" w:cs="Garamond"/>
          <w:color w:val="0D0D0D"/>
          <w:sz w:val="24"/>
          <w:szCs w:val="24"/>
          <w:lang w:val="sq-AL"/>
        </w:rPr>
        <w:t>;</w:t>
      </w:r>
    </w:p>
    <w:p w14:paraId="71B6EAA0" w14:textId="25FF7895" w:rsidR="005674F2" w:rsidRPr="00770F9D" w:rsidRDefault="005674F2" w:rsidP="00EB1483">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 xml:space="preserve">Zbatimi i </w:t>
      </w:r>
      <w:r w:rsidR="00F320F8" w:rsidRPr="00770F9D">
        <w:rPr>
          <w:rFonts w:ascii="Garamond" w:hAnsi="Garamond" w:cs="Garamond"/>
          <w:color w:val="0D0D0D"/>
          <w:sz w:val="24"/>
          <w:szCs w:val="24"/>
          <w:lang w:val="sq-AL"/>
        </w:rPr>
        <w:t xml:space="preserve">projektit </w:t>
      </w:r>
      <w:r w:rsidRPr="00770F9D">
        <w:rPr>
          <w:rFonts w:ascii="Garamond" w:hAnsi="Garamond" w:cs="Garamond"/>
          <w:color w:val="0D0D0D"/>
          <w:sz w:val="24"/>
          <w:szCs w:val="24"/>
          <w:lang w:val="sq-AL"/>
        </w:rPr>
        <w:t xml:space="preserve">të Parkut Fotovoltaik të Spitallës prej 100 </w:t>
      </w:r>
      <w:r w:rsidR="00EB1483" w:rsidRPr="00770F9D">
        <w:rPr>
          <w:rFonts w:ascii="Garamond" w:hAnsi="Garamond" w:cs="Garamond"/>
          <w:color w:val="0D0D0D"/>
          <w:sz w:val="24"/>
          <w:szCs w:val="24"/>
          <w:lang w:val="sq-AL"/>
        </w:rPr>
        <w:t xml:space="preserve">mw </w:t>
      </w:r>
      <w:r w:rsidRPr="00770F9D">
        <w:rPr>
          <w:rFonts w:ascii="Garamond" w:hAnsi="Garamond" w:cs="Garamond"/>
          <w:color w:val="0D0D0D"/>
          <w:sz w:val="24"/>
          <w:szCs w:val="24"/>
          <w:lang w:val="sq-AL"/>
        </w:rPr>
        <w:t>(</w:t>
      </w:r>
      <w:r w:rsidR="00EB1483" w:rsidRPr="00770F9D">
        <w:rPr>
          <w:rFonts w:ascii="Garamond" w:hAnsi="Garamond" w:cs="Garamond"/>
          <w:color w:val="0D0D0D"/>
          <w:sz w:val="24"/>
          <w:szCs w:val="24"/>
          <w:lang w:val="sq-AL"/>
        </w:rPr>
        <w:t xml:space="preserve">faza </w:t>
      </w:r>
      <w:r w:rsidRPr="00770F9D">
        <w:rPr>
          <w:rFonts w:ascii="Garamond" w:hAnsi="Garamond" w:cs="Garamond"/>
          <w:color w:val="0D0D0D"/>
          <w:sz w:val="24"/>
          <w:szCs w:val="24"/>
          <w:lang w:val="sq-AL"/>
        </w:rPr>
        <w:t>e ndërtimit)</w:t>
      </w:r>
      <w:r w:rsidR="00EB1483">
        <w:rPr>
          <w:rFonts w:ascii="Garamond" w:hAnsi="Garamond" w:cs="Garamond"/>
          <w:color w:val="0D0D0D"/>
          <w:sz w:val="24"/>
          <w:szCs w:val="24"/>
          <w:lang w:val="sq-AL"/>
        </w:rPr>
        <w:t>;</w:t>
      </w:r>
    </w:p>
    <w:p w14:paraId="59F922D2" w14:textId="42E78F21" w:rsidR="005674F2" w:rsidRPr="00770F9D" w:rsidRDefault="005674F2" w:rsidP="00400806">
      <w:pPr>
        <w:pStyle w:val="ListParagraph"/>
        <w:tabs>
          <w:tab w:val="left" w:pos="260"/>
        </w:tabs>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 xml:space="preserve">Vazhdimi i studimit të fizibilitetit të </w:t>
      </w:r>
      <w:r w:rsidR="00F320F8" w:rsidRPr="00770F9D">
        <w:rPr>
          <w:rFonts w:ascii="Garamond" w:hAnsi="Garamond" w:cs="Garamond"/>
          <w:color w:val="0D0D0D"/>
          <w:sz w:val="24"/>
          <w:szCs w:val="24"/>
          <w:lang w:val="sq-AL"/>
        </w:rPr>
        <w:t xml:space="preserve">ankandit </w:t>
      </w:r>
      <w:r w:rsidRPr="00770F9D">
        <w:rPr>
          <w:rFonts w:ascii="Garamond" w:hAnsi="Garamond" w:cs="Garamond"/>
          <w:color w:val="0D0D0D"/>
          <w:sz w:val="24"/>
          <w:szCs w:val="24"/>
          <w:lang w:val="sq-AL"/>
        </w:rPr>
        <w:t>të erës Offshore (</w:t>
      </w:r>
      <w:r w:rsidR="00F320F8" w:rsidRPr="00770F9D">
        <w:rPr>
          <w:rFonts w:ascii="Garamond" w:hAnsi="Garamond" w:cs="Garamond"/>
          <w:color w:val="0D0D0D"/>
          <w:sz w:val="24"/>
          <w:szCs w:val="24"/>
          <w:lang w:val="sq-AL"/>
        </w:rPr>
        <w:t xml:space="preserve">mbledhja </w:t>
      </w:r>
      <w:r w:rsidRPr="00770F9D">
        <w:rPr>
          <w:rFonts w:ascii="Garamond" w:hAnsi="Garamond" w:cs="Garamond"/>
          <w:color w:val="0D0D0D"/>
          <w:sz w:val="24"/>
          <w:szCs w:val="24"/>
          <w:lang w:val="sq-AL"/>
        </w:rPr>
        <w:t>e të dhënave të erës në zonën e projektuar)</w:t>
      </w:r>
      <w:r w:rsidR="00EB1483">
        <w:rPr>
          <w:rFonts w:ascii="Garamond" w:hAnsi="Garamond" w:cs="Garamond"/>
          <w:color w:val="0D0D0D"/>
          <w:sz w:val="24"/>
          <w:szCs w:val="24"/>
          <w:lang w:val="sq-AL"/>
        </w:rPr>
        <w:t>;</w:t>
      </w:r>
    </w:p>
    <w:p w14:paraId="45B9A60F" w14:textId="0CA5C7D1" w:rsidR="005674F2" w:rsidRPr="00770F9D" w:rsidRDefault="005674F2" w:rsidP="00341D0A">
      <w:pPr>
        <w:pStyle w:val="ListParagraph"/>
        <w:tabs>
          <w:tab w:val="left" w:pos="440"/>
        </w:tabs>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Monitorimi i zbatimit të projekteve të reja të energjisë së erës dhe diellit që janë pajisur me miratimin përfundimtar për ndërtimin e kapaciteteve të reja prodhuese të energjisë elektrike; (MIE/AKBN)</w:t>
      </w:r>
      <w:r w:rsidR="00341D0A">
        <w:rPr>
          <w:rFonts w:ascii="Garamond" w:hAnsi="Garamond" w:cs="Garamond"/>
          <w:color w:val="0D0D0D"/>
          <w:sz w:val="24"/>
          <w:szCs w:val="24"/>
          <w:lang w:val="sq-AL"/>
        </w:rPr>
        <w:t>;</w:t>
      </w:r>
    </w:p>
    <w:p w14:paraId="7E246A22" w14:textId="7EA5396A" w:rsidR="005674F2" w:rsidRPr="00770F9D" w:rsidRDefault="005674F2" w:rsidP="00341D0A">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 xml:space="preserve">Instalim i </w:t>
      </w:r>
      <w:r w:rsidR="00F320F8" w:rsidRPr="00770F9D">
        <w:rPr>
          <w:rFonts w:ascii="Garamond" w:hAnsi="Garamond" w:cs="Garamond"/>
          <w:color w:val="0D0D0D"/>
          <w:sz w:val="24"/>
          <w:szCs w:val="24"/>
          <w:lang w:val="sq-AL"/>
        </w:rPr>
        <w:t xml:space="preserve">kullave </w:t>
      </w:r>
      <w:r w:rsidRPr="00770F9D">
        <w:rPr>
          <w:rFonts w:ascii="Garamond" w:hAnsi="Garamond" w:cs="Garamond"/>
          <w:color w:val="0D0D0D"/>
          <w:sz w:val="24"/>
          <w:szCs w:val="24"/>
          <w:lang w:val="sq-AL"/>
        </w:rPr>
        <w:t xml:space="preserve">të </w:t>
      </w:r>
      <w:r w:rsidR="00F320F8" w:rsidRPr="00770F9D">
        <w:rPr>
          <w:rFonts w:ascii="Garamond" w:hAnsi="Garamond" w:cs="Garamond"/>
          <w:color w:val="0D0D0D"/>
          <w:sz w:val="24"/>
          <w:szCs w:val="24"/>
          <w:lang w:val="sq-AL"/>
        </w:rPr>
        <w:t xml:space="preserve">karikimit </w:t>
      </w:r>
      <w:r w:rsidRPr="00770F9D">
        <w:rPr>
          <w:rFonts w:ascii="Garamond" w:hAnsi="Garamond" w:cs="Garamond"/>
          <w:color w:val="0D0D0D"/>
          <w:sz w:val="24"/>
          <w:szCs w:val="24"/>
          <w:lang w:val="sq-AL"/>
        </w:rPr>
        <w:t>për makinat elektrike në Republikën e Shqipërisë</w:t>
      </w:r>
      <w:r w:rsidR="00341D0A">
        <w:rPr>
          <w:rFonts w:ascii="Garamond" w:hAnsi="Garamond" w:cs="Garamond"/>
          <w:color w:val="0D0D0D"/>
          <w:sz w:val="24"/>
          <w:szCs w:val="24"/>
          <w:lang w:val="sq-AL"/>
        </w:rPr>
        <w:t>;</w:t>
      </w:r>
    </w:p>
    <w:p w14:paraId="56088EA4" w14:textId="5561536B" w:rsidR="005674F2" w:rsidRPr="00770F9D" w:rsidRDefault="005674F2" w:rsidP="00341D0A">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 xml:space="preserve">Zbatimi i projektit të auditimit dhe zbatimi i masave për </w:t>
      </w:r>
      <w:r w:rsidR="00421485">
        <w:rPr>
          <w:rFonts w:ascii="Garamond" w:hAnsi="Garamond" w:cs="Garamond"/>
          <w:color w:val="0D0D0D"/>
          <w:sz w:val="24"/>
          <w:szCs w:val="24"/>
          <w:lang w:val="sq-AL"/>
        </w:rPr>
        <w:t>eficienc</w:t>
      </w:r>
      <w:r w:rsidRPr="00770F9D">
        <w:rPr>
          <w:rFonts w:ascii="Garamond" w:hAnsi="Garamond" w:cs="Garamond"/>
          <w:color w:val="0D0D0D"/>
          <w:sz w:val="24"/>
          <w:szCs w:val="24"/>
          <w:lang w:val="sq-AL"/>
        </w:rPr>
        <w:t>ën e energjisë në disa shkolla publike të qytetit të Bulqizës</w:t>
      </w:r>
      <w:r w:rsidR="00341D0A">
        <w:rPr>
          <w:rFonts w:ascii="Garamond" w:hAnsi="Garamond" w:cs="Garamond"/>
          <w:color w:val="0D0D0D"/>
          <w:sz w:val="24"/>
          <w:szCs w:val="24"/>
          <w:lang w:val="sq-AL"/>
        </w:rPr>
        <w:t>;</w:t>
      </w:r>
      <w:r w:rsidRPr="00770F9D">
        <w:rPr>
          <w:rFonts w:ascii="Garamond" w:hAnsi="Garamond" w:cs="Garamond"/>
          <w:color w:val="0D0D0D"/>
          <w:sz w:val="24"/>
          <w:szCs w:val="24"/>
          <w:lang w:val="sq-AL"/>
        </w:rPr>
        <w:t xml:space="preserve"> </w:t>
      </w:r>
    </w:p>
    <w:p w14:paraId="2154FFD3" w14:textId="3A794BF2" w:rsidR="005674F2" w:rsidRPr="00770F9D" w:rsidRDefault="005674F2" w:rsidP="00400806">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 xml:space="preserve">Zbatimi i </w:t>
      </w:r>
      <w:r w:rsidR="00F320F8" w:rsidRPr="00770F9D">
        <w:rPr>
          <w:rFonts w:ascii="Garamond" w:hAnsi="Garamond" w:cs="Garamond"/>
          <w:color w:val="0D0D0D"/>
          <w:sz w:val="24"/>
          <w:szCs w:val="24"/>
          <w:lang w:val="sq-AL"/>
        </w:rPr>
        <w:t>pro</w:t>
      </w:r>
      <w:r w:rsidR="00F320F8">
        <w:rPr>
          <w:rFonts w:ascii="Garamond" w:hAnsi="Garamond" w:cs="Garamond"/>
          <w:color w:val="0D0D0D"/>
          <w:sz w:val="24"/>
          <w:szCs w:val="24"/>
          <w:lang w:val="sq-AL"/>
        </w:rPr>
        <w:t xml:space="preserve">jektit </w:t>
      </w:r>
      <w:r w:rsidR="00341D0A">
        <w:rPr>
          <w:rFonts w:ascii="Garamond" w:hAnsi="Garamond" w:cs="Garamond"/>
          <w:color w:val="0D0D0D"/>
          <w:sz w:val="24"/>
          <w:szCs w:val="24"/>
          <w:lang w:val="sq-AL"/>
        </w:rPr>
        <w:t>Hidrocentral të Skavicës</w:t>
      </w:r>
      <w:r w:rsidRPr="00770F9D">
        <w:rPr>
          <w:rFonts w:ascii="Garamond" w:hAnsi="Garamond" w:cs="Garamond"/>
          <w:color w:val="0D0D0D"/>
          <w:sz w:val="24"/>
          <w:szCs w:val="24"/>
          <w:lang w:val="sq-AL"/>
        </w:rPr>
        <w:t xml:space="preserve"> (</w:t>
      </w:r>
      <w:r w:rsidR="00BB41E9" w:rsidRPr="00770F9D">
        <w:rPr>
          <w:rFonts w:ascii="Garamond" w:hAnsi="Garamond" w:cs="Garamond"/>
          <w:color w:val="0D0D0D"/>
          <w:sz w:val="24"/>
          <w:szCs w:val="24"/>
          <w:lang w:val="sq-AL"/>
        </w:rPr>
        <w:t xml:space="preserve">faza </w:t>
      </w:r>
      <w:r w:rsidRPr="00770F9D">
        <w:rPr>
          <w:rFonts w:ascii="Garamond" w:hAnsi="Garamond" w:cs="Garamond"/>
          <w:color w:val="0D0D0D"/>
          <w:sz w:val="24"/>
          <w:szCs w:val="24"/>
          <w:lang w:val="sq-AL"/>
        </w:rPr>
        <w:t>e ndërtimit)</w:t>
      </w:r>
      <w:r w:rsidR="00341D0A">
        <w:rPr>
          <w:rFonts w:ascii="Garamond" w:hAnsi="Garamond" w:cs="Garamond"/>
          <w:color w:val="0D0D0D"/>
          <w:sz w:val="24"/>
          <w:szCs w:val="24"/>
          <w:lang w:val="sq-AL"/>
        </w:rPr>
        <w:t>;</w:t>
      </w:r>
    </w:p>
    <w:p w14:paraId="54E6F7C0" w14:textId="48268D4C" w:rsidR="005674F2" w:rsidRPr="00770F9D" w:rsidRDefault="005674F2" w:rsidP="00341D0A">
      <w:pPr>
        <w:pStyle w:val="ListParagraph"/>
        <w:tabs>
          <w:tab w:val="left" w:pos="260"/>
        </w:tabs>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Zbatimi</w:t>
      </w:r>
      <w:r w:rsidR="00C24221">
        <w:rPr>
          <w:rFonts w:ascii="Garamond" w:hAnsi="Garamond" w:cs="Garamond"/>
          <w:color w:val="0D0D0D"/>
          <w:sz w:val="24"/>
          <w:szCs w:val="24"/>
          <w:lang w:val="sq-AL"/>
        </w:rPr>
        <w:t xml:space="preserve"> i </w:t>
      </w:r>
      <w:r w:rsidR="00F320F8">
        <w:rPr>
          <w:rFonts w:ascii="Garamond" w:hAnsi="Garamond" w:cs="Garamond"/>
          <w:color w:val="0D0D0D"/>
          <w:sz w:val="24"/>
          <w:szCs w:val="24"/>
          <w:lang w:val="sq-AL"/>
        </w:rPr>
        <w:t xml:space="preserve">projektit </w:t>
      </w:r>
      <w:r w:rsidR="00C24221">
        <w:rPr>
          <w:rFonts w:ascii="Garamond" w:hAnsi="Garamond" w:cs="Garamond"/>
          <w:color w:val="0D0D0D"/>
          <w:sz w:val="24"/>
          <w:szCs w:val="24"/>
          <w:lang w:val="sq-AL"/>
        </w:rPr>
        <w:t>Elbasan (Shqipëri)–</w:t>
      </w:r>
      <w:r w:rsidRPr="00770F9D">
        <w:rPr>
          <w:rFonts w:ascii="Garamond" w:hAnsi="Garamond" w:cs="Garamond"/>
          <w:color w:val="0D0D0D"/>
          <w:sz w:val="24"/>
          <w:szCs w:val="24"/>
          <w:lang w:val="sq-AL"/>
        </w:rPr>
        <w:t>Manastir (RNM) Linja e interkoneksionit 400 kV: Loti 1</w:t>
      </w:r>
      <w:r w:rsidR="00341D0A">
        <w:rPr>
          <w:rFonts w:ascii="Garamond" w:hAnsi="Garamond" w:cs="Garamond"/>
          <w:color w:val="0D0D0D"/>
          <w:sz w:val="24"/>
          <w:szCs w:val="24"/>
          <w:lang w:val="sq-AL"/>
        </w:rPr>
        <w:t xml:space="preserve"> dhe</w:t>
      </w:r>
      <w:r w:rsidRPr="00770F9D">
        <w:rPr>
          <w:rFonts w:ascii="Garamond" w:hAnsi="Garamond" w:cs="Garamond"/>
          <w:color w:val="0D0D0D"/>
          <w:sz w:val="24"/>
          <w:szCs w:val="24"/>
          <w:lang w:val="sq-AL"/>
        </w:rPr>
        <w:t xml:space="preserve"> </w:t>
      </w:r>
      <w:r w:rsidR="00341D0A" w:rsidRPr="00770F9D">
        <w:rPr>
          <w:rFonts w:ascii="Garamond" w:hAnsi="Garamond" w:cs="Garamond"/>
          <w:color w:val="0D0D0D"/>
          <w:sz w:val="24"/>
          <w:szCs w:val="24"/>
          <w:lang w:val="sq-AL"/>
        </w:rPr>
        <w:t xml:space="preserve">loti </w:t>
      </w:r>
      <w:r w:rsidRPr="00770F9D">
        <w:rPr>
          <w:rFonts w:ascii="Garamond" w:hAnsi="Garamond" w:cs="Garamond"/>
          <w:color w:val="0D0D0D"/>
          <w:sz w:val="24"/>
          <w:szCs w:val="24"/>
          <w:lang w:val="sq-AL"/>
        </w:rPr>
        <w:t>2</w:t>
      </w:r>
      <w:r w:rsidR="00341D0A">
        <w:rPr>
          <w:rFonts w:ascii="Garamond" w:hAnsi="Garamond" w:cs="Garamond"/>
          <w:color w:val="0D0D0D"/>
          <w:sz w:val="24"/>
          <w:szCs w:val="24"/>
          <w:lang w:val="sq-AL"/>
        </w:rPr>
        <w:t>;</w:t>
      </w:r>
    </w:p>
    <w:p w14:paraId="3BBB6022" w14:textId="050F1836" w:rsidR="005674F2" w:rsidRPr="00770F9D" w:rsidRDefault="005674F2" w:rsidP="00400806">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Studimi i fizibilitetit të linjës së interkonjeks</w:t>
      </w:r>
      <w:r w:rsidR="00341D0A">
        <w:rPr>
          <w:rFonts w:ascii="Garamond" w:hAnsi="Garamond" w:cs="Garamond"/>
          <w:color w:val="0D0D0D"/>
          <w:sz w:val="24"/>
          <w:szCs w:val="24"/>
          <w:lang w:val="sq-AL"/>
        </w:rPr>
        <w:t>ionit 400 kV Shqipëri (Fieri)–</w:t>
      </w:r>
      <w:r w:rsidRPr="00770F9D">
        <w:rPr>
          <w:rFonts w:ascii="Garamond" w:hAnsi="Garamond" w:cs="Garamond"/>
          <w:color w:val="0D0D0D"/>
          <w:sz w:val="24"/>
          <w:szCs w:val="24"/>
          <w:lang w:val="sq-AL"/>
        </w:rPr>
        <w:t>Greqi (Arachtos)</w:t>
      </w:r>
      <w:r w:rsidR="00341D0A">
        <w:rPr>
          <w:rFonts w:ascii="Garamond" w:hAnsi="Garamond" w:cs="Garamond"/>
          <w:color w:val="0D0D0D"/>
          <w:sz w:val="24"/>
          <w:szCs w:val="24"/>
          <w:lang w:val="sq-AL"/>
        </w:rPr>
        <w:t>;</w:t>
      </w:r>
    </w:p>
    <w:p w14:paraId="1E63DAF6" w14:textId="2F208917" w:rsidR="005674F2" w:rsidRPr="00770F9D" w:rsidRDefault="005674F2" w:rsidP="00400806">
      <w:pPr>
        <w:pStyle w:val="ListParagraph"/>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Investimi në rrjetin e shpërndarjes (rrjeti inteligjent) për të reduktuar më tej humbjet e shpërndarjes dhe për të përmbushur kushtet teknike që konsumatorët të zgjedhin lirisht furnizuesin e tyre</w:t>
      </w:r>
      <w:r w:rsidR="00341D0A">
        <w:rPr>
          <w:rFonts w:ascii="Garamond" w:hAnsi="Garamond" w:cs="Garamond"/>
          <w:color w:val="0D0D0D"/>
          <w:sz w:val="24"/>
          <w:szCs w:val="24"/>
          <w:lang w:val="sq-AL"/>
        </w:rPr>
        <w:t>.</w:t>
      </w:r>
    </w:p>
    <w:p w14:paraId="1220278F" w14:textId="77D1E9F1" w:rsidR="005674F2" w:rsidRPr="00770F9D" w:rsidRDefault="00A67654" w:rsidP="00400806">
      <w:pPr>
        <w:pStyle w:val="Heading6"/>
        <w:numPr>
          <w:ilvl w:val="0"/>
          <w:numId w:val="0"/>
        </w:numPr>
        <w:ind w:firstLine="284"/>
        <w:rPr>
          <w:rFonts w:ascii="Garamond" w:hAnsi="Garamond" w:cs="Garamond"/>
          <w:color w:val="0D0D0D"/>
          <w:u w:val="none"/>
        </w:rPr>
      </w:pPr>
      <w:r w:rsidRPr="00770F9D">
        <w:rPr>
          <w:rFonts w:ascii="Garamond" w:hAnsi="Garamond" w:cs="Garamond"/>
          <w:color w:val="0D0D0D"/>
          <w:u w:val="none"/>
        </w:rPr>
        <w:t>2</w:t>
      </w:r>
      <w:r w:rsidR="005674F2" w:rsidRPr="00770F9D">
        <w:rPr>
          <w:rFonts w:ascii="Garamond" w:hAnsi="Garamond" w:cs="Garamond"/>
          <w:color w:val="0D0D0D"/>
          <w:u w:val="none"/>
        </w:rPr>
        <w:t>.</w:t>
      </w:r>
      <w:r w:rsidR="00BA4F1A" w:rsidRPr="00770F9D">
        <w:rPr>
          <w:rFonts w:ascii="Garamond" w:hAnsi="Garamond" w:cs="Garamond"/>
          <w:color w:val="0D0D0D"/>
          <w:u w:val="none"/>
        </w:rPr>
        <w:t xml:space="preserve"> </w:t>
      </w:r>
      <w:r w:rsidR="005674F2" w:rsidRPr="00770F9D">
        <w:rPr>
          <w:rFonts w:ascii="Garamond" w:hAnsi="Garamond" w:cs="Garamond"/>
          <w:color w:val="0D0D0D"/>
          <w:u w:val="none"/>
        </w:rPr>
        <w:t>Treguesit e rezultateve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0"/>
        <w:gridCol w:w="1108"/>
        <w:gridCol w:w="1538"/>
        <w:gridCol w:w="1101"/>
      </w:tblGrid>
      <w:tr w:rsidR="00FA29AB" w:rsidRPr="00770F9D" w14:paraId="752B7D1C" w14:textId="77777777" w:rsidTr="00341D0A">
        <w:tc>
          <w:tcPr>
            <w:tcW w:w="5802" w:type="dxa"/>
            <w:shd w:val="clear" w:color="auto" w:fill="auto"/>
            <w:vAlign w:val="center"/>
          </w:tcPr>
          <w:p w14:paraId="38C2655D" w14:textId="77777777" w:rsidR="007A5807" w:rsidRPr="00341D0A" w:rsidRDefault="00B2062A" w:rsidP="00341D0A">
            <w:pPr>
              <w:widowControl w:val="0"/>
              <w:jc w:val="center"/>
              <w:rPr>
                <w:rFonts w:ascii="Garamond" w:hAnsi="Garamond" w:cstheme="majorBidi"/>
                <w:b/>
                <w:bCs/>
                <w:color w:val="0D0D0D" w:themeColor="text1" w:themeTint="F2"/>
                <w:sz w:val="20"/>
                <w:szCs w:val="20"/>
              </w:rPr>
            </w:pPr>
            <w:r w:rsidRPr="00341D0A">
              <w:rPr>
                <w:rFonts w:ascii="Garamond" w:hAnsi="Garamond" w:cstheme="majorBidi"/>
                <w:b/>
                <w:bCs/>
                <w:color w:val="0D0D0D" w:themeColor="text1" w:themeTint="F2"/>
                <w:sz w:val="20"/>
                <w:szCs w:val="20"/>
              </w:rPr>
              <w:t>Tregues</w:t>
            </w:r>
          </w:p>
        </w:tc>
        <w:tc>
          <w:tcPr>
            <w:tcW w:w="1134" w:type="dxa"/>
            <w:shd w:val="clear" w:color="auto" w:fill="auto"/>
            <w:vAlign w:val="center"/>
          </w:tcPr>
          <w:p w14:paraId="14B7851E" w14:textId="77777777" w:rsidR="007A5807" w:rsidRPr="00341D0A" w:rsidRDefault="00B2062A" w:rsidP="00341D0A">
            <w:pPr>
              <w:widowControl w:val="0"/>
              <w:jc w:val="center"/>
              <w:rPr>
                <w:rFonts w:ascii="Garamond" w:hAnsi="Garamond" w:cstheme="majorBidi"/>
                <w:b/>
                <w:bCs/>
                <w:color w:val="0D0D0D" w:themeColor="text1" w:themeTint="F2"/>
                <w:sz w:val="20"/>
                <w:szCs w:val="20"/>
              </w:rPr>
            </w:pPr>
            <w:r w:rsidRPr="00341D0A">
              <w:rPr>
                <w:rFonts w:ascii="Garamond" w:hAnsi="Garamond" w:cstheme="majorBidi"/>
                <w:b/>
                <w:bCs/>
                <w:color w:val="0D0D0D" w:themeColor="text1" w:themeTint="F2"/>
                <w:sz w:val="20"/>
                <w:szCs w:val="20"/>
              </w:rPr>
              <w:t>Bazë</w:t>
            </w:r>
            <w:r w:rsidR="007A5807" w:rsidRPr="00341D0A">
              <w:rPr>
                <w:rFonts w:ascii="Garamond" w:hAnsi="Garamond" w:cstheme="majorBidi"/>
                <w:b/>
                <w:bCs/>
                <w:color w:val="0D0D0D" w:themeColor="text1" w:themeTint="F2"/>
                <w:sz w:val="20"/>
                <w:szCs w:val="20"/>
              </w:rPr>
              <w:t xml:space="preserve"> (</w:t>
            </w:r>
            <w:r w:rsidR="00DB3786" w:rsidRPr="00341D0A">
              <w:rPr>
                <w:rFonts w:ascii="Garamond" w:hAnsi="Garamond" w:cstheme="majorBidi"/>
                <w:b/>
                <w:bCs/>
                <w:color w:val="0D0D0D" w:themeColor="text1" w:themeTint="F2"/>
                <w:sz w:val="20"/>
                <w:szCs w:val="20"/>
              </w:rPr>
              <w:t>202</w:t>
            </w:r>
            <w:r w:rsidR="0084426F" w:rsidRPr="00341D0A">
              <w:rPr>
                <w:rFonts w:ascii="Garamond" w:hAnsi="Garamond" w:cstheme="majorBidi"/>
                <w:b/>
                <w:bCs/>
                <w:color w:val="0D0D0D" w:themeColor="text1" w:themeTint="F2"/>
                <w:sz w:val="20"/>
                <w:szCs w:val="20"/>
              </w:rPr>
              <w:t>2</w:t>
            </w:r>
            <w:r w:rsidR="007A5807" w:rsidRPr="00341D0A">
              <w:rPr>
                <w:rFonts w:ascii="Garamond" w:hAnsi="Garamond" w:cstheme="majorBidi"/>
                <w:b/>
                <w:bCs/>
                <w:color w:val="0D0D0D" w:themeColor="text1" w:themeTint="F2"/>
                <w:sz w:val="20"/>
                <w:szCs w:val="20"/>
              </w:rPr>
              <w:t>)</w:t>
            </w:r>
          </w:p>
        </w:tc>
        <w:tc>
          <w:tcPr>
            <w:tcW w:w="1559" w:type="dxa"/>
            <w:shd w:val="clear" w:color="auto" w:fill="auto"/>
            <w:vAlign w:val="center"/>
          </w:tcPr>
          <w:p w14:paraId="5F7A8BB1" w14:textId="77777777" w:rsidR="007A5807" w:rsidRPr="00341D0A" w:rsidRDefault="00B2062A" w:rsidP="00341D0A">
            <w:pPr>
              <w:widowControl w:val="0"/>
              <w:jc w:val="center"/>
              <w:rPr>
                <w:rFonts w:ascii="Garamond" w:hAnsi="Garamond" w:cstheme="majorBidi"/>
                <w:b/>
                <w:bCs/>
                <w:color w:val="0D0D0D" w:themeColor="text1" w:themeTint="F2"/>
                <w:sz w:val="20"/>
                <w:szCs w:val="20"/>
              </w:rPr>
            </w:pPr>
            <w:r w:rsidRPr="00341D0A">
              <w:rPr>
                <w:rFonts w:ascii="Garamond" w:hAnsi="Garamond" w:cstheme="majorBidi"/>
                <w:b/>
                <w:bCs/>
                <w:color w:val="0D0D0D" w:themeColor="text1" w:themeTint="F2"/>
                <w:sz w:val="20"/>
                <w:szCs w:val="20"/>
              </w:rPr>
              <w:t>I ndërmjetëm</w:t>
            </w:r>
            <w:r w:rsidR="007A5807" w:rsidRPr="00341D0A">
              <w:rPr>
                <w:rFonts w:ascii="Garamond" w:hAnsi="Garamond" w:cstheme="majorBidi"/>
                <w:b/>
                <w:bCs/>
                <w:color w:val="0D0D0D" w:themeColor="text1" w:themeTint="F2"/>
                <w:sz w:val="20"/>
                <w:szCs w:val="20"/>
              </w:rPr>
              <w:t xml:space="preserve"> (</w:t>
            </w:r>
            <w:r w:rsidR="00DB3786" w:rsidRPr="00341D0A">
              <w:rPr>
                <w:rFonts w:ascii="Garamond" w:hAnsi="Garamond" w:cstheme="majorBidi"/>
                <w:b/>
                <w:bCs/>
                <w:color w:val="0D0D0D" w:themeColor="text1" w:themeTint="F2"/>
                <w:sz w:val="20"/>
                <w:szCs w:val="20"/>
              </w:rPr>
              <w:t>2024</w:t>
            </w:r>
            <w:r w:rsidR="007A5807" w:rsidRPr="00341D0A">
              <w:rPr>
                <w:rFonts w:ascii="Garamond" w:hAnsi="Garamond" w:cstheme="majorBidi"/>
                <w:b/>
                <w:bCs/>
                <w:color w:val="0D0D0D" w:themeColor="text1" w:themeTint="F2"/>
                <w:sz w:val="20"/>
                <w:szCs w:val="20"/>
              </w:rPr>
              <w:t>)</w:t>
            </w:r>
          </w:p>
        </w:tc>
        <w:tc>
          <w:tcPr>
            <w:tcW w:w="1127" w:type="dxa"/>
            <w:shd w:val="clear" w:color="auto" w:fill="auto"/>
            <w:vAlign w:val="center"/>
          </w:tcPr>
          <w:p w14:paraId="7B4DDD30" w14:textId="77777777" w:rsidR="007A5807" w:rsidRPr="00341D0A" w:rsidRDefault="00DB3786" w:rsidP="00341D0A">
            <w:pPr>
              <w:widowControl w:val="0"/>
              <w:jc w:val="center"/>
              <w:rPr>
                <w:rFonts w:ascii="Garamond" w:hAnsi="Garamond" w:cstheme="majorBidi"/>
                <w:b/>
                <w:bCs/>
                <w:color w:val="0D0D0D" w:themeColor="text1" w:themeTint="F2"/>
                <w:sz w:val="20"/>
                <w:szCs w:val="20"/>
              </w:rPr>
            </w:pPr>
            <w:r w:rsidRPr="00341D0A">
              <w:rPr>
                <w:rFonts w:ascii="Garamond" w:hAnsi="Garamond" w:cstheme="majorBidi"/>
                <w:b/>
                <w:bCs/>
                <w:color w:val="0D0D0D" w:themeColor="text1" w:themeTint="F2"/>
                <w:sz w:val="20"/>
                <w:szCs w:val="20"/>
              </w:rPr>
              <w:t>Final</w:t>
            </w:r>
            <w:r w:rsidR="007A5807" w:rsidRPr="00341D0A">
              <w:rPr>
                <w:rFonts w:ascii="Garamond" w:hAnsi="Garamond" w:cstheme="majorBidi"/>
                <w:b/>
                <w:bCs/>
                <w:color w:val="0D0D0D" w:themeColor="text1" w:themeTint="F2"/>
                <w:sz w:val="20"/>
                <w:szCs w:val="20"/>
              </w:rPr>
              <w:t xml:space="preserve"> (</w:t>
            </w:r>
            <w:r w:rsidRPr="00341D0A">
              <w:rPr>
                <w:rFonts w:ascii="Garamond" w:hAnsi="Garamond" w:cstheme="majorBidi"/>
                <w:b/>
                <w:bCs/>
                <w:color w:val="0D0D0D" w:themeColor="text1" w:themeTint="F2"/>
                <w:sz w:val="20"/>
                <w:szCs w:val="20"/>
              </w:rPr>
              <w:t>2025</w:t>
            </w:r>
            <w:r w:rsidR="007A5807" w:rsidRPr="00341D0A">
              <w:rPr>
                <w:rFonts w:ascii="Garamond" w:hAnsi="Garamond" w:cstheme="majorBidi"/>
                <w:b/>
                <w:bCs/>
                <w:color w:val="0D0D0D" w:themeColor="text1" w:themeTint="F2"/>
                <w:sz w:val="20"/>
                <w:szCs w:val="20"/>
              </w:rPr>
              <w:t>)</w:t>
            </w:r>
          </w:p>
        </w:tc>
      </w:tr>
      <w:tr w:rsidR="0084426F" w:rsidRPr="00770F9D" w14:paraId="1C9FDEF3" w14:textId="77777777" w:rsidTr="00341D0A">
        <w:tc>
          <w:tcPr>
            <w:tcW w:w="5802" w:type="dxa"/>
            <w:shd w:val="clear" w:color="auto" w:fill="auto"/>
          </w:tcPr>
          <w:p w14:paraId="206B92FC" w14:textId="77777777" w:rsidR="0084426F" w:rsidRPr="00770F9D" w:rsidRDefault="0084426F" w:rsidP="00A67654">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e energjisë elektrike të prodhuar nga impiantet diellore PV dhe turbinat me erë</w:t>
            </w:r>
          </w:p>
        </w:tc>
        <w:tc>
          <w:tcPr>
            <w:tcW w:w="1134" w:type="dxa"/>
            <w:shd w:val="clear" w:color="auto" w:fill="auto"/>
            <w:vAlign w:val="center"/>
          </w:tcPr>
          <w:p w14:paraId="59F2921B" w14:textId="77777777" w:rsidR="0084426F" w:rsidRPr="00770F9D" w:rsidRDefault="0084426F" w:rsidP="00341D0A">
            <w:pPr>
              <w:widowControl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xml:space="preserve">1.5% </w:t>
            </w:r>
          </w:p>
        </w:tc>
        <w:tc>
          <w:tcPr>
            <w:tcW w:w="1559" w:type="dxa"/>
            <w:shd w:val="clear" w:color="auto" w:fill="auto"/>
            <w:vAlign w:val="center"/>
          </w:tcPr>
          <w:p w14:paraId="49DBF75D" w14:textId="77777777" w:rsidR="0084426F" w:rsidRPr="00770F9D" w:rsidRDefault="0084426F" w:rsidP="00341D0A">
            <w:pPr>
              <w:widowControl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10%</w:t>
            </w:r>
          </w:p>
        </w:tc>
        <w:tc>
          <w:tcPr>
            <w:tcW w:w="1127" w:type="dxa"/>
            <w:shd w:val="clear" w:color="auto" w:fill="auto"/>
            <w:vAlign w:val="center"/>
          </w:tcPr>
          <w:p w14:paraId="16AD97A9" w14:textId="77777777" w:rsidR="0084426F" w:rsidRPr="00770F9D" w:rsidRDefault="0084426F" w:rsidP="00341D0A">
            <w:pPr>
              <w:widowControl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20%</w:t>
            </w:r>
          </w:p>
        </w:tc>
      </w:tr>
      <w:tr w:rsidR="0084426F" w:rsidRPr="00770F9D" w14:paraId="6440830C" w14:textId="77777777" w:rsidTr="00341D0A">
        <w:tc>
          <w:tcPr>
            <w:tcW w:w="5802" w:type="dxa"/>
            <w:shd w:val="clear" w:color="auto" w:fill="auto"/>
          </w:tcPr>
          <w:p w14:paraId="3C38DEBA" w14:textId="757FF7B9" w:rsidR="0084426F" w:rsidRPr="00770F9D" w:rsidRDefault="0084426F" w:rsidP="00341D0A">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Raportet e auditimit të efi</w:t>
            </w:r>
            <w:r w:rsidR="00341D0A">
              <w:rPr>
                <w:rFonts w:ascii="Garamond" w:hAnsi="Garamond" w:cstheme="majorBidi"/>
                <w:color w:val="0D0D0D" w:themeColor="text1" w:themeTint="F2"/>
                <w:sz w:val="20"/>
                <w:szCs w:val="20"/>
              </w:rPr>
              <w:t>ci</w:t>
            </w:r>
            <w:r w:rsidR="007618FA">
              <w:rPr>
                <w:rFonts w:ascii="Garamond" w:hAnsi="Garamond" w:cstheme="majorBidi"/>
                <w:color w:val="0D0D0D" w:themeColor="text1" w:themeTint="F2"/>
                <w:sz w:val="20"/>
                <w:szCs w:val="20"/>
              </w:rPr>
              <w:t>encës së energjisë/</w:t>
            </w:r>
            <w:r w:rsidR="007618FA" w:rsidRPr="00770F9D">
              <w:rPr>
                <w:rFonts w:ascii="Garamond" w:hAnsi="Garamond" w:cstheme="majorBidi"/>
                <w:color w:val="0D0D0D" w:themeColor="text1" w:themeTint="F2"/>
                <w:sz w:val="20"/>
                <w:szCs w:val="20"/>
              </w:rPr>
              <w:t xml:space="preserve">certifikata </w:t>
            </w:r>
            <w:r w:rsidRPr="00770F9D">
              <w:rPr>
                <w:rFonts w:ascii="Garamond" w:hAnsi="Garamond" w:cstheme="majorBidi"/>
                <w:color w:val="0D0D0D" w:themeColor="text1" w:themeTint="F2"/>
                <w:sz w:val="20"/>
                <w:szCs w:val="20"/>
              </w:rPr>
              <w:t>e performancës së ndërtesës</w:t>
            </w:r>
          </w:p>
        </w:tc>
        <w:tc>
          <w:tcPr>
            <w:tcW w:w="1134" w:type="dxa"/>
            <w:shd w:val="clear" w:color="auto" w:fill="auto"/>
            <w:vAlign w:val="center"/>
          </w:tcPr>
          <w:p w14:paraId="6CC5663A" w14:textId="77777777" w:rsidR="0084426F" w:rsidRPr="00770F9D" w:rsidRDefault="0084426F" w:rsidP="00341D0A">
            <w:pPr>
              <w:widowControl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41000</w:t>
            </w:r>
          </w:p>
        </w:tc>
        <w:tc>
          <w:tcPr>
            <w:tcW w:w="1559" w:type="dxa"/>
            <w:shd w:val="clear" w:color="auto" w:fill="auto"/>
            <w:vAlign w:val="center"/>
          </w:tcPr>
          <w:p w14:paraId="6BEFA50C" w14:textId="77777777" w:rsidR="0084426F" w:rsidRPr="00770F9D" w:rsidRDefault="0084426F" w:rsidP="00341D0A">
            <w:pPr>
              <w:widowControl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60000</w:t>
            </w:r>
          </w:p>
        </w:tc>
        <w:tc>
          <w:tcPr>
            <w:tcW w:w="1127" w:type="dxa"/>
            <w:shd w:val="clear" w:color="auto" w:fill="auto"/>
            <w:vAlign w:val="center"/>
          </w:tcPr>
          <w:p w14:paraId="639B9F70" w14:textId="77777777" w:rsidR="0084426F" w:rsidRPr="00770F9D" w:rsidRDefault="0084426F" w:rsidP="00341D0A">
            <w:pPr>
              <w:widowControl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80000</w:t>
            </w:r>
          </w:p>
        </w:tc>
      </w:tr>
      <w:tr w:rsidR="0084426F" w:rsidRPr="00770F9D" w14:paraId="2DAE1020" w14:textId="77777777" w:rsidTr="00341D0A">
        <w:tc>
          <w:tcPr>
            <w:tcW w:w="5802" w:type="dxa"/>
            <w:shd w:val="clear" w:color="auto" w:fill="auto"/>
          </w:tcPr>
          <w:p w14:paraId="19F04AC3" w14:textId="77777777" w:rsidR="0084426F" w:rsidRPr="00770F9D" w:rsidRDefault="0084426F" w:rsidP="00A67654">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e redukti</w:t>
            </w:r>
            <w:r w:rsidR="00B433CD" w:rsidRPr="00770F9D">
              <w:rPr>
                <w:rFonts w:ascii="Garamond" w:hAnsi="Garamond" w:cstheme="majorBidi"/>
                <w:color w:val="0D0D0D" w:themeColor="text1" w:themeTint="F2"/>
                <w:sz w:val="20"/>
                <w:szCs w:val="20"/>
              </w:rPr>
              <w:t>mit të humbjeve të shpërndarjes</w:t>
            </w:r>
          </w:p>
        </w:tc>
        <w:tc>
          <w:tcPr>
            <w:tcW w:w="1134" w:type="dxa"/>
            <w:shd w:val="clear" w:color="auto" w:fill="auto"/>
            <w:vAlign w:val="center"/>
          </w:tcPr>
          <w:p w14:paraId="3270E7CB" w14:textId="77777777" w:rsidR="0084426F" w:rsidRPr="00770F9D" w:rsidRDefault="0084426F" w:rsidP="00341D0A">
            <w:pPr>
              <w:widowControl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19.6%</w:t>
            </w:r>
          </w:p>
        </w:tc>
        <w:tc>
          <w:tcPr>
            <w:tcW w:w="1559" w:type="dxa"/>
            <w:shd w:val="clear" w:color="auto" w:fill="auto"/>
            <w:vAlign w:val="center"/>
          </w:tcPr>
          <w:p w14:paraId="30791F21" w14:textId="77777777" w:rsidR="0084426F" w:rsidRPr="00770F9D" w:rsidRDefault="0084426F" w:rsidP="00341D0A">
            <w:pPr>
              <w:widowControl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18.5%</w:t>
            </w:r>
          </w:p>
        </w:tc>
        <w:tc>
          <w:tcPr>
            <w:tcW w:w="1127" w:type="dxa"/>
            <w:shd w:val="clear" w:color="auto" w:fill="auto"/>
            <w:vAlign w:val="center"/>
          </w:tcPr>
          <w:p w14:paraId="31ABFA4C" w14:textId="77777777" w:rsidR="0084426F" w:rsidRPr="00770F9D" w:rsidRDefault="0084426F" w:rsidP="00341D0A">
            <w:pPr>
              <w:widowControl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18.1%</w:t>
            </w:r>
          </w:p>
        </w:tc>
      </w:tr>
    </w:tbl>
    <w:p w14:paraId="1F2DC2E8" w14:textId="454A3AC7" w:rsidR="00080139" w:rsidRPr="00770F9D" w:rsidRDefault="00A67654"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3</w:t>
      </w:r>
      <w:r w:rsidR="005674F2"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Ndikimi i pritshëm në konkurrueshmëri</w:t>
      </w:r>
    </w:p>
    <w:p w14:paraId="399B10A1" w14:textId="48BF47B1" w:rsidR="0084426F" w:rsidRPr="00770F9D" w:rsidRDefault="0084426F"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Sektori i energjisë po hyn në një epokë transformimesh të rëndësishme</w:t>
      </w:r>
      <w:r w:rsidR="00F320F8">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 shkak të rritjes së depërtimit të burimeve të rinovueshme. Diversifikimi i burimeve të energjisë (të rinovueshmet) do të ketë ndikim të drejtpërdrejtë pozitiv në rritjen e konkurrencës si rezultat i përdorimit të burimeve të reja të energjisë (solare dhe erë) që do të rrisin prodhimin </w:t>
      </w:r>
      <w:r w:rsidR="002A4878" w:rsidRPr="00770F9D">
        <w:rPr>
          <w:rFonts w:ascii="Garamond" w:hAnsi="Garamond" w:cstheme="majorBidi"/>
          <w:color w:val="0D0D0D" w:themeColor="text1" w:themeTint="F2"/>
        </w:rPr>
        <w:t>vendës</w:t>
      </w:r>
      <w:r w:rsidRPr="00770F9D">
        <w:rPr>
          <w:rFonts w:ascii="Garamond" w:hAnsi="Garamond" w:cstheme="majorBidi"/>
          <w:color w:val="0D0D0D" w:themeColor="text1" w:themeTint="F2"/>
        </w:rPr>
        <w:t xml:space="preserve"> të energjisë në tregun shqiptar. Ndërsa teknologjitë e prodhimit të energjive të rinovueshme janë përmirësuar dhe kostot e tyre janë ulur, ka një zhvendosje në rritje drejt ankandeve. Në tregun shqiptar me vëllime të kufizuara në ofertë, kjo ka çuar në rritje të konkurrencës në projekte dhe ka rezultuar në uljen e kostove të çmimeve të energjisë (çmimi 24.89 </w:t>
      </w:r>
      <w:r w:rsidR="00F320F8" w:rsidRPr="00770F9D">
        <w:rPr>
          <w:rFonts w:ascii="Garamond" w:hAnsi="Garamond" w:cstheme="majorBidi"/>
          <w:color w:val="0D0D0D" w:themeColor="text1" w:themeTint="F2"/>
        </w:rPr>
        <w:t xml:space="preserve">euro/mwh </w:t>
      </w:r>
      <w:r w:rsidRPr="00770F9D">
        <w:rPr>
          <w:rFonts w:ascii="Garamond" w:hAnsi="Garamond" w:cstheme="majorBidi"/>
          <w:color w:val="0D0D0D" w:themeColor="text1" w:themeTint="F2"/>
        </w:rPr>
        <w:t xml:space="preserve">për Karavasta 70 </w:t>
      </w:r>
      <w:r w:rsidR="00F320F8" w:rsidRPr="00770F9D">
        <w:rPr>
          <w:rFonts w:ascii="Garamond" w:hAnsi="Garamond" w:cstheme="majorBidi"/>
          <w:color w:val="0D0D0D" w:themeColor="text1" w:themeTint="F2"/>
        </w:rPr>
        <w:t>mwp</w:t>
      </w:r>
      <w:r w:rsidRPr="00770F9D">
        <w:rPr>
          <w:rFonts w:ascii="Garamond" w:hAnsi="Garamond" w:cstheme="majorBidi"/>
          <w:color w:val="0D0D0D" w:themeColor="text1" w:themeTint="F2"/>
        </w:rPr>
        <w:t xml:space="preserve">). Masat promovuese dhe nxitëse për burimet e rinovueshme do të kontribuojnë në rritjen e sigurisë së furnizimit me energji në vend dhe do të detyrojnë zhvilluesit të zbatojnë praktikat më të mira në drejtim të zhvillimit të projektit, të përdorin zgjidhje më të reja inovative teknologjike dhe në përgjithësi të reduktojnë marzhet. Rezultatet e kursimit të energjisë dhe </w:t>
      </w:r>
      <w:r w:rsidR="00421485">
        <w:rPr>
          <w:rFonts w:ascii="Garamond" w:hAnsi="Garamond" w:cstheme="majorBidi"/>
          <w:color w:val="0D0D0D" w:themeColor="text1" w:themeTint="F2"/>
        </w:rPr>
        <w:t>eficienc</w:t>
      </w:r>
      <w:r w:rsidRPr="00770F9D">
        <w:rPr>
          <w:rFonts w:ascii="Garamond" w:hAnsi="Garamond" w:cstheme="majorBidi"/>
          <w:color w:val="0D0D0D" w:themeColor="text1" w:themeTint="F2"/>
        </w:rPr>
        <w:t>ës do të kenë ndikim të drejtpërdrejtë pozitiv në rritjen e konkurrencës duke bërë të mundur uljen e konsumit të energjisë dhe uljen e kostove.</w:t>
      </w:r>
    </w:p>
    <w:p w14:paraId="18090326" w14:textId="53B19BA1" w:rsidR="0084426F" w:rsidRPr="00770F9D" w:rsidRDefault="0084426F" w:rsidP="004A1C88">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Forcimi i</w:t>
      </w:r>
      <w:r w:rsidR="00F320F8">
        <w:rPr>
          <w:rFonts w:ascii="Garamond" w:hAnsi="Garamond" w:cstheme="majorBidi"/>
          <w:color w:val="0D0D0D" w:themeColor="text1" w:themeTint="F2"/>
        </w:rPr>
        <w:t xml:space="preserve"> </w:t>
      </w:r>
      <w:r w:rsidRPr="00770F9D">
        <w:rPr>
          <w:rFonts w:ascii="Garamond" w:hAnsi="Garamond" w:cstheme="majorBidi"/>
          <w:color w:val="0D0D0D" w:themeColor="text1" w:themeTint="F2"/>
        </w:rPr>
        <w:t>ndërlidhjes me rrjetin</w:t>
      </w:r>
      <w:r w:rsidR="00F320F8">
        <w:rPr>
          <w:rFonts w:ascii="Garamond" w:hAnsi="Garamond" w:cstheme="majorBidi"/>
          <w:color w:val="0D0D0D" w:themeColor="text1" w:themeTint="F2"/>
        </w:rPr>
        <w:t xml:space="preserve"> rajonal të energjisë elektrike</w:t>
      </w:r>
      <w:r w:rsidRPr="00770F9D">
        <w:rPr>
          <w:rFonts w:ascii="Garamond" w:hAnsi="Garamond" w:cstheme="majorBidi"/>
          <w:color w:val="0D0D0D" w:themeColor="text1" w:themeTint="F2"/>
        </w:rPr>
        <w:t xml:space="preserve"> do të krijojë kushte për shkëmbime tregtare dhe tranzit të pakufizuar të energjisë elektrike në rajon. Liberalizimi i mëtejshëm i tregut të energjisë që do të çojë në decentralizimin e sistemit energjetik dhe do të ketë ndikime të drejtpërdrejta pozitive në konkurrencë duke mundësuar pjesëmarrjen e operatorëve privatë në tregun e energjisë elektrike dhe do të rrisë cilësinë e furnizimit. Kjo masë reformuese do të rrisë ndjeshëm investimet dhe do të kontribuojë në punësimin e vendeve të punës dhe konkurrencën, si dhe do të lejojë uljen e kostos së energjisë për konsumatorët.</w:t>
      </w:r>
    </w:p>
    <w:p w14:paraId="7333581B" w14:textId="65052ECD" w:rsidR="00080139" w:rsidRPr="00770F9D" w:rsidRDefault="00A67654"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4</w:t>
      </w:r>
      <w:r w:rsidR="005674F2"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Kosto</w:t>
      </w:r>
      <w:r w:rsidR="00B63484">
        <w:rPr>
          <w:rFonts w:ascii="Garamond" w:hAnsi="Garamond" w:cstheme="majorBidi"/>
          <w:color w:val="0D0D0D" w:themeColor="text1" w:themeTint="F2"/>
          <w:u w:val="none"/>
        </w:rPr>
        <w:t>ja</w:t>
      </w:r>
      <w:r w:rsidR="00B2062A" w:rsidRPr="00770F9D">
        <w:rPr>
          <w:rFonts w:ascii="Garamond" w:hAnsi="Garamond" w:cstheme="majorBidi"/>
          <w:color w:val="0D0D0D" w:themeColor="text1" w:themeTint="F2"/>
          <w:u w:val="none"/>
        </w:rPr>
        <w:t xml:space="preserve"> e parashikuar e aktiviteteve dhe burimi i financimit</w:t>
      </w:r>
    </w:p>
    <w:p w14:paraId="13C7EB10" w14:textId="5904F0B9" w:rsidR="0084426F" w:rsidRPr="00770F9D" w:rsidRDefault="0084426F" w:rsidP="00261A9C">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Për të siguruar objektivin kombëtar të BRE-ve, janë miratuar autorizimet me tarifa të rregulluara për këto burime dhe janë miratuar metodologjitë për çmimet e blerjes së BRE</w:t>
      </w:r>
      <w:r w:rsidR="00261A9C">
        <w:rPr>
          <w:rFonts w:ascii="Garamond" w:hAnsi="Garamond" w:cstheme="majorBidi"/>
          <w:color w:val="0D0D0D" w:themeColor="text1" w:themeTint="F2"/>
        </w:rPr>
        <w:t>-së</w:t>
      </w:r>
      <w:r w:rsidRPr="00770F9D">
        <w:rPr>
          <w:rFonts w:ascii="Garamond" w:hAnsi="Garamond" w:cstheme="majorBidi"/>
          <w:color w:val="0D0D0D" w:themeColor="text1" w:themeTint="F2"/>
        </w:rPr>
        <w:t xml:space="preserve">. Ligji merr në konsideratë kontratat koncesionare të miratuara më parë për hidrocentralet e vogla, deri në 15 </w:t>
      </w:r>
      <w:r w:rsidR="00261A9C" w:rsidRPr="00770F9D">
        <w:rPr>
          <w:rFonts w:ascii="Garamond" w:hAnsi="Garamond" w:cstheme="majorBidi"/>
          <w:color w:val="0D0D0D" w:themeColor="text1" w:themeTint="F2"/>
        </w:rPr>
        <w:t>mw</w:t>
      </w:r>
      <w:r w:rsidRPr="00770F9D">
        <w:rPr>
          <w:rFonts w:ascii="Garamond" w:hAnsi="Garamond" w:cstheme="majorBidi"/>
          <w:color w:val="0D0D0D" w:themeColor="text1" w:themeTint="F2"/>
        </w:rPr>
        <w:t>. Gjithashtu, si nevojë për diversifikim, konsiderohen promovimi i burimeve të tjera të rinovueshme</w:t>
      </w:r>
      <w:r w:rsidR="00261A9C">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eolikë apo fotovoltaik, përtej hidrocentraleve. Në çdo rast, </w:t>
      </w:r>
      <w:r w:rsidR="00261A9C" w:rsidRPr="00770F9D">
        <w:rPr>
          <w:rFonts w:ascii="Garamond" w:hAnsi="Garamond" w:cstheme="majorBidi"/>
          <w:color w:val="0D0D0D" w:themeColor="text1" w:themeTint="F2"/>
        </w:rPr>
        <w:t xml:space="preserve">ligji </w:t>
      </w:r>
      <w:r w:rsidRPr="00770F9D">
        <w:rPr>
          <w:rFonts w:ascii="Garamond" w:hAnsi="Garamond" w:cstheme="majorBidi"/>
          <w:color w:val="0D0D0D" w:themeColor="text1" w:themeTint="F2"/>
        </w:rPr>
        <w:t xml:space="preserve">parashikon mundësinë e mbështetjes financiare me tarifa të rregulluara </w:t>
      </w:r>
      <w:r w:rsidRPr="00261A9C">
        <w:rPr>
          <w:rFonts w:ascii="Garamond" w:hAnsi="Garamond" w:cstheme="majorBidi"/>
          <w:i/>
          <w:iCs/>
          <w:color w:val="0D0D0D" w:themeColor="text1" w:themeTint="F2"/>
        </w:rPr>
        <w:t>(feed-in-tariffs)</w:t>
      </w:r>
      <w:r w:rsidRPr="00770F9D">
        <w:rPr>
          <w:rFonts w:ascii="Garamond" w:hAnsi="Garamond" w:cstheme="majorBidi"/>
          <w:color w:val="0D0D0D" w:themeColor="text1" w:themeTint="F2"/>
        </w:rPr>
        <w:t xml:space="preserve"> dhe në bazë të kontratës </w:t>
      </w:r>
      <w:r w:rsidRPr="00261A9C">
        <w:rPr>
          <w:rFonts w:ascii="Garamond" w:hAnsi="Garamond" w:cstheme="majorBidi"/>
          <w:i/>
          <w:iCs/>
          <w:color w:val="0D0D0D" w:themeColor="text1" w:themeTint="F2"/>
        </w:rPr>
        <w:t>(Feed-in-Premium)</w:t>
      </w:r>
      <w:r w:rsidRPr="00770F9D">
        <w:rPr>
          <w:rFonts w:ascii="Garamond" w:hAnsi="Garamond" w:cstheme="majorBidi"/>
          <w:color w:val="0D0D0D" w:themeColor="text1" w:themeTint="F2"/>
        </w:rPr>
        <w:t>, si për prodhuesit ekzistues me pë</w:t>
      </w:r>
      <w:r w:rsidR="00261A9C">
        <w:rPr>
          <w:rFonts w:ascii="Garamond" w:hAnsi="Garamond" w:cstheme="majorBidi"/>
          <w:color w:val="0D0D0D" w:themeColor="text1" w:themeTint="F2"/>
        </w:rPr>
        <w:t>r</w:t>
      </w:r>
      <w:r w:rsidRPr="00770F9D">
        <w:rPr>
          <w:rFonts w:ascii="Garamond" w:hAnsi="Garamond" w:cstheme="majorBidi"/>
          <w:color w:val="0D0D0D" w:themeColor="text1" w:themeTint="F2"/>
        </w:rPr>
        <w:t>parësi dhe ato të rinj, ashtu edhe për prodhuesit e rinj pas vitit 2017, kur filluan të funksiononin kontratat jo objekt koncesioni</w:t>
      </w:r>
      <w:r w:rsidR="00261A9C">
        <w:rPr>
          <w:rFonts w:ascii="Garamond" w:hAnsi="Garamond" w:cstheme="majorBidi"/>
          <w:color w:val="0D0D0D" w:themeColor="text1" w:themeTint="F2"/>
        </w:rPr>
        <w:t>,</w:t>
      </w:r>
      <w:r w:rsidRPr="00770F9D">
        <w:rPr>
          <w:rFonts w:ascii="Garamond" w:hAnsi="Garamond" w:cstheme="majorBidi"/>
          <w:color w:val="0D0D0D" w:themeColor="text1" w:themeTint="F2"/>
        </w:rPr>
        <w:t xml:space="preserve"> sipas një procedure të miratuar me VKM</w:t>
      </w:r>
      <w:r w:rsidR="00261A9C">
        <w:rPr>
          <w:rFonts w:ascii="Garamond" w:hAnsi="Garamond" w:cstheme="majorBidi"/>
          <w:color w:val="0D0D0D" w:themeColor="text1" w:themeTint="F2"/>
        </w:rPr>
        <w:t>-në</w:t>
      </w:r>
      <w:r w:rsidRPr="00770F9D">
        <w:rPr>
          <w:rFonts w:ascii="Garamond" w:hAnsi="Garamond" w:cstheme="majorBidi"/>
          <w:color w:val="0D0D0D" w:themeColor="text1" w:themeTint="F2"/>
        </w:rPr>
        <w:t xml:space="preserve"> nr. 822</w:t>
      </w:r>
      <w:r w:rsidR="00261A9C">
        <w:rPr>
          <w:rFonts w:ascii="Garamond" w:hAnsi="Garamond" w:cstheme="majorBidi"/>
          <w:color w:val="0D0D0D" w:themeColor="text1" w:themeTint="F2"/>
        </w:rPr>
        <w:t>,</w:t>
      </w:r>
      <w:r w:rsidRPr="00770F9D">
        <w:rPr>
          <w:rFonts w:ascii="Garamond" w:hAnsi="Garamond" w:cstheme="majorBidi"/>
          <w:color w:val="0D0D0D" w:themeColor="text1" w:themeTint="F2"/>
        </w:rPr>
        <w:t xml:space="preserve"> datë 7.10.2015</w:t>
      </w:r>
      <w:r w:rsidR="00261A9C">
        <w:rPr>
          <w:rFonts w:ascii="Garamond" w:hAnsi="Garamond" w:cstheme="majorBidi"/>
          <w:color w:val="0D0D0D" w:themeColor="text1" w:themeTint="F2"/>
        </w:rPr>
        <w:t>,</w:t>
      </w:r>
      <w:r w:rsidRPr="00770F9D">
        <w:rPr>
          <w:rFonts w:ascii="Garamond" w:hAnsi="Garamond" w:cstheme="majorBidi"/>
          <w:color w:val="0D0D0D" w:themeColor="text1" w:themeTint="F2"/>
        </w:rPr>
        <w:t xml:space="preserve"> i ndryshuar. Sipas PKEK</w:t>
      </w:r>
      <w:r w:rsidR="00261A9C">
        <w:rPr>
          <w:rFonts w:ascii="Garamond" w:hAnsi="Garamond" w:cstheme="majorBidi"/>
          <w:color w:val="0D0D0D" w:themeColor="text1" w:themeTint="F2"/>
        </w:rPr>
        <w:t>-në</w:t>
      </w:r>
      <w:r w:rsidRPr="00770F9D">
        <w:rPr>
          <w:rFonts w:ascii="Garamond" w:hAnsi="Garamond" w:cstheme="majorBidi"/>
          <w:color w:val="0D0D0D" w:themeColor="text1" w:themeTint="F2"/>
        </w:rPr>
        <w:t xml:space="preserve">, investimi total për sektorin e </w:t>
      </w:r>
      <w:r w:rsidR="00971B43" w:rsidRPr="00770F9D">
        <w:rPr>
          <w:rFonts w:ascii="Garamond" w:hAnsi="Garamond" w:cstheme="majorBidi"/>
          <w:color w:val="0D0D0D" w:themeColor="text1" w:themeTint="F2"/>
        </w:rPr>
        <w:t>energjetik</w:t>
      </w:r>
      <w:r w:rsidRPr="00770F9D">
        <w:rPr>
          <w:rFonts w:ascii="Garamond" w:hAnsi="Garamond" w:cstheme="majorBidi"/>
          <w:color w:val="0D0D0D" w:themeColor="text1" w:themeTint="F2"/>
        </w:rPr>
        <w:t xml:space="preserve"> për periudh</w:t>
      </w:r>
      <w:r w:rsidR="00261A9C">
        <w:rPr>
          <w:rFonts w:ascii="Garamond" w:hAnsi="Garamond" w:cstheme="majorBidi"/>
          <w:color w:val="0D0D0D" w:themeColor="text1" w:themeTint="F2"/>
        </w:rPr>
        <w:t>ë</w:t>
      </w:r>
      <w:r w:rsidRPr="00770F9D">
        <w:rPr>
          <w:rFonts w:ascii="Garamond" w:hAnsi="Garamond" w:cstheme="majorBidi"/>
          <w:color w:val="0D0D0D" w:themeColor="text1" w:themeTint="F2"/>
        </w:rPr>
        <w:t>n 2021</w:t>
      </w:r>
      <w:r w:rsidR="00261A9C">
        <w:rPr>
          <w:rFonts w:ascii="Garamond" w:hAnsi="Garamond" w:cstheme="majorBidi"/>
          <w:color w:val="0D0D0D" w:themeColor="text1" w:themeTint="F2"/>
        </w:rPr>
        <w:t>–</w:t>
      </w:r>
      <w:r w:rsidRPr="00770F9D">
        <w:rPr>
          <w:rFonts w:ascii="Garamond" w:hAnsi="Garamond" w:cstheme="majorBidi"/>
          <w:color w:val="0D0D0D" w:themeColor="text1" w:themeTint="F2"/>
        </w:rPr>
        <w:t>2030</w:t>
      </w:r>
      <w:r w:rsidR="00261A9C">
        <w:rPr>
          <w:rFonts w:ascii="Garamond" w:hAnsi="Garamond" w:cstheme="majorBidi"/>
          <w:color w:val="0D0D0D" w:themeColor="text1" w:themeTint="F2"/>
        </w:rPr>
        <w:t>m,</w:t>
      </w:r>
      <w:r w:rsidRPr="00770F9D">
        <w:rPr>
          <w:rFonts w:ascii="Garamond" w:hAnsi="Garamond" w:cstheme="majorBidi"/>
          <w:color w:val="0D0D0D" w:themeColor="text1" w:themeTint="F2"/>
        </w:rPr>
        <w:t xml:space="preserve"> sipas skenarit të kombinuar është përllogaritur 5449 </w:t>
      </w:r>
      <w:r w:rsidR="00ED5126" w:rsidRPr="00770F9D">
        <w:rPr>
          <w:rFonts w:ascii="Garamond" w:hAnsi="Garamond" w:cstheme="majorBidi"/>
          <w:color w:val="0D0D0D" w:themeColor="text1" w:themeTint="F2"/>
        </w:rPr>
        <w:t xml:space="preserve">milionë </w:t>
      </w:r>
      <w:r w:rsidRPr="00770F9D">
        <w:rPr>
          <w:rFonts w:ascii="Garamond" w:hAnsi="Garamond" w:cstheme="majorBidi"/>
          <w:color w:val="0D0D0D" w:themeColor="text1" w:themeTint="F2"/>
        </w:rPr>
        <w:t>euro.</w:t>
      </w:r>
    </w:p>
    <w:p w14:paraId="2480EC62" w14:textId="0E033111" w:rsidR="0084426F" w:rsidRPr="00770F9D" w:rsidRDefault="0084426F"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Nuk ka ndikim të drejtpërdrejtë në buxhetin e shtetit, por investimet në rrjetin e shpërndarjes/transmetimit dhe prodhimin e energjisë elektrike janë të përcaktuara në programet e zhvillimit të kompanive (KESH, OST dhe OSHEE). Në mbështetje të kësaj pike, kostoja e parashikuar për përfundimin e linjës së interkonjeks</w:t>
      </w:r>
      <w:r w:rsidR="00763083">
        <w:rPr>
          <w:rFonts w:ascii="Garamond" w:hAnsi="Garamond" w:cstheme="majorBidi"/>
          <w:color w:val="0D0D0D" w:themeColor="text1" w:themeTint="F2"/>
        </w:rPr>
        <w:t>ionit 400 kV Elbasan (Shqipëri)–</w:t>
      </w:r>
      <w:r w:rsidRPr="00770F9D">
        <w:rPr>
          <w:rFonts w:ascii="Garamond" w:hAnsi="Garamond" w:cstheme="majorBidi"/>
          <w:color w:val="0D0D0D" w:themeColor="text1" w:themeTint="F2"/>
        </w:rPr>
        <w:t>Manastir (RNM), pjesa e Shqipërisë është 70 milionë euro e financuar në vlerën 50 milionë euro nga një kredi e huaj; 15 milionë euro nga granti dhe 5 milionë euro nga OST sh.a</w:t>
      </w:r>
      <w:r w:rsidR="00763083">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(përfshirë TVSH).</w:t>
      </w:r>
    </w:p>
    <w:p w14:paraId="7183046A" w14:textId="506BB366" w:rsidR="0084426F" w:rsidRPr="00770F9D" w:rsidRDefault="0084426F" w:rsidP="004D6F1B">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Lidhur me projektet fotovolaike dhe eolike në proces autorizimi nga MIE, për ndërtimin e kapaciteteve të reja gjeneruese të energjisë elektrike, që nuk janë objekt koncesioni, janë investime private që nuk paguhen nga buxheti i shtetit. Bazuar në legjislacionin në fuqi, prodhuesit me pë</w:t>
      </w:r>
      <w:r w:rsidR="00763083">
        <w:rPr>
          <w:rFonts w:ascii="Garamond" w:hAnsi="Garamond" w:cstheme="majorBidi"/>
          <w:color w:val="0D0D0D" w:themeColor="text1" w:themeTint="F2"/>
        </w:rPr>
        <w:t>r</w:t>
      </w:r>
      <w:r w:rsidRPr="00770F9D">
        <w:rPr>
          <w:rFonts w:ascii="Garamond" w:hAnsi="Garamond" w:cstheme="majorBidi"/>
          <w:color w:val="0D0D0D" w:themeColor="text1" w:themeTint="F2"/>
        </w:rPr>
        <w:t xml:space="preserve">parësi do të paguhen nga OSHEE </w:t>
      </w:r>
      <w:r w:rsidR="00763083" w:rsidRPr="00770F9D">
        <w:rPr>
          <w:rFonts w:ascii="Garamond" w:hAnsi="Garamond" w:cstheme="majorBidi"/>
          <w:color w:val="0D0D0D" w:themeColor="text1" w:themeTint="F2"/>
        </w:rPr>
        <w:t xml:space="preserve">Group </w:t>
      </w:r>
      <w:r w:rsidRPr="00770F9D">
        <w:rPr>
          <w:rFonts w:ascii="Garamond" w:hAnsi="Garamond" w:cstheme="majorBidi"/>
          <w:color w:val="0D0D0D" w:themeColor="text1" w:themeTint="F2"/>
        </w:rPr>
        <w:t>(FTL), nëpërmjet FiT-ve që u ofrohen impianteve të energjisë së rinovueshme në shkallë të vogël, të cilat përfshijnë imp</w:t>
      </w:r>
      <w:r w:rsidR="00763083">
        <w:rPr>
          <w:rFonts w:ascii="Garamond" w:hAnsi="Garamond" w:cstheme="majorBidi"/>
          <w:color w:val="0D0D0D" w:themeColor="text1" w:themeTint="F2"/>
        </w:rPr>
        <w:t>i</w:t>
      </w:r>
      <w:r w:rsidRPr="00770F9D">
        <w:rPr>
          <w:rFonts w:ascii="Garamond" w:hAnsi="Garamond" w:cstheme="majorBidi"/>
          <w:color w:val="0D0D0D" w:themeColor="text1" w:themeTint="F2"/>
        </w:rPr>
        <w:t>antet e</w:t>
      </w:r>
      <w:r w:rsidR="00763083">
        <w:rPr>
          <w:rFonts w:ascii="Garamond" w:hAnsi="Garamond" w:cstheme="majorBidi"/>
          <w:color w:val="0D0D0D" w:themeColor="text1" w:themeTint="F2"/>
        </w:rPr>
        <w:t xml:space="preserve"> </w:t>
      </w:r>
      <w:r w:rsidRPr="00770F9D">
        <w:rPr>
          <w:rFonts w:ascii="Garamond" w:hAnsi="Garamond" w:cstheme="majorBidi"/>
          <w:color w:val="0D0D0D" w:themeColor="text1" w:themeTint="F2"/>
        </w:rPr>
        <w:t xml:space="preserve">energjisë së erës deri në 3 </w:t>
      </w:r>
      <w:r w:rsidR="00763083" w:rsidRPr="00770F9D">
        <w:rPr>
          <w:rFonts w:ascii="Garamond" w:hAnsi="Garamond" w:cstheme="majorBidi"/>
          <w:color w:val="0D0D0D" w:themeColor="text1" w:themeTint="F2"/>
        </w:rPr>
        <w:t xml:space="preserve">mw, </w:t>
      </w:r>
      <w:r w:rsidRPr="00770F9D">
        <w:rPr>
          <w:rFonts w:ascii="Garamond" w:hAnsi="Garamond" w:cstheme="majorBidi"/>
          <w:color w:val="0D0D0D" w:themeColor="text1" w:themeTint="F2"/>
        </w:rPr>
        <w:t xml:space="preserve">HEC-e deri në 15 </w:t>
      </w:r>
      <w:r w:rsidR="00763083" w:rsidRPr="00770F9D">
        <w:rPr>
          <w:rFonts w:ascii="Garamond" w:hAnsi="Garamond" w:cstheme="majorBidi"/>
          <w:color w:val="0D0D0D" w:themeColor="text1" w:themeTint="F2"/>
        </w:rPr>
        <w:t xml:space="preserve">mw </w:t>
      </w:r>
      <w:r w:rsidRPr="00770F9D">
        <w:rPr>
          <w:rFonts w:ascii="Garamond" w:hAnsi="Garamond" w:cstheme="majorBidi"/>
          <w:color w:val="0D0D0D" w:themeColor="text1" w:themeTint="F2"/>
        </w:rPr>
        <w:t xml:space="preserve">dhe fotovoltaikët deri në 2 </w:t>
      </w:r>
      <w:r w:rsidR="00763083" w:rsidRPr="00770F9D">
        <w:rPr>
          <w:rFonts w:ascii="Garamond" w:hAnsi="Garamond" w:cstheme="majorBidi"/>
          <w:color w:val="0D0D0D" w:themeColor="text1" w:themeTint="F2"/>
        </w:rPr>
        <w:t>mw</w:t>
      </w:r>
      <w:r w:rsidRPr="00770F9D">
        <w:rPr>
          <w:rFonts w:ascii="Garamond" w:hAnsi="Garamond" w:cstheme="majorBidi"/>
          <w:color w:val="0D0D0D" w:themeColor="text1" w:themeTint="F2"/>
        </w:rPr>
        <w:t>. Projektet për promovimin e efi</w:t>
      </w:r>
      <w:r w:rsidR="00EC45E6">
        <w:rPr>
          <w:rFonts w:ascii="Garamond" w:hAnsi="Garamond" w:cstheme="majorBidi"/>
          <w:color w:val="0D0D0D" w:themeColor="text1" w:themeTint="F2"/>
        </w:rPr>
        <w:t>ci</w:t>
      </w:r>
      <w:r w:rsidRPr="00770F9D">
        <w:rPr>
          <w:rFonts w:ascii="Garamond" w:hAnsi="Garamond" w:cstheme="majorBidi"/>
          <w:color w:val="0D0D0D" w:themeColor="text1" w:themeTint="F2"/>
        </w:rPr>
        <w:t xml:space="preserve">encës së energjisë, të përmendura në aktivitetet e mësipërme, parashikohen të investohen nga buxheti i shtetit. Për projektin për </w:t>
      </w:r>
      <w:r w:rsidR="004D6F1B" w:rsidRPr="00770F9D">
        <w:rPr>
          <w:rFonts w:ascii="Garamond" w:hAnsi="Garamond" w:cstheme="majorBidi"/>
          <w:color w:val="0D0D0D" w:themeColor="text1" w:themeTint="F2"/>
        </w:rPr>
        <w:t xml:space="preserve">elektrifikimin </w:t>
      </w:r>
      <w:r w:rsidRPr="00770F9D">
        <w:rPr>
          <w:rFonts w:ascii="Garamond" w:hAnsi="Garamond" w:cstheme="majorBidi"/>
          <w:color w:val="0D0D0D" w:themeColor="text1" w:themeTint="F2"/>
        </w:rPr>
        <w:t xml:space="preserve">e linjave të transportit urban dhe ndërqytetës në </w:t>
      </w:r>
      <w:r w:rsidR="004D6F1B" w:rsidRPr="00770F9D">
        <w:rPr>
          <w:rFonts w:ascii="Garamond" w:hAnsi="Garamond" w:cstheme="majorBidi"/>
          <w:color w:val="0D0D0D" w:themeColor="text1" w:themeTint="F2"/>
        </w:rPr>
        <w:t xml:space="preserve">bashkitë </w:t>
      </w:r>
      <w:r w:rsidRPr="00770F9D">
        <w:rPr>
          <w:rFonts w:ascii="Garamond" w:hAnsi="Garamond" w:cstheme="majorBidi"/>
          <w:color w:val="0D0D0D" w:themeColor="text1" w:themeTint="F2"/>
        </w:rPr>
        <w:t>Tiranë, Vlorë, Durrës, kosto</w:t>
      </w:r>
      <w:r w:rsidR="004D6F1B">
        <w:rPr>
          <w:rFonts w:ascii="Garamond" w:hAnsi="Garamond" w:cstheme="majorBidi"/>
          <w:color w:val="0D0D0D" w:themeColor="text1" w:themeTint="F2"/>
        </w:rPr>
        <w:t>ja</w:t>
      </w:r>
      <w:r w:rsidRPr="00770F9D">
        <w:rPr>
          <w:rFonts w:ascii="Garamond" w:hAnsi="Garamond" w:cstheme="majorBidi"/>
          <w:color w:val="0D0D0D" w:themeColor="text1" w:themeTint="F2"/>
        </w:rPr>
        <w:t xml:space="preserve"> e paras</w:t>
      </w:r>
      <w:r w:rsidR="0065336A">
        <w:rPr>
          <w:rFonts w:ascii="Garamond" w:hAnsi="Garamond" w:cstheme="majorBidi"/>
          <w:color w:val="0D0D0D" w:themeColor="text1" w:themeTint="F2"/>
        </w:rPr>
        <w:t xml:space="preserve">hikuar llogaritet rreth 700 000 </w:t>
      </w:r>
      <w:r w:rsidRPr="00770F9D">
        <w:rPr>
          <w:rFonts w:ascii="Garamond" w:hAnsi="Garamond" w:cstheme="majorBidi"/>
          <w:color w:val="0D0D0D" w:themeColor="text1" w:themeTint="F2"/>
        </w:rPr>
        <w:t xml:space="preserve">euro në total. Kostoja totale e projektit “Zbatimi i projektit të auditimit dhe zbatimi i masave për </w:t>
      </w:r>
      <w:r w:rsidR="00421485">
        <w:rPr>
          <w:rFonts w:ascii="Garamond" w:hAnsi="Garamond" w:cstheme="majorBidi"/>
          <w:color w:val="0D0D0D" w:themeColor="text1" w:themeTint="F2"/>
        </w:rPr>
        <w:t>eficienc</w:t>
      </w:r>
      <w:r w:rsidRPr="00770F9D">
        <w:rPr>
          <w:rFonts w:ascii="Garamond" w:hAnsi="Garamond" w:cstheme="majorBidi"/>
          <w:color w:val="0D0D0D" w:themeColor="text1" w:themeTint="F2"/>
        </w:rPr>
        <w:t>ën e energjisë në disa shkoll</w:t>
      </w:r>
      <w:r w:rsidR="0065336A">
        <w:rPr>
          <w:rFonts w:ascii="Garamond" w:hAnsi="Garamond" w:cstheme="majorBidi"/>
          <w:color w:val="0D0D0D" w:themeColor="text1" w:themeTint="F2"/>
        </w:rPr>
        <w:t>a publike të qytetit të Dibrës”</w:t>
      </w:r>
      <w:r w:rsidRPr="00770F9D">
        <w:rPr>
          <w:rFonts w:ascii="Garamond" w:hAnsi="Garamond" w:cstheme="majorBidi"/>
          <w:color w:val="0D0D0D" w:themeColor="text1" w:themeTint="F2"/>
        </w:rPr>
        <w:t xml:space="preserve"> është afërsisht 500 000 euro</w:t>
      </w:r>
    </w:p>
    <w:p w14:paraId="14941AF1" w14:textId="091D377C" w:rsidR="00080139" w:rsidRPr="00770F9D" w:rsidRDefault="00A67654"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5</w:t>
      </w:r>
      <w:r w:rsidR="005674F2"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Ndikimi i pritshëm në përfundimet sociale</w:t>
      </w:r>
      <w:r w:rsidR="004D32CC">
        <w:rPr>
          <w:rFonts w:ascii="Garamond" w:hAnsi="Garamond" w:cstheme="majorBidi"/>
          <w:color w:val="0D0D0D" w:themeColor="text1" w:themeTint="F2"/>
          <w:u w:val="none"/>
        </w:rPr>
        <w:t>,</w:t>
      </w:r>
      <w:r w:rsidR="00B2062A" w:rsidRPr="00770F9D">
        <w:rPr>
          <w:rFonts w:ascii="Garamond" w:hAnsi="Garamond" w:cstheme="majorBidi"/>
          <w:color w:val="0D0D0D" w:themeColor="text1" w:themeTint="F2"/>
          <w:u w:val="none"/>
        </w:rPr>
        <w:t xml:space="preserve"> si punësimi, ulja e varfërisë, barazia gjinore dhe aksesi në kujdesin shëndetësor</w:t>
      </w:r>
    </w:p>
    <w:p w14:paraId="10DA3A43" w14:textId="24AF1DF7" w:rsidR="0084426F" w:rsidRPr="00770F9D" w:rsidRDefault="0084426F"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Sektori i burimeve të rinovueshme do të ketë ndikim të drejtpërdrejtë social dhe ekonomik</w:t>
      </w:r>
      <w:r w:rsidR="004D32CC">
        <w:rPr>
          <w:rFonts w:ascii="Garamond" w:hAnsi="Garamond" w:cstheme="majorBidi"/>
          <w:color w:val="0D0D0D" w:themeColor="text1" w:themeTint="F2"/>
        </w:rPr>
        <w:t>,</w:t>
      </w:r>
      <w:r w:rsidRPr="00770F9D">
        <w:rPr>
          <w:rFonts w:ascii="Garamond" w:hAnsi="Garamond" w:cstheme="majorBidi"/>
          <w:color w:val="0D0D0D" w:themeColor="text1" w:themeTint="F2"/>
        </w:rPr>
        <w:t xml:space="preserve"> duke kontribuar në përmirësimin e mundësive të punësimit. Energjia e rinovueshme ka rritur numrin e punonjësve në një sërë kapacitetesh, duke përfshirë zhvillimin e projektit, ndërtimin, instalimin, operimin dhe mirëmbajtjen, transportin dhe logjistikën, shërbimet financiare, ligjore dhe këshilluese. Në sektorin industrial do të rekrutohen edhe staf të kualifikuar me kualifikime të duhura profesionale (auditorë dhe kompani ESCO), të cilët do të angazhohen në vazhdimësi në monitorimin e konsumit dhe propozimin e masave të reja për arritjen e kursimeve. Barazia gjinore po bën progres të qëndrueshëm në çdo fushë të ekonomisë, si dhe në industrinë e burimeve të rinovueshme. Numri i grave në role biznesi e tejkaloi atë të grave që drejtojnë burimet njerëzore, gjë që sinjalizon një ndryshim në llojet e përgjegjësive që gratë marrin tani. Në Shqipëri, nuk ka kërkesa ligjore</w:t>
      </w:r>
      <w:r w:rsidR="00BA15BA">
        <w:rPr>
          <w:rFonts w:ascii="Garamond" w:hAnsi="Garamond" w:cstheme="majorBidi"/>
          <w:color w:val="0D0D0D" w:themeColor="text1" w:themeTint="F2"/>
        </w:rPr>
        <w:t>,</w:t>
      </w:r>
      <w:r w:rsidRPr="00770F9D">
        <w:rPr>
          <w:rFonts w:ascii="Garamond" w:hAnsi="Garamond" w:cstheme="majorBidi"/>
          <w:color w:val="0D0D0D" w:themeColor="text1" w:themeTint="F2"/>
        </w:rPr>
        <w:t xml:space="preserve"> që synojnë në mënyrë specifike pjesëmarrjen e grave në bordet e kompanive. Megjithatë, për disa arsye duket një ritëm i përshpejtuar me të cilin kompanitë rrisin pjesëmarrjen e grave në fushën e </w:t>
      </w:r>
      <w:r w:rsidR="004D32CC">
        <w:rPr>
          <w:rFonts w:ascii="Garamond" w:hAnsi="Garamond" w:cstheme="majorBidi"/>
          <w:color w:val="0D0D0D" w:themeColor="text1" w:themeTint="F2"/>
        </w:rPr>
        <w:t>burimeve të rinovueshme dhe efic</w:t>
      </w:r>
      <w:r w:rsidRPr="00770F9D">
        <w:rPr>
          <w:rFonts w:ascii="Garamond" w:hAnsi="Garamond" w:cstheme="majorBidi"/>
          <w:color w:val="0D0D0D" w:themeColor="text1" w:themeTint="F2"/>
        </w:rPr>
        <w:t>iencës së energjisë.</w:t>
      </w:r>
    </w:p>
    <w:p w14:paraId="73B9F329" w14:textId="2B72DA76" w:rsidR="0084426F" w:rsidRPr="00770F9D" w:rsidRDefault="0084426F"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Kjo reformë kontribuon në krijimin e vendeve të punës dhe konkurrencën dhe do të lejojë</w:t>
      </w:r>
      <w:r w:rsidR="00BA15BA">
        <w:rPr>
          <w:rFonts w:ascii="Garamond" w:hAnsi="Garamond" w:cstheme="majorBidi"/>
          <w:color w:val="0D0D0D" w:themeColor="text1" w:themeTint="F2"/>
        </w:rPr>
        <w:t>,</w:t>
      </w:r>
      <w:r w:rsidRPr="00770F9D">
        <w:rPr>
          <w:rFonts w:ascii="Garamond" w:hAnsi="Garamond" w:cstheme="majorBidi"/>
          <w:color w:val="0D0D0D" w:themeColor="text1" w:themeTint="F2"/>
        </w:rPr>
        <w:t xml:space="preserve"> gjithashtu</w:t>
      </w:r>
      <w:r w:rsidR="00BA15BA">
        <w:rPr>
          <w:rFonts w:ascii="Garamond" w:hAnsi="Garamond" w:cstheme="majorBidi"/>
          <w:color w:val="0D0D0D" w:themeColor="text1" w:themeTint="F2"/>
        </w:rPr>
        <w:t>,</w:t>
      </w:r>
      <w:r w:rsidRPr="00770F9D">
        <w:rPr>
          <w:rFonts w:ascii="Garamond" w:hAnsi="Garamond" w:cstheme="majorBidi"/>
          <w:color w:val="0D0D0D" w:themeColor="text1" w:themeTint="F2"/>
        </w:rPr>
        <w:t xml:space="preserve"> uljen e kostos së energjisë për konsumatorët. Kjo reformë do të kontribuojë në mënyrë indirekte në krijimin e vendeve të punës duke siguruar besueshmëri në furnizim me energji me nivele të arsyeshme çmimesh dhe</w:t>
      </w:r>
      <w:r w:rsidR="00BA15BA">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 rrjedhojë</w:t>
      </w:r>
      <w:r w:rsidR="00BA15BA">
        <w:rPr>
          <w:rFonts w:ascii="Garamond" w:hAnsi="Garamond" w:cstheme="majorBidi"/>
          <w:color w:val="0D0D0D" w:themeColor="text1" w:themeTint="F2"/>
        </w:rPr>
        <w:t>,</w:t>
      </w:r>
      <w:r w:rsidRPr="00770F9D">
        <w:rPr>
          <w:rFonts w:ascii="Garamond" w:hAnsi="Garamond" w:cstheme="majorBidi"/>
          <w:color w:val="0D0D0D" w:themeColor="text1" w:themeTint="F2"/>
        </w:rPr>
        <w:t xml:space="preserve"> stimulon mjedisin e përgjithshëm të biznesit dhe e bën sektorin më tërheqës për investitorët. Është një masë reforme neutrale ndaj gjinisë</w:t>
      </w:r>
    </w:p>
    <w:p w14:paraId="385A6A51" w14:textId="04300017" w:rsidR="00080139" w:rsidRPr="00770F9D" w:rsidRDefault="00A67654"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6</w:t>
      </w:r>
      <w:r w:rsidR="005674F2"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Ndikimi i pritshëm në mjedis dhe ndryshimi i klimës</w:t>
      </w:r>
    </w:p>
    <w:p w14:paraId="7FAD724C" w14:textId="256A03AE" w:rsidR="0084426F" w:rsidRPr="00770F9D" w:rsidRDefault="0084426F" w:rsidP="00AD6D47">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Plani Kombëtar i Energjisë dhe Klimës (PKEK) 2020</w:t>
      </w:r>
      <w:r w:rsidR="00BA15BA">
        <w:rPr>
          <w:rFonts w:ascii="Garamond" w:hAnsi="Garamond" w:cstheme="majorBidi"/>
          <w:color w:val="0D0D0D" w:themeColor="text1" w:themeTint="F2"/>
        </w:rPr>
        <w:t>–</w:t>
      </w:r>
      <w:r w:rsidRPr="00770F9D">
        <w:rPr>
          <w:rFonts w:ascii="Garamond" w:hAnsi="Garamond" w:cstheme="majorBidi"/>
          <w:color w:val="0D0D0D" w:themeColor="text1" w:themeTint="F2"/>
        </w:rPr>
        <w:t>2</w:t>
      </w:r>
      <w:r w:rsidR="00BA15BA">
        <w:rPr>
          <w:rFonts w:ascii="Garamond" w:hAnsi="Garamond" w:cstheme="majorBidi"/>
          <w:color w:val="0D0D0D" w:themeColor="text1" w:themeTint="F2"/>
        </w:rPr>
        <w:t xml:space="preserve">030 </w:t>
      </w:r>
      <w:r w:rsidRPr="00770F9D">
        <w:rPr>
          <w:rFonts w:ascii="Garamond" w:hAnsi="Garamond" w:cstheme="majorBidi"/>
          <w:color w:val="0D0D0D" w:themeColor="text1" w:themeTint="F2"/>
        </w:rPr>
        <w:t>është miratuar me vendim të Këshillit të Ministrave nr. 872, datë 29.12.2021</w:t>
      </w:r>
      <w:r w:rsidR="00BA15BA">
        <w:rPr>
          <w:rFonts w:ascii="Garamond" w:hAnsi="Garamond" w:cstheme="majorBidi"/>
          <w:color w:val="0D0D0D" w:themeColor="text1" w:themeTint="F2"/>
        </w:rPr>
        <w:t>,</w:t>
      </w:r>
      <w:r w:rsidRPr="00770F9D">
        <w:rPr>
          <w:rFonts w:ascii="Garamond" w:hAnsi="Garamond" w:cstheme="majorBidi"/>
          <w:color w:val="0D0D0D" w:themeColor="text1" w:themeTint="F2"/>
        </w:rPr>
        <w:t xml:space="preserve"> duke marrë parasysh përshtatjen ndaj ndryshimeve klimatike. Shqipëria nënshkroi Marrëveshjen e Parisit më 22 </w:t>
      </w:r>
      <w:r w:rsidR="00BA15BA" w:rsidRPr="00770F9D">
        <w:rPr>
          <w:rFonts w:ascii="Garamond" w:hAnsi="Garamond" w:cstheme="majorBidi"/>
          <w:color w:val="0D0D0D" w:themeColor="text1" w:themeTint="F2"/>
        </w:rPr>
        <w:t xml:space="preserve">prill </w:t>
      </w:r>
      <w:r w:rsidRPr="00770F9D">
        <w:rPr>
          <w:rFonts w:ascii="Garamond" w:hAnsi="Garamond" w:cstheme="majorBidi"/>
          <w:color w:val="0D0D0D" w:themeColor="text1" w:themeTint="F2"/>
        </w:rPr>
        <w:t xml:space="preserve">2016, duke hyrë në një epokë të re të procesit të politikës ndërkombëtare të klimës. Shqipëria </w:t>
      </w:r>
      <w:r w:rsidR="00BA15BA">
        <w:rPr>
          <w:rFonts w:ascii="Garamond" w:hAnsi="Garamond" w:cstheme="majorBidi"/>
          <w:color w:val="0D0D0D" w:themeColor="text1" w:themeTint="F2"/>
        </w:rPr>
        <w:t>i</w:t>
      </w:r>
      <w:r w:rsidRPr="00770F9D">
        <w:rPr>
          <w:rFonts w:ascii="Garamond" w:hAnsi="Garamond" w:cstheme="majorBidi"/>
          <w:color w:val="0D0D0D" w:themeColor="text1" w:themeTint="F2"/>
        </w:rPr>
        <w:t>u bashkua Konventës Kuadër të Kombeve të Bashkuara për Ndryshimet Klimatike (UNFCCC) në 1995 dhe Protokollit të K</w:t>
      </w:r>
      <w:r w:rsidR="00BA15BA">
        <w:rPr>
          <w:rFonts w:ascii="Garamond" w:hAnsi="Garamond" w:cstheme="majorBidi"/>
          <w:color w:val="0D0D0D" w:themeColor="text1" w:themeTint="F2"/>
        </w:rPr>
        <w:t>j</w:t>
      </w:r>
      <w:r w:rsidRPr="00770F9D">
        <w:rPr>
          <w:rFonts w:ascii="Garamond" w:hAnsi="Garamond" w:cstheme="majorBidi"/>
          <w:color w:val="0D0D0D" w:themeColor="text1" w:themeTint="F2"/>
        </w:rPr>
        <w:t>otos në 2005 dhe ka filluar procesin e ndryshimit të statusit të një vendi në zhvillim në një të zhvilluar, në kuadrin e UNFCCC</w:t>
      </w:r>
      <w:r w:rsidR="00BA15BA">
        <w:rPr>
          <w:rFonts w:ascii="Garamond" w:hAnsi="Garamond" w:cstheme="majorBidi"/>
          <w:color w:val="0D0D0D" w:themeColor="text1" w:themeTint="F2"/>
        </w:rPr>
        <w:t>-së</w:t>
      </w:r>
      <w:r w:rsidRPr="00770F9D">
        <w:rPr>
          <w:rFonts w:ascii="Garamond" w:hAnsi="Garamond" w:cstheme="majorBidi"/>
          <w:color w:val="0D0D0D" w:themeColor="text1" w:themeTint="F2"/>
        </w:rPr>
        <w:t xml:space="preserve">. Shumica e burimeve të rinovueshme të energjisë prodhojnë pak ose aspak emetime të ngrohjes globale. Sistemet e erës, diellore dhe hidroelektrike prodhojnë energji elektrike pa emetime të lidhura me ndotjen e ajrit. Për më tepër, era dhe energjia diellore në thelb nuk kërkojnë ujë për të funksionuar dhe kështu nuk ndotin burimet ujore ose furnizimet. Prodhimi i energjisë nga instalimet e rinovueshme nuk kontribuon në emetimet e gazit të karbonit. Masat e </w:t>
      </w:r>
      <w:r w:rsidR="00421485">
        <w:rPr>
          <w:rFonts w:ascii="Garamond" w:hAnsi="Garamond" w:cstheme="majorBidi"/>
          <w:color w:val="0D0D0D" w:themeColor="text1" w:themeTint="F2"/>
        </w:rPr>
        <w:t>eficienc</w:t>
      </w:r>
      <w:r w:rsidRPr="00770F9D">
        <w:rPr>
          <w:rFonts w:ascii="Garamond" w:hAnsi="Garamond" w:cstheme="majorBidi"/>
          <w:color w:val="0D0D0D" w:themeColor="text1" w:themeTint="F2"/>
        </w:rPr>
        <w:t>ës së energjisë janë një mjet i rëndësishëm për të reduktuar emetimet e CO</w:t>
      </w:r>
      <w:r w:rsidRPr="00BA15BA">
        <w:rPr>
          <w:rFonts w:ascii="Garamond" w:hAnsi="Garamond" w:cstheme="majorBidi"/>
          <w:color w:val="0D0D0D" w:themeColor="text1" w:themeTint="F2"/>
          <w:vertAlign w:val="subscript"/>
        </w:rPr>
        <w:t>2</w:t>
      </w:r>
      <w:r w:rsidRPr="00770F9D">
        <w:rPr>
          <w:rFonts w:ascii="Garamond" w:hAnsi="Garamond" w:cstheme="majorBidi"/>
          <w:color w:val="0D0D0D" w:themeColor="text1" w:themeTint="F2"/>
        </w:rPr>
        <w:t xml:space="preserve"> nëpërmjet kursimeve në të gjithë sektorët, industri, vendbanim, transport etj. Masat për dekarbonizimin, BRE </w:t>
      </w:r>
      <w:r w:rsidR="00AD6D47">
        <w:rPr>
          <w:rFonts w:ascii="Garamond" w:hAnsi="Garamond" w:cstheme="majorBidi"/>
          <w:color w:val="0D0D0D" w:themeColor="text1" w:themeTint="F2"/>
        </w:rPr>
        <w:t>dhe</w:t>
      </w:r>
      <w:r w:rsidRPr="00770F9D">
        <w:rPr>
          <w:rFonts w:ascii="Garamond" w:hAnsi="Garamond" w:cstheme="majorBidi"/>
          <w:color w:val="0D0D0D" w:themeColor="text1" w:themeTint="F2"/>
        </w:rPr>
        <w:t xml:space="preserve"> EE janë pjesë e dokumentit NECP. Qasja në energji të përballueshme dhe të besueshme në përputhje me SDG#7</w:t>
      </w:r>
      <w:r w:rsidR="00AD6D47">
        <w:rPr>
          <w:rFonts w:ascii="Garamond" w:hAnsi="Garamond" w:cstheme="majorBidi"/>
          <w:color w:val="0D0D0D" w:themeColor="text1" w:themeTint="F2"/>
        </w:rPr>
        <w:t>,</w:t>
      </w:r>
      <w:r w:rsidRPr="00770F9D">
        <w:rPr>
          <w:rFonts w:ascii="Garamond" w:hAnsi="Garamond" w:cstheme="majorBidi"/>
          <w:color w:val="0D0D0D" w:themeColor="text1" w:themeTint="F2"/>
        </w:rPr>
        <w:t xml:space="preserve"> duke rritur pjesën e energjisë së rinovueshme në përzierjen globale të energjisë. Kjo do të përfshinte përmirësimin e efikasitetit të energjisë dhe rritjen e bashkëpunimit ndërkombëtar për të lehtësuar aksesin më të hapur në teknologjinë e energjisë së pastër dhe më shumë investime në infrastrukturën e energjisë së pastër. Aksesi në energji është një shtyllë shumë e rëndësishme për mirëqenien e njerëzve si dhe zhvillimin ekonomik dhe zbutjen e varfërisë përmes rritjes së </w:t>
      </w:r>
      <w:r w:rsidR="00AD6D47">
        <w:rPr>
          <w:rFonts w:ascii="Garamond" w:hAnsi="Garamond" w:cstheme="majorBidi"/>
          <w:color w:val="0D0D0D" w:themeColor="text1" w:themeTint="F2"/>
        </w:rPr>
        <w:t>për</w:t>
      </w:r>
      <w:r w:rsidR="00623F19" w:rsidRPr="00770F9D">
        <w:rPr>
          <w:rFonts w:ascii="Garamond" w:hAnsi="Garamond" w:cstheme="majorBidi"/>
          <w:color w:val="0D0D0D" w:themeColor="text1" w:themeTint="F2"/>
        </w:rPr>
        <w:t>qind</w:t>
      </w:r>
      <w:r w:rsidRPr="00770F9D">
        <w:rPr>
          <w:rFonts w:ascii="Garamond" w:hAnsi="Garamond" w:cstheme="majorBidi"/>
          <w:color w:val="0D0D0D" w:themeColor="text1" w:themeTint="F2"/>
        </w:rPr>
        <w:t xml:space="preserve">jes globale të energjisë së rinovueshme dhe përmirësimeve në </w:t>
      </w:r>
      <w:r w:rsidR="00421485">
        <w:rPr>
          <w:rFonts w:ascii="Garamond" w:hAnsi="Garamond" w:cstheme="majorBidi"/>
          <w:color w:val="0D0D0D" w:themeColor="text1" w:themeTint="F2"/>
        </w:rPr>
        <w:t>eficienc</w:t>
      </w:r>
      <w:r w:rsidRPr="00770F9D">
        <w:rPr>
          <w:rFonts w:ascii="Garamond" w:hAnsi="Garamond" w:cstheme="majorBidi"/>
          <w:color w:val="0D0D0D" w:themeColor="text1" w:themeTint="F2"/>
        </w:rPr>
        <w:t>ën e energjisë.</w:t>
      </w:r>
    </w:p>
    <w:p w14:paraId="6E291E41" w14:textId="0CB44B06" w:rsidR="00080139" w:rsidRPr="00770F9D" w:rsidRDefault="00A67654"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7</w:t>
      </w:r>
      <w:r w:rsidR="005674F2"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Rreziqet e mundshme</w:t>
      </w:r>
    </w:p>
    <w:p w14:paraId="3A7A84B9" w14:textId="1090DCF1" w:rsidR="00877F0D" w:rsidRPr="00770F9D" w:rsidRDefault="00683178"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Parashikohen rreziqe në realizimin e reformës nëpërmjet zbatimit të projekteve dhe </w:t>
      </w:r>
      <w:r w:rsidR="00FA5A50">
        <w:rPr>
          <w:rFonts w:ascii="Garamond" w:hAnsi="Garamond" w:cstheme="majorBidi"/>
          <w:color w:val="0D0D0D" w:themeColor="text1" w:themeTint="F2"/>
        </w:rPr>
        <w:t xml:space="preserve">të </w:t>
      </w:r>
      <w:r w:rsidRPr="00770F9D">
        <w:rPr>
          <w:rFonts w:ascii="Garamond" w:hAnsi="Garamond" w:cstheme="majorBidi"/>
          <w:color w:val="0D0D0D" w:themeColor="text1" w:themeTint="F2"/>
        </w:rPr>
        <w:t>finalizimit të kuadrit legjislativ, për më tepër situata e post COVID dhe kriza energjetike ka ndikuar më shumë në mbështetjen e diversifikimit të burimeve të furnizimit me energji nëpërmjet rritjes së prodhimit të energjisë nga panelete fotovoltaike dhe era, financuar nga kompanitë private dhe ankandet e projekteve në vazhdim. Mund të ketë një rrezik të përgjithshëm</w:t>
      </w:r>
      <w:r w:rsidR="00FA5A50">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 shkak të ndërveprimit të nevojshëm midis të gjithë aktorëve përkatës. Vonesa në miratimin e akteve nënligjore; </w:t>
      </w:r>
      <w:r w:rsidR="00FA5A50" w:rsidRPr="00770F9D">
        <w:rPr>
          <w:rFonts w:ascii="Garamond" w:hAnsi="Garamond" w:cstheme="majorBidi"/>
          <w:color w:val="0D0D0D" w:themeColor="text1" w:themeTint="F2"/>
        </w:rPr>
        <w:t xml:space="preserve">mungesa </w:t>
      </w:r>
      <w:r w:rsidRPr="00770F9D">
        <w:rPr>
          <w:rFonts w:ascii="Garamond" w:hAnsi="Garamond" w:cstheme="majorBidi"/>
          <w:color w:val="0D0D0D" w:themeColor="text1" w:themeTint="F2"/>
        </w:rPr>
        <w:t xml:space="preserve">e një instrumenti financiar ndërsa disa projekte do të realizohen nga buxheti i shtetit dhe disa nga instrumentet e huaja financiare (fondet IPA); </w:t>
      </w:r>
      <w:r w:rsidR="00FA5A50" w:rsidRPr="00770F9D">
        <w:rPr>
          <w:rFonts w:ascii="Garamond" w:hAnsi="Garamond" w:cstheme="majorBidi"/>
          <w:color w:val="0D0D0D" w:themeColor="text1" w:themeTint="F2"/>
        </w:rPr>
        <w:t xml:space="preserve">vonesat </w:t>
      </w:r>
      <w:r w:rsidRPr="00770F9D">
        <w:rPr>
          <w:rFonts w:ascii="Garamond" w:hAnsi="Garamond" w:cstheme="majorBidi"/>
          <w:color w:val="0D0D0D" w:themeColor="text1" w:themeTint="F2"/>
        </w:rPr>
        <w:t xml:space="preserve">në miratimin e VKM-së; </w:t>
      </w:r>
      <w:r w:rsidR="00FA5A50" w:rsidRPr="00770F9D">
        <w:rPr>
          <w:rFonts w:ascii="Garamond" w:hAnsi="Garamond" w:cstheme="majorBidi"/>
          <w:color w:val="0D0D0D" w:themeColor="text1" w:themeTint="F2"/>
        </w:rPr>
        <w:t xml:space="preserve">vonesat </w:t>
      </w:r>
      <w:r w:rsidRPr="00770F9D">
        <w:rPr>
          <w:rFonts w:ascii="Garamond" w:hAnsi="Garamond" w:cstheme="majorBidi"/>
          <w:color w:val="0D0D0D" w:themeColor="text1" w:themeTint="F2"/>
        </w:rPr>
        <w:t>në aktivitetet e projektit (faza e prokurimit etj.).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5"/>
        <w:gridCol w:w="1360"/>
        <w:gridCol w:w="3882"/>
      </w:tblGrid>
      <w:tr w:rsidR="00FA29AB" w:rsidRPr="00770F9D" w14:paraId="72400131" w14:textId="77777777" w:rsidTr="00FA5A50">
        <w:trPr>
          <w:jc w:val="center"/>
        </w:trPr>
        <w:tc>
          <w:tcPr>
            <w:tcW w:w="4531" w:type="dxa"/>
            <w:shd w:val="clear" w:color="auto" w:fill="auto"/>
            <w:vAlign w:val="center"/>
          </w:tcPr>
          <w:p w14:paraId="09427046" w14:textId="77777777" w:rsidR="000B1809" w:rsidRPr="00FA5A50" w:rsidRDefault="00B2062A" w:rsidP="00FA5A50">
            <w:pPr>
              <w:widowControl w:val="0"/>
              <w:jc w:val="center"/>
              <w:rPr>
                <w:rFonts w:ascii="Garamond" w:hAnsi="Garamond" w:cstheme="majorBidi"/>
                <w:b/>
                <w:bCs/>
                <w:color w:val="0D0D0D" w:themeColor="text1" w:themeTint="F2"/>
                <w:sz w:val="20"/>
                <w:szCs w:val="20"/>
              </w:rPr>
            </w:pPr>
            <w:r w:rsidRPr="00FA5A50">
              <w:rPr>
                <w:rFonts w:ascii="Garamond" w:hAnsi="Garamond" w:cstheme="majorBidi"/>
                <w:b/>
                <w:bCs/>
                <w:color w:val="0D0D0D" w:themeColor="text1" w:themeTint="F2"/>
                <w:sz w:val="20"/>
                <w:szCs w:val="20"/>
              </w:rPr>
              <w:t>Rreziku</w:t>
            </w:r>
          </w:p>
        </w:tc>
        <w:tc>
          <w:tcPr>
            <w:tcW w:w="1418" w:type="dxa"/>
            <w:shd w:val="clear" w:color="auto" w:fill="auto"/>
            <w:vAlign w:val="center"/>
          </w:tcPr>
          <w:p w14:paraId="54D9D058" w14:textId="77777777" w:rsidR="000B1809" w:rsidRPr="00FA5A50" w:rsidRDefault="00B2062A" w:rsidP="00FA5A50">
            <w:pPr>
              <w:widowControl w:val="0"/>
              <w:jc w:val="center"/>
              <w:rPr>
                <w:rFonts w:ascii="Garamond" w:hAnsi="Garamond" w:cstheme="majorBidi"/>
                <w:b/>
                <w:bCs/>
                <w:color w:val="0D0D0D" w:themeColor="text1" w:themeTint="F2"/>
                <w:sz w:val="20"/>
                <w:szCs w:val="20"/>
              </w:rPr>
            </w:pPr>
            <w:r w:rsidRPr="00FA5A50">
              <w:rPr>
                <w:rFonts w:ascii="Garamond" w:hAnsi="Garamond" w:cstheme="majorBidi"/>
                <w:b/>
                <w:bCs/>
                <w:color w:val="0D0D0D" w:themeColor="text1" w:themeTint="F2"/>
                <w:sz w:val="20"/>
                <w:szCs w:val="20"/>
              </w:rPr>
              <w:t>Mundësia</w:t>
            </w:r>
            <w:r w:rsidR="000B1809" w:rsidRPr="00FA5A50">
              <w:rPr>
                <w:rFonts w:ascii="Garamond" w:hAnsi="Garamond" w:cstheme="majorBidi"/>
                <w:b/>
                <w:bCs/>
                <w:color w:val="0D0D0D" w:themeColor="text1" w:themeTint="F2"/>
                <w:sz w:val="20"/>
                <w:szCs w:val="20"/>
              </w:rPr>
              <w:t xml:space="preserve"> (</w:t>
            </w:r>
            <w:r w:rsidRPr="00FA5A50">
              <w:rPr>
                <w:rFonts w:ascii="Garamond" w:hAnsi="Garamond" w:cstheme="majorBidi"/>
                <w:b/>
                <w:bCs/>
                <w:color w:val="0D0D0D" w:themeColor="text1" w:themeTint="F2"/>
                <w:sz w:val="20"/>
                <w:szCs w:val="20"/>
              </w:rPr>
              <w:t>e ulët, e lartë</w:t>
            </w:r>
            <w:r w:rsidR="000B1809" w:rsidRPr="00FA5A50">
              <w:rPr>
                <w:rFonts w:ascii="Garamond" w:hAnsi="Garamond" w:cstheme="majorBidi"/>
                <w:b/>
                <w:bCs/>
                <w:color w:val="0D0D0D" w:themeColor="text1" w:themeTint="F2"/>
                <w:sz w:val="20"/>
                <w:szCs w:val="20"/>
              </w:rPr>
              <w:t>)</w:t>
            </w:r>
          </w:p>
        </w:tc>
        <w:tc>
          <w:tcPr>
            <w:tcW w:w="4394" w:type="dxa"/>
            <w:shd w:val="clear" w:color="auto" w:fill="auto"/>
            <w:vAlign w:val="center"/>
          </w:tcPr>
          <w:p w14:paraId="431AB289" w14:textId="77777777" w:rsidR="000B1809" w:rsidRPr="00FA5A50" w:rsidRDefault="00B2062A" w:rsidP="00FA5A50">
            <w:pPr>
              <w:widowControl w:val="0"/>
              <w:jc w:val="center"/>
              <w:rPr>
                <w:rFonts w:ascii="Garamond" w:hAnsi="Garamond" w:cstheme="majorBidi"/>
                <w:b/>
                <w:bCs/>
                <w:color w:val="0D0D0D" w:themeColor="text1" w:themeTint="F2"/>
                <w:sz w:val="20"/>
                <w:szCs w:val="20"/>
              </w:rPr>
            </w:pPr>
            <w:r w:rsidRPr="00FA5A50">
              <w:rPr>
                <w:rFonts w:ascii="Garamond" w:hAnsi="Garamond" w:cstheme="majorBidi"/>
                <w:b/>
                <w:bCs/>
                <w:color w:val="0D0D0D" w:themeColor="text1" w:themeTint="F2"/>
                <w:sz w:val="20"/>
                <w:szCs w:val="20"/>
              </w:rPr>
              <w:t>Veprimi zbutës i parashikuar</w:t>
            </w:r>
          </w:p>
        </w:tc>
      </w:tr>
      <w:tr w:rsidR="00683178" w:rsidRPr="00770F9D" w14:paraId="61BB06A8" w14:textId="77777777" w:rsidTr="00FA5A50">
        <w:trPr>
          <w:jc w:val="center"/>
        </w:trPr>
        <w:tc>
          <w:tcPr>
            <w:tcW w:w="4531" w:type="dxa"/>
            <w:shd w:val="clear" w:color="auto" w:fill="auto"/>
          </w:tcPr>
          <w:p w14:paraId="1C7AA353" w14:textId="77777777" w:rsidR="00683178" w:rsidRPr="00770F9D" w:rsidRDefault="00683178" w:rsidP="00A67654">
            <w:pPr>
              <w:pStyle w:val="TableParagraph"/>
              <w:rPr>
                <w:rFonts w:ascii="Garamond" w:eastAsia="Arial Narrow" w:hAnsi="Garamond" w:cstheme="majorBidi"/>
                <w:color w:val="0D0D0D" w:themeColor="text1" w:themeTint="F2"/>
                <w:sz w:val="20"/>
                <w:szCs w:val="20"/>
              </w:rPr>
            </w:pPr>
            <w:r w:rsidRPr="00770F9D">
              <w:rPr>
                <w:rFonts w:ascii="Garamond" w:hAnsi="Garamond" w:cstheme="majorBidi"/>
                <w:color w:val="0D0D0D" w:themeColor="text1" w:themeTint="F2"/>
                <w:sz w:val="20"/>
                <w:szCs w:val="20"/>
              </w:rPr>
              <w:t>Aktivitetet e zgjatjes së projekteve</w:t>
            </w:r>
          </w:p>
        </w:tc>
        <w:tc>
          <w:tcPr>
            <w:tcW w:w="1418" w:type="dxa"/>
            <w:shd w:val="clear" w:color="auto" w:fill="auto"/>
          </w:tcPr>
          <w:p w14:paraId="27D857A2" w14:textId="15059526" w:rsidR="00683178" w:rsidRPr="00770F9D" w:rsidRDefault="008F4A94" w:rsidP="00A67654">
            <w:pPr>
              <w:pStyle w:val="TableParagraph"/>
              <w:rPr>
                <w:rFonts w:ascii="Garamond" w:hAnsi="Garamond" w:cstheme="majorBidi"/>
                <w:color w:val="0D0D0D" w:themeColor="text1" w:themeTint="F2"/>
                <w:spacing w:val="-1"/>
                <w:sz w:val="20"/>
                <w:szCs w:val="20"/>
              </w:rPr>
            </w:pPr>
            <w:r>
              <w:rPr>
                <w:rFonts w:ascii="Garamond" w:hAnsi="Garamond" w:cstheme="majorBidi"/>
                <w:color w:val="0D0D0D" w:themeColor="text1" w:themeTint="F2"/>
                <w:sz w:val="20"/>
                <w:szCs w:val="20"/>
              </w:rPr>
              <w:t xml:space="preserve">I </w:t>
            </w:r>
            <w:r w:rsidRPr="00770F9D">
              <w:rPr>
                <w:rFonts w:ascii="Garamond" w:hAnsi="Garamond" w:cstheme="majorBidi"/>
                <w:color w:val="0D0D0D" w:themeColor="text1" w:themeTint="F2"/>
                <w:sz w:val="20"/>
                <w:szCs w:val="20"/>
              </w:rPr>
              <w:t>mesëm</w:t>
            </w:r>
          </w:p>
        </w:tc>
        <w:tc>
          <w:tcPr>
            <w:tcW w:w="4394" w:type="dxa"/>
            <w:shd w:val="clear" w:color="auto" w:fill="auto"/>
          </w:tcPr>
          <w:p w14:paraId="31A6A956" w14:textId="41ED9F87" w:rsidR="00683178" w:rsidRPr="00770F9D" w:rsidRDefault="00683178" w:rsidP="00A67654">
            <w:pPr>
              <w:pStyle w:val="TableParagraph"/>
              <w:rPr>
                <w:rFonts w:ascii="Garamond" w:hAnsi="Garamond" w:cstheme="majorBidi"/>
                <w:color w:val="0D0D0D" w:themeColor="text1" w:themeTint="F2"/>
                <w:spacing w:val="-1"/>
                <w:sz w:val="20"/>
                <w:szCs w:val="20"/>
              </w:rPr>
            </w:pPr>
            <w:r w:rsidRPr="00770F9D">
              <w:rPr>
                <w:rFonts w:ascii="Garamond" w:hAnsi="Garamond" w:cstheme="majorBidi"/>
                <w:color w:val="0D0D0D" w:themeColor="text1" w:themeTint="F2"/>
                <w:sz w:val="20"/>
                <w:szCs w:val="20"/>
              </w:rPr>
              <w:t>Monitorim i rregullt i realizimit të aktiviteteve. (Duhen përmendur vonesat në ndërtimin e impianteve të rinovueshme në proces autorizimi ose në bazë të zgjatjes së kontratave për ankande për çështje ligjore</w:t>
            </w:r>
            <w:r w:rsidR="008F4A94">
              <w:rPr>
                <w:rFonts w:ascii="Garamond" w:hAnsi="Garamond" w:cstheme="majorBidi"/>
                <w:color w:val="0D0D0D" w:themeColor="text1" w:themeTint="F2"/>
                <w:sz w:val="20"/>
                <w:szCs w:val="20"/>
              </w:rPr>
              <w:t>.</w:t>
            </w:r>
            <w:r w:rsidRPr="00770F9D">
              <w:rPr>
                <w:rFonts w:ascii="Garamond" w:hAnsi="Garamond" w:cstheme="majorBidi"/>
                <w:color w:val="0D0D0D" w:themeColor="text1" w:themeTint="F2"/>
                <w:sz w:val="20"/>
                <w:szCs w:val="20"/>
              </w:rPr>
              <w:t>)</w:t>
            </w:r>
          </w:p>
        </w:tc>
      </w:tr>
      <w:tr w:rsidR="00683178" w:rsidRPr="00770F9D" w14:paraId="7FFDABC9" w14:textId="77777777" w:rsidTr="00FA5A50">
        <w:trPr>
          <w:jc w:val="center"/>
        </w:trPr>
        <w:tc>
          <w:tcPr>
            <w:tcW w:w="4531" w:type="dxa"/>
            <w:shd w:val="clear" w:color="auto" w:fill="auto"/>
          </w:tcPr>
          <w:p w14:paraId="5EFB40A2" w14:textId="7052B676" w:rsidR="00683178" w:rsidRPr="00770F9D" w:rsidRDefault="00683178" w:rsidP="00EB64CA">
            <w:pPr>
              <w:pStyle w:val="TableParagraph"/>
              <w:rPr>
                <w:rFonts w:ascii="Garamond" w:eastAsia="Arial Narrow" w:hAnsi="Garamond" w:cstheme="majorBidi"/>
                <w:color w:val="0D0D0D" w:themeColor="text1" w:themeTint="F2"/>
                <w:sz w:val="20"/>
                <w:szCs w:val="20"/>
              </w:rPr>
            </w:pPr>
            <w:r w:rsidRPr="00770F9D">
              <w:rPr>
                <w:rFonts w:ascii="Garamond" w:hAnsi="Garamond" w:cstheme="majorBidi"/>
                <w:color w:val="0D0D0D" w:themeColor="text1" w:themeTint="F2"/>
                <w:sz w:val="20"/>
                <w:szCs w:val="20"/>
              </w:rPr>
              <w:t>Pengesat q</w:t>
            </w:r>
            <w:r w:rsidR="00EB64CA">
              <w:rPr>
                <w:rFonts w:ascii="Garamond" w:hAnsi="Garamond" w:cstheme="majorBidi"/>
                <w:color w:val="0D0D0D" w:themeColor="text1" w:themeTint="F2"/>
                <w:sz w:val="20"/>
                <w:szCs w:val="20"/>
              </w:rPr>
              <w:t>ë</w:t>
            </w:r>
            <w:r w:rsidRPr="00770F9D">
              <w:rPr>
                <w:rFonts w:ascii="Garamond" w:hAnsi="Garamond" w:cstheme="majorBidi"/>
                <w:color w:val="0D0D0D" w:themeColor="text1" w:themeTint="F2"/>
                <w:sz w:val="20"/>
                <w:szCs w:val="20"/>
              </w:rPr>
              <w:t xml:space="preserve"> mund të lindin gjatë procesit të shpronësimit, prokurimit dhe licencimit për </w:t>
            </w:r>
            <w:r w:rsidR="00F0482E">
              <w:rPr>
                <w:rFonts w:ascii="Garamond" w:hAnsi="Garamond" w:cstheme="majorBidi"/>
                <w:color w:val="0D0D0D" w:themeColor="text1" w:themeTint="F2"/>
                <w:sz w:val="20"/>
                <w:szCs w:val="20"/>
              </w:rPr>
              <w:t>projektin e linjave të interkon</w:t>
            </w:r>
            <w:r w:rsidRPr="00770F9D">
              <w:rPr>
                <w:rFonts w:ascii="Garamond" w:hAnsi="Garamond" w:cstheme="majorBidi"/>
                <w:color w:val="0D0D0D" w:themeColor="text1" w:themeTint="F2"/>
                <w:sz w:val="20"/>
                <w:szCs w:val="20"/>
              </w:rPr>
              <w:t>eksionit, të sistemit të shpërndarjes dhe rritjes së sigurisë energjetike</w:t>
            </w:r>
            <w:r w:rsidR="00F0482E">
              <w:rPr>
                <w:rFonts w:ascii="Garamond" w:hAnsi="Garamond" w:cstheme="majorBidi"/>
                <w:color w:val="0D0D0D" w:themeColor="text1" w:themeTint="F2"/>
                <w:sz w:val="20"/>
                <w:szCs w:val="20"/>
              </w:rPr>
              <w:t>,</w:t>
            </w:r>
            <w:r w:rsidRPr="00770F9D">
              <w:rPr>
                <w:rFonts w:ascii="Garamond" w:hAnsi="Garamond" w:cstheme="majorBidi"/>
                <w:color w:val="0D0D0D" w:themeColor="text1" w:themeTint="F2"/>
                <w:sz w:val="20"/>
                <w:szCs w:val="20"/>
              </w:rPr>
              <w:t xml:space="preserve"> si dhe pengesat teknike për projektet </w:t>
            </w:r>
          </w:p>
        </w:tc>
        <w:tc>
          <w:tcPr>
            <w:tcW w:w="1418" w:type="dxa"/>
            <w:shd w:val="clear" w:color="auto" w:fill="auto"/>
          </w:tcPr>
          <w:p w14:paraId="67EB6C61" w14:textId="12379CC3" w:rsidR="00683178" w:rsidRPr="00770F9D" w:rsidRDefault="008F4A94" w:rsidP="00A67654">
            <w:pPr>
              <w:pStyle w:val="TableParagraph"/>
              <w:rPr>
                <w:rFonts w:ascii="Garamond" w:hAnsi="Garamond" w:cstheme="majorBidi"/>
                <w:color w:val="0D0D0D" w:themeColor="text1" w:themeTint="F2"/>
                <w:spacing w:val="-1"/>
                <w:sz w:val="20"/>
                <w:szCs w:val="20"/>
              </w:rPr>
            </w:pPr>
            <w:r>
              <w:rPr>
                <w:rFonts w:ascii="Garamond" w:hAnsi="Garamond" w:cstheme="majorBidi"/>
                <w:color w:val="0D0D0D" w:themeColor="text1" w:themeTint="F2"/>
                <w:sz w:val="20"/>
                <w:szCs w:val="20"/>
              </w:rPr>
              <w:t xml:space="preserve">I </w:t>
            </w:r>
            <w:r w:rsidRPr="00770F9D">
              <w:rPr>
                <w:rFonts w:ascii="Garamond" w:hAnsi="Garamond" w:cstheme="majorBidi"/>
                <w:color w:val="0D0D0D" w:themeColor="text1" w:themeTint="F2"/>
                <w:sz w:val="20"/>
                <w:szCs w:val="20"/>
              </w:rPr>
              <w:t>ulët</w:t>
            </w:r>
          </w:p>
        </w:tc>
        <w:tc>
          <w:tcPr>
            <w:tcW w:w="4394" w:type="dxa"/>
            <w:shd w:val="clear" w:color="auto" w:fill="auto"/>
          </w:tcPr>
          <w:p w14:paraId="4DA9A3CC" w14:textId="77777777" w:rsidR="00683178" w:rsidRPr="00770F9D" w:rsidRDefault="00683178" w:rsidP="00A67654">
            <w:pPr>
              <w:pStyle w:val="TableParagraph"/>
              <w:rPr>
                <w:rFonts w:ascii="Garamond" w:hAnsi="Garamond" w:cstheme="majorBidi"/>
                <w:color w:val="0D0D0D" w:themeColor="text1" w:themeTint="F2"/>
                <w:spacing w:val="-1"/>
                <w:sz w:val="20"/>
                <w:szCs w:val="20"/>
              </w:rPr>
            </w:pPr>
            <w:r w:rsidRPr="00770F9D">
              <w:rPr>
                <w:rFonts w:ascii="Garamond" w:hAnsi="Garamond" w:cstheme="majorBidi"/>
                <w:color w:val="0D0D0D" w:themeColor="text1" w:themeTint="F2"/>
                <w:sz w:val="20"/>
                <w:szCs w:val="20"/>
              </w:rPr>
              <w:t>Monitorim, vlerësim dhe koordinim më i mirë me të gjitha palët e interesuara.</w:t>
            </w:r>
          </w:p>
        </w:tc>
      </w:tr>
    </w:tbl>
    <w:p w14:paraId="41B446B0" w14:textId="77777777" w:rsidR="00080139" w:rsidRPr="00770F9D" w:rsidRDefault="00080139" w:rsidP="005674F2">
      <w:pPr>
        <w:snapToGrid w:val="0"/>
        <w:ind w:firstLine="284"/>
        <w:rPr>
          <w:rFonts w:ascii="Garamond" w:hAnsi="Garamond" w:cstheme="majorBidi"/>
          <w:color w:val="0D0D0D" w:themeColor="text1" w:themeTint="F2"/>
        </w:rPr>
      </w:pPr>
    </w:p>
    <w:p w14:paraId="61748028" w14:textId="77F34330" w:rsidR="005674F2" w:rsidRPr="00770F9D" w:rsidRDefault="00A67654" w:rsidP="00400806">
      <w:pPr>
        <w:pStyle w:val="Heading3"/>
        <w:ind w:left="0" w:firstLine="284"/>
        <w:jc w:val="both"/>
        <w:rPr>
          <w:rFonts w:ascii="Garamond" w:hAnsi="Garamond"/>
          <w:b/>
          <w:bCs/>
          <w:color w:val="0D0D0D"/>
          <w:sz w:val="24"/>
          <w:szCs w:val="24"/>
        </w:rPr>
      </w:pPr>
      <w:r w:rsidRPr="00770F9D">
        <w:rPr>
          <w:rFonts w:ascii="Garamond" w:hAnsi="Garamond"/>
          <w:b/>
          <w:bCs/>
          <w:color w:val="0D0D0D"/>
          <w:sz w:val="24"/>
          <w:szCs w:val="24"/>
        </w:rPr>
        <w:t>5</w:t>
      </w:r>
      <w:r w:rsidR="005674F2" w:rsidRPr="00770F9D">
        <w:rPr>
          <w:rFonts w:ascii="Garamond" w:hAnsi="Garamond"/>
          <w:b/>
          <w:bCs/>
          <w:color w:val="0D0D0D"/>
          <w:sz w:val="24"/>
          <w:szCs w:val="24"/>
        </w:rPr>
        <w:t>.</w:t>
      </w:r>
      <w:r w:rsidRPr="00770F9D">
        <w:rPr>
          <w:rFonts w:ascii="Garamond" w:hAnsi="Garamond"/>
          <w:b/>
          <w:bCs/>
          <w:color w:val="0D0D0D"/>
          <w:sz w:val="24"/>
          <w:szCs w:val="24"/>
        </w:rPr>
        <w:t>2</w:t>
      </w:r>
      <w:r w:rsidR="005674F2" w:rsidRPr="00770F9D">
        <w:rPr>
          <w:rFonts w:ascii="Garamond" w:hAnsi="Garamond"/>
          <w:b/>
          <w:bCs/>
          <w:color w:val="0D0D0D"/>
          <w:sz w:val="24"/>
          <w:szCs w:val="24"/>
        </w:rPr>
        <w:t>.</w:t>
      </w:r>
      <w:r w:rsidRPr="00770F9D">
        <w:rPr>
          <w:rFonts w:ascii="Garamond" w:hAnsi="Garamond"/>
          <w:b/>
          <w:bCs/>
          <w:color w:val="0D0D0D"/>
          <w:sz w:val="24"/>
          <w:szCs w:val="24"/>
        </w:rPr>
        <w:t>7</w:t>
      </w:r>
      <w:r w:rsidR="00BA4F1A" w:rsidRPr="00770F9D">
        <w:rPr>
          <w:rFonts w:ascii="Garamond" w:hAnsi="Garamond"/>
          <w:b/>
          <w:bCs/>
          <w:color w:val="0D0D0D"/>
          <w:sz w:val="24"/>
          <w:szCs w:val="24"/>
        </w:rPr>
        <w:t xml:space="preserve"> </w:t>
      </w:r>
      <w:r w:rsidR="005674F2" w:rsidRPr="00770F9D">
        <w:rPr>
          <w:rFonts w:ascii="Garamond" w:hAnsi="Garamond"/>
          <w:b/>
          <w:bCs/>
          <w:color w:val="0D0D0D"/>
          <w:sz w:val="24"/>
          <w:szCs w:val="24"/>
        </w:rPr>
        <w:t>Reformat e tregut të transportit</w:t>
      </w:r>
    </w:p>
    <w:p w14:paraId="4D657B23" w14:textId="5DBD1EE2" w:rsidR="005674F2" w:rsidRPr="00770F9D" w:rsidRDefault="005674F2" w:rsidP="00F0482E">
      <w:pPr>
        <w:pStyle w:val="Heading4"/>
        <w:ind w:left="0" w:firstLine="284"/>
        <w:jc w:val="both"/>
        <w:rPr>
          <w:rFonts w:ascii="Garamond" w:hAnsi="Garamond"/>
          <w:b w:val="0"/>
          <w:bCs w:val="0"/>
          <w:i/>
          <w:iCs/>
          <w:color w:val="0D0D0D"/>
          <w:sz w:val="24"/>
          <w:szCs w:val="24"/>
        </w:rPr>
      </w:pPr>
      <w:r w:rsidRPr="00770F9D">
        <w:rPr>
          <w:rFonts w:ascii="Garamond" w:hAnsi="Garamond"/>
          <w:b w:val="0"/>
          <w:bCs w:val="0"/>
          <w:i/>
          <w:iCs/>
          <w:color w:val="0D0D0D"/>
          <w:sz w:val="24"/>
          <w:szCs w:val="24"/>
        </w:rPr>
        <w:t>a</w:t>
      </w:r>
      <w:r w:rsidR="00F0482E">
        <w:rPr>
          <w:rFonts w:ascii="Garamond" w:hAnsi="Garamond"/>
          <w:b w:val="0"/>
          <w:bCs w:val="0"/>
          <w:i/>
          <w:iCs/>
          <w:color w:val="0D0D0D"/>
          <w:sz w:val="24"/>
          <w:szCs w:val="24"/>
        </w:rPr>
        <w:t>)</w:t>
      </w:r>
      <w:r w:rsidR="00BA4F1A" w:rsidRPr="00770F9D">
        <w:rPr>
          <w:rFonts w:ascii="Garamond" w:hAnsi="Garamond"/>
          <w:b w:val="0"/>
          <w:bCs w:val="0"/>
          <w:i/>
          <w:iCs/>
          <w:color w:val="0D0D0D"/>
          <w:sz w:val="24"/>
          <w:szCs w:val="24"/>
        </w:rPr>
        <w:t xml:space="preserve"> </w:t>
      </w:r>
      <w:r w:rsidRPr="00770F9D">
        <w:rPr>
          <w:rFonts w:ascii="Garamond" w:hAnsi="Garamond"/>
          <w:b w:val="0"/>
          <w:bCs w:val="0"/>
          <w:i/>
          <w:iCs/>
          <w:color w:val="0D0D0D"/>
          <w:sz w:val="24"/>
          <w:szCs w:val="24"/>
        </w:rPr>
        <w:t>Analiza e pengesave kryesore</w:t>
      </w:r>
    </w:p>
    <w:p w14:paraId="4931D5A4" w14:textId="77777777" w:rsidR="005674F2" w:rsidRPr="00770F9D" w:rsidRDefault="005674F2" w:rsidP="00400806">
      <w:pPr>
        <w:ind w:firstLine="284"/>
        <w:jc w:val="both"/>
        <w:rPr>
          <w:rFonts w:ascii="Garamond" w:hAnsi="Garamond"/>
          <w:color w:val="0D0D0D"/>
        </w:rPr>
      </w:pPr>
      <w:r w:rsidRPr="00770F9D">
        <w:rPr>
          <w:rFonts w:ascii="Garamond" w:hAnsi="Garamond"/>
          <w:color w:val="0D0D0D"/>
        </w:rPr>
        <w:t>Transporti në Shqipëri mbështetet kryesisht në transportin rrugor. Një sistem hekurudhor i kufizuar dhe i vjetruar, për shkak të vështirësive topografike dhe mungesës së financimit/investimit në të kaluarën, si dhe neglizhencës së mëparshme të sistemeve moderne të transportit urban, kërkojnë një modernizim të rrjetit hekurudhor shqiptar.</w:t>
      </w:r>
    </w:p>
    <w:p w14:paraId="1CC13D58" w14:textId="5F55424B" w:rsidR="00210E36" w:rsidRPr="00770F9D" w:rsidRDefault="00210E36"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Nevoja shkon së bashku me kërkesat në kuadrin e dekarbonizimit të sistemit të transportit dhe përmirësimit të kushteve mjedisore, veçanërisht duke adresuar ndotjen e ajrit në zonat metropolitane ku përfshihen </w:t>
      </w:r>
      <w:r w:rsidR="00F0482E" w:rsidRPr="00770F9D">
        <w:rPr>
          <w:rFonts w:ascii="Garamond" w:hAnsi="Garamond" w:cstheme="majorBidi"/>
          <w:color w:val="0D0D0D" w:themeColor="text1" w:themeTint="F2"/>
        </w:rPr>
        <w:t xml:space="preserve">kryeqyteti </w:t>
      </w:r>
      <w:r w:rsidRPr="00770F9D">
        <w:rPr>
          <w:rFonts w:ascii="Garamond" w:hAnsi="Garamond" w:cstheme="majorBidi"/>
          <w:color w:val="0D0D0D" w:themeColor="text1" w:themeTint="F2"/>
        </w:rPr>
        <w:t>i Shqipërisë, Tiranë</w:t>
      </w:r>
      <w:r w:rsidR="00F0482E">
        <w:rPr>
          <w:rFonts w:ascii="Garamond" w:hAnsi="Garamond" w:cstheme="majorBidi"/>
          <w:color w:val="0D0D0D" w:themeColor="text1" w:themeTint="F2"/>
        </w:rPr>
        <w:t>,</w:t>
      </w:r>
      <w:r w:rsidRPr="00770F9D">
        <w:rPr>
          <w:rFonts w:ascii="Garamond" w:hAnsi="Garamond" w:cstheme="majorBidi"/>
          <w:color w:val="0D0D0D" w:themeColor="text1" w:themeTint="F2"/>
        </w:rPr>
        <w:t xml:space="preserve"> me reformën e bashkisë së dytë më të madhe të vendit, në Shqipëri (Durrës). Numri i makinave në Shqipëri po rritet nga viti në vit, duke çuar në nivele më të larta të ndotjes së ajrit, duke e ekspozuar ekonominë ndaj rritjes së çmimeve të karburanteve fosile (numri i makinave elektrike është ende shumë i ulët) dhe duke përfunduar në bllokime trafiku. Zgjerimi i sistemit hekurudhor, modernizimi i transportit urban dhe nxitja e elektrifikimit të transportit rrugor do të jenë ndër zgjidhjet për ta bërë transportin, përfshirë transportin e mallrave, më të qëndrueshëm dhe më të përballueshëm.</w:t>
      </w:r>
    </w:p>
    <w:p w14:paraId="0CFED752" w14:textId="6838FDBC" w:rsidR="00210E36" w:rsidRPr="00770F9D" w:rsidRDefault="00210E36"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Përditësimi i sistemit hekurudhor do të jetë një </w:t>
      </w:r>
      <w:r w:rsidR="005A3423">
        <w:rPr>
          <w:rFonts w:ascii="Garamond" w:hAnsi="Garamond" w:cstheme="majorBidi"/>
          <w:color w:val="0D0D0D" w:themeColor="text1" w:themeTint="F2"/>
        </w:rPr>
        <w:t>faktor kyç për transportin ndër</w:t>
      </w:r>
      <w:r w:rsidRPr="00770F9D">
        <w:rPr>
          <w:rFonts w:ascii="Garamond" w:hAnsi="Garamond" w:cstheme="majorBidi"/>
          <w:color w:val="0D0D0D" w:themeColor="text1" w:themeTint="F2"/>
        </w:rPr>
        <w:t>rajonal në Shqipëri dhe ndërkufitar me vendet fqinje dhe do të reduktojë numrin e makinave dhe kamionëve që lëvizin ndërmjet aglo</w:t>
      </w:r>
      <w:r w:rsidR="005A3423">
        <w:rPr>
          <w:rFonts w:ascii="Garamond" w:hAnsi="Garamond" w:cstheme="majorBidi"/>
          <w:color w:val="0D0D0D" w:themeColor="text1" w:themeTint="F2"/>
        </w:rPr>
        <w:t>merateve. Projekt</w:t>
      </w:r>
      <w:r w:rsidRPr="00770F9D">
        <w:rPr>
          <w:rFonts w:ascii="Garamond" w:hAnsi="Garamond" w:cstheme="majorBidi"/>
          <w:color w:val="0D0D0D" w:themeColor="text1" w:themeTint="F2"/>
        </w:rPr>
        <w:t xml:space="preserve">idetë paraprake për </w:t>
      </w:r>
      <w:r w:rsidR="005A3423" w:rsidRPr="00770F9D">
        <w:rPr>
          <w:rFonts w:ascii="Garamond" w:hAnsi="Garamond" w:cstheme="majorBidi"/>
          <w:color w:val="0D0D0D" w:themeColor="text1" w:themeTint="F2"/>
        </w:rPr>
        <w:t xml:space="preserve">elektrifikimin </w:t>
      </w:r>
      <w:r w:rsidRPr="00770F9D">
        <w:rPr>
          <w:rFonts w:ascii="Garamond" w:hAnsi="Garamond" w:cstheme="majorBidi"/>
          <w:color w:val="0D0D0D" w:themeColor="text1" w:themeTint="F2"/>
        </w:rPr>
        <w:t xml:space="preserve">e linjave të transportit urban dhe ndërqytetës në </w:t>
      </w:r>
      <w:r w:rsidR="005A3423" w:rsidRPr="00770F9D">
        <w:rPr>
          <w:rFonts w:ascii="Garamond" w:hAnsi="Garamond" w:cstheme="majorBidi"/>
          <w:color w:val="0D0D0D" w:themeColor="text1" w:themeTint="F2"/>
        </w:rPr>
        <w:t xml:space="preserve">bashkitë </w:t>
      </w:r>
      <w:r w:rsidRPr="00770F9D">
        <w:rPr>
          <w:rFonts w:ascii="Garamond" w:hAnsi="Garamond" w:cstheme="majorBidi"/>
          <w:color w:val="0D0D0D" w:themeColor="text1" w:themeTint="F2"/>
        </w:rPr>
        <w:t xml:space="preserve">e Tiranës, Vlorës dhe Durrësit do të zhvillohen më tej. Një studim fizibiliteti për instalimin e </w:t>
      </w:r>
      <w:r w:rsidR="005A3423" w:rsidRPr="00770F9D">
        <w:rPr>
          <w:rFonts w:ascii="Garamond" w:hAnsi="Garamond" w:cstheme="majorBidi"/>
          <w:color w:val="0D0D0D" w:themeColor="text1" w:themeTint="F2"/>
        </w:rPr>
        <w:t xml:space="preserve">stacioneve </w:t>
      </w:r>
      <w:r w:rsidRPr="00770F9D">
        <w:rPr>
          <w:rFonts w:ascii="Garamond" w:hAnsi="Garamond" w:cstheme="majorBidi"/>
          <w:color w:val="0D0D0D" w:themeColor="text1" w:themeTint="F2"/>
        </w:rPr>
        <w:t>të karikimit për makinat elektrike në Shqipëri, në kuadër të programit operativ IPA III deri në vitin 2023, është në vazhdim e sipër.</w:t>
      </w:r>
    </w:p>
    <w:p w14:paraId="6BC40C47" w14:textId="45E28723" w:rsidR="00210E36" w:rsidRPr="00770F9D" w:rsidRDefault="00210E36"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Pengesat kryesore për situatën aktuale në sistemin hekurudhor shqiptar janë si më poshtë, një listë gjithëpërfshirëse/e plotë është paraqitur në </w:t>
      </w:r>
      <w:r w:rsidR="005A3423" w:rsidRPr="00770F9D">
        <w:rPr>
          <w:rFonts w:ascii="Garamond" w:hAnsi="Garamond" w:cstheme="majorBidi"/>
          <w:color w:val="0D0D0D" w:themeColor="text1" w:themeTint="F2"/>
        </w:rPr>
        <w:t xml:space="preserve">aneksin </w:t>
      </w:r>
      <w:r w:rsidRPr="00770F9D">
        <w:rPr>
          <w:rFonts w:ascii="Garamond" w:hAnsi="Garamond" w:cstheme="majorBidi"/>
          <w:color w:val="0D0D0D" w:themeColor="text1" w:themeTint="F2"/>
        </w:rPr>
        <w:t>1:</w:t>
      </w:r>
    </w:p>
    <w:p w14:paraId="5B17E458" w14:textId="77777777" w:rsidR="00210E36" w:rsidRPr="00770F9D" w:rsidRDefault="00210E36"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1. Mungesa e vlerësimit </w:t>
      </w:r>
      <w:r w:rsidRPr="005A3423">
        <w:rPr>
          <w:rFonts w:ascii="Garamond" w:hAnsi="Garamond" w:cstheme="majorBidi"/>
          <w:i/>
          <w:iCs/>
          <w:color w:val="0D0D0D" w:themeColor="text1" w:themeTint="F2"/>
        </w:rPr>
        <w:t>ex-ante</w:t>
      </w:r>
      <w:r w:rsidRPr="00770F9D">
        <w:rPr>
          <w:rFonts w:ascii="Garamond" w:hAnsi="Garamond" w:cstheme="majorBidi"/>
          <w:color w:val="0D0D0D" w:themeColor="text1" w:themeTint="F2"/>
        </w:rPr>
        <w:t xml:space="preserve"> të efektit eventual mjedisor të kontesteve të identifikuara;</w:t>
      </w:r>
    </w:p>
    <w:p w14:paraId="3E9FFB2E" w14:textId="77777777" w:rsidR="00210E36" w:rsidRPr="00770F9D" w:rsidRDefault="00210E36"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2. Ekspertiza e ndryshme e këtyre teknologjive;</w:t>
      </w:r>
    </w:p>
    <w:p w14:paraId="1A73ED2E" w14:textId="77777777" w:rsidR="00210E36" w:rsidRPr="00770F9D" w:rsidRDefault="00210E36"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3. Shpronësimi i tokës,</w:t>
      </w:r>
    </w:p>
    <w:p w14:paraId="6C5EAC8A" w14:textId="1E6719D1" w:rsidR="00210E36" w:rsidRPr="00770F9D" w:rsidRDefault="00210E36"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4. Vështirësitë në zbatimin e legjislacionit në fazat e tranzicionit</w:t>
      </w:r>
      <w:r w:rsidR="005A3423">
        <w:rPr>
          <w:rFonts w:ascii="Garamond" w:hAnsi="Garamond" w:cstheme="majorBidi"/>
          <w:color w:val="0D0D0D" w:themeColor="text1" w:themeTint="F2"/>
        </w:rPr>
        <w:t>,</w:t>
      </w:r>
      <w:r w:rsidRPr="00770F9D">
        <w:rPr>
          <w:rFonts w:ascii="Garamond" w:hAnsi="Garamond" w:cstheme="majorBidi"/>
          <w:color w:val="0D0D0D" w:themeColor="text1" w:themeTint="F2"/>
        </w:rPr>
        <w:t xml:space="preserve"> sipas dispozitave ligjore për ngritjen e strukturave dhe agjencive përkatëse.</w:t>
      </w:r>
    </w:p>
    <w:p w14:paraId="42C07657" w14:textId="716A0F74" w:rsidR="00210E36" w:rsidRPr="00770F9D" w:rsidRDefault="00210E36"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Në programin aktual të reformës ekonomike (ERP), masat e reformës së tregut të transportit me investime hekurudhore, të përcaktuara si masa të buta dhe të forta për </w:t>
      </w:r>
      <w:r w:rsidR="00421485">
        <w:rPr>
          <w:rFonts w:ascii="Garamond" w:hAnsi="Garamond" w:cstheme="majorBidi"/>
          <w:color w:val="0D0D0D" w:themeColor="text1" w:themeTint="F2"/>
        </w:rPr>
        <w:t>eficienc</w:t>
      </w:r>
      <w:r w:rsidRPr="00770F9D">
        <w:rPr>
          <w:rFonts w:ascii="Garamond" w:hAnsi="Garamond" w:cstheme="majorBidi"/>
          <w:color w:val="0D0D0D" w:themeColor="text1" w:themeTint="F2"/>
        </w:rPr>
        <w:t>ën e energjisë dhe elektrifikimin në rrjetin hekurudhor, mungonin ende në sektorin e transportit.</w:t>
      </w:r>
    </w:p>
    <w:p w14:paraId="55F91E02" w14:textId="303DF18D" w:rsidR="00210E36" w:rsidRPr="00770F9D" w:rsidRDefault="00210E36" w:rsidP="005513A3">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Për më tepër, për të ulur intensitetin energjetik të sektorit të transportit, hekurudhat shqiptare si konsumatori kryesor në planin kombëtar të energjisë</w:t>
      </w:r>
      <w:r w:rsidR="005A3423">
        <w:rPr>
          <w:rFonts w:ascii="Garamond" w:hAnsi="Garamond" w:cstheme="majorBidi"/>
          <w:color w:val="0D0D0D" w:themeColor="text1" w:themeTint="F2"/>
        </w:rPr>
        <w:t>,</w:t>
      </w:r>
      <w:r w:rsidRPr="00770F9D">
        <w:rPr>
          <w:rFonts w:ascii="Garamond" w:hAnsi="Garamond" w:cstheme="majorBidi"/>
          <w:color w:val="0D0D0D" w:themeColor="text1" w:themeTint="F2"/>
        </w:rPr>
        <w:t xml:space="preserve"> në kuadër të BRE-ve, në transformimin në një sistem hekurudhor </w:t>
      </w:r>
      <w:r w:rsidR="005A3423" w:rsidRPr="00770F9D">
        <w:rPr>
          <w:rFonts w:ascii="Garamond" w:hAnsi="Garamond" w:cstheme="majorBidi"/>
          <w:color w:val="0D0D0D" w:themeColor="text1" w:themeTint="F2"/>
        </w:rPr>
        <w:t>e</w:t>
      </w:r>
      <w:r w:rsidR="005A3423">
        <w:rPr>
          <w:rFonts w:ascii="Garamond" w:hAnsi="Garamond" w:cstheme="majorBidi"/>
          <w:color w:val="0D0D0D" w:themeColor="text1" w:themeTint="F2"/>
        </w:rPr>
        <w:t>v</w:t>
      </w:r>
      <w:r w:rsidR="005A3423" w:rsidRPr="00770F9D">
        <w:rPr>
          <w:rFonts w:ascii="Garamond" w:hAnsi="Garamond" w:cstheme="majorBidi"/>
          <w:color w:val="0D0D0D" w:themeColor="text1" w:themeTint="F2"/>
        </w:rPr>
        <w:t xml:space="preserve">ropian </w:t>
      </w:r>
      <w:r w:rsidRPr="00770F9D">
        <w:rPr>
          <w:rFonts w:ascii="Garamond" w:hAnsi="Garamond" w:cstheme="majorBidi"/>
          <w:color w:val="0D0D0D" w:themeColor="text1" w:themeTint="F2"/>
        </w:rPr>
        <w:t xml:space="preserve">bashkëkohor, buxhetohet një </w:t>
      </w:r>
      <w:r w:rsidR="007A2FF2" w:rsidRPr="00770F9D">
        <w:rPr>
          <w:rFonts w:ascii="Garamond" w:hAnsi="Garamond" w:cstheme="majorBidi"/>
          <w:color w:val="0D0D0D" w:themeColor="text1" w:themeTint="F2"/>
        </w:rPr>
        <w:t xml:space="preserve">përqindje </w:t>
      </w:r>
      <w:r w:rsidRPr="00770F9D">
        <w:rPr>
          <w:rFonts w:ascii="Garamond" w:hAnsi="Garamond" w:cstheme="majorBidi"/>
          <w:color w:val="0D0D0D" w:themeColor="text1" w:themeTint="F2"/>
        </w:rPr>
        <w:t>shtesë prej 0.02% të PBB-së veçanërisht për elektrifikimin, efi</w:t>
      </w:r>
      <w:r w:rsidR="005A3423">
        <w:rPr>
          <w:rFonts w:ascii="Garamond" w:hAnsi="Garamond" w:cstheme="majorBidi"/>
          <w:color w:val="0D0D0D" w:themeColor="text1" w:themeTint="F2"/>
        </w:rPr>
        <w:t>ci</w:t>
      </w:r>
      <w:r w:rsidRPr="00770F9D">
        <w:rPr>
          <w:rFonts w:ascii="Garamond" w:hAnsi="Garamond" w:cstheme="majorBidi"/>
          <w:color w:val="0D0D0D" w:themeColor="text1" w:themeTint="F2"/>
        </w:rPr>
        <w:t>en</w:t>
      </w:r>
      <w:r w:rsidR="005A3423">
        <w:rPr>
          <w:rFonts w:ascii="Garamond" w:hAnsi="Garamond" w:cstheme="majorBidi"/>
          <w:color w:val="0D0D0D" w:themeColor="text1" w:themeTint="F2"/>
        </w:rPr>
        <w:t>cë</w:t>
      </w:r>
      <w:r w:rsidRPr="00770F9D">
        <w:rPr>
          <w:rFonts w:ascii="Garamond" w:hAnsi="Garamond" w:cstheme="majorBidi"/>
          <w:color w:val="0D0D0D" w:themeColor="text1" w:themeTint="F2"/>
        </w:rPr>
        <w:t xml:space="preserve">n e </w:t>
      </w:r>
      <w:r w:rsidR="005A3423" w:rsidRPr="00770F9D">
        <w:rPr>
          <w:rFonts w:ascii="Garamond" w:hAnsi="Garamond" w:cstheme="majorBidi"/>
          <w:color w:val="0D0D0D" w:themeColor="text1" w:themeTint="F2"/>
        </w:rPr>
        <w:t>energjisë</w:t>
      </w:r>
      <w:r w:rsidRPr="00770F9D">
        <w:rPr>
          <w:rFonts w:ascii="Garamond" w:hAnsi="Garamond" w:cstheme="majorBidi"/>
          <w:color w:val="0D0D0D" w:themeColor="text1" w:themeTint="F2"/>
        </w:rPr>
        <w:t xml:space="preserve"> (EE) dhe </w:t>
      </w:r>
      <w:r w:rsidR="005A3423" w:rsidRPr="00770F9D">
        <w:rPr>
          <w:rFonts w:ascii="Garamond" w:hAnsi="Garamond" w:cstheme="majorBidi"/>
          <w:color w:val="0D0D0D" w:themeColor="text1" w:themeTint="F2"/>
        </w:rPr>
        <w:t>bërja</w:t>
      </w:r>
      <w:r w:rsidRPr="00770F9D">
        <w:rPr>
          <w:rFonts w:ascii="Garamond" w:hAnsi="Garamond" w:cstheme="majorBidi"/>
          <w:color w:val="0D0D0D" w:themeColor="text1" w:themeTint="F2"/>
        </w:rPr>
        <w:t xml:space="preserve"> </w:t>
      </w:r>
      <w:r w:rsidR="005A3423">
        <w:rPr>
          <w:rFonts w:ascii="Garamond" w:hAnsi="Garamond" w:cstheme="majorBidi"/>
          <w:color w:val="0D0D0D" w:themeColor="text1" w:themeTint="F2"/>
        </w:rPr>
        <w:t>e</w:t>
      </w:r>
      <w:r w:rsidRPr="00770F9D">
        <w:rPr>
          <w:rFonts w:ascii="Garamond" w:hAnsi="Garamond" w:cstheme="majorBidi"/>
          <w:color w:val="0D0D0D" w:themeColor="text1" w:themeTint="F2"/>
        </w:rPr>
        <w:t xml:space="preserve"> gjelbër </w:t>
      </w:r>
      <w:r w:rsidR="005513A3">
        <w:rPr>
          <w:rFonts w:ascii="Garamond" w:hAnsi="Garamond" w:cstheme="majorBidi"/>
          <w:color w:val="0D0D0D" w:themeColor="text1" w:themeTint="F2"/>
        </w:rPr>
        <w:t>e</w:t>
      </w:r>
      <w:r w:rsidRPr="00770F9D">
        <w:rPr>
          <w:rFonts w:ascii="Garamond" w:hAnsi="Garamond" w:cstheme="majorBidi"/>
          <w:color w:val="0D0D0D" w:themeColor="text1" w:themeTint="F2"/>
        </w:rPr>
        <w:t xml:space="preserve"> sistemit hekurudhor:</w:t>
      </w:r>
    </w:p>
    <w:p w14:paraId="51010A51" w14:textId="7EF0CE8E" w:rsidR="00210E36" w:rsidRPr="00770F9D" w:rsidRDefault="00210E36" w:rsidP="00EB64CA">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i</w:t>
      </w:r>
      <w:r w:rsidR="005C67C4">
        <w:rPr>
          <w:rFonts w:ascii="Garamond" w:hAnsi="Garamond" w:cstheme="majorBidi"/>
          <w:color w:val="0D0D0D" w:themeColor="text1" w:themeTint="F2"/>
        </w:rPr>
        <w:t>.</w:t>
      </w:r>
      <w:r w:rsidRPr="00770F9D">
        <w:rPr>
          <w:rFonts w:ascii="Garamond" w:hAnsi="Garamond" w:cstheme="majorBidi"/>
          <w:color w:val="0D0D0D" w:themeColor="text1" w:themeTint="F2"/>
        </w:rPr>
        <w:t xml:space="preserve"> Asnjë elektrifikim i rrjetit hekurudhor, nuk ishte planifikuar gjatë programit ekonomik t</w:t>
      </w:r>
      <w:r w:rsidR="005C67C4">
        <w:rPr>
          <w:rFonts w:ascii="Garamond" w:hAnsi="Garamond" w:cstheme="majorBidi"/>
          <w:color w:val="0D0D0D" w:themeColor="text1" w:themeTint="F2"/>
        </w:rPr>
        <w:t>ë</w:t>
      </w:r>
      <w:r w:rsidRPr="00770F9D">
        <w:rPr>
          <w:rFonts w:ascii="Garamond" w:hAnsi="Garamond" w:cstheme="majorBidi"/>
          <w:color w:val="0D0D0D" w:themeColor="text1" w:themeTint="F2"/>
        </w:rPr>
        <w:t xml:space="preserve"> </w:t>
      </w:r>
      <w:r w:rsidRPr="004F2DC1">
        <w:rPr>
          <w:rFonts w:ascii="Garamond" w:hAnsi="Garamond" w:cstheme="majorBidi"/>
          <w:color w:val="0D0D0D" w:themeColor="text1" w:themeTint="F2"/>
        </w:rPr>
        <w:t>regormace</w:t>
      </w:r>
      <w:r w:rsidRPr="00770F9D">
        <w:rPr>
          <w:rFonts w:ascii="Garamond" w:hAnsi="Garamond" w:cstheme="majorBidi"/>
          <w:color w:val="0D0D0D" w:themeColor="text1" w:themeTint="F2"/>
        </w:rPr>
        <w:t xml:space="preserve"> (ERP) të mëparshme, por plani i ri n</w:t>
      </w:r>
      <w:r w:rsidR="00EB64CA">
        <w:rPr>
          <w:rFonts w:ascii="Garamond" w:hAnsi="Garamond" w:cstheme="majorBidi"/>
          <w:color w:val="0D0D0D" w:themeColor="text1" w:themeTint="F2"/>
        </w:rPr>
        <w:t>ë</w:t>
      </w:r>
      <w:r w:rsidRPr="00770F9D">
        <w:rPr>
          <w:rFonts w:ascii="Garamond" w:hAnsi="Garamond" w:cstheme="majorBidi"/>
          <w:color w:val="0D0D0D" w:themeColor="text1" w:themeTint="F2"/>
        </w:rPr>
        <w:t xml:space="preserve"> vijim e ka zgjidhur pengesën e tij, nëpërmjet miratimit të programit operacional të hekurudhave shqiptare në IPA III, 2021</w:t>
      </w:r>
      <w:r w:rsidR="005C67C4">
        <w:rPr>
          <w:rFonts w:ascii="Garamond" w:hAnsi="Garamond" w:cstheme="majorBidi"/>
          <w:color w:val="0D0D0D" w:themeColor="text1" w:themeTint="F2"/>
        </w:rPr>
        <w:t>–</w:t>
      </w:r>
      <w:r w:rsidRPr="00770F9D">
        <w:rPr>
          <w:rFonts w:ascii="Garamond" w:hAnsi="Garamond" w:cstheme="majorBidi"/>
          <w:color w:val="0D0D0D" w:themeColor="text1" w:themeTint="F2"/>
        </w:rPr>
        <w:t>2027, me të dy</w:t>
      </w:r>
      <w:r w:rsidR="005C67C4">
        <w:rPr>
          <w:rFonts w:ascii="Garamond" w:hAnsi="Garamond" w:cstheme="majorBidi"/>
          <w:color w:val="0D0D0D" w:themeColor="text1" w:themeTint="F2"/>
        </w:rPr>
        <w:t>ja</w:t>
      </w:r>
      <w:r w:rsidRPr="00770F9D">
        <w:rPr>
          <w:rFonts w:ascii="Garamond" w:hAnsi="Garamond" w:cstheme="majorBidi"/>
          <w:color w:val="0D0D0D" w:themeColor="text1" w:themeTint="F2"/>
        </w:rPr>
        <w:t xml:space="preserve"> segmentet hekurudhore;</w:t>
      </w:r>
    </w:p>
    <w:p w14:paraId="2FF5AC3B" w14:textId="143F2D22" w:rsidR="00210E36" w:rsidRPr="00770F9D" w:rsidRDefault="00210E36" w:rsidP="005C67C4">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ii</w:t>
      </w:r>
      <w:r w:rsidR="005C67C4">
        <w:rPr>
          <w:rFonts w:ascii="Garamond" w:hAnsi="Garamond" w:cstheme="majorBidi"/>
          <w:color w:val="0D0D0D" w:themeColor="text1" w:themeTint="F2"/>
        </w:rPr>
        <w:t>.</w:t>
      </w:r>
      <w:r w:rsidRPr="00770F9D">
        <w:rPr>
          <w:rFonts w:ascii="Garamond" w:hAnsi="Garamond" w:cstheme="majorBidi"/>
          <w:color w:val="0D0D0D" w:themeColor="text1" w:themeTint="F2"/>
        </w:rPr>
        <w:t xml:space="preserve"> Rritja e </w:t>
      </w:r>
      <w:r w:rsidR="00421485">
        <w:rPr>
          <w:rFonts w:ascii="Garamond" w:hAnsi="Garamond" w:cstheme="majorBidi"/>
          <w:color w:val="0D0D0D" w:themeColor="text1" w:themeTint="F2"/>
        </w:rPr>
        <w:t>eficienc</w:t>
      </w:r>
      <w:r w:rsidRPr="00770F9D">
        <w:rPr>
          <w:rFonts w:ascii="Garamond" w:hAnsi="Garamond" w:cstheme="majorBidi"/>
          <w:color w:val="0D0D0D" w:themeColor="text1" w:themeTint="F2"/>
        </w:rPr>
        <w:t>ës së energjisë, duke marrë në konsideratë konsumin e konsiderue</w:t>
      </w:r>
      <w:r w:rsidR="00000250">
        <w:rPr>
          <w:rFonts w:ascii="Garamond" w:hAnsi="Garamond" w:cstheme="majorBidi"/>
          <w:color w:val="0D0D0D" w:themeColor="text1" w:themeTint="F2"/>
        </w:rPr>
        <w:t>shëm të sektorit të transportit</w:t>
      </w:r>
      <w:r w:rsidRPr="00770F9D">
        <w:rPr>
          <w:rFonts w:ascii="Garamond" w:hAnsi="Garamond" w:cstheme="majorBidi"/>
          <w:color w:val="0D0D0D" w:themeColor="text1" w:themeTint="F2"/>
        </w:rPr>
        <w:t xml:space="preserve"> dhe kursimin e energjisë</w:t>
      </w:r>
      <w:r w:rsidR="00000250">
        <w:rPr>
          <w:rFonts w:ascii="Garamond" w:hAnsi="Garamond" w:cstheme="majorBidi"/>
          <w:color w:val="0D0D0D" w:themeColor="text1" w:themeTint="F2"/>
        </w:rPr>
        <w:t>,</w:t>
      </w:r>
      <w:r w:rsidRPr="00770F9D">
        <w:rPr>
          <w:rFonts w:ascii="Garamond" w:hAnsi="Garamond" w:cstheme="majorBidi"/>
          <w:color w:val="0D0D0D" w:themeColor="text1" w:themeTint="F2"/>
        </w:rPr>
        <w:t xml:space="preserve"> në përputhje me Planin Kombëtar të Energjisë (NEEP) për transportin, planet vendore për elektrifikimin e infrastrukturës.</w:t>
      </w:r>
    </w:p>
    <w:p w14:paraId="7EDD0F00" w14:textId="4C935A45" w:rsidR="00210E36" w:rsidRPr="00770F9D" w:rsidRDefault="00210E36" w:rsidP="005C67C4">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iii</w:t>
      </w:r>
      <w:r w:rsidR="005C67C4">
        <w:rPr>
          <w:rFonts w:ascii="Garamond" w:hAnsi="Garamond" w:cstheme="majorBidi"/>
          <w:color w:val="0D0D0D" w:themeColor="text1" w:themeTint="F2"/>
        </w:rPr>
        <w:t>.</w:t>
      </w:r>
      <w:r w:rsidRPr="00770F9D">
        <w:rPr>
          <w:rFonts w:ascii="Garamond" w:hAnsi="Garamond" w:cstheme="majorBidi"/>
          <w:color w:val="0D0D0D" w:themeColor="text1" w:themeTint="F2"/>
        </w:rPr>
        <w:t xml:space="preserve"> Mbështetje për </w:t>
      </w:r>
      <w:r w:rsidR="003B1F90" w:rsidRPr="00770F9D">
        <w:rPr>
          <w:rFonts w:ascii="Garamond" w:hAnsi="Garamond" w:cstheme="majorBidi"/>
          <w:color w:val="0D0D0D" w:themeColor="text1" w:themeTint="F2"/>
        </w:rPr>
        <w:t>agjend</w:t>
      </w:r>
      <w:r w:rsidRPr="00770F9D">
        <w:rPr>
          <w:rFonts w:ascii="Garamond" w:hAnsi="Garamond" w:cstheme="majorBidi"/>
          <w:color w:val="0D0D0D" w:themeColor="text1" w:themeTint="F2"/>
        </w:rPr>
        <w:t>ën e gjelbër dhe operacionet e transportit të gjelbër, si dhe zhurmën (të cilat janë ende çështje pezull, kur rinovohen trenat/modernizimi i mjeteve lëvizëse</w:t>
      </w:r>
      <w:r w:rsidR="00000250">
        <w:rPr>
          <w:rFonts w:ascii="Garamond" w:hAnsi="Garamond" w:cstheme="majorBidi"/>
          <w:color w:val="0D0D0D" w:themeColor="text1" w:themeTint="F2"/>
        </w:rPr>
        <w:t>,</w:t>
      </w:r>
      <w:r w:rsidRPr="00770F9D">
        <w:rPr>
          <w:rFonts w:ascii="Garamond" w:hAnsi="Garamond" w:cstheme="majorBidi"/>
          <w:color w:val="0D0D0D" w:themeColor="text1" w:themeTint="F2"/>
        </w:rPr>
        <w:t xml:space="preserve"> sipas standardeve </w:t>
      </w:r>
      <w:r w:rsidR="00000250" w:rsidRPr="00770F9D">
        <w:rPr>
          <w:rFonts w:ascii="Garamond" w:hAnsi="Garamond" w:cstheme="majorBidi"/>
          <w:color w:val="0D0D0D" w:themeColor="text1" w:themeTint="F2"/>
        </w:rPr>
        <w:t>evropiane</w:t>
      </w:r>
      <w:r w:rsidRPr="00770F9D">
        <w:rPr>
          <w:rFonts w:ascii="Garamond" w:hAnsi="Garamond" w:cstheme="majorBidi"/>
          <w:color w:val="0D0D0D" w:themeColor="text1" w:themeTint="F2"/>
        </w:rPr>
        <w:t>).</w:t>
      </w:r>
    </w:p>
    <w:p w14:paraId="5A04AB28" w14:textId="63BC16A8" w:rsidR="0004171D" w:rsidRPr="00770F9D" w:rsidRDefault="004453DD" w:rsidP="005C67C4">
      <w:pPr>
        <w:pStyle w:val="Heading4"/>
        <w:snapToGrid w:val="0"/>
        <w:ind w:left="0" w:firstLine="284"/>
        <w:jc w:val="both"/>
        <w:rPr>
          <w:rFonts w:ascii="Garamond" w:hAnsi="Garamond" w:cstheme="majorBidi"/>
          <w:b w:val="0"/>
          <w:i/>
          <w:color w:val="0D0D0D" w:themeColor="text1" w:themeTint="F2"/>
          <w:sz w:val="24"/>
          <w:szCs w:val="24"/>
        </w:rPr>
      </w:pPr>
      <w:r w:rsidRPr="00770F9D">
        <w:rPr>
          <w:rFonts w:ascii="Garamond" w:hAnsi="Garamond" w:cstheme="majorBidi"/>
          <w:b w:val="0"/>
          <w:i/>
          <w:color w:val="0D0D0D" w:themeColor="text1" w:themeTint="F2"/>
          <w:sz w:val="24"/>
          <w:szCs w:val="24"/>
        </w:rPr>
        <w:t>b</w:t>
      </w:r>
      <w:r w:rsidR="005C67C4">
        <w:rPr>
          <w:rFonts w:ascii="Garamond" w:hAnsi="Garamond" w:cstheme="majorBidi"/>
          <w:b w:val="0"/>
          <w:i/>
          <w:color w:val="0D0D0D" w:themeColor="text1" w:themeTint="F2"/>
          <w:sz w:val="24"/>
          <w:szCs w:val="24"/>
        </w:rPr>
        <w:t>)</w:t>
      </w:r>
      <w:r w:rsidR="005674F2" w:rsidRPr="00770F9D">
        <w:rPr>
          <w:rFonts w:ascii="Garamond" w:hAnsi="Garamond" w:cstheme="majorBidi"/>
          <w:b w:val="0"/>
          <w:i/>
          <w:color w:val="0D0D0D" w:themeColor="text1" w:themeTint="F2"/>
          <w:sz w:val="24"/>
          <w:szCs w:val="24"/>
        </w:rPr>
        <w:t xml:space="preserve"> </w:t>
      </w:r>
      <w:r w:rsidR="00B2062A" w:rsidRPr="00770F9D">
        <w:rPr>
          <w:rFonts w:ascii="Garamond" w:hAnsi="Garamond" w:cstheme="majorBidi"/>
          <w:b w:val="0"/>
          <w:i/>
          <w:color w:val="0D0D0D" w:themeColor="text1" w:themeTint="F2"/>
          <w:sz w:val="24"/>
          <w:szCs w:val="24"/>
        </w:rPr>
        <w:t>Masat e reformës</w:t>
      </w:r>
    </w:p>
    <w:p w14:paraId="0026FBCC" w14:textId="4044C86A" w:rsidR="0004171D" w:rsidRPr="009630AF" w:rsidRDefault="00B2062A" w:rsidP="00FA3F29">
      <w:pPr>
        <w:pStyle w:val="Heading5"/>
        <w:snapToGrid w:val="0"/>
        <w:ind w:left="0" w:firstLine="284"/>
        <w:jc w:val="both"/>
        <w:rPr>
          <w:rFonts w:ascii="Garamond" w:hAnsi="Garamond" w:cstheme="majorBidi"/>
          <w:i w:val="0"/>
          <w:color w:val="0D0D0D" w:themeColor="text1" w:themeTint="F2"/>
          <w:sz w:val="24"/>
          <w:szCs w:val="24"/>
        </w:rPr>
      </w:pPr>
      <w:r w:rsidRPr="00770F9D">
        <w:rPr>
          <w:rFonts w:ascii="Garamond" w:hAnsi="Garamond" w:cstheme="majorBidi"/>
          <w:i w:val="0"/>
          <w:color w:val="0D0D0D" w:themeColor="text1" w:themeTint="F2"/>
          <w:sz w:val="24"/>
          <w:szCs w:val="24"/>
        </w:rPr>
        <w:t>Masa e reformës</w:t>
      </w:r>
      <w:r w:rsidR="005358F8" w:rsidRPr="00770F9D">
        <w:rPr>
          <w:rFonts w:ascii="Garamond" w:hAnsi="Garamond" w:cstheme="majorBidi"/>
          <w:i w:val="0"/>
          <w:color w:val="0D0D0D" w:themeColor="text1" w:themeTint="F2"/>
          <w:sz w:val="24"/>
          <w:szCs w:val="24"/>
        </w:rPr>
        <w:t xml:space="preserve"> 15</w:t>
      </w:r>
      <w:r w:rsidR="0004171D" w:rsidRPr="00770F9D">
        <w:rPr>
          <w:rFonts w:ascii="Garamond" w:hAnsi="Garamond" w:cstheme="majorBidi"/>
          <w:i w:val="0"/>
          <w:color w:val="0D0D0D" w:themeColor="text1" w:themeTint="F2"/>
          <w:sz w:val="24"/>
          <w:szCs w:val="24"/>
        </w:rPr>
        <w:t xml:space="preserve">: </w:t>
      </w:r>
      <w:r w:rsidR="007905B3" w:rsidRPr="00770F9D">
        <w:rPr>
          <w:rFonts w:ascii="Garamond" w:hAnsi="Garamond" w:cstheme="majorBidi"/>
          <w:i w:val="0"/>
          <w:color w:val="0D0D0D" w:themeColor="text1" w:themeTint="F2"/>
          <w:sz w:val="24"/>
          <w:szCs w:val="24"/>
        </w:rPr>
        <w:t>Rehabilitimi dhe ndërtimi i segmentit hekurudhor Durrës</w:t>
      </w:r>
      <w:r w:rsidR="00FA3F29">
        <w:rPr>
          <w:rFonts w:ascii="Garamond" w:hAnsi="Garamond" w:cstheme="majorBidi"/>
          <w:i w:val="0"/>
          <w:color w:val="0D0D0D" w:themeColor="text1" w:themeTint="F2"/>
          <w:sz w:val="24"/>
          <w:szCs w:val="24"/>
        </w:rPr>
        <w:t>–</w:t>
      </w:r>
      <w:r w:rsidR="007905B3" w:rsidRPr="00770F9D">
        <w:rPr>
          <w:rFonts w:ascii="Garamond" w:hAnsi="Garamond" w:cstheme="majorBidi"/>
          <w:i w:val="0"/>
          <w:color w:val="0D0D0D" w:themeColor="text1" w:themeTint="F2"/>
          <w:sz w:val="24"/>
          <w:szCs w:val="24"/>
        </w:rPr>
        <w:t>TIA</w:t>
      </w:r>
      <w:r w:rsidR="00FA3F29">
        <w:rPr>
          <w:rFonts w:ascii="Garamond" w:hAnsi="Garamond" w:cstheme="majorBidi"/>
          <w:i w:val="0"/>
          <w:color w:val="0D0D0D" w:themeColor="text1" w:themeTint="F2"/>
          <w:sz w:val="24"/>
          <w:szCs w:val="24"/>
        </w:rPr>
        <w:t>–</w:t>
      </w:r>
      <w:r w:rsidR="007905B3" w:rsidRPr="009630AF">
        <w:rPr>
          <w:rFonts w:ascii="Garamond" w:hAnsi="Garamond" w:cstheme="majorBidi"/>
          <w:i w:val="0"/>
          <w:color w:val="0D0D0D" w:themeColor="text1" w:themeTint="F2"/>
          <w:sz w:val="24"/>
          <w:szCs w:val="24"/>
        </w:rPr>
        <w:t>Tiranë</w:t>
      </w:r>
    </w:p>
    <w:p w14:paraId="72966D04" w14:textId="0A9B1DE1" w:rsidR="0004171D" w:rsidRPr="009630AF" w:rsidRDefault="005674F2" w:rsidP="00400806">
      <w:pPr>
        <w:pStyle w:val="Heading6"/>
        <w:numPr>
          <w:ilvl w:val="0"/>
          <w:numId w:val="0"/>
        </w:numPr>
        <w:snapToGrid w:val="0"/>
        <w:ind w:firstLine="284"/>
        <w:rPr>
          <w:rFonts w:ascii="Garamond" w:hAnsi="Garamond" w:cstheme="majorBidi"/>
          <w:color w:val="0D0D0D" w:themeColor="text1" w:themeTint="F2"/>
          <w:u w:val="none"/>
        </w:rPr>
      </w:pPr>
      <w:r w:rsidRPr="009630AF">
        <w:rPr>
          <w:rFonts w:ascii="Garamond" w:hAnsi="Garamond" w:cstheme="majorBidi"/>
          <w:color w:val="0D0D0D" w:themeColor="text1" w:themeTint="F2"/>
          <w:u w:val="none"/>
        </w:rPr>
        <w:t xml:space="preserve">1. </w:t>
      </w:r>
      <w:r w:rsidR="00B2062A" w:rsidRPr="009630AF">
        <w:rPr>
          <w:rFonts w:ascii="Garamond" w:hAnsi="Garamond" w:cstheme="majorBidi"/>
          <w:color w:val="0D0D0D" w:themeColor="text1" w:themeTint="F2"/>
          <w:u w:val="none"/>
        </w:rPr>
        <w:t>Përshkrimi i masës</w:t>
      </w:r>
    </w:p>
    <w:p w14:paraId="0FE11D3B" w14:textId="1C48B438" w:rsidR="00210E36" w:rsidRPr="00770F9D" w:rsidRDefault="00210E36" w:rsidP="00EB64CA">
      <w:pPr>
        <w:snapToGrid w:val="0"/>
        <w:ind w:firstLine="284"/>
        <w:jc w:val="both"/>
        <w:rPr>
          <w:rFonts w:ascii="Garamond" w:hAnsi="Garamond" w:cstheme="majorBidi"/>
          <w:color w:val="0D0D0D" w:themeColor="text1" w:themeTint="F2"/>
        </w:rPr>
      </w:pPr>
      <w:r w:rsidRPr="009630AF">
        <w:rPr>
          <w:rFonts w:ascii="Garamond" w:hAnsi="Garamond" w:cstheme="majorBidi"/>
          <w:color w:val="0D0D0D" w:themeColor="text1" w:themeTint="F2"/>
        </w:rPr>
        <w:t>Masa është transferuar nga programet të mëparshme t</w:t>
      </w:r>
      <w:r w:rsidR="00EB64CA">
        <w:rPr>
          <w:rFonts w:ascii="Garamond" w:hAnsi="Garamond" w:cstheme="majorBidi"/>
          <w:color w:val="0D0D0D" w:themeColor="text1" w:themeTint="F2"/>
        </w:rPr>
        <w:t>ë</w:t>
      </w:r>
      <w:r w:rsidRPr="009630AF">
        <w:rPr>
          <w:rFonts w:ascii="Garamond" w:hAnsi="Garamond" w:cstheme="majorBidi"/>
          <w:color w:val="0D0D0D" w:themeColor="text1" w:themeTint="F2"/>
        </w:rPr>
        <w:t>reformave ekonomike (ERP), që synojnë të përmirësojnë dhe zgjero</w:t>
      </w:r>
      <w:r w:rsidR="0097016B">
        <w:rPr>
          <w:rFonts w:ascii="Garamond" w:hAnsi="Garamond" w:cstheme="majorBidi"/>
          <w:color w:val="0D0D0D" w:themeColor="text1" w:themeTint="F2"/>
        </w:rPr>
        <w:t>jnë linjën hekurudhore Durrës–</w:t>
      </w:r>
      <w:r w:rsidRPr="009630AF">
        <w:rPr>
          <w:rFonts w:ascii="Garamond" w:hAnsi="Garamond" w:cstheme="majorBidi"/>
          <w:color w:val="0D0D0D" w:themeColor="text1" w:themeTint="F2"/>
        </w:rPr>
        <w:t>Aeroport Rinas</w:t>
      </w:r>
      <w:r w:rsidR="0097016B">
        <w:rPr>
          <w:rFonts w:ascii="Garamond" w:hAnsi="Garamond" w:cstheme="majorBidi"/>
          <w:i/>
          <w:color w:val="0D0D0D" w:themeColor="text1" w:themeTint="F2"/>
        </w:rPr>
        <w:t>–</w:t>
      </w:r>
      <w:r w:rsidRPr="009630AF">
        <w:rPr>
          <w:rFonts w:ascii="Garamond" w:hAnsi="Garamond" w:cstheme="majorBidi"/>
          <w:color w:val="0D0D0D" w:themeColor="text1" w:themeTint="F2"/>
        </w:rPr>
        <w:t>Tiranë. Ai do të rrisë transportin intermodal dhe do të dyfishojë shpejtësinë e transportit të pasagjerëve dhe mallrave</w:t>
      </w:r>
      <w:r w:rsidRPr="00770F9D">
        <w:rPr>
          <w:rFonts w:ascii="Garamond" w:hAnsi="Garamond" w:cstheme="majorBidi"/>
          <w:color w:val="0D0D0D" w:themeColor="text1" w:themeTint="F2"/>
        </w:rPr>
        <w:t xml:space="preserve"> midis Tiranës dhe Durrësit, duke nxitur trafikun dhe duke reduktuar bllokimet rrugore. </w:t>
      </w:r>
    </w:p>
    <w:p w14:paraId="72E3D516" w14:textId="54113B1A" w:rsidR="00210E36" w:rsidRPr="00770F9D" w:rsidRDefault="00210E36" w:rsidP="00CC2B12">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Në fillim të </w:t>
      </w:r>
      <w:r w:rsidR="00CC2B12" w:rsidRPr="00770F9D">
        <w:rPr>
          <w:rFonts w:ascii="Garamond" w:hAnsi="Garamond" w:cstheme="majorBidi"/>
          <w:color w:val="0D0D0D" w:themeColor="text1" w:themeTint="F2"/>
        </w:rPr>
        <w:t xml:space="preserve">shkurtit </w:t>
      </w:r>
      <w:r w:rsidRPr="00770F9D">
        <w:rPr>
          <w:rFonts w:ascii="Garamond" w:hAnsi="Garamond" w:cstheme="majorBidi"/>
          <w:color w:val="0D0D0D" w:themeColor="text1" w:themeTint="F2"/>
        </w:rPr>
        <w:t>2021 u nënshkrua kontrata e punimeve civile për përmirësimin e hekurudhës Tiranë</w:t>
      </w:r>
      <w:r w:rsidR="00CC2B12">
        <w:rPr>
          <w:rFonts w:ascii="Garamond" w:hAnsi="Garamond" w:cstheme="majorBidi"/>
          <w:i/>
          <w:color w:val="0D0D0D" w:themeColor="text1" w:themeTint="F2"/>
        </w:rPr>
        <w:t>–</w:t>
      </w:r>
      <w:r w:rsidRPr="00770F9D">
        <w:rPr>
          <w:rFonts w:ascii="Garamond" w:hAnsi="Garamond" w:cstheme="majorBidi"/>
          <w:color w:val="0D0D0D" w:themeColor="text1" w:themeTint="F2"/>
        </w:rPr>
        <w:t xml:space="preserve">Durrës, me INC SPA dhe Hekurudhat Shqiptare HSH. </w:t>
      </w:r>
    </w:p>
    <w:p w14:paraId="2972B3CA" w14:textId="77777777" w:rsidR="00210E36" w:rsidRPr="00770F9D" w:rsidRDefault="00210E36"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Ky investim strategjik përfiton edhe nga financimi i BE-së (90.45 </w:t>
      </w:r>
      <w:r w:rsidR="00A84445" w:rsidRPr="00770F9D">
        <w:rPr>
          <w:rFonts w:ascii="Garamond" w:hAnsi="Garamond" w:cstheme="majorBidi"/>
          <w:color w:val="0D0D0D" w:themeColor="text1" w:themeTint="F2"/>
        </w:rPr>
        <w:t xml:space="preserve">milionë </w:t>
      </w:r>
      <w:r w:rsidRPr="00770F9D">
        <w:rPr>
          <w:rFonts w:ascii="Garamond" w:hAnsi="Garamond" w:cstheme="majorBidi"/>
          <w:color w:val="0D0D0D" w:themeColor="text1" w:themeTint="F2"/>
        </w:rPr>
        <w:t>€), në kuadër të planit ekonomik dhe investimeve evropiane (EIP) dhe marrëveshjes IPA të ratifikuar. Ai plotëson linjën hekurudhore R2, që lidh kryeqytetin e Shqipërisë, Tiranën me kryeqytetin e Malit të Zi, Podgoricën, dhe shtrihet deri në portin e Durrësit.</w:t>
      </w:r>
    </w:p>
    <w:p w14:paraId="30681D88" w14:textId="7FF1F0B7" w:rsidR="00210E36" w:rsidRPr="00770F9D" w:rsidRDefault="00210E36" w:rsidP="00EB64CA">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Projekti duhet të avancojë (deri në vitin 2024) midis Portit të Durrësit deri në Mal t</w:t>
      </w:r>
      <w:r w:rsidR="00CC2B12">
        <w:rPr>
          <w:rFonts w:ascii="Garamond" w:hAnsi="Garamond" w:cstheme="majorBidi"/>
          <w:color w:val="0D0D0D" w:themeColor="text1" w:themeTint="F2"/>
        </w:rPr>
        <w:t>ë</w:t>
      </w:r>
      <w:r w:rsidRPr="00770F9D">
        <w:rPr>
          <w:rFonts w:ascii="Garamond" w:hAnsi="Garamond" w:cstheme="majorBidi"/>
          <w:color w:val="0D0D0D" w:themeColor="text1" w:themeTint="F2"/>
        </w:rPr>
        <w:t xml:space="preserve"> </w:t>
      </w:r>
      <w:r w:rsidR="00CC2B12" w:rsidRPr="00770F9D">
        <w:rPr>
          <w:rFonts w:ascii="Garamond" w:hAnsi="Garamond" w:cstheme="majorBidi"/>
          <w:color w:val="0D0D0D" w:themeColor="text1" w:themeTint="F2"/>
        </w:rPr>
        <w:t xml:space="preserve">Zi </w:t>
      </w:r>
      <w:r w:rsidRPr="00770F9D">
        <w:rPr>
          <w:rFonts w:ascii="Garamond" w:hAnsi="Garamond" w:cstheme="majorBidi"/>
          <w:color w:val="0D0D0D" w:themeColor="text1" w:themeTint="F2"/>
        </w:rPr>
        <w:t>dhe të synojë lidhjen bregdetare, ai është një nga akset kryesore t</w:t>
      </w:r>
      <w:r w:rsidR="00EB64CA">
        <w:rPr>
          <w:rFonts w:ascii="Garamond" w:hAnsi="Garamond" w:cstheme="majorBidi"/>
          <w:color w:val="0D0D0D" w:themeColor="text1" w:themeTint="F2"/>
        </w:rPr>
        <w:t>ë</w:t>
      </w:r>
      <w:r w:rsidRPr="00770F9D">
        <w:rPr>
          <w:rFonts w:ascii="Garamond" w:hAnsi="Garamond" w:cstheme="majorBidi"/>
          <w:color w:val="0D0D0D" w:themeColor="text1" w:themeTint="F2"/>
        </w:rPr>
        <w:t xml:space="preserve"> qëndrueshëm të planit të investimeve ekonomike të BE-së për Ballkanin </w:t>
      </w:r>
      <w:r w:rsidR="00CC2B12" w:rsidRPr="00770F9D">
        <w:rPr>
          <w:rFonts w:ascii="Garamond" w:hAnsi="Garamond" w:cstheme="majorBidi"/>
          <w:color w:val="0D0D0D" w:themeColor="text1" w:themeTint="F2"/>
        </w:rPr>
        <w:t>Perëndimor</w:t>
      </w:r>
      <w:r w:rsidRPr="00770F9D">
        <w:rPr>
          <w:rFonts w:ascii="Garamond" w:hAnsi="Garamond" w:cstheme="majorBidi"/>
          <w:color w:val="0D0D0D" w:themeColor="text1" w:themeTint="F2"/>
        </w:rPr>
        <w:t xml:space="preserve"> WB6 (EIP). Ky është një projekt kyç për rajonin, i cili u propozua në korridorin e transportit Evropian të Ballkanit Perëndimor.</w:t>
      </w:r>
    </w:p>
    <w:p w14:paraId="2541B962" w14:textId="77777777" w:rsidR="00210E36" w:rsidRPr="00770F9D" w:rsidRDefault="00210E36"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Pas vonesave dhe zbatimit të ngadaltë në vitet e mëparshme, projekti tani po fiton shpejtësi. Pothuajse 20%-40% e punimeve të ndërtimit kanë përfunduar, pengesat e mbetura (si shpronësimi i tokës) janë identifikuar dhe do të zgjidhen së shpejti.</w:t>
      </w:r>
    </w:p>
    <w:p w14:paraId="38216C0F" w14:textId="4FB2D87D" w:rsidR="005674F2" w:rsidRPr="00770F9D" w:rsidRDefault="005674F2" w:rsidP="000F6F7A">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a</w:t>
      </w:r>
      <w:r w:rsidR="00B505D0">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 xml:space="preserve">Aktivitete të planifikuara </w:t>
      </w:r>
      <w:r w:rsidR="000F6F7A">
        <w:rPr>
          <w:rFonts w:ascii="Garamond" w:hAnsi="Garamond"/>
          <w:b/>
          <w:bCs/>
          <w:color w:val="0D0D0D"/>
          <w:sz w:val="24"/>
          <w:szCs w:val="24"/>
          <w:lang w:val="sq-AL"/>
        </w:rPr>
        <w:t>m</w:t>
      </w:r>
      <w:r w:rsidRPr="00770F9D">
        <w:rPr>
          <w:rFonts w:ascii="Garamond" w:hAnsi="Garamond"/>
          <w:b/>
          <w:bCs/>
          <w:color w:val="0D0D0D"/>
          <w:sz w:val="24"/>
          <w:szCs w:val="24"/>
          <w:lang w:val="sq-AL"/>
        </w:rPr>
        <w:t>ë 2023</w:t>
      </w:r>
      <w:r w:rsidR="0059729D">
        <w:rPr>
          <w:rFonts w:ascii="Garamond" w:hAnsi="Garamond"/>
          <w:b/>
          <w:bCs/>
          <w:color w:val="0D0D0D"/>
          <w:sz w:val="24"/>
          <w:szCs w:val="24"/>
          <w:lang w:val="sq-AL"/>
        </w:rPr>
        <w:t>-shin</w:t>
      </w:r>
    </w:p>
    <w:p w14:paraId="753B5AAE" w14:textId="071CE2EF" w:rsidR="005674F2" w:rsidRPr="00770F9D" w:rsidRDefault="005674F2" w:rsidP="00E05BC4">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a</w:t>
      </w:r>
      <w:r w:rsidR="00B505D0">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Rehabilitimi i punimeve do të kryhet në s</w:t>
      </w:r>
      <w:r w:rsidR="0059729D">
        <w:rPr>
          <w:rFonts w:ascii="Garamond" w:hAnsi="Garamond"/>
          <w:color w:val="0D0D0D"/>
          <w:sz w:val="24"/>
          <w:szCs w:val="24"/>
          <w:lang w:val="sq-AL"/>
        </w:rPr>
        <w:t>eksionin kryesor nga Vorë–Sukth–</w:t>
      </w:r>
      <w:r w:rsidRPr="00770F9D">
        <w:rPr>
          <w:rFonts w:ascii="Garamond" w:hAnsi="Garamond"/>
          <w:color w:val="0D0D0D"/>
          <w:sz w:val="24"/>
          <w:szCs w:val="24"/>
          <w:lang w:val="sq-AL"/>
        </w:rPr>
        <w:t>Shkozet (Durrës) dhe seksioni 2, Vorë</w:t>
      </w:r>
      <w:r w:rsidR="0059729D">
        <w:rPr>
          <w:rFonts w:ascii="Garamond" w:hAnsi="Garamond"/>
          <w:color w:val="0D0D0D"/>
          <w:sz w:val="24"/>
          <w:szCs w:val="24"/>
          <w:lang w:val="sq-AL"/>
        </w:rPr>
        <w:t>–</w:t>
      </w:r>
      <w:r w:rsidRPr="00770F9D">
        <w:rPr>
          <w:rFonts w:ascii="Garamond" w:hAnsi="Garamond"/>
          <w:color w:val="0D0D0D"/>
          <w:sz w:val="24"/>
          <w:szCs w:val="24"/>
          <w:lang w:val="sq-AL"/>
        </w:rPr>
        <w:t>Tiranë PTT dhe ndërtimi i linjës së re hekurudhore deri në Aeroportin Ndërkombëtar të Tiranës do të vazhdojë. Projekti parashikohet të përfundojë në 30 muaj ng</w:t>
      </w:r>
      <w:r w:rsidR="0059729D">
        <w:rPr>
          <w:rFonts w:ascii="Garamond" w:hAnsi="Garamond"/>
          <w:color w:val="0D0D0D"/>
          <w:sz w:val="24"/>
          <w:szCs w:val="24"/>
          <w:lang w:val="sq-AL"/>
        </w:rPr>
        <w:t>a fillimi i tij (</w:t>
      </w:r>
      <w:r w:rsidRPr="00770F9D">
        <w:rPr>
          <w:rFonts w:ascii="Garamond" w:hAnsi="Garamond"/>
          <w:color w:val="0D0D0D"/>
          <w:sz w:val="24"/>
          <w:szCs w:val="24"/>
          <w:lang w:val="sq-AL"/>
        </w:rPr>
        <w:t>1.10.2022), dorëzuar në fund të periudhës raportuese (HSH</w:t>
      </w:r>
      <w:r w:rsidR="00E05BC4">
        <w:rPr>
          <w:rFonts w:ascii="Garamond" w:hAnsi="Garamond"/>
          <w:color w:val="0D0D0D"/>
          <w:sz w:val="24"/>
          <w:szCs w:val="24"/>
          <w:lang w:val="sq-AL"/>
        </w:rPr>
        <w:t>;</w:t>
      </w:r>
    </w:p>
    <w:p w14:paraId="0112C03F" w14:textId="197B3AC5" w:rsidR="005674F2" w:rsidRPr="00770F9D" w:rsidRDefault="005674F2" w:rsidP="00EB64CA">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b</w:t>
      </w:r>
      <w:r w:rsidR="00B505D0">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Njoftimi i përgjithshëm i prokurimit sipas kushteve t</w:t>
      </w:r>
      <w:r w:rsidR="00EB64CA">
        <w:rPr>
          <w:rFonts w:ascii="Garamond" w:hAnsi="Garamond" w:cstheme="majorBidi"/>
          <w:color w:val="0D0D0D" w:themeColor="text1" w:themeTint="F2"/>
        </w:rPr>
        <w:t>ë</w:t>
      </w:r>
      <w:r w:rsidRPr="00770F9D">
        <w:rPr>
          <w:rFonts w:ascii="Garamond" w:hAnsi="Garamond"/>
          <w:color w:val="0D0D0D"/>
          <w:sz w:val="24"/>
          <w:szCs w:val="24"/>
          <w:lang w:val="sq-AL"/>
        </w:rPr>
        <w:t xml:space="preserve"> referencës (ToR) në përgatitje për projektin Vore</w:t>
      </w:r>
      <w:r w:rsidR="0059729D">
        <w:rPr>
          <w:rFonts w:ascii="Garamond" w:hAnsi="Garamond"/>
          <w:color w:val="0D0D0D"/>
          <w:sz w:val="24"/>
          <w:szCs w:val="24"/>
          <w:lang w:val="sq-AL"/>
        </w:rPr>
        <w:t>–</w:t>
      </w:r>
      <w:r w:rsidRPr="00770F9D">
        <w:rPr>
          <w:rFonts w:ascii="Garamond" w:hAnsi="Garamond"/>
          <w:color w:val="0D0D0D"/>
          <w:sz w:val="24"/>
          <w:szCs w:val="24"/>
          <w:lang w:val="sq-AL"/>
        </w:rPr>
        <w:t>Hani i Hotit do të shpallet në bashkëpunim me donatorët (BERZH dhe EIB), të cilët tashmë kanë promovuar përditësimin e planit të VNMS-së</w:t>
      </w:r>
      <w:r w:rsidR="0059729D">
        <w:rPr>
          <w:rFonts w:ascii="Garamond" w:hAnsi="Garamond"/>
          <w:color w:val="0D0D0D"/>
          <w:sz w:val="24"/>
          <w:szCs w:val="24"/>
          <w:lang w:val="sq-AL"/>
        </w:rPr>
        <w:t>,</w:t>
      </w:r>
      <w:r w:rsidRPr="00770F9D">
        <w:rPr>
          <w:rFonts w:ascii="Garamond" w:hAnsi="Garamond"/>
          <w:color w:val="0D0D0D"/>
          <w:sz w:val="24"/>
          <w:szCs w:val="24"/>
          <w:lang w:val="sq-AL"/>
        </w:rPr>
        <w:t xml:space="preserve"> sipas modifikimeve të bëra.</w:t>
      </w:r>
    </w:p>
    <w:p w14:paraId="4765EE41" w14:textId="6CB34959" w:rsidR="005674F2" w:rsidRPr="00770F9D" w:rsidRDefault="005674F2" w:rsidP="000F6F7A">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b</w:t>
      </w:r>
      <w:r w:rsidR="00B505D0">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 xml:space="preserve">Aktivitete të planifikuara </w:t>
      </w:r>
      <w:r w:rsidR="000F6F7A">
        <w:rPr>
          <w:rFonts w:ascii="Garamond" w:hAnsi="Garamond"/>
          <w:b/>
          <w:bCs/>
          <w:color w:val="0D0D0D"/>
          <w:sz w:val="24"/>
          <w:szCs w:val="24"/>
          <w:lang w:val="sq-AL"/>
        </w:rPr>
        <w:t>m</w:t>
      </w:r>
      <w:r w:rsidRPr="00770F9D">
        <w:rPr>
          <w:rFonts w:ascii="Garamond" w:hAnsi="Garamond"/>
          <w:b/>
          <w:bCs/>
          <w:color w:val="0D0D0D"/>
          <w:sz w:val="24"/>
          <w:szCs w:val="24"/>
          <w:lang w:val="sq-AL"/>
        </w:rPr>
        <w:t>ë 2024</w:t>
      </w:r>
      <w:r w:rsidR="0059729D">
        <w:rPr>
          <w:rFonts w:ascii="Garamond" w:hAnsi="Garamond"/>
          <w:b/>
          <w:bCs/>
          <w:color w:val="0D0D0D"/>
          <w:sz w:val="24"/>
          <w:szCs w:val="24"/>
          <w:lang w:val="sq-AL"/>
        </w:rPr>
        <w:t>-n</w:t>
      </w:r>
    </w:p>
    <w:p w14:paraId="2C720463" w14:textId="521BC1D3" w:rsidR="005674F2" w:rsidRPr="00770F9D" w:rsidRDefault="005674F2" w:rsidP="00E05BC4">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a</w:t>
      </w:r>
      <w:r w:rsidR="00B505D0">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Aktivitetet e ndërtimit në </w:t>
      </w:r>
      <w:r w:rsidR="00E05BC4" w:rsidRPr="00770F9D">
        <w:rPr>
          <w:rFonts w:ascii="Garamond" w:hAnsi="Garamond"/>
          <w:color w:val="0D0D0D"/>
          <w:sz w:val="24"/>
          <w:szCs w:val="24"/>
          <w:lang w:val="sq-AL"/>
        </w:rPr>
        <w:t>periudhën e përgjegjësisë për defektet</w:t>
      </w:r>
      <w:r w:rsidRPr="00770F9D">
        <w:rPr>
          <w:rFonts w:ascii="Garamond" w:hAnsi="Garamond"/>
          <w:color w:val="0D0D0D"/>
          <w:sz w:val="24"/>
          <w:szCs w:val="24"/>
          <w:lang w:val="sq-AL"/>
        </w:rPr>
        <w:t>, e cila zgjat 12 muaj (HSH) nga 3 M IV 2023</w:t>
      </w:r>
      <w:r w:rsidR="00E05BC4">
        <w:rPr>
          <w:rFonts w:ascii="Garamond" w:hAnsi="Garamond"/>
          <w:color w:val="0D0D0D"/>
          <w:sz w:val="24"/>
          <w:szCs w:val="24"/>
          <w:lang w:val="sq-AL"/>
        </w:rPr>
        <w:t>–</w:t>
      </w:r>
      <w:r w:rsidRPr="00770F9D">
        <w:rPr>
          <w:rFonts w:ascii="Garamond" w:hAnsi="Garamond"/>
          <w:color w:val="0D0D0D"/>
          <w:sz w:val="24"/>
          <w:szCs w:val="24"/>
          <w:lang w:val="sq-AL"/>
        </w:rPr>
        <w:t>3 M I 2024. Lidhja hekurudhore me aeroportin e Rinasit deri në 5 km të përfunduar (kryqëzimi hekurudhor trekëndor)</w:t>
      </w:r>
      <w:r w:rsidR="00E05BC4">
        <w:rPr>
          <w:rFonts w:ascii="Garamond" w:hAnsi="Garamond"/>
          <w:color w:val="0D0D0D"/>
          <w:sz w:val="24"/>
          <w:szCs w:val="24"/>
          <w:lang w:val="sq-AL"/>
        </w:rPr>
        <w:t>;</w:t>
      </w:r>
    </w:p>
    <w:p w14:paraId="2D1F27ED" w14:textId="1017B2CB" w:rsidR="005674F2" w:rsidRPr="00770F9D" w:rsidRDefault="005674F2" w:rsidP="00E05BC4">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b</w:t>
      </w:r>
      <w:r w:rsidR="00B505D0">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Vazhdimi i rehabilitimit të punimeve në seksionin kryesor nga Vorë</w:t>
      </w:r>
      <w:r w:rsidR="00E05BC4">
        <w:rPr>
          <w:rFonts w:ascii="Garamond" w:hAnsi="Garamond"/>
          <w:color w:val="0D0D0D"/>
          <w:sz w:val="24"/>
          <w:szCs w:val="24"/>
          <w:lang w:val="sq-AL"/>
        </w:rPr>
        <w:t>–Sukth–</w:t>
      </w:r>
      <w:r w:rsidRPr="00770F9D">
        <w:rPr>
          <w:rFonts w:ascii="Garamond" w:hAnsi="Garamond"/>
          <w:color w:val="0D0D0D"/>
          <w:sz w:val="24"/>
          <w:szCs w:val="24"/>
          <w:lang w:val="sq-AL"/>
        </w:rPr>
        <w:t>Shkozet (Durrës) dhe seksioni 2, Vorë</w:t>
      </w:r>
      <w:r w:rsidR="00E05BC4">
        <w:rPr>
          <w:rFonts w:ascii="Garamond" w:hAnsi="Garamond"/>
          <w:color w:val="0D0D0D"/>
          <w:sz w:val="24"/>
          <w:szCs w:val="24"/>
          <w:lang w:val="sq-AL"/>
        </w:rPr>
        <w:t>–</w:t>
      </w:r>
      <w:r w:rsidRPr="00770F9D">
        <w:rPr>
          <w:rFonts w:ascii="Garamond" w:hAnsi="Garamond"/>
          <w:color w:val="0D0D0D"/>
          <w:sz w:val="24"/>
          <w:szCs w:val="24"/>
          <w:lang w:val="sq-AL"/>
        </w:rPr>
        <w:t>Tiranë</w:t>
      </w:r>
      <w:r w:rsidR="0059729D">
        <w:rPr>
          <w:rFonts w:ascii="Garamond" w:hAnsi="Garamond"/>
          <w:color w:val="0D0D0D"/>
          <w:sz w:val="24"/>
          <w:szCs w:val="24"/>
          <w:lang w:val="sq-AL"/>
        </w:rPr>
        <w:t>–</w:t>
      </w:r>
      <w:r w:rsidRPr="00770F9D">
        <w:rPr>
          <w:rFonts w:ascii="Garamond" w:hAnsi="Garamond"/>
          <w:color w:val="0D0D0D"/>
          <w:sz w:val="24"/>
          <w:szCs w:val="24"/>
          <w:lang w:val="sq-AL"/>
        </w:rPr>
        <w:t>PTT.</w:t>
      </w:r>
    </w:p>
    <w:p w14:paraId="1F4B8066" w14:textId="06B30474" w:rsidR="005674F2" w:rsidRPr="00770F9D" w:rsidRDefault="005674F2" w:rsidP="000F6F7A">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c</w:t>
      </w:r>
      <w:r w:rsidR="00B505D0">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 xml:space="preserve">Aktivitete të planifikuara </w:t>
      </w:r>
      <w:r w:rsidR="000F6F7A">
        <w:rPr>
          <w:rFonts w:ascii="Garamond" w:hAnsi="Garamond"/>
          <w:b/>
          <w:bCs/>
          <w:color w:val="0D0D0D"/>
          <w:sz w:val="24"/>
          <w:szCs w:val="24"/>
          <w:lang w:val="sq-AL"/>
        </w:rPr>
        <w:t>m</w:t>
      </w:r>
      <w:r w:rsidRPr="00770F9D">
        <w:rPr>
          <w:rFonts w:ascii="Garamond" w:hAnsi="Garamond"/>
          <w:b/>
          <w:bCs/>
          <w:color w:val="0D0D0D"/>
          <w:sz w:val="24"/>
          <w:szCs w:val="24"/>
          <w:lang w:val="sq-AL"/>
        </w:rPr>
        <w:t>ë 2025</w:t>
      </w:r>
      <w:r w:rsidR="0059729D">
        <w:rPr>
          <w:rFonts w:ascii="Garamond" w:hAnsi="Garamond"/>
          <w:b/>
          <w:bCs/>
          <w:color w:val="0D0D0D"/>
          <w:sz w:val="24"/>
          <w:szCs w:val="24"/>
          <w:lang w:val="sq-AL"/>
        </w:rPr>
        <w:t>-n</w:t>
      </w:r>
    </w:p>
    <w:p w14:paraId="2E897F9B" w14:textId="35F4805A" w:rsidR="005674F2" w:rsidRPr="00770F9D" w:rsidRDefault="005674F2" w:rsidP="00E05BC4">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a</w:t>
      </w:r>
      <w:r w:rsidR="00B505D0">
        <w:rPr>
          <w:rFonts w:ascii="Garamond" w:hAnsi="Garamond"/>
          <w:color w:val="0D0D0D"/>
          <w:sz w:val="24"/>
          <w:szCs w:val="24"/>
          <w:lang w:val="sq-AL"/>
        </w:rPr>
        <w:t xml:space="preserve">) </w:t>
      </w:r>
      <w:r w:rsidRPr="00770F9D">
        <w:rPr>
          <w:rFonts w:ascii="Garamond" w:hAnsi="Garamond"/>
          <w:color w:val="0D0D0D"/>
          <w:sz w:val="24"/>
          <w:szCs w:val="24"/>
          <w:lang w:val="sq-AL"/>
        </w:rPr>
        <w:t>Finalizimi i punimeve për rehabilitimin do të kryhet në seksionin kryesor nga Vorë-Sukthi-Shkozet (Durrës) dhe seksioni 2, Vorë</w:t>
      </w:r>
      <w:r w:rsidR="00B505D0">
        <w:rPr>
          <w:rFonts w:ascii="Garamond" w:hAnsi="Garamond"/>
          <w:color w:val="0D0D0D"/>
          <w:sz w:val="24"/>
          <w:szCs w:val="24"/>
          <w:lang w:val="sq-AL"/>
        </w:rPr>
        <w:t>–</w:t>
      </w:r>
      <w:r w:rsidRPr="00770F9D">
        <w:rPr>
          <w:rFonts w:ascii="Garamond" w:hAnsi="Garamond"/>
          <w:color w:val="0D0D0D"/>
          <w:sz w:val="24"/>
          <w:szCs w:val="24"/>
          <w:lang w:val="sq-AL"/>
        </w:rPr>
        <w:t>Tiranë</w:t>
      </w:r>
      <w:r w:rsidR="00B505D0">
        <w:rPr>
          <w:rFonts w:ascii="Garamond" w:hAnsi="Garamond"/>
          <w:color w:val="0D0D0D"/>
          <w:sz w:val="24"/>
          <w:szCs w:val="24"/>
          <w:lang w:val="sq-AL"/>
        </w:rPr>
        <w:t>–</w:t>
      </w:r>
      <w:r w:rsidRPr="00770F9D">
        <w:rPr>
          <w:rFonts w:ascii="Garamond" w:hAnsi="Garamond"/>
          <w:color w:val="0D0D0D"/>
          <w:sz w:val="24"/>
          <w:szCs w:val="24"/>
          <w:lang w:val="sq-AL"/>
        </w:rPr>
        <w:t>PTT</w:t>
      </w:r>
      <w:r w:rsidR="00E05BC4">
        <w:rPr>
          <w:rFonts w:ascii="Garamond" w:hAnsi="Garamond"/>
          <w:color w:val="0D0D0D"/>
          <w:sz w:val="24"/>
          <w:szCs w:val="24"/>
          <w:lang w:val="sq-AL"/>
        </w:rPr>
        <w:t>;</w:t>
      </w:r>
    </w:p>
    <w:p w14:paraId="6BF119C6" w14:textId="14AEF458" w:rsidR="005674F2" w:rsidRPr="00770F9D" w:rsidRDefault="005674F2" w:rsidP="00EB64CA">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b</w:t>
      </w:r>
      <w:r w:rsidR="00B505D0">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Ndërlidhja me pikën e ndërrimit të Vorës, me projektin e sinergjisë që është projekti tjetër strategjik, Vorë</w:t>
      </w:r>
      <w:r w:rsidR="00480B3B">
        <w:rPr>
          <w:rFonts w:ascii="Garamond" w:hAnsi="Garamond"/>
          <w:color w:val="0D0D0D"/>
          <w:sz w:val="24"/>
          <w:szCs w:val="24"/>
          <w:lang w:val="sq-AL"/>
        </w:rPr>
        <w:t>–</w:t>
      </w:r>
      <w:r w:rsidRPr="00770F9D">
        <w:rPr>
          <w:rFonts w:ascii="Garamond" w:hAnsi="Garamond"/>
          <w:color w:val="0D0D0D"/>
          <w:sz w:val="24"/>
          <w:szCs w:val="24"/>
          <w:lang w:val="sq-AL"/>
        </w:rPr>
        <w:t>Hani Hotit, në kuadër të planit ekonomik dhe t</w:t>
      </w:r>
      <w:r w:rsidR="00EB64CA">
        <w:rPr>
          <w:rFonts w:ascii="Garamond" w:hAnsi="Garamond" w:cstheme="majorBidi"/>
          <w:color w:val="0D0D0D" w:themeColor="text1" w:themeTint="F2"/>
        </w:rPr>
        <w:t>ë</w:t>
      </w:r>
      <w:r w:rsidRPr="00770F9D">
        <w:rPr>
          <w:rFonts w:ascii="Garamond" w:hAnsi="Garamond"/>
          <w:color w:val="0D0D0D"/>
          <w:sz w:val="24"/>
          <w:szCs w:val="24"/>
          <w:lang w:val="sq-AL"/>
        </w:rPr>
        <w:t xml:space="preserve"> investimeve t</w:t>
      </w:r>
      <w:r w:rsidR="00EB64CA">
        <w:rPr>
          <w:rFonts w:ascii="Garamond" w:hAnsi="Garamond" w:cstheme="majorBidi"/>
          <w:color w:val="0D0D0D" w:themeColor="text1" w:themeTint="F2"/>
        </w:rPr>
        <w:t>ë</w:t>
      </w:r>
      <w:r w:rsidRPr="00770F9D">
        <w:rPr>
          <w:rFonts w:ascii="Garamond" w:hAnsi="Garamond"/>
          <w:color w:val="0D0D0D"/>
          <w:sz w:val="24"/>
          <w:szCs w:val="24"/>
          <w:lang w:val="sq-AL"/>
        </w:rPr>
        <w:t xml:space="preserve"> BE</w:t>
      </w:r>
      <w:r w:rsidR="00480B3B">
        <w:rPr>
          <w:rFonts w:ascii="Garamond" w:hAnsi="Garamond"/>
          <w:color w:val="0D0D0D"/>
          <w:sz w:val="24"/>
          <w:szCs w:val="24"/>
          <w:lang w:val="sq-AL"/>
        </w:rPr>
        <w:t>-së</w:t>
      </w:r>
      <w:r w:rsidRPr="00770F9D">
        <w:rPr>
          <w:rFonts w:ascii="Garamond" w:hAnsi="Garamond"/>
          <w:color w:val="0D0D0D"/>
          <w:sz w:val="24"/>
          <w:szCs w:val="24"/>
          <w:lang w:val="sq-AL"/>
        </w:rPr>
        <w:t xml:space="preserve"> (EIP). Përfundimi i hapave për prokurimin e punëve, mallrave dhe shërbimeve në Vora-Hani i Hotit.</w:t>
      </w:r>
    </w:p>
    <w:p w14:paraId="1B76B12D" w14:textId="07200531" w:rsidR="005674F2" w:rsidRPr="00770F9D" w:rsidRDefault="005674F2" w:rsidP="00B505D0">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c</w:t>
      </w:r>
      <w:r w:rsidR="00B505D0">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Shtrirja treguese në një bulevard të ri të Tiranës dhe ndërtimi i lidhjes që mungon me PTT</w:t>
      </w:r>
    </w:p>
    <w:p w14:paraId="1475EF9A" w14:textId="6757029C" w:rsidR="005674F2" w:rsidRPr="00770F9D" w:rsidRDefault="0028077A"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2</w:t>
      </w:r>
      <w:r w:rsidR="005674F2" w:rsidRPr="00770F9D">
        <w:rPr>
          <w:rFonts w:ascii="Garamond" w:hAnsi="Garamond"/>
          <w:color w:val="0D0D0D"/>
          <w:u w:val="none"/>
        </w:rPr>
        <w:t>.</w:t>
      </w:r>
      <w:r w:rsidR="00BA4F1A" w:rsidRPr="00770F9D">
        <w:rPr>
          <w:rFonts w:ascii="Garamond" w:hAnsi="Garamond"/>
          <w:color w:val="0D0D0D"/>
          <w:u w:val="none"/>
        </w:rPr>
        <w:t xml:space="preserve"> </w:t>
      </w:r>
      <w:r w:rsidR="005674F2" w:rsidRPr="00770F9D">
        <w:rPr>
          <w:rFonts w:ascii="Garamond" w:hAnsi="Garamond"/>
          <w:color w:val="0D0D0D"/>
          <w:u w:val="none"/>
        </w:rPr>
        <w:t>Treguesit e rezultateve</w:t>
      </w:r>
    </w:p>
    <w:tbl>
      <w:tblPr>
        <w:tblStyle w:val="TableGrid"/>
        <w:tblW w:w="0" w:type="auto"/>
        <w:jc w:val="center"/>
        <w:tblLook w:val="04A0" w:firstRow="1" w:lastRow="0" w:firstColumn="1" w:lastColumn="0" w:noHBand="0" w:noVBand="1"/>
      </w:tblPr>
      <w:tblGrid>
        <w:gridCol w:w="3833"/>
        <w:gridCol w:w="1724"/>
        <w:gridCol w:w="1996"/>
        <w:gridCol w:w="1734"/>
      </w:tblGrid>
      <w:tr w:rsidR="00FA29AB" w:rsidRPr="00770F9D" w14:paraId="1A2D8D3E" w14:textId="77777777" w:rsidTr="00B505D0">
        <w:trPr>
          <w:jc w:val="center"/>
        </w:trPr>
        <w:tc>
          <w:tcPr>
            <w:tcW w:w="4004" w:type="dxa"/>
            <w:shd w:val="clear" w:color="auto" w:fill="auto"/>
            <w:vAlign w:val="center"/>
          </w:tcPr>
          <w:p w14:paraId="7947260E" w14:textId="77777777" w:rsidR="000C350C" w:rsidRPr="00B505D0" w:rsidRDefault="00B2062A" w:rsidP="00B505D0">
            <w:pPr>
              <w:snapToGrid w:val="0"/>
              <w:jc w:val="center"/>
              <w:rPr>
                <w:rFonts w:ascii="Garamond" w:hAnsi="Garamond" w:cstheme="majorBidi"/>
                <w:b/>
                <w:bCs/>
                <w:color w:val="0D0D0D" w:themeColor="text1" w:themeTint="F2"/>
                <w:sz w:val="20"/>
                <w:szCs w:val="20"/>
              </w:rPr>
            </w:pPr>
            <w:r w:rsidRPr="00B505D0">
              <w:rPr>
                <w:rFonts w:ascii="Garamond" w:hAnsi="Garamond" w:cstheme="majorBidi"/>
                <w:b/>
                <w:bCs/>
                <w:color w:val="0D0D0D" w:themeColor="text1" w:themeTint="F2"/>
                <w:sz w:val="20"/>
                <w:szCs w:val="20"/>
              </w:rPr>
              <w:t>Tregues</w:t>
            </w:r>
          </w:p>
        </w:tc>
        <w:tc>
          <w:tcPr>
            <w:tcW w:w="1785" w:type="dxa"/>
            <w:shd w:val="clear" w:color="auto" w:fill="auto"/>
            <w:vAlign w:val="center"/>
          </w:tcPr>
          <w:p w14:paraId="398BD2AF" w14:textId="77777777" w:rsidR="000C350C" w:rsidRPr="00B505D0" w:rsidRDefault="00B2062A" w:rsidP="00B505D0">
            <w:pPr>
              <w:snapToGrid w:val="0"/>
              <w:jc w:val="center"/>
              <w:rPr>
                <w:rFonts w:ascii="Garamond" w:hAnsi="Garamond" w:cstheme="majorBidi"/>
                <w:b/>
                <w:bCs/>
                <w:color w:val="0D0D0D" w:themeColor="text1" w:themeTint="F2"/>
                <w:sz w:val="20"/>
                <w:szCs w:val="20"/>
              </w:rPr>
            </w:pPr>
            <w:r w:rsidRPr="00B505D0">
              <w:rPr>
                <w:rFonts w:ascii="Garamond" w:hAnsi="Garamond" w:cstheme="majorBidi"/>
                <w:b/>
                <w:bCs/>
                <w:color w:val="0D0D0D" w:themeColor="text1" w:themeTint="F2"/>
                <w:sz w:val="20"/>
                <w:szCs w:val="20"/>
              </w:rPr>
              <w:t>Bazë</w:t>
            </w:r>
          </w:p>
          <w:p w14:paraId="441E571F" w14:textId="77777777" w:rsidR="000C350C" w:rsidRPr="00B505D0" w:rsidRDefault="00210E36" w:rsidP="00B505D0">
            <w:pPr>
              <w:snapToGrid w:val="0"/>
              <w:jc w:val="center"/>
              <w:rPr>
                <w:rFonts w:ascii="Garamond" w:hAnsi="Garamond" w:cstheme="majorBidi"/>
                <w:b/>
                <w:bCs/>
                <w:color w:val="0D0D0D" w:themeColor="text1" w:themeTint="F2"/>
                <w:sz w:val="20"/>
                <w:szCs w:val="20"/>
              </w:rPr>
            </w:pPr>
            <w:r w:rsidRPr="00B505D0">
              <w:rPr>
                <w:rFonts w:ascii="Garamond" w:hAnsi="Garamond" w:cstheme="majorBidi"/>
                <w:b/>
                <w:bCs/>
                <w:color w:val="0D0D0D" w:themeColor="text1" w:themeTint="F2"/>
                <w:sz w:val="20"/>
                <w:szCs w:val="20"/>
              </w:rPr>
              <w:t>(2016</w:t>
            </w:r>
            <w:r w:rsidR="000C350C" w:rsidRPr="00B505D0">
              <w:rPr>
                <w:rFonts w:ascii="Garamond" w:hAnsi="Garamond" w:cstheme="majorBidi"/>
                <w:b/>
                <w:bCs/>
                <w:color w:val="0D0D0D" w:themeColor="text1" w:themeTint="F2"/>
                <w:sz w:val="20"/>
                <w:szCs w:val="20"/>
              </w:rPr>
              <w:t>)</w:t>
            </w:r>
          </w:p>
        </w:tc>
        <w:tc>
          <w:tcPr>
            <w:tcW w:w="2047" w:type="dxa"/>
            <w:shd w:val="clear" w:color="auto" w:fill="auto"/>
            <w:vAlign w:val="center"/>
          </w:tcPr>
          <w:p w14:paraId="5B01080B" w14:textId="77777777" w:rsidR="000C350C" w:rsidRPr="00B505D0" w:rsidRDefault="00B2062A" w:rsidP="00B505D0">
            <w:pPr>
              <w:snapToGrid w:val="0"/>
              <w:jc w:val="center"/>
              <w:rPr>
                <w:rFonts w:ascii="Garamond" w:hAnsi="Garamond" w:cstheme="majorBidi"/>
                <w:b/>
                <w:bCs/>
                <w:color w:val="0D0D0D" w:themeColor="text1" w:themeTint="F2"/>
                <w:sz w:val="20"/>
                <w:szCs w:val="20"/>
              </w:rPr>
            </w:pPr>
            <w:r w:rsidRPr="00B505D0">
              <w:rPr>
                <w:rFonts w:ascii="Garamond" w:hAnsi="Garamond" w:cstheme="majorBidi"/>
                <w:b/>
                <w:bCs/>
                <w:color w:val="0D0D0D" w:themeColor="text1" w:themeTint="F2"/>
                <w:sz w:val="20"/>
                <w:szCs w:val="20"/>
              </w:rPr>
              <w:t>I ndërmjetëm</w:t>
            </w:r>
            <w:r w:rsidR="000C350C" w:rsidRPr="00B505D0">
              <w:rPr>
                <w:rFonts w:ascii="Garamond" w:hAnsi="Garamond" w:cstheme="majorBidi"/>
                <w:b/>
                <w:bCs/>
                <w:color w:val="0D0D0D" w:themeColor="text1" w:themeTint="F2"/>
                <w:sz w:val="20"/>
                <w:szCs w:val="20"/>
              </w:rPr>
              <w:t xml:space="preserve"> (</w:t>
            </w:r>
            <w:r w:rsidR="00DB3786" w:rsidRPr="00B505D0">
              <w:rPr>
                <w:rFonts w:ascii="Garamond" w:hAnsi="Garamond" w:cstheme="majorBidi"/>
                <w:b/>
                <w:bCs/>
                <w:color w:val="0D0D0D" w:themeColor="text1" w:themeTint="F2"/>
                <w:sz w:val="20"/>
                <w:szCs w:val="20"/>
              </w:rPr>
              <w:t>202</w:t>
            </w:r>
            <w:r w:rsidR="00210E36" w:rsidRPr="00B505D0">
              <w:rPr>
                <w:rFonts w:ascii="Garamond" w:hAnsi="Garamond" w:cstheme="majorBidi"/>
                <w:b/>
                <w:bCs/>
                <w:color w:val="0D0D0D" w:themeColor="text1" w:themeTint="F2"/>
                <w:sz w:val="20"/>
                <w:szCs w:val="20"/>
              </w:rPr>
              <w:t>5</w:t>
            </w:r>
            <w:r w:rsidR="000C350C" w:rsidRPr="00B505D0">
              <w:rPr>
                <w:rFonts w:ascii="Garamond" w:hAnsi="Garamond" w:cstheme="majorBidi"/>
                <w:b/>
                <w:bCs/>
                <w:color w:val="0D0D0D" w:themeColor="text1" w:themeTint="F2"/>
                <w:sz w:val="20"/>
                <w:szCs w:val="20"/>
              </w:rPr>
              <w:t>)</w:t>
            </w:r>
          </w:p>
        </w:tc>
        <w:tc>
          <w:tcPr>
            <w:tcW w:w="1786" w:type="dxa"/>
            <w:shd w:val="clear" w:color="auto" w:fill="auto"/>
            <w:vAlign w:val="center"/>
          </w:tcPr>
          <w:p w14:paraId="519E6849" w14:textId="77777777" w:rsidR="000C350C" w:rsidRPr="00B505D0" w:rsidRDefault="00DB3786" w:rsidP="00B505D0">
            <w:pPr>
              <w:snapToGrid w:val="0"/>
              <w:jc w:val="center"/>
              <w:rPr>
                <w:rFonts w:ascii="Garamond" w:hAnsi="Garamond" w:cstheme="majorBidi"/>
                <w:b/>
                <w:bCs/>
                <w:color w:val="0D0D0D" w:themeColor="text1" w:themeTint="F2"/>
                <w:sz w:val="20"/>
                <w:szCs w:val="20"/>
              </w:rPr>
            </w:pPr>
            <w:r w:rsidRPr="00B505D0">
              <w:rPr>
                <w:rFonts w:ascii="Garamond" w:hAnsi="Garamond" w:cstheme="majorBidi"/>
                <w:b/>
                <w:bCs/>
                <w:color w:val="0D0D0D" w:themeColor="text1" w:themeTint="F2"/>
                <w:sz w:val="20"/>
                <w:szCs w:val="20"/>
              </w:rPr>
              <w:t>Final</w:t>
            </w:r>
          </w:p>
          <w:p w14:paraId="45138DA3" w14:textId="77777777" w:rsidR="000C350C" w:rsidRPr="00B505D0" w:rsidRDefault="000C350C" w:rsidP="00B505D0">
            <w:pPr>
              <w:snapToGrid w:val="0"/>
              <w:jc w:val="center"/>
              <w:rPr>
                <w:rFonts w:ascii="Garamond" w:hAnsi="Garamond" w:cstheme="majorBidi"/>
                <w:b/>
                <w:bCs/>
                <w:color w:val="0D0D0D" w:themeColor="text1" w:themeTint="F2"/>
                <w:sz w:val="20"/>
                <w:szCs w:val="20"/>
              </w:rPr>
            </w:pPr>
            <w:r w:rsidRPr="00B505D0">
              <w:rPr>
                <w:rFonts w:ascii="Garamond" w:hAnsi="Garamond" w:cstheme="majorBidi"/>
                <w:b/>
                <w:bCs/>
                <w:color w:val="0D0D0D" w:themeColor="text1" w:themeTint="F2"/>
                <w:sz w:val="20"/>
                <w:szCs w:val="20"/>
              </w:rPr>
              <w:t>(2047)</w:t>
            </w:r>
          </w:p>
        </w:tc>
      </w:tr>
      <w:tr w:rsidR="00210E36" w:rsidRPr="00770F9D" w14:paraId="6157C97F" w14:textId="77777777" w:rsidTr="00B505D0">
        <w:trPr>
          <w:jc w:val="center"/>
        </w:trPr>
        <w:tc>
          <w:tcPr>
            <w:tcW w:w="4004" w:type="dxa"/>
            <w:shd w:val="clear" w:color="auto" w:fill="auto"/>
          </w:tcPr>
          <w:p w14:paraId="609053FF" w14:textId="03C03670" w:rsidR="00210E36" w:rsidRPr="00770F9D" w:rsidRDefault="00210E36" w:rsidP="00480B3B">
            <w:pPr>
              <w:pStyle w:val="MediumGrid21"/>
              <w:snapToGrid w:val="0"/>
              <w:rPr>
                <w:rFonts w:ascii="Garamond" w:hAnsi="Garamond" w:cstheme="majorBidi"/>
                <w:bCs/>
                <w:color w:val="0D0D0D" w:themeColor="text1" w:themeTint="F2"/>
                <w:sz w:val="20"/>
                <w:szCs w:val="20"/>
                <w:lang w:val="sq-AL"/>
              </w:rPr>
            </w:pPr>
            <w:r w:rsidRPr="00770F9D">
              <w:rPr>
                <w:rFonts w:ascii="Garamond" w:hAnsi="Garamond" w:cstheme="majorBidi"/>
                <w:color w:val="0D0D0D" w:themeColor="text1" w:themeTint="F2"/>
                <w:sz w:val="20"/>
                <w:szCs w:val="20"/>
                <w:lang w:val="sq-AL"/>
              </w:rPr>
              <w:t xml:space="preserve">Treguesi i rezultatit 1 </w:t>
            </w:r>
            <w:r w:rsidR="00480B3B">
              <w:rPr>
                <w:rFonts w:ascii="Garamond" w:hAnsi="Garamond" w:cstheme="majorBidi"/>
                <w:color w:val="0D0D0D" w:themeColor="text1" w:themeTint="F2"/>
                <w:sz w:val="20"/>
                <w:szCs w:val="20"/>
                <w:lang w:val="sq-AL"/>
              </w:rPr>
              <w:t>(</w:t>
            </w:r>
            <w:r w:rsidR="00480B3B" w:rsidRPr="00770F9D">
              <w:rPr>
                <w:rFonts w:ascii="Garamond" w:hAnsi="Garamond" w:cstheme="majorBidi"/>
                <w:color w:val="0D0D0D" w:themeColor="text1" w:themeTint="F2"/>
                <w:sz w:val="20"/>
                <w:szCs w:val="20"/>
                <w:lang w:val="sq-AL"/>
              </w:rPr>
              <w:t xml:space="preserve">milionë </w:t>
            </w:r>
            <w:r w:rsidRPr="00770F9D">
              <w:rPr>
                <w:rFonts w:ascii="Garamond" w:hAnsi="Garamond" w:cstheme="majorBidi"/>
                <w:color w:val="0D0D0D" w:themeColor="text1" w:themeTint="F2"/>
                <w:sz w:val="20"/>
                <w:szCs w:val="20"/>
                <w:lang w:val="sq-AL"/>
              </w:rPr>
              <w:t>pasagjerë/vit</w:t>
            </w:r>
            <w:r w:rsidR="00480B3B">
              <w:rPr>
                <w:rFonts w:ascii="Garamond" w:hAnsi="Garamond" w:cstheme="majorBidi"/>
                <w:color w:val="0D0D0D" w:themeColor="text1" w:themeTint="F2"/>
                <w:sz w:val="20"/>
                <w:szCs w:val="20"/>
                <w:lang w:val="sq-AL"/>
              </w:rPr>
              <w:t>)</w:t>
            </w:r>
          </w:p>
        </w:tc>
        <w:tc>
          <w:tcPr>
            <w:tcW w:w="1785" w:type="dxa"/>
            <w:shd w:val="clear" w:color="auto" w:fill="auto"/>
          </w:tcPr>
          <w:p w14:paraId="1BF33AA0" w14:textId="77777777" w:rsidR="00210E36" w:rsidRPr="00770F9D" w:rsidRDefault="00210E36" w:rsidP="00DB40E8">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xml:space="preserve">0.75881 </w:t>
            </w:r>
          </w:p>
        </w:tc>
        <w:tc>
          <w:tcPr>
            <w:tcW w:w="2047" w:type="dxa"/>
            <w:shd w:val="clear" w:color="auto" w:fill="auto"/>
          </w:tcPr>
          <w:p w14:paraId="5D1CCF8F" w14:textId="77777777" w:rsidR="00210E36" w:rsidRPr="00770F9D" w:rsidRDefault="00210E36" w:rsidP="00DB40E8">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xml:space="preserve">1.1741 </w:t>
            </w:r>
          </w:p>
        </w:tc>
        <w:tc>
          <w:tcPr>
            <w:tcW w:w="1786" w:type="dxa"/>
            <w:shd w:val="clear" w:color="auto" w:fill="auto"/>
          </w:tcPr>
          <w:p w14:paraId="35538D12" w14:textId="77777777" w:rsidR="00210E36" w:rsidRPr="00770F9D" w:rsidRDefault="00210E36" w:rsidP="00DB40E8">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1.25</w:t>
            </w:r>
          </w:p>
        </w:tc>
      </w:tr>
      <w:tr w:rsidR="00210E36" w:rsidRPr="00770F9D" w14:paraId="47774BA9" w14:textId="77777777" w:rsidTr="00B505D0">
        <w:trPr>
          <w:jc w:val="center"/>
        </w:trPr>
        <w:tc>
          <w:tcPr>
            <w:tcW w:w="4004" w:type="dxa"/>
            <w:shd w:val="clear" w:color="auto" w:fill="auto"/>
          </w:tcPr>
          <w:p w14:paraId="7FDA04CB" w14:textId="21C7F3EB" w:rsidR="00210E36" w:rsidRPr="00770F9D" w:rsidRDefault="00210E36" w:rsidP="00480B3B">
            <w:pPr>
              <w:pStyle w:val="MediumGrid21"/>
              <w:snapToGrid w:val="0"/>
              <w:rPr>
                <w:rFonts w:ascii="Garamond" w:hAnsi="Garamond" w:cstheme="majorBidi"/>
                <w:bCs/>
                <w:color w:val="0D0D0D" w:themeColor="text1" w:themeTint="F2"/>
                <w:sz w:val="20"/>
                <w:szCs w:val="20"/>
                <w:lang w:val="sq-AL"/>
              </w:rPr>
            </w:pPr>
            <w:r w:rsidRPr="00770F9D">
              <w:rPr>
                <w:rFonts w:ascii="Garamond" w:hAnsi="Garamond" w:cstheme="majorBidi"/>
                <w:color w:val="0D0D0D" w:themeColor="text1" w:themeTint="F2"/>
                <w:sz w:val="20"/>
                <w:szCs w:val="20"/>
                <w:lang w:val="sq-AL"/>
              </w:rPr>
              <w:t xml:space="preserve">Treguesi i rezultatit 2 </w:t>
            </w:r>
            <w:r w:rsidR="00480B3B">
              <w:rPr>
                <w:rFonts w:ascii="Garamond" w:hAnsi="Garamond" w:cstheme="majorBidi"/>
                <w:color w:val="0D0D0D" w:themeColor="text1" w:themeTint="F2"/>
                <w:sz w:val="20"/>
                <w:szCs w:val="20"/>
                <w:lang w:val="sq-AL"/>
              </w:rPr>
              <w:t>(</w:t>
            </w:r>
            <w:r w:rsidR="00480B3B" w:rsidRPr="00770F9D">
              <w:rPr>
                <w:rFonts w:ascii="Garamond" w:hAnsi="Garamond" w:cstheme="majorBidi"/>
                <w:color w:val="0D0D0D" w:themeColor="text1" w:themeTint="F2"/>
                <w:sz w:val="20"/>
                <w:szCs w:val="20"/>
                <w:lang w:val="sq-AL"/>
              </w:rPr>
              <w:t>ton</w:t>
            </w:r>
            <w:r w:rsidRPr="00770F9D">
              <w:rPr>
                <w:rFonts w:ascii="Garamond" w:hAnsi="Garamond" w:cstheme="majorBidi"/>
                <w:color w:val="0D0D0D" w:themeColor="text1" w:themeTint="F2"/>
                <w:sz w:val="20"/>
                <w:szCs w:val="20"/>
                <w:lang w:val="sq-AL"/>
              </w:rPr>
              <w:t>/vit</w:t>
            </w:r>
            <w:r w:rsidR="00480B3B">
              <w:rPr>
                <w:rFonts w:ascii="Garamond" w:hAnsi="Garamond" w:cstheme="majorBidi"/>
                <w:color w:val="0D0D0D" w:themeColor="text1" w:themeTint="F2"/>
                <w:sz w:val="20"/>
                <w:szCs w:val="20"/>
                <w:lang w:val="sq-AL"/>
              </w:rPr>
              <w:t>)</w:t>
            </w:r>
          </w:p>
        </w:tc>
        <w:tc>
          <w:tcPr>
            <w:tcW w:w="1785" w:type="dxa"/>
            <w:shd w:val="clear" w:color="auto" w:fill="auto"/>
          </w:tcPr>
          <w:p w14:paraId="69F6E305" w14:textId="77777777" w:rsidR="00210E36" w:rsidRPr="00770F9D" w:rsidRDefault="00210E36" w:rsidP="00DB40E8">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xml:space="preserve">198,900 </w:t>
            </w:r>
          </w:p>
        </w:tc>
        <w:tc>
          <w:tcPr>
            <w:tcW w:w="2047" w:type="dxa"/>
            <w:shd w:val="clear" w:color="auto" w:fill="auto"/>
          </w:tcPr>
          <w:p w14:paraId="3F7019A6" w14:textId="77777777" w:rsidR="00210E36" w:rsidRPr="00770F9D" w:rsidRDefault="00210E36" w:rsidP="00DB40E8">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xml:space="preserve">51,100 </w:t>
            </w:r>
          </w:p>
        </w:tc>
        <w:tc>
          <w:tcPr>
            <w:tcW w:w="1786" w:type="dxa"/>
            <w:shd w:val="clear" w:color="auto" w:fill="auto"/>
          </w:tcPr>
          <w:p w14:paraId="4A94BF2F" w14:textId="77777777" w:rsidR="00210E36" w:rsidRPr="00770F9D" w:rsidRDefault="00210E36" w:rsidP="00DB40E8">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250,000</w:t>
            </w:r>
          </w:p>
        </w:tc>
      </w:tr>
      <w:tr w:rsidR="00210E36" w:rsidRPr="00770F9D" w14:paraId="0E9E71F6" w14:textId="77777777" w:rsidTr="00B505D0">
        <w:trPr>
          <w:jc w:val="center"/>
        </w:trPr>
        <w:tc>
          <w:tcPr>
            <w:tcW w:w="4004" w:type="dxa"/>
            <w:shd w:val="clear" w:color="auto" w:fill="auto"/>
          </w:tcPr>
          <w:p w14:paraId="469E6737" w14:textId="0EE54854" w:rsidR="00210E36" w:rsidRPr="00770F9D" w:rsidRDefault="00210E36" w:rsidP="00480B3B">
            <w:pPr>
              <w:pStyle w:val="MediumGrid21"/>
              <w:snapToGrid w:val="0"/>
              <w:rPr>
                <w:rFonts w:ascii="Garamond" w:hAnsi="Garamond" w:cstheme="majorBidi"/>
                <w:bCs/>
                <w:color w:val="0D0D0D" w:themeColor="text1" w:themeTint="F2"/>
                <w:sz w:val="20"/>
                <w:szCs w:val="20"/>
                <w:lang w:val="sq-AL"/>
              </w:rPr>
            </w:pPr>
            <w:r w:rsidRPr="00770F9D">
              <w:rPr>
                <w:rFonts w:ascii="Garamond" w:hAnsi="Garamond" w:cstheme="majorBidi"/>
                <w:color w:val="0D0D0D" w:themeColor="text1" w:themeTint="F2"/>
                <w:sz w:val="20"/>
                <w:szCs w:val="20"/>
                <w:lang w:val="sq-AL"/>
              </w:rPr>
              <w:t>Treguesi i rezultatit 3 (ton/vit)</w:t>
            </w:r>
          </w:p>
        </w:tc>
        <w:tc>
          <w:tcPr>
            <w:tcW w:w="1785" w:type="dxa"/>
            <w:shd w:val="clear" w:color="auto" w:fill="auto"/>
          </w:tcPr>
          <w:p w14:paraId="45EA7422" w14:textId="77777777" w:rsidR="00210E36" w:rsidRPr="00770F9D" w:rsidRDefault="00210E36" w:rsidP="00DB40E8">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xml:space="preserve">0 </w:t>
            </w:r>
          </w:p>
        </w:tc>
        <w:tc>
          <w:tcPr>
            <w:tcW w:w="2047" w:type="dxa"/>
            <w:shd w:val="clear" w:color="auto" w:fill="auto"/>
          </w:tcPr>
          <w:p w14:paraId="4E761D4F" w14:textId="77777777" w:rsidR="00210E36" w:rsidRPr="00770F9D" w:rsidRDefault="00210E36" w:rsidP="00DB40E8">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486</w:t>
            </w:r>
          </w:p>
        </w:tc>
        <w:tc>
          <w:tcPr>
            <w:tcW w:w="1786" w:type="dxa"/>
            <w:shd w:val="clear" w:color="auto" w:fill="auto"/>
          </w:tcPr>
          <w:p w14:paraId="244F3B30" w14:textId="77777777" w:rsidR="00210E36" w:rsidRPr="00770F9D" w:rsidRDefault="00210E36" w:rsidP="00DB40E8">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486</w:t>
            </w:r>
          </w:p>
        </w:tc>
      </w:tr>
      <w:tr w:rsidR="00210E36" w:rsidRPr="00770F9D" w14:paraId="63571DE6" w14:textId="77777777" w:rsidTr="00B505D0">
        <w:trPr>
          <w:jc w:val="center"/>
        </w:trPr>
        <w:tc>
          <w:tcPr>
            <w:tcW w:w="4004" w:type="dxa"/>
            <w:shd w:val="clear" w:color="auto" w:fill="auto"/>
          </w:tcPr>
          <w:p w14:paraId="6F86B5D1" w14:textId="77777777" w:rsidR="00210E36" w:rsidRPr="00770F9D" w:rsidRDefault="00210E36" w:rsidP="0028077A">
            <w:pPr>
              <w:pStyle w:val="MediumGrid21"/>
              <w:snapToGrid w:val="0"/>
              <w:rPr>
                <w:rFonts w:ascii="Garamond" w:hAnsi="Garamond" w:cstheme="majorBidi"/>
                <w:bCs/>
                <w:color w:val="0D0D0D" w:themeColor="text1" w:themeTint="F2"/>
                <w:sz w:val="20"/>
                <w:szCs w:val="20"/>
                <w:lang w:val="sq-AL"/>
              </w:rPr>
            </w:pPr>
            <w:r w:rsidRPr="00770F9D">
              <w:rPr>
                <w:rFonts w:ascii="Garamond" w:hAnsi="Garamond" w:cstheme="majorBidi"/>
                <w:color w:val="0D0D0D" w:themeColor="text1" w:themeTint="F2"/>
                <w:sz w:val="20"/>
                <w:szCs w:val="20"/>
                <w:lang w:val="sq-AL"/>
              </w:rPr>
              <w:t>Ulje e emetimeve të CO</w:t>
            </w:r>
            <w:r w:rsidRPr="00480B3B">
              <w:rPr>
                <w:rFonts w:ascii="Garamond" w:hAnsi="Garamond" w:cstheme="majorBidi"/>
                <w:color w:val="0D0D0D" w:themeColor="text1" w:themeTint="F2"/>
                <w:sz w:val="20"/>
                <w:szCs w:val="20"/>
                <w:vertAlign w:val="subscript"/>
                <w:lang w:val="sq-AL"/>
              </w:rPr>
              <w:t>2</w:t>
            </w:r>
            <w:r w:rsidRPr="00770F9D">
              <w:rPr>
                <w:rFonts w:ascii="Garamond" w:hAnsi="Garamond" w:cstheme="majorBidi"/>
                <w:color w:val="0D0D0D" w:themeColor="text1" w:themeTint="F2"/>
                <w:sz w:val="20"/>
                <w:szCs w:val="20"/>
                <w:lang w:val="sq-AL"/>
              </w:rPr>
              <w:t xml:space="preserve"> kundrejt makinave</w:t>
            </w:r>
          </w:p>
        </w:tc>
        <w:tc>
          <w:tcPr>
            <w:tcW w:w="1785" w:type="dxa"/>
            <w:shd w:val="clear" w:color="auto" w:fill="auto"/>
          </w:tcPr>
          <w:p w14:paraId="1DFA0FC2" w14:textId="77777777" w:rsidR="00210E36" w:rsidRPr="00770F9D" w:rsidRDefault="00210E36" w:rsidP="00DB40E8">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xml:space="preserve">0 </w:t>
            </w:r>
          </w:p>
        </w:tc>
        <w:tc>
          <w:tcPr>
            <w:tcW w:w="2047" w:type="dxa"/>
            <w:shd w:val="clear" w:color="auto" w:fill="auto"/>
          </w:tcPr>
          <w:p w14:paraId="1D3B50A2" w14:textId="77777777" w:rsidR="00210E36" w:rsidRPr="00770F9D" w:rsidRDefault="00210E36" w:rsidP="00DB40E8">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xml:space="preserve">8,700,000 </w:t>
            </w:r>
          </w:p>
        </w:tc>
        <w:tc>
          <w:tcPr>
            <w:tcW w:w="1786" w:type="dxa"/>
            <w:shd w:val="clear" w:color="auto" w:fill="auto"/>
          </w:tcPr>
          <w:p w14:paraId="07911173" w14:textId="77777777" w:rsidR="00210E36" w:rsidRPr="00770F9D" w:rsidRDefault="00210E36" w:rsidP="00DB40E8">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xml:space="preserve">8,700,000 </w:t>
            </w:r>
          </w:p>
        </w:tc>
      </w:tr>
      <w:tr w:rsidR="00210E36" w:rsidRPr="00770F9D" w14:paraId="3BBE58F0" w14:textId="77777777" w:rsidTr="00B505D0">
        <w:trPr>
          <w:jc w:val="center"/>
        </w:trPr>
        <w:tc>
          <w:tcPr>
            <w:tcW w:w="4004" w:type="dxa"/>
            <w:shd w:val="clear" w:color="auto" w:fill="auto"/>
          </w:tcPr>
          <w:p w14:paraId="2022F871" w14:textId="4EE1B9AB" w:rsidR="00210E36" w:rsidRPr="00770F9D" w:rsidRDefault="00480B3B" w:rsidP="00480B3B">
            <w:pPr>
              <w:pStyle w:val="MediumGrid21"/>
              <w:snapToGrid w:val="0"/>
              <w:rPr>
                <w:rFonts w:ascii="Garamond" w:hAnsi="Garamond" w:cstheme="majorBidi"/>
                <w:bCs/>
                <w:color w:val="0D0D0D" w:themeColor="text1" w:themeTint="F2"/>
                <w:sz w:val="20"/>
                <w:szCs w:val="20"/>
                <w:lang w:val="sq-AL"/>
              </w:rPr>
            </w:pPr>
            <w:r>
              <w:rPr>
                <w:rFonts w:ascii="Garamond" w:hAnsi="Garamond" w:cstheme="majorBidi"/>
                <w:color w:val="0D0D0D" w:themeColor="text1" w:themeTint="F2"/>
                <w:sz w:val="20"/>
                <w:szCs w:val="20"/>
                <w:lang w:val="sq-AL"/>
              </w:rPr>
              <w:t>Treguesi specifik i projektit 1</w:t>
            </w:r>
          </w:p>
        </w:tc>
        <w:tc>
          <w:tcPr>
            <w:tcW w:w="1785" w:type="dxa"/>
            <w:shd w:val="clear" w:color="auto" w:fill="auto"/>
          </w:tcPr>
          <w:p w14:paraId="78A1D280" w14:textId="77777777" w:rsidR="00210E36" w:rsidRPr="00770F9D" w:rsidRDefault="00210E36" w:rsidP="00DB40E8">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xml:space="preserve">0 </w:t>
            </w:r>
          </w:p>
        </w:tc>
        <w:tc>
          <w:tcPr>
            <w:tcW w:w="2047" w:type="dxa"/>
            <w:shd w:val="clear" w:color="auto" w:fill="auto"/>
          </w:tcPr>
          <w:p w14:paraId="73157554" w14:textId="77777777" w:rsidR="00210E36" w:rsidRPr="00770F9D" w:rsidRDefault="00210E36" w:rsidP="00DB40E8">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xml:space="preserve">138,000 </w:t>
            </w:r>
          </w:p>
        </w:tc>
        <w:tc>
          <w:tcPr>
            <w:tcW w:w="1786" w:type="dxa"/>
            <w:shd w:val="clear" w:color="auto" w:fill="auto"/>
          </w:tcPr>
          <w:p w14:paraId="19430909" w14:textId="77777777" w:rsidR="00210E36" w:rsidRPr="00770F9D" w:rsidRDefault="00210E36" w:rsidP="00DB40E8">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xml:space="preserve">138,000 </w:t>
            </w:r>
          </w:p>
        </w:tc>
      </w:tr>
      <w:tr w:rsidR="00210E36" w:rsidRPr="00770F9D" w14:paraId="25C0FDD9" w14:textId="77777777" w:rsidTr="00B505D0">
        <w:trPr>
          <w:jc w:val="center"/>
        </w:trPr>
        <w:tc>
          <w:tcPr>
            <w:tcW w:w="4004" w:type="dxa"/>
            <w:shd w:val="clear" w:color="auto" w:fill="auto"/>
          </w:tcPr>
          <w:p w14:paraId="1066D1A6" w14:textId="7A71C3A1" w:rsidR="00210E36" w:rsidRPr="00770F9D" w:rsidRDefault="00210E36" w:rsidP="0028077A">
            <w:pPr>
              <w:pStyle w:val="MediumGrid21"/>
              <w:snapToGrid w:val="0"/>
              <w:rPr>
                <w:rFonts w:ascii="Garamond" w:hAnsi="Garamond" w:cstheme="majorBidi"/>
                <w:bCs/>
                <w:color w:val="0D0D0D" w:themeColor="text1" w:themeTint="F2"/>
                <w:sz w:val="20"/>
                <w:szCs w:val="20"/>
                <w:lang w:val="sq-AL"/>
              </w:rPr>
            </w:pPr>
            <w:r w:rsidRPr="00770F9D">
              <w:rPr>
                <w:rFonts w:ascii="Garamond" w:hAnsi="Garamond" w:cstheme="majorBidi"/>
                <w:color w:val="0D0D0D" w:themeColor="text1" w:themeTint="F2"/>
                <w:sz w:val="20"/>
                <w:szCs w:val="20"/>
                <w:lang w:val="sq-AL"/>
              </w:rPr>
              <w:t xml:space="preserve">Tregues </w:t>
            </w:r>
            <w:r w:rsidR="00480B3B" w:rsidRPr="00770F9D">
              <w:rPr>
                <w:rFonts w:ascii="Garamond" w:hAnsi="Garamond" w:cstheme="majorBidi"/>
                <w:color w:val="0D0D0D" w:themeColor="text1" w:themeTint="F2"/>
                <w:sz w:val="20"/>
                <w:szCs w:val="20"/>
                <w:lang w:val="sq-AL"/>
              </w:rPr>
              <w:t>makina</w:t>
            </w:r>
            <w:r w:rsidR="00480B3B">
              <w:rPr>
                <w:rFonts w:ascii="Garamond" w:hAnsi="Garamond" w:cstheme="majorBidi"/>
                <w:color w:val="0D0D0D" w:themeColor="text1" w:themeTint="F2"/>
                <w:sz w:val="20"/>
                <w:szCs w:val="20"/>
                <w:lang w:val="sq-AL"/>
              </w:rPr>
              <w:t xml:space="preserve"> –</w:t>
            </w:r>
            <w:r w:rsidRPr="00770F9D">
              <w:rPr>
                <w:rFonts w:ascii="Garamond" w:hAnsi="Garamond" w:cstheme="majorBidi"/>
                <w:color w:val="0D0D0D" w:themeColor="text1" w:themeTint="F2"/>
                <w:sz w:val="20"/>
                <w:szCs w:val="20"/>
                <w:lang w:val="sq-AL"/>
              </w:rPr>
              <w:t xml:space="preserve"> km largohet nga rruga në vit</w:t>
            </w:r>
          </w:p>
        </w:tc>
        <w:tc>
          <w:tcPr>
            <w:tcW w:w="1785" w:type="dxa"/>
            <w:shd w:val="clear" w:color="auto" w:fill="auto"/>
          </w:tcPr>
          <w:p w14:paraId="53857457" w14:textId="77777777" w:rsidR="00210E36" w:rsidRPr="00770F9D" w:rsidRDefault="00210E36" w:rsidP="00DB40E8">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xml:space="preserve">0 </w:t>
            </w:r>
          </w:p>
        </w:tc>
        <w:tc>
          <w:tcPr>
            <w:tcW w:w="2047" w:type="dxa"/>
            <w:shd w:val="clear" w:color="auto" w:fill="auto"/>
          </w:tcPr>
          <w:p w14:paraId="41CD1FCC" w14:textId="77777777" w:rsidR="00210E36" w:rsidRPr="00770F9D" w:rsidRDefault="00210E36" w:rsidP="00DB40E8">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2,9</w:t>
            </w:r>
          </w:p>
        </w:tc>
        <w:tc>
          <w:tcPr>
            <w:tcW w:w="1786" w:type="dxa"/>
            <w:shd w:val="clear" w:color="auto" w:fill="auto"/>
          </w:tcPr>
          <w:p w14:paraId="7549A80D" w14:textId="77777777" w:rsidR="00210E36" w:rsidRPr="00770F9D" w:rsidRDefault="00210E36" w:rsidP="00DB40E8">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2,9</w:t>
            </w:r>
          </w:p>
        </w:tc>
      </w:tr>
      <w:tr w:rsidR="00210E36" w:rsidRPr="00770F9D" w14:paraId="34C30249" w14:textId="77777777" w:rsidTr="00B505D0">
        <w:trPr>
          <w:jc w:val="center"/>
        </w:trPr>
        <w:tc>
          <w:tcPr>
            <w:tcW w:w="4004" w:type="dxa"/>
            <w:shd w:val="clear" w:color="auto" w:fill="auto"/>
          </w:tcPr>
          <w:p w14:paraId="77D742DF" w14:textId="22B8E374" w:rsidR="00210E36" w:rsidRPr="00770F9D" w:rsidRDefault="00210E36" w:rsidP="0028077A">
            <w:pPr>
              <w:pStyle w:val="MediumGrid21"/>
              <w:snapToGrid w:val="0"/>
              <w:rPr>
                <w:rFonts w:ascii="Garamond" w:hAnsi="Garamond" w:cstheme="majorBidi"/>
                <w:bCs/>
                <w:color w:val="0D0D0D" w:themeColor="text1" w:themeTint="F2"/>
                <w:sz w:val="20"/>
                <w:szCs w:val="20"/>
                <w:lang w:val="sq-AL"/>
              </w:rPr>
            </w:pPr>
            <w:r w:rsidRPr="00770F9D">
              <w:rPr>
                <w:rFonts w:ascii="Garamond" w:hAnsi="Garamond" w:cstheme="majorBidi"/>
                <w:color w:val="0D0D0D" w:themeColor="text1" w:themeTint="F2"/>
                <w:sz w:val="20"/>
                <w:szCs w:val="20"/>
                <w:lang w:val="sq-AL"/>
              </w:rPr>
              <w:t>T</w:t>
            </w:r>
            <w:r w:rsidR="00DB40E8">
              <w:rPr>
                <w:rFonts w:ascii="Garamond" w:hAnsi="Garamond" w:cstheme="majorBidi"/>
                <w:color w:val="0D0D0D" w:themeColor="text1" w:themeTint="F2"/>
                <w:sz w:val="20"/>
                <w:szCs w:val="20"/>
                <w:lang w:val="sq-AL"/>
              </w:rPr>
              <w:t>reguesi specifik i projektit 2</w:t>
            </w:r>
          </w:p>
        </w:tc>
        <w:tc>
          <w:tcPr>
            <w:tcW w:w="1785" w:type="dxa"/>
            <w:shd w:val="clear" w:color="auto" w:fill="auto"/>
          </w:tcPr>
          <w:p w14:paraId="182D6B70" w14:textId="77777777" w:rsidR="00210E36" w:rsidRPr="00770F9D" w:rsidRDefault="00210E36" w:rsidP="00DB40E8">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7.79</w:t>
            </w:r>
            <w:r w:rsidRPr="00770F9D">
              <w:rPr>
                <w:rStyle w:val="FootnoteReference"/>
                <w:rFonts w:ascii="Garamond" w:hAnsi="Garamond" w:cstheme="majorBidi"/>
                <w:color w:val="0D0D0D" w:themeColor="text1" w:themeTint="F2"/>
                <w:sz w:val="20"/>
                <w:szCs w:val="20"/>
              </w:rPr>
              <w:footnoteReference w:id="17"/>
            </w:r>
          </w:p>
        </w:tc>
        <w:tc>
          <w:tcPr>
            <w:tcW w:w="2047" w:type="dxa"/>
            <w:shd w:val="clear" w:color="auto" w:fill="auto"/>
          </w:tcPr>
          <w:p w14:paraId="217F5612" w14:textId="77777777" w:rsidR="00210E36" w:rsidRPr="00770F9D" w:rsidRDefault="00210E36" w:rsidP="00DB40E8">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11.62</w:t>
            </w:r>
            <w:r w:rsidRPr="00770F9D">
              <w:rPr>
                <w:rStyle w:val="FootnoteReference"/>
                <w:rFonts w:ascii="Garamond" w:hAnsi="Garamond" w:cstheme="majorBidi"/>
                <w:color w:val="0D0D0D" w:themeColor="text1" w:themeTint="F2"/>
                <w:sz w:val="20"/>
                <w:szCs w:val="20"/>
              </w:rPr>
              <w:footnoteReference w:id="18"/>
            </w:r>
          </w:p>
        </w:tc>
        <w:tc>
          <w:tcPr>
            <w:tcW w:w="1786" w:type="dxa"/>
            <w:shd w:val="clear" w:color="auto" w:fill="auto"/>
          </w:tcPr>
          <w:p w14:paraId="2D15B4BA" w14:textId="77777777" w:rsidR="00210E36" w:rsidRPr="00770F9D" w:rsidRDefault="00210E36" w:rsidP="00DB40E8">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49.0</w:t>
            </w:r>
            <w:r w:rsidRPr="00770F9D">
              <w:rPr>
                <w:rStyle w:val="FootnoteReference"/>
                <w:rFonts w:ascii="Garamond" w:hAnsi="Garamond" w:cstheme="majorBidi"/>
                <w:color w:val="0D0D0D" w:themeColor="text1" w:themeTint="F2"/>
                <w:sz w:val="20"/>
                <w:szCs w:val="20"/>
              </w:rPr>
              <w:footnoteReference w:id="19"/>
            </w:r>
          </w:p>
        </w:tc>
      </w:tr>
      <w:tr w:rsidR="00210E36" w:rsidRPr="00770F9D" w14:paraId="455AAF15" w14:textId="77777777" w:rsidTr="00B505D0">
        <w:trPr>
          <w:jc w:val="center"/>
        </w:trPr>
        <w:tc>
          <w:tcPr>
            <w:tcW w:w="4004" w:type="dxa"/>
            <w:shd w:val="clear" w:color="auto" w:fill="auto"/>
          </w:tcPr>
          <w:p w14:paraId="383B85A2" w14:textId="3721FD8E" w:rsidR="00210E36" w:rsidRPr="00770F9D" w:rsidRDefault="00210E36" w:rsidP="00DB40E8">
            <w:pPr>
              <w:pStyle w:val="MediumGrid21"/>
              <w:snapToGrid w:val="0"/>
              <w:rPr>
                <w:rFonts w:ascii="Garamond" w:hAnsi="Garamond" w:cstheme="majorBidi"/>
                <w:bCs/>
                <w:color w:val="0D0D0D" w:themeColor="text1" w:themeTint="F2"/>
                <w:sz w:val="20"/>
                <w:szCs w:val="20"/>
                <w:lang w:val="sq-AL"/>
              </w:rPr>
            </w:pPr>
            <w:r w:rsidRPr="00770F9D">
              <w:rPr>
                <w:rFonts w:ascii="Garamond" w:hAnsi="Garamond" w:cstheme="majorBidi"/>
                <w:color w:val="0D0D0D" w:themeColor="text1" w:themeTint="F2"/>
                <w:sz w:val="20"/>
                <w:szCs w:val="20"/>
                <w:lang w:val="sq-AL"/>
              </w:rPr>
              <w:t xml:space="preserve">Tregues </w:t>
            </w:r>
            <w:r w:rsidR="00DB40E8" w:rsidRPr="00770F9D">
              <w:rPr>
                <w:rFonts w:ascii="Garamond" w:hAnsi="Garamond" w:cstheme="majorBidi"/>
                <w:color w:val="0D0D0D" w:themeColor="text1" w:themeTint="F2"/>
                <w:sz w:val="20"/>
                <w:szCs w:val="20"/>
                <w:lang w:val="sq-AL"/>
              </w:rPr>
              <w:t>kamion</w:t>
            </w:r>
            <w:r w:rsidR="00DB40E8">
              <w:rPr>
                <w:rFonts w:ascii="Garamond" w:hAnsi="Garamond" w:cstheme="majorBidi"/>
                <w:color w:val="0D0D0D" w:themeColor="text1" w:themeTint="F2"/>
                <w:sz w:val="20"/>
                <w:szCs w:val="20"/>
                <w:lang w:val="sq-AL"/>
              </w:rPr>
              <w:t xml:space="preserve"> – </w:t>
            </w:r>
            <w:r w:rsidRPr="00770F9D">
              <w:rPr>
                <w:rFonts w:ascii="Garamond" w:hAnsi="Garamond" w:cstheme="majorBidi"/>
                <w:color w:val="0D0D0D" w:themeColor="text1" w:themeTint="F2"/>
                <w:sz w:val="20"/>
                <w:szCs w:val="20"/>
                <w:lang w:val="sq-AL"/>
              </w:rPr>
              <w:t>km q</w:t>
            </w:r>
            <w:r w:rsidR="00DB40E8">
              <w:rPr>
                <w:rFonts w:ascii="Garamond" w:hAnsi="Garamond" w:cstheme="majorBidi"/>
                <w:color w:val="0D0D0D" w:themeColor="text1" w:themeTint="F2"/>
                <w:sz w:val="20"/>
                <w:szCs w:val="20"/>
                <w:lang w:val="sq-AL"/>
              </w:rPr>
              <w:t>ë</w:t>
            </w:r>
            <w:r w:rsidRPr="00770F9D">
              <w:rPr>
                <w:rFonts w:ascii="Garamond" w:hAnsi="Garamond" w:cstheme="majorBidi"/>
                <w:color w:val="0D0D0D" w:themeColor="text1" w:themeTint="F2"/>
                <w:sz w:val="20"/>
                <w:szCs w:val="20"/>
                <w:lang w:val="sq-AL"/>
              </w:rPr>
              <w:t xml:space="preserve"> largohen nga rruga në vit</w:t>
            </w:r>
          </w:p>
        </w:tc>
        <w:tc>
          <w:tcPr>
            <w:tcW w:w="1785" w:type="dxa"/>
            <w:shd w:val="clear" w:color="auto" w:fill="auto"/>
          </w:tcPr>
          <w:p w14:paraId="5E826CE5" w14:textId="77777777" w:rsidR="00210E36" w:rsidRPr="00770F9D" w:rsidRDefault="00210E36" w:rsidP="00DB40E8">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110</w:t>
            </w:r>
          </w:p>
        </w:tc>
        <w:tc>
          <w:tcPr>
            <w:tcW w:w="2047" w:type="dxa"/>
            <w:shd w:val="clear" w:color="auto" w:fill="auto"/>
          </w:tcPr>
          <w:p w14:paraId="4C986D40" w14:textId="77777777" w:rsidR="00210E36" w:rsidRPr="00770F9D" w:rsidRDefault="00210E36" w:rsidP="00DB40E8">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150</w:t>
            </w:r>
          </w:p>
        </w:tc>
        <w:tc>
          <w:tcPr>
            <w:tcW w:w="1786" w:type="dxa"/>
            <w:shd w:val="clear" w:color="auto" w:fill="auto"/>
          </w:tcPr>
          <w:p w14:paraId="0EA404D9" w14:textId="77777777" w:rsidR="00210E36" w:rsidRPr="00770F9D" w:rsidRDefault="00210E36" w:rsidP="00DB40E8">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300</w:t>
            </w:r>
          </w:p>
        </w:tc>
      </w:tr>
    </w:tbl>
    <w:p w14:paraId="455A77DB" w14:textId="7418A46B" w:rsidR="0004171D" w:rsidRPr="00770F9D" w:rsidRDefault="0028077A"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3</w:t>
      </w:r>
      <w:r w:rsidR="005674F2"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Ndikimi i pritshëm në konkurrueshmëri</w:t>
      </w:r>
    </w:p>
    <w:p w14:paraId="3AB4E8A5" w14:textId="688BE973" w:rsidR="00210E36" w:rsidRPr="00770F9D" w:rsidRDefault="00210E36" w:rsidP="00D80C19">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Shpërndarja në mënyrë progresive e shërbimeve të transportit hekurudhor mbarëkombëtar dhe ndërkufitar/rajonal, duke filluar me terminalin multimodal të Durrësit, do të ketë një ndikim të rëndësishëm në konkurrencën në drejtim të transportit të mallrave dhe pasagjerëve. Pritet që ai të tërheqë </w:t>
      </w:r>
      <w:r w:rsidR="00D80C19" w:rsidRPr="00770F9D">
        <w:rPr>
          <w:rFonts w:ascii="Garamond" w:hAnsi="Garamond" w:cstheme="majorBidi"/>
          <w:color w:val="0D0D0D" w:themeColor="text1" w:themeTint="F2"/>
        </w:rPr>
        <w:t>investimet direkte t</w:t>
      </w:r>
      <w:r w:rsidR="00D80C19">
        <w:rPr>
          <w:rFonts w:ascii="Garamond" w:hAnsi="Garamond" w:cstheme="majorBidi"/>
          <w:color w:val="0D0D0D" w:themeColor="text1" w:themeTint="F2"/>
        </w:rPr>
        <w:t>ë</w:t>
      </w:r>
      <w:r w:rsidR="00D80C19" w:rsidRPr="00770F9D">
        <w:rPr>
          <w:rFonts w:ascii="Garamond" w:hAnsi="Garamond" w:cstheme="majorBidi"/>
          <w:color w:val="0D0D0D" w:themeColor="text1" w:themeTint="F2"/>
        </w:rPr>
        <w:t xml:space="preserve"> huaja </w:t>
      </w:r>
      <w:r w:rsidRPr="00770F9D">
        <w:rPr>
          <w:rFonts w:ascii="Garamond" w:hAnsi="Garamond" w:cstheme="majorBidi"/>
          <w:color w:val="0D0D0D" w:themeColor="text1" w:themeTint="F2"/>
        </w:rPr>
        <w:t>në të ardhmen, në përputhje me progresin në objektet e trajtimit të mallrave në portin e Durrësit, i cili mund të shërbejë si një qendër rajonale mallrash, që lidh transportin hekurudhor dhe detar. Për më tepër, lidhja midis aeroportit TIA dhe Tiranës me bregdetin do të ofrojë një mundësi tërheqëse dhe të besueshme për turistët.</w:t>
      </w:r>
    </w:p>
    <w:p w14:paraId="4C5129AE" w14:textId="5A87E0C1" w:rsidR="0004171D" w:rsidRPr="00770F9D" w:rsidRDefault="0028077A"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4</w:t>
      </w:r>
      <w:r w:rsidR="005674F2"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Kosto</w:t>
      </w:r>
      <w:r w:rsidR="00D80C19">
        <w:rPr>
          <w:rFonts w:ascii="Garamond" w:hAnsi="Garamond" w:cstheme="majorBidi"/>
          <w:color w:val="0D0D0D" w:themeColor="text1" w:themeTint="F2"/>
          <w:u w:val="none"/>
        </w:rPr>
        <w:t>ja</w:t>
      </w:r>
      <w:r w:rsidR="00B2062A" w:rsidRPr="00770F9D">
        <w:rPr>
          <w:rFonts w:ascii="Garamond" w:hAnsi="Garamond" w:cstheme="majorBidi"/>
          <w:color w:val="0D0D0D" w:themeColor="text1" w:themeTint="F2"/>
          <w:u w:val="none"/>
        </w:rPr>
        <w:t xml:space="preserve"> e parashikuar e aktiviteteve dhe burimi i financimit</w:t>
      </w:r>
    </w:p>
    <w:p w14:paraId="60B8D1AC" w14:textId="6C122162" w:rsidR="00210E36" w:rsidRPr="00770F9D" w:rsidRDefault="00210E36" w:rsidP="00EB64CA">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Projekti ka një kosto totale të vlerësuar prej 90.45 milionë euro</w:t>
      </w:r>
      <w:r w:rsidR="009345C4">
        <w:rPr>
          <w:rFonts w:ascii="Garamond" w:hAnsi="Garamond" w:cstheme="majorBidi"/>
          <w:color w:val="0D0D0D" w:themeColor="text1" w:themeTint="F2"/>
        </w:rPr>
        <w:t>sh</w:t>
      </w:r>
      <w:r w:rsidRPr="00770F9D">
        <w:rPr>
          <w:rFonts w:ascii="Garamond" w:hAnsi="Garamond" w:cstheme="majorBidi"/>
          <w:color w:val="0D0D0D" w:themeColor="text1" w:themeTint="F2"/>
        </w:rPr>
        <w:t>. Kontrata përfshin punimet për rehabilitimin e linjës hekurudhore Tiranë</w:t>
      </w:r>
      <w:r w:rsidR="007E6E80">
        <w:rPr>
          <w:rFonts w:ascii="Garamond" w:hAnsi="Garamond"/>
          <w:color w:val="0D0D0D"/>
        </w:rPr>
        <w:t>–</w:t>
      </w:r>
      <w:r w:rsidRPr="00770F9D">
        <w:rPr>
          <w:rFonts w:ascii="Garamond" w:hAnsi="Garamond" w:cstheme="majorBidi"/>
          <w:color w:val="0D0D0D" w:themeColor="text1" w:themeTint="F2"/>
        </w:rPr>
        <w:t>Durrës dhe ndërtimin e lidhjes së re hekurudhore, si dhe shërbime konsulence për mbikëqyrjen e punimeve, për të cilat proceset e tenderimit janë gjithashtu në vazhdim. Një kredi sovrane deri në 36.87 milionë euro për punët civile (përfshirë rastet e paparashikuara) dhe shtesa për forcimin e kapaciteteve institucionale nëpërmjet një granti të BERZH-it prej 0.87 milionë euro</w:t>
      </w:r>
      <w:r w:rsidR="0095278D">
        <w:rPr>
          <w:rFonts w:ascii="Garamond" w:hAnsi="Garamond" w:cstheme="majorBidi"/>
          <w:color w:val="0D0D0D" w:themeColor="text1" w:themeTint="F2"/>
        </w:rPr>
        <w:t>sh</w:t>
      </w:r>
      <w:r w:rsidRPr="00770F9D">
        <w:rPr>
          <w:rFonts w:ascii="Garamond" w:hAnsi="Garamond" w:cstheme="majorBidi"/>
          <w:color w:val="0D0D0D" w:themeColor="text1" w:themeTint="F2"/>
        </w:rPr>
        <w:t xml:space="preserve">. Një grant nga WBIF-EU prej 35,435 </w:t>
      </w:r>
      <w:r w:rsidR="00A84445" w:rsidRPr="00770F9D">
        <w:rPr>
          <w:rFonts w:ascii="Garamond" w:hAnsi="Garamond" w:cstheme="majorBidi"/>
          <w:color w:val="0D0D0D" w:themeColor="text1" w:themeTint="F2"/>
        </w:rPr>
        <w:t xml:space="preserve">milionë </w:t>
      </w:r>
      <w:r w:rsidRPr="00770F9D">
        <w:rPr>
          <w:rFonts w:ascii="Garamond" w:hAnsi="Garamond" w:cstheme="majorBidi"/>
          <w:color w:val="0D0D0D" w:themeColor="text1" w:themeTint="F2"/>
        </w:rPr>
        <w:t>euro</w:t>
      </w:r>
      <w:r w:rsidR="00B612DB">
        <w:rPr>
          <w:rFonts w:ascii="Garamond" w:hAnsi="Garamond" w:cstheme="majorBidi"/>
          <w:color w:val="0D0D0D" w:themeColor="text1" w:themeTint="F2"/>
        </w:rPr>
        <w:t>sh</w:t>
      </w:r>
      <w:r w:rsidRPr="00770F9D">
        <w:rPr>
          <w:rFonts w:ascii="Garamond" w:hAnsi="Garamond" w:cstheme="majorBidi"/>
          <w:color w:val="0D0D0D" w:themeColor="text1" w:themeTint="F2"/>
        </w:rPr>
        <w:t xml:space="preserve"> që përbëhet nga 32,935 </w:t>
      </w:r>
      <w:r w:rsidR="00A84445" w:rsidRPr="00770F9D">
        <w:rPr>
          <w:rFonts w:ascii="Garamond" w:hAnsi="Garamond" w:cstheme="majorBidi"/>
          <w:color w:val="0D0D0D" w:themeColor="text1" w:themeTint="F2"/>
        </w:rPr>
        <w:t xml:space="preserve">milionë </w:t>
      </w:r>
      <w:r w:rsidRPr="00770F9D">
        <w:rPr>
          <w:rFonts w:ascii="Garamond" w:hAnsi="Garamond" w:cstheme="majorBidi"/>
          <w:color w:val="0D0D0D" w:themeColor="text1" w:themeTint="F2"/>
        </w:rPr>
        <w:t xml:space="preserve">euro për punët civile dhe 1,5 </w:t>
      </w:r>
      <w:r w:rsidR="00A84445" w:rsidRPr="00770F9D">
        <w:rPr>
          <w:rFonts w:ascii="Garamond" w:hAnsi="Garamond" w:cstheme="majorBidi"/>
          <w:color w:val="0D0D0D" w:themeColor="text1" w:themeTint="F2"/>
        </w:rPr>
        <w:t xml:space="preserve">milionë </w:t>
      </w:r>
      <w:r w:rsidRPr="00770F9D">
        <w:rPr>
          <w:rFonts w:ascii="Garamond" w:hAnsi="Garamond" w:cstheme="majorBidi"/>
          <w:color w:val="0D0D0D" w:themeColor="text1" w:themeTint="F2"/>
        </w:rPr>
        <w:t xml:space="preserve">euro për mbikëqyrjen dhe 1 </w:t>
      </w:r>
      <w:r w:rsidR="00A84445" w:rsidRPr="00770F9D">
        <w:rPr>
          <w:rFonts w:ascii="Garamond" w:hAnsi="Garamond" w:cstheme="majorBidi"/>
          <w:color w:val="0D0D0D" w:themeColor="text1" w:themeTint="F2"/>
        </w:rPr>
        <w:t xml:space="preserve">milionë </w:t>
      </w:r>
      <w:r w:rsidRPr="00770F9D">
        <w:rPr>
          <w:rFonts w:ascii="Garamond" w:hAnsi="Garamond" w:cstheme="majorBidi"/>
          <w:color w:val="0D0D0D" w:themeColor="text1" w:themeTint="F2"/>
        </w:rPr>
        <w:t xml:space="preserve">euro për zbatimin dhe menaxhimin e projektit të VNMS-së dhe dokumentacioni i tenderit në shumën prej 1,215 </w:t>
      </w:r>
      <w:r w:rsidR="00A84445" w:rsidRPr="00770F9D">
        <w:rPr>
          <w:rFonts w:ascii="Garamond" w:hAnsi="Garamond" w:cstheme="majorBidi"/>
          <w:color w:val="0D0D0D" w:themeColor="text1" w:themeTint="F2"/>
        </w:rPr>
        <w:t xml:space="preserve">milionë </w:t>
      </w:r>
      <w:r w:rsidRPr="00770F9D">
        <w:rPr>
          <w:rFonts w:ascii="Garamond" w:hAnsi="Garamond" w:cstheme="majorBidi"/>
          <w:color w:val="0D0D0D" w:themeColor="text1" w:themeTint="F2"/>
        </w:rPr>
        <w:t>euro</w:t>
      </w:r>
      <w:r w:rsidR="00B612DB">
        <w:rPr>
          <w:rFonts w:ascii="Garamond" w:hAnsi="Garamond" w:cstheme="majorBidi"/>
          <w:color w:val="0D0D0D" w:themeColor="text1" w:themeTint="F2"/>
        </w:rPr>
        <w:t>sh</w:t>
      </w:r>
      <w:r w:rsidRPr="00770F9D">
        <w:rPr>
          <w:rFonts w:ascii="Garamond" w:hAnsi="Garamond" w:cstheme="majorBidi"/>
          <w:color w:val="0D0D0D" w:themeColor="text1" w:themeTint="F2"/>
        </w:rPr>
        <w:t xml:space="preserve"> në total 36,65 </w:t>
      </w:r>
      <w:r w:rsidR="00A84445" w:rsidRPr="00770F9D">
        <w:rPr>
          <w:rFonts w:ascii="Garamond" w:hAnsi="Garamond" w:cstheme="majorBidi"/>
          <w:color w:val="0D0D0D" w:themeColor="text1" w:themeTint="F2"/>
        </w:rPr>
        <w:t xml:space="preserve">milionë </w:t>
      </w:r>
      <w:r w:rsidRPr="00770F9D">
        <w:rPr>
          <w:rFonts w:ascii="Garamond" w:hAnsi="Garamond" w:cstheme="majorBidi"/>
          <w:color w:val="0D0D0D" w:themeColor="text1" w:themeTint="F2"/>
        </w:rPr>
        <w:t xml:space="preserve">euro është dhënë tashmë. Për këtë projekt të rëndësishëm, përveç kësaj, shpronësimi i tokës (se paku 1 </w:t>
      </w:r>
      <w:r w:rsidR="00A84445" w:rsidRPr="00770F9D">
        <w:rPr>
          <w:rFonts w:ascii="Garamond" w:hAnsi="Garamond" w:cstheme="majorBidi"/>
          <w:color w:val="0D0D0D" w:themeColor="text1" w:themeTint="F2"/>
        </w:rPr>
        <w:t xml:space="preserve">milionë </w:t>
      </w:r>
      <w:r w:rsidRPr="00770F9D">
        <w:rPr>
          <w:rFonts w:ascii="Garamond" w:hAnsi="Garamond" w:cstheme="majorBidi"/>
          <w:color w:val="0D0D0D" w:themeColor="text1" w:themeTint="F2"/>
        </w:rPr>
        <w:t xml:space="preserve">EUR- 2.75 </w:t>
      </w:r>
      <w:r w:rsidR="00A84445" w:rsidRPr="00770F9D">
        <w:rPr>
          <w:rFonts w:ascii="Garamond" w:hAnsi="Garamond" w:cstheme="majorBidi"/>
          <w:color w:val="0D0D0D" w:themeColor="text1" w:themeTint="F2"/>
        </w:rPr>
        <w:t xml:space="preserve">milionë </w:t>
      </w:r>
      <w:r w:rsidRPr="00770F9D">
        <w:rPr>
          <w:rFonts w:ascii="Garamond" w:hAnsi="Garamond" w:cstheme="majorBidi"/>
          <w:color w:val="0D0D0D" w:themeColor="text1" w:themeTint="F2"/>
        </w:rPr>
        <w:t>euro, p</w:t>
      </w:r>
      <w:r w:rsidR="00845A08">
        <w:rPr>
          <w:rFonts w:ascii="Garamond" w:hAnsi="Garamond" w:cstheme="majorBidi"/>
          <w:color w:val="0D0D0D" w:themeColor="text1" w:themeTint="F2"/>
        </w:rPr>
        <w:t>ë</w:t>
      </w:r>
      <w:r w:rsidRPr="00770F9D">
        <w:rPr>
          <w:rFonts w:ascii="Garamond" w:hAnsi="Garamond" w:cstheme="majorBidi"/>
          <w:color w:val="0D0D0D" w:themeColor="text1" w:themeTint="F2"/>
        </w:rPr>
        <w:t xml:space="preserve">r t’u vendosur) dhe TVSH (15,06 </w:t>
      </w:r>
      <w:r w:rsidR="00A84445" w:rsidRPr="00770F9D">
        <w:rPr>
          <w:rFonts w:ascii="Garamond" w:hAnsi="Garamond" w:cstheme="majorBidi"/>
          <w:color w:val="0D0D0D" w:themeColor="text1" w:themeTint="F2"/>
        </w:rPr>
        <w:t xml:space="preserve">milionë </w:t>
      </w:r>
      <w:r w:rsidRPr="00770F9D">
        <w:rPr>
          <w:rFonts w:ascii="Garamond" w:hAnsi="Garamond" w:cstheme="majorBidi"/>
          <w:color w:val="0D0D0D" w:themeColor="text1" w:themeTint="F2"/>
        </w:rPr>
        <w:t xml:space="preserve">EUR) është pjesë e buxhetit të shtetit (mbi 16,06 </w:t>
      </w:r>
      <w:r w:rsidR="00A84445" w:rsidRPr="00770F9D">
        <w:rPr>
          <w:rFonts w:ascii="Garamond" w:hAnsi="Garamond" w:cstheme="majorBidi"/>
          <w:color w:val="0D0D0D" w:themeColor="text1" w:themeTint="F2"/>
        </w:rPr>
        <w:t xml:space="preserve">milionë </w:t>
      </w:r>
      <w:r w:rsidRPr="00770F9D">
        <w:rPr>
          <w:rFonts w:ascii="Garamond" w:hAnsi="Garamond" w:cstheme="majorBidi"/>
          <w:color w:val="0D0D0D" w:themeColor="text1" w:themeTint="F2"/>
        </w:rPr>
        <w:t>EUR deri n</w:t>
      </w:r>
      <w:r w:rsidR="00EB64CA">
        <w:rPr>
          <w:rFonts w:ascii="Garamond" w:hAnsi="Garamond" w:cstheme="majorBidi"/>
          <w:color w:val="0D0D0D" w:themeColor="text1" w:themeTint="F2"/>
        </w:rPr>
        <w:t>ë</w:t>
      </w:r>
      <w:r w:rsidRPr="00770F9D">
        <w:rPr>
          <w:rFonts w:ascii="Garamond" w:hAnsi="Garamond" w:cstheme="majorBidi"/>
          <w:color w:val="0D0D0D" w:themeColor="text1" w:themeTint="F2"/>
        </w:rPr>
        <w:t xml:space="preserve"> 20 </w:t>
      </w:r>
      <w:r w:rsidR="00A84445" w:rsidRPr="00770F9D">
        <w:rPr>
          <w:rFonts w:ascii="Garamond" w:hAnsi="Garamond" w:cstheme="majorBidi"/>
          <w:color w:val="0D0D0D" w:themeColor="text1" w:themeTint="F2"/>
        </w:rPr>
        <w:t xml:space="preserve">milionë </w:t>
      </w:r>
      <w:r w:rsidRPr="00770F9D">
        <w:rPr>
          <w:rFonts w:ascii="Garamond" w:hAnsi="Garamond" w:cstheme="majorBidi"/>
          <w:color w:val="0D0D0D" w:themeColor="text1" w:themeTint="F2"/>
        </w:rPr>
        <w:t>euro me kostot lo</w:t>
      </w:r>
      <w:r w:rsidR="00845A08">
        <w:rPr>
          <w:rFonts w:ascii="Garamond" w:hAnsi="Garamond" w:cstheme="majorBidi"/>
          <w:color w:val="0D0D0D" w:themeColor="text1" w:themeTint="F2"/>
        </w:rPr>
        <w:t>k</w:t>
      </w:r>
      <w:r w:rsidRPr="00770F9D">
        <w:rPr>
          <w:rFonts w:ascii="Garamond" w:hAnsi="Garamond" w:cstheme="majorBidi"/>
          <w:color w:val="0D0D0D" w:themeColor="text1" w:themeTint="F2"/>
        </w:rPr>
        <w:t>ale</w:t>
      </w:r>
      <w:r w:rsidR="00845A08">
        <w:rPr>
          <w:rFonts w:ascii="Garamond" w:hAnsi="Garamond" w:cstheme="majorBidi"/>
          <w:color w:val="0D0D0D" w:themeColor="text1" w:themeTint="F2"/>
        </w:rPr>
        <w:t>,</w:t>
      </w:r>
      <w:r w:rsidRPr="00770F9D">
        <w:rPr>
          <w:rFonts w:ascii="Garamond" w:hAnsi="Garamond" w:cstheme="majorBidi"/>
          <w:color w:val="0D0D0D" w:themeColor="text1" w:themeTint="F2"/>
        </w:rPr>
        <w:t xml:space="preserve"> t</w:t>
      </w:r>
      <w:r w:rsidR="00845A08">
        <w:rPr>
          <w:rFonts w:ascii="Garamond" w:hAnsi="Garamond" w:cstheme="majorBidi"/>
          <w:color w:val="0D0D0D" w:themeColor="text1" w:themeTint="F2"/>
        </w:rPr>
        <w:t>ë</w:t>
      </w:r>
      <w:r w:rsidRPr="00770F9D">
        <w:rPr>
          <w:rFonts w:ascii="Garamond" w:hAnsi="Garamond" w:cstheme="majorBidi"/>
          <w:color w:val="0D0D0D" w:themeColor="text1" w:themeTint="F2"/>
        </w:rPr>
        <w:t xml:space="preserve"> cilat presin miratimin final). Numri i objekteve nga projekti është mbi 150 shtëpi dhe magazina të tjera në </w:t>
      </w:r>
      <w:r w:rsidR="00845A08" w:rsidRPr="00770F9D">
        <w:rPr>
          <w:rFonts w:ascii="Garamond" w:hAnsi="Garamond" w:cstheme="majorBidi"/>
          <w:color w:val="0D0D0D" w:themeColor="text1" w:themeTint="F2"/>
        </w:rPr>
        <w:t>kryqëzimin teknik trekëndor hekurudhor të brendshëm</w:t>
      </w:r>
      <w:r w:rsidRPr="00770F9D">
        <w:rPr>
          <w:rFonts w:ascii="Garamond" w:hAnsi="Garamond" w:cstheme="majorBidi"/>
          <w:color w:val="0D0D0D" w:themeColor="text1" w:themeTint="F2"/>
        </w:rPr>
        <w:t>, i ndryshuar në PBA 2022</w:t>
      </w:r>
      <w:r w:rsidR="00845A08">
        <w:rPr>
          <w:rFonts w:ascii="Garamond" w:hAnsi="Garamond"/>
          <w:color w:val="0D0D0D"/>
        </w:rPr>
        <w:t>–</w:t>
      </w:r>
      <w:r w:rsidRPr="00770F9D">
        <w:rPr>
          <w:rFonts w:ascii="Garamond" w:hAnsi="Garamond" w:cstheme="majorBidi"/>
          <w:color w:val="0D0D0D" w:themeColor="text1" w:themeTint="F2"/>
        </w:rPr>
        <w:t xml:space="preserve">2024 dhe në rritje nga 1 në 3 m </w:t>
      </w:r>
      <w:r w:rsidR="00845A08" w:rsidRPr="00770F9D">
        <w:rPr>
          <w:rFonts w:ascii="Garamond" w:hAnsi="Garamond" w:cstheme="majorBidi"/>
          <w:color w:val="0D0D0D" w:themeColor="text1" w:themeTint="F2"/>
        </w:rPr>
        <w:t xml:space="preserve">euro </w:t>
      </w:r>
      <w:r w:rsidRPr="00770F9D">
        <w:rPr>
          <w:rFonts w:ascii="Garamond" w:hAnsi="Garamond" w:cstheme="majorBidi"/>
          <w:color w:val="0D0D0D" w:themeColor="text1" w:themeTint="F2"/>
        </w:rPr>
        <w:t>me përditësimin e planit të marrjes së tokës (LAP, 2021). Metodologjia e vlerësimit fillestar (LAP, 2019) është rishikuar dhe në pritje të miratimit nga propozimi zyrtar i Agjencisë Kombëtare t</w:t>
      </w:r>
      <w:r w:rsidR="00845A08">
        <w:rPr>
          <w:rFonts w:ascii="Garamond" w:hAnsi="Garamond" w:cstheme="majorBidi"/>
          <w:color w:val="0D0D0D" w:themeColor="text1" w:themeTint="F2"/>
        </w:rPr>
        <w:t>ë Planifikimit Hapësinor (AKTP)</w:t>
      </w:r>
      <w:r w:rsidRPr="00770F9D">
        <w:rPr>
          <w:rFonts w:ascii="Garamond" w:hAnsi="Garamond" w:cstheme="majorBidi"/>
          <w:color w:val="0D0D0D" w:themeColor="text1" w:themeTint="F2"/>
        </w:rPr>
        <w:t xml:space="preserve"> nga </w:t>
      </w:r>
      <w:r w:rsidR="00845A08" w:rsidRPr="00770F9D">
        <w:rPr>
          <w:rFonts w:ascii="Garamond" w:hAnsi="Garamond" w:cstheme="majorBidi"/>
          <w:color w:val="0D0D0D" w:themeColor="text1" w:themeTint="F2"/>
        </w:rPr>
        <w:t xml:space="preserve">ministri </w:t>
      </w:r>
      <w:r w:rsidRPr="00770F9D">
        <w:rPr>
          <w:rFonts w:ascii="Garamond" w:hAnsi="Garamond" w:cstheme="majorBidi"/>
          <w:color w:val="0D0D0D" w:themeColor="text1" w:themeTint="F2"/>
        </w:rPr>
        <w:t>(MIE).</w:t>
      </w:r>
    </w:p>
    <w:p w14:paraId="2D50AF0B" w14:textId="2A916D45" w:rsidR="00210E36" w:rsidRPr="00770F9D" w:rsidRDefault="00210E36" w:rsidP="00845A08">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Buxheti i PBA-së përfshin investime për portet e Durrësit dhe Vlorës dhe aeroportet e Vlorës dhe Sarandës. Tashmë janë të buxhetuara linjat e reja hekurudhore Tiranë</w:t>
      </w:r>
      <w:r w:rsidR="00845A08">
        <w:rPr>
          <w:rFonts w:ascii="Garamond" w:hAnsi="Garamond"/>
          <w:color w:val="0D0D0D"/>
        </w:rPr>
        <w:t>–</w:t>
      </w:r>
      <w:r w:rsidRPr="00770F9D">
        <w:rPr>
          <w:rFonts w:ascii="Garamond" w:hAnsi="Garamond" w:cstheme="majorBidi"/>
          <w:color w:val="0D0D0D" w:themeColor="text1" w:themeTint="F2"/>
        </w:rPr>
        <w:t>Durrës dhe Tiranë</w:t>
      </w:r>
      <w:r w:rsidR="00845A08">
        <w:rPr>
          <w:rFonts w:ascii="Garamond" w:hAnsi="Garamond"/>
          <w:color w:val="0D0D0D"/>
        </w:rPr>
        <w:t>–</w:t>
      </w:r>
      <w:r w:rsidRPr="00770F9D">
        <w:rPr>
          <w:rFonts w:ascii="Garamond" w:hAnsi="Garamond" w:cstheme="majorBidi"/>
          <w:color w:val="0D0D0D" w:themeColor="text1" w:themeTint="F2"/>
        </w:rPr>
        <w:t>Rinas (1.7 miliardë lekë).</w:t>
      </w:r>
    </w:p>
    <w:p w14:paraId="4A1CECD7" w14:textId="2819B7C6" w:rsidR="0004171D" w:rsidRPr="00770F9D" w:rsidRDefault="0028077A"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5</w:t>
      </w:r>
      <w:r w:rsidR="005674F2"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Ndikimi i pritshëm në përfundimet sociale</w:t>
      </w:r>
      <w:r w:rsidR="00845A08">
        <w:rPr>
          <w:rFonts w:ascii="Garamond" w:hAnsi="Garamond" w:cstheme="majorBidi"/>
          <w:color w:val="0D0D0D" w:themeColor="text1" w:themeTint="F2"/>
          <w:u w:val="none"/>
        </w:rPr>
        <w:t>,</w:t>
      </w:r>
      <w:r w:rsidR="00B2062A" w:rsidRPr="00770F9D">
        <w:rPr>
          <w:rFonts w:ascii="Garamond" w:hAnsi="Garamond" w:cstheme="majorBidi"/>
          <w:color w:val="0D0D0D" w:themeColor="text1" w:themeTint="F2"/>
          <w:u w:val="none"/>
        </w:rPr>
        <w:t xml:space="preserve"> si punësimi, ulja e varfërisë, barazia gjinore dhe aksesi në kujdesin shëndetësor</w:t>
      </w:r>
    </w:p>
    <w:p w14:paraId="52B6D177" w14:textId="7DABFA3F" w:rsidR="00210E36" w:rsidRPr="00770F9D" w:rsidRDefault="00210E36"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Balanca gjinore në programin e fuqizimit të gruas në transport dhe gruas në teknologji po zbatohet aktualisht</w:t>
      </w:r>
      <w:r w:rsidR="00845A08">
        <w:rPr>
          <w:rFonts w:ascii="Garamond" w:hAnsi="Garamond" w:cstheme="majorBidi"/>
          <w:color w:val="0D0D0D" w:themeColor="text1" w:themeTint="F2"/>
        </w:rPr>
        <w:t>,</w:t>
      </w:r>
      <w:r w:rsidRPr="00770F9D">
        <w:rPr>
          <w:rFonts w:ascii="Garamond" w:hAnsi="Garamond" w:cstheme="majorBidi"/>
          <w:color w:val="0D0D0D" w:themeColor="text1" w:themeTint="F2"/>
        </w:rPr>
        <w:t xml:space="preserve"> kur struktura e re organizative e HSH-së ka propozuar disa ndryshime në drejtorinë e telekomunikacionit për projektin e rehabilitimit në reformën e HSH-së që aktualisht po zbatohet.</w:t>
      </w:r>
    </w:p>
    <w:p w14:paraId="4A8EA882" w14:textId="3F36CC22" w:rsidR="00210E36" w:rsidRPr="00770F9D" w:rsidRDefault="00210E36" w:rsidP="00845A08">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Marrëveshja autonome </w:t>
      </w:r>
      <w:r w:rsidRPr="00845A08">
        <w:rPr>
          <w:rFonts w:ascii="Garamond" w:hAnsi="Garamond" w:cstheme="majorBidi"/>
          <w:i/>
          <w:iCs/>
          <w:color w:val="0D0D0D" w:themeColor="text1" w:themeTint="F2"/>
        </w:rPr>
        <w:t>Women in Rail</w:t>
      </w:r>
      <w:r w:rsidRPr="00770F9D">
        <w:rPr>
          <w:rFonts w:ascii="Garamond" w:hAnsi="Garamond" w:cstheme="majorBidi"/>
          <w:color w:val="0D0D0D" w:themeColor="text1" w:themeTint="F2"/>
        </w:rPr>
        <w:t xml:space="preserve"> synon promovimin e punësimit të grave në këtë sektor. Komuniteti hekurudhor miratoi marrëveshjen, duke çuar në fazën përfundimtare të procesit, me nënshkrimin zyrtar të marrëveshjes, e cila shënon hyrjen e saj në fuqi. Kjo marrëveshje synon të tërheqë më shumë gra në sektorin hekurudhor, t</w:t>
      </w:r>
      <w:r w:rsidR="00845A08">
        <w:rPr>
          <w:rFonts w:ascii="Garamond" w:hAnsi="Garamond" w:cstheme="majorBidi"/>
          <w:color w:val="0D0D0D" w:themeColor="text1" w:themeTint="F2"/>
        </w:rPr>
        <w:t>’</w:t>
      </w:r>
      <w:r w:rsidRPr="00770F9D">
        <w:rPr>
          <w:rFonts w:ascii="Garamond" w:hAnsi="Garamond" w:cstheme="majorBidi"/>
          <w:color w:val="0D0D0D" w:themeColor="text1" w:themeTint="F2"/>
        </w:rPr>
        <w:t>u japë grave më shumë mbrojtje dhe të garantojë trajtim të barabartë në vendin e punës falë masave të shumta të dakorduara nën titujt e politikës së përgjithshme të barazisë gjinore. Në përgjithësi, pas përfundimit të projektit, pritet të gjenerojë rreth x vende të reja pune të lidhura drejtpërdrejt me linjën hekurudhore dhe do të ketë një ndikim të mëtejshëm indirekt në vendet e punës në sektorin e transportit/trajtimit të mallrave në Durrës</w:t>
      </w:r>
      <w:r w:rsidR="00845A08">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dhe në sektorin e turizmit.</w:t>
      </w:r>
    </w:p>
    <w:p w14:paraId="761D0ADB" w14:textId="5AD11F1A" w:rsidR="0004171D" w:rsidRPr="00770F9D" w:rsidRDefault="0028077A"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6</w:t>
      </w:r>
      <w:r w:rsidR="005674F2"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Ndikimi i pritshëm në mjedis dhe ndryshimi i klimës</w:t>
      </w:r>
    </w:p>
    <w:p w14:paraId="5336599C" w14:textId="6748BE73" w:rsidR="00210E36" w:rsidRPr="00770F9D" w:rsidRDefault="00210E36" w:rsidP="00016979">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Sistemi elektronik i mallrave E-FTI zbatohet përmes procedurës kombëtare me dritare të vetme që mbulon sektorin e transportit. Sistemi synon të reduktojë printimin e karbonit dhe emetimet e GHG dhe shërben si një ndalesë në kontrollin e vetëm në gjurmim. Objektivi i përgjithshëm është të reduktojë ndikimin negativ mjedisor të trafikut rrugor midis Durrësit, Tiranës dhe TIA-s dhe të kontribuojë në uljen e CO</w:t>
      </w:r>
      <w:r w:rsidRPr="00016979">
        <w:rPr>
          <w:rFonts w:ascii="Garamond" w:hAnsi="Garamond" w:cstheme="majorBidi"/>
          <w:color w:val="0D0D0D" w:themeColor="text1" w:themeTint="F2"/>
          <w:vertAlign w:val="subscript"/>
        </w:rPr>
        <w:t>2</w:t>
      </w:r>
      <w:r w:rsidRPr="00770F9D">
        <w:rPr>
          <w:rFonts w:ascii="Garamond" w:hAnsi="Garamond" w:cstheme="majorBidi"/>
          <w:color w:val="0D0D0D" w:themeColor="text1" w:themeTint="F2"/>
        </w:rPr>
        <w:t xml:space="preserve"> dhe ndotjes lokale të ajrit nga trafiku rrugor në rajonin Durrës</w:t>
      </w:r>
      <w:r w:rsidR="00016979">
        <w:rPr>
          <w:rFonts w:ascii="Garamond" w:hAnsi="Garamond"/>
          <w:color w:val="0D0D0D"/>
        </w:rPr>
        <w:t>–</w:t>
      </w:r>
      <w:r w:rsidRPr="00770F9D">
        <w:rPr>
          <w:rFonts w:ascii="Garamond" w:hAnsi="Garamond" w:cstheme="majorBidi"/>
          <w:color w:val="0D0D0D" w:themeColor="text1" w:themeTint="F2"/>
        </w:rPr>
        <w:t>Tiranë. Një objektiv paralel i projekt</w:t>
      </w:r>
      <w:r w:rsidR="00016979">
        <w:rPr>
          <w:rFonts w:ascii="Garamond" w:hAnsi="Garamond" w:cstheme="majorBidi"/>
          <w:color w:val="0D0D0D" w:themeColor="text1" w:themeTint="F2"/>
        </w:rPr>
        <w:t>it është futja e një mënyre eko</w:t>
      </w:r>
      <w:r w:rsidRPr="00770F9D">
        <w:rPr>
          <w:rFonts w:ascii="Garamond" w:hAnsi="Garamond" w:cstheme="majorBidi"/>
          <w:color w:val="0D0D0D" w:themeColor="text1" w:themeTint="F2"/>
        </w:rPr>
        <w:t>miqësore të lëvizshmërisë inteligjente, dhënia e certifikatës ISO për herë të parë për Hekurudhat Shqiptare përfituese e projektit, e cila tregon se menaxheri i infrastrukturës është i certifikuar për standardet mjedisore</w:t>
      </w:r>
      <w:r w:rsidR="00016979">
        <w:rPr>
          <w:rFonts w:ascii="Garamond" w:hAnsi="Garamond" w:cstheme="majorBidi"/>
          <w:color w:val="0D0D0D" w:themeColor="text1" w:themeTint="F2"/>
        </w:rPr>
        <w:t>,</w:t>
      </w:r>
      <w:r w:rsidRPr="00770F9D">
        <w:rPr>
          <w:rFonts w:ascii="Garamond" w:hAnsi="Garamond" w:cstheme="majorBidi"/>
          <w:color w:val="0D0D0D" w:themeColor="text1" w:themeTint="F2"/>
        </w:rPr>
        <w:t xml:space="preserve"> në lidhje me kontributin e vazhdueshëm për dekarbonizimin, duke ulur bllokimin e trafikut nga autostrada/autostrada e mbingarkuar ndërmjet aeroportit të Durrësit, Tiranës dhe Rinasit dhe duke kontribuar më tej në marrëveshjen e gjelbër të BE-së për përmirësimin e cilësisë së ajrit dhe ruajtjen e natyrës në zonën e projektit/rajonin e grupit.</w:t>
      </w:r>
    </w:p>
    <w:p w14:paraId="3690CBE1" w14:textId="344C2A8A" w:rsidR="00210E36" w:rsidRPr="00770F9D" w:rsidRDefault="00210E36" w:rsidP="00016979">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Masat e marra për të garantuar qëndrueshmërinë (qëndrueshmëri institucionale, financiare, mjedisore): Këto masa ndikojnë në peizazhin (p.sh. mbje</w:t>
      </w:r>
      <w:r w:rsidR="00016979">
        <w:rPr>
          <w:rFonts w:ascii="Garamond" w:hAnsi="Garamond" w:cstheme="majorBidi"/>
          <w:color w:val="0D0D0D" w:themeColor="text1" w:themeTint="F2"/>
        </w:rPr>
        <w:t>llja e pemëve në anët e Tiranës–</w:t>
      </w:r>
      <w:r w:rsidRPr="00770F9D">
        <w:rPr>
          <w:rFonts w:ascii="Garamond" w:hAnsi="Garamond" w:cstheme="majorBidi"/>
          <w:color w:val="0D0D0D" w:themeColor="text1" w:themeTint="F2"/>
        </w:rPr>
        <w:t>Durrës</w:t>
      </w:r>
      <w:r w:rsidR="00016979">
        <w:rPr>
          <w:rFonts w:ascii="Garamond" w:hAnsi="Garamond"/>
          <w:color w:val="0D0D0D"/>
        </w:rPr>
        <w:t>–</w:t>
      </w:r>
      <w:r w:rsidR="00016979">
        <w:rPr>
          <w:rFonts w:ascii="Garamond" w:hAnsi="Garamond" w:cstheme="majorBidi"/>
          <w:color w:val="0D0D0D" w:themeColor="text1" w:themeTint="F2"/>
        </w:rPr>
        <w:t>Rinas</w:t>
      </w:r>
      <w:r w:rsidRPr="00770F9D">
        <w:rPr>
          <w:rFonts w:ascii="Garamond" w:hAnsi="Garamond" w:cstheme="majorBidi"/>
          <w:color w:val="0D0D0D" w:themeColor="text1" w:themeTint="F2"/>
        </w:rPr>
        <w:t>), toka (</w:t>
      </w:r>
      <w:r w:rsidR="00016979" w:rsidRPr="00770F9D">
        <w:rPr>
          <w:rFonts w:ascii="Garamond" w:hAnsi="Garamond" w:cstheme="majorBidi"/>
          <w:color w:val="0D0D0D" w:themeColor="text1" w:themeTint="F2"/>
        </w:rPr>
        <w:t xml:space="preserve">mirëmbajtja </w:t>
      </w:r>
      <w:r w:rsidRPr="00770F9D">
        <w:rPr>
          <w:rFonts w:ascii="Garamond" w:hAnsi="Garamond" w:cstheme="majorBidi"/>
          <w:color w:val="0D0D0D" w:themeColor="text1" w:themeTint="F2"/>
        </w:rPr>
        <w:t>e linjës së operimit është e kufizuar sa më shumë që të jetë e mundur; ka rrugë hyrëse që shmang kalimin e automjeteve në tokë bujqësore), uji (</w:t>
      </w:r>
      <w:r w:rsidR="00F41AB5" w:rsidRPr="00770F9D">
        <w:rPr>
          <w:rFonts w:ascii="Garamond" w:hAnsi="Garamond" w:cstheme="majorBidi"/>
          <w:color w:val="0D0D0D" w:themeColor="text1" w:themeTint="F2"/>
        </w:rPr>
        <w:t xml:space="preserve">zbutja: ndotja e </w:t>
      </w:r>
      <w:r w:rsidRPr="00770F9D">
        <w:rPr>
          <w:rFonts w:ascii="Garamond" w:hAnsi="Garamond" w:cstheme="majorBidi"/>
          <w:color w:val="0D0D0D" w:themeColor="text1" w:themeTint="F2"/>
        </w:rPr>
        <w:t>ujërave sipërfaqësore/nëntokësore) ajri (p.sh. shkarkimet e gazit dhe pluhurit), zhurma (</w:t>
      </w:r>
      <w:r w:rsidR="00F41AB5" w:rsidRPr="00770F9D">
        <w:rPr>
          <w:rFonts w:ascii="Garamond" w:hAnsi="Garamond" w:cstheme="majorBidi"/>
          <w:color w:val="0D0D0D" w:themeColor="text1" w:themeTint="F2"/>
        </w:rPr>
        <w:t>zbutja: dridhjet</w:t>
      </w:r>
      <w:r w:rsidRPr="00770F9D">
        <w:rPr>
          <w:rFonts w:ascii="Garamond" w:hAnsi="Garamond" w:cstheme="majorBidi"/>
          <w:color w:val="0D0D0D" w:themeColor="text1" w:themeTint="F2"/>
        </w:rPr>
        <w:t>), Mjedisi biologjik (</w:t>
      </w:r>
      <w:r w:rsidR="00F41AB5" w:rsidRPr="00770F9D">
        <w:rPr>
          <w:rFonts w:ascii="Garamond" w:hAnsi="Garamond" w:cstheme="majorBidi"/>
          <w:color w:val="0D0D0D" w:themeColor="text1" w:themeTint="F2"/>
        </w:rPr>
        <w:t>zbutja</w:t>
      </w:r>
      <w:r w:rsidRPr="00770F9D">
        <w:rPr>
          <w:rFonts w:ascii="Garamond" w:hAnsi="Garamond" w:cstheme="majorBidi"/>
          <w:color w:val="0D0D0D" w:themeColor="text1" w:themeTint="F2"/>
        </w:rPr>
        <w:t xml:space="preserve">: </w:t>
      </w:r>
      <w:r w:rsidR="00F41AB5" w:rsidRPr="00770F9D">
        <w:rPr>
          <w:rFonts w:ascii="Garamond" w:hAnsi="Garamond" w:cstheme="majorBidi"/>
          <w:color w:val="0D0D0D" w:themeColor="text1" w:themeTint="F2"/>
        </w:rPr>
        <w:t xml:space="preserve">ndikimi </w:t>
      </w:r>
      <w:r w:rsidRPr="00770F9D">
        <w:rPr>
          <w:rFonts w:ascii="Garamond" w:hAnsi="Garamond" w:cstheme="majorBidi"/>
          <w:color w:val="0D0D0D" w:themeColor="text1" w:themeTint="F2"/>
        </w:rPr>
        <w:t>i faunës së zonës) etj.</w:t>
      </w:r>
    </w:p>
    <w:p w14:paraId="178F4A87" w14:textId="0035290C" w:rsidR="00210E36" w:rsidRPr="00770F9D" w:rsidRDefault="00210E36" w:rsidP="00EB64CA">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Rëndësia për qëndrueshmërinë dhe ndikimet e tjera, të masës së miratuar me Bordin Operativ të </w:t>
      </w:r>
      <w:r w:rsidR="00F41AB5" w:rsidRPr="00770F9D">
        <w:rPr>
          <w:rFonts w:ascii="Garamond" w:hAnsi="Garamond" w:cstheme="majorBidi"/>
          <w:color w:val="0D0D0D" w:themeColor="text1" w:themeTint="F2"/>
        </w:rPr>
        <w:t>strukturës</w:t>
      </w:r>
      <w:r w:rsidRPr="00770F9D">
        <w:rPr>
          <w:rFonts w:ascii="Garamond" w:hAnsi="Garamond" w:cstheme="majorBidi"/>
          <w:color w:val="0D0D0D" w:themeColor="text1" w:themeTint="F2"/>
        </w:rPr>
        <w:t xml:space="preserve"> s</w:t>
      </w:r>
      <w:r w:rsidR="00F41AB5">
        <w:rPr>
          <w:rFonts w:ascii="Garamond" w:hAnsi="Garamond" w:cstheme="majorBidi"/>
          <w:color w:val="0D0D0D" w:themeColor="text1" w:themeTint="F2"/>
        </w:rPr>
        <w:t>ë</w:t>
      </w:r>
      <w:r w:rsidRPr="00770F9D">
        <w:rPr>
          <w:rFonts w:ascii="Garamond" w:hAnsi="Garamond" w:cstheme="majorBidi"/>
          <w:color w:val="0D0D0D" w:themeColor="text1" w:themeTint="F2"/>
        </w:rPr>
        <w:t xml:space="preserve"> </w:t>
      </w:r>
      <w:r w:rsidR="00F41AB5" w:rsidRPr="00770F9D">
        <w:rPr>
          <w:rFonts w:ascii="Garamond" w:hAnsi="Garamond" w:cstheme="majorBidi"/>
          <w:color w:val="0D0D0D" w:themeColor="text1" w:themeTint="F2"/>
        </w:rPr>
        <w:t xml:space="preserve">investimeve </w:t>
      </w:r>
      <w:r w:rsidRPr="00770F9D">
        <w:rPr>
          <w:rFonts w:ascii="Garamond" w:hAnsi="Garamond" w:cstheme="majorBidi"/>
          <w:color w:val="0D0D0D" w:themeColor="text1" w:themeTint="F2"/>
        </w:rPr>
        <w:t>t</w:t>
      </w:r>
      <w:r w:rsidR="00F41AB5">
        <w:rPr>
          <w:rFonts w:ascii="Garamond" w:hAnsi="Garamond" w:cstheme="majorBidi"/>
          <w:color w:val="0D0D0D" w:themeColor="text1" w:themeTint="F2"/>
        </w:rPr>
        <w:t>ë</w:t>
      </w:r>
      <w:r w:rsidRPr="00770F9D">
        <w:rPr>
          <w:rFonts w:ascii="Garamond" w:hAnsi="Garamond" w:cstheme="majorBidi"/>
          <w:color w:val="0D0D0D" w:themeColor="text1" w:themeTint="F2"/>
        </w:rPr>
        <w:t xml:space="preserve"> Ballkanit </w:t>
      </w:r>
      <w:r w:rsidR="00F41AB5" w:rsidRPr="00770F9D">
        <w:rPr>
          <w:rFonts w:ascii="Garamond" w:hAnsi="Garamond" w:cstheme="majorBidi"/>
          <w:color w:val="0D0D0D" w:themeColor="text1" w:themeTint="F2"/>
        </w:rPr>
        <w:t xml:space="preserve">Perëndimor </w:t>
      </w:r>
      <w:r w:rsidRPr="00770F9D">
        <w:rPr>
          <w:rFonts w:ascii="Garamond" w:hAnsi="Garamond" w:cstheme="majorBidi"/>
          <w:color w:val="0D0D0D" w:themeColor="text1" w:themeTint="F2"/>
        </w:rPr>
        <w:t>(WBIF), i cili</w:t>
      </w:r>
      <w:r w:rsidR="00F41AB5">
        <w:rPr>
          <w:rFonts w:ascii="Garamond" w:hAnsi="Garamond" w:cstheme="majorBidi"/>
          <w:color w:val="0D0D0D" w:themeColor="text1" w:themeTint="F2"/>
        </w:rPr>
        <w:t>,</w:t>
      </w:r>
      <w:r w:rsidRPr="00770F9D">
        <w:rPr>
          <w:rFonts w:ascii="Garamond" w:hAnsi="Garamond" w:cstheme="majorBidi"/>
          <w:color w:val="0D0D0D" w:themeColor="text1" w:themeTint="F2"/>
        </w:rPr>
        <w:t xml:space="preserve"> gjithashtu</w:t>
      </w:r>
      <w:r w:rsidR="00F41AB5">
        <w:rPr>
          <w:rFonts w:ascii="Garamond" w:hAnsi="Garamond" w:cstheme="majorBidi"/>
          <w:color w:val="0D0D0D" w:themeColor="text1" w:themeTint="F2"/>
        </w:rPr>
        <w:t>,</w:t>
      </w:r>
      <w:r w:rsidRPr="00770F9D">
        <w:rPr>
          <w:rFonts w:ascii="Garamond" w:hAnsi="Garamond" w:cstheme="majorBidi"/>
          <w:color w:val="0D0D0D" w:themeColor="text1" w:themeTint="F2"/>
        </w:rPr>
        <w:t xml:space="preserve"> ka miratuar financimin për projektet e reja të investimeve në infrastrukturën e transportit (nga 13 gjithsej) me financim të BE-së mbi 1 miliard euro. Republika e Shqipërisë ka planifikuar tashmë elektrifikimin përmes aksionit IPA III, 2021</w:t>
      </w:r>
      <w:r w:rsidR="00F41AB5">
        <w:rPr>
          <w:rFonts w:ascii="Garamond" w:hAnsi="Garamond"/>
          <w:color w:val="0D0D0D"/>
        </w:rPr>
        <w:t>–</w:t>
      </w:r>
      <w:r w:rsidRPr="00770F9D">
        <w:rPr>
          <w:rFonts w:ascii="Garamond" w:hAnsi="Garamond" w:cstheme="majorBidi"/>
          <w:color w:val="0D0D0D" w:themeColor="text1" w:themeTint="F2"/>
        </w:rPr>
        <w:t xml:space="preserve">2027, mbështetje për zbatimin e </w:t>
      </w:r>
      <w:r w:rsidRPr="00F41AB5">
        <w:rPr>
          <w:rFonts w:ascii="Garamond" w:hAnsi="Garamond" w:cstheme="majorBidi"/>
          <w:i/>
          <w:iCs/>
          <w:color w:val="0D0D0D" w:themeColor="text1" w:themeTint="F2"/>
        </w:rPr>
        <w:t>acquis</w:t>
      </w:r>
      <w:r w:rsidRPr="00770F9D">
        <w:rPr>
          <w:rFonts w:ascii="Garamond" w:hAnsi="Garamond" w:cstheme="majorBidi"/>
          <w:color w:val="0D0D0D" w:themeColor="text1" w:themeTint="F2"/>
        </w:rPr>
        <w:t xml:space="preserve"> të BE-së në sektorin hekurudhor nëpërmjet krijimit dhe ndërtimit të kapaciteteve të autoriteteve dhe sistemeve të nevojshme hekurudhore. Një program pune vjetor në kuptim të nenit 110(2) të rregullores financiare, si dhe plane e masa veprimi vjetore dhe shumëvjeçare në kuptim të nenit 8 të IPA III, në zbatim të vazhdueshëm nëpërmjet veprimit të koordinuar të </w:t>
      </w:r>
      <w:r w:rsidR="00EB64CA" w:rsidRPr="00770F9D">
        <w:rPr>
          <w:rFonts w:ascii="Garamond" w:hAnsi="Garamond" w:cstheme="majorBidi"/>
          <w:color w:val="0D0D0D" w:themeColor="text1" w:themeTint="F2"/>
        </w:rPr>
        <w:t xml:space="preserve">delegacionit </w:t>
      </w:r>
      <w:r w:rsidRPr="00770F9D">
        <w:rPr>
          <w:rFonts w:ascii="Garamond" w:hAnsi="Garamond" w:cstheme="majorBidi"/>
          <w:color w:val="0D0D0D" w:themeColor="text1" w:themeTint="F2"/>
        </w:rPr>
        <w:t>t</w:t>
      </w:r>
      <w:r w:rsidR="00EB64CA">
        <w:rPr>
          <w:rFonts w:ascii="Garamond" w:hAnsi="Garamond" w:cstheme="majorBidi"/>
          <w:color w:val="0D0D0D" w:themeColor="text1" w:themeTint="F2"/>
        </w:rPr>
        <w:t>ë</w:t>
      </w:r>
      <w:r w:rsidRPr="00770F9D">
        <w:rPr>
          <w:rFonts w:ascii="Garamond" w:hAnsi="Garamond" w:cstheme="majorBidi"/>
          <w:color w:val="0D0D0D" w:themeColor="text1" w:themeTint="F2"/>
        </w:rPr>
        <w:t xml:space="preserve"> BE-s</w:t>
      </w:r>
      <w:r w:rsidR="00F41AB5">
        <w:rPr>
          <w:rFonts w:ascii="Garamond" w:hAnsi="Garamond" w:cstheme="majorBidi"/>
          <w:color w:val="0D0D0D" w:themeColor="text1" w:themeTint="F2"/>
        </w:rPr>
        <w:t>ë</w:t>
      </w:r>
      <w:r w:rsidRPr="00770F9D">
        <w:rPr>
          <w:rFonts w:ascii="Garamond" w:hAnsi="Garamond" w:cstheme="majorBidi"/>
          <w:color w:val="0D0D0D" w:themeColor="text1" w:themeTint="F2"/>
        </w:rPr>
        <w:t xml:space="preserve"> n</w:t>
      </w:r>
      <w:r w:rsidR="00F41AB5">
        <w:rPr>
          <w:rFonts w:ascii="Garamond" w:hAnsi="Garamond" w:cstheme="majorBidi"/>
          <w:color w:val="0D0D0D" w:themeColor="text1" w:themeTint="F2"/>
        </w:rPr>
        <w:t>ë</w:t>
      </w:r>
      <w:r w:rsidRPr="00770F9D">
        <w:rPr>
          <w:rFonts w:ascii="Garamond" w:hAnsi="Garamond" w:cstheme="majorBidi"/>
          <w:color w:val="0D0D0D" w:themeColor="text1" w:themeTint="F2"/>
        </w:rPr>
        <w:t xml:space="preserve"> </w:t>
      </w:r>
      <w:r w:rsidR="00F41AB5" w:rsidRPr="00770F9D">
        <w:rPr>
          <w:rFonts w:ascii="Garamond" w:hAnsi="Garamond" w:cstheme="majorBidi"/>
          <w:color w:val="0D0D0D" w:themeColor="text1" w:themeTint="F2"/>
        </w:rPr>
        <w:t>Shqipëri</w:t>
      </w:r>
      <w:r w:rsidRPr="00770F9D">
        <w:rPr>
          <w:rFonts w:ascii="Garamond" w:hAnsi="Garamond" w:cstheme="majorBidi"/>
          <w:color w:val="0D0D0D" w:themeColor="text1" w:themeTint="F2"/>
        </w:rPr>
        <w:t xml:space="preserve"> (EUDA) dhe </w:t>
      </w:r>
      <w:r w:rsidR="00F41AB5" w:rsidRPr="00770F9D">
        <w:rPr>
          <w:rFonts w:ascii="Garamond" w:hAnsi="Garamond" w:cstheme="majorBidi"/>
          <w:color w:val="0D0D0D" w:themeColor="text1" w:themeTint="F2"/>
        </w:rPr>
        <w:t>Republikës</w:t>
      </w:r>
      <w:r w:rsidRPr="00770F9D">
        <w:rPr>
          <w:rFonts w:ascii="Garamond" w:hAnsi="Garamond" w:cstheme="majorBidi"/>
          <w:color w:val="0D0D0D" w:themeColor="text1" w:themeTint="F2"/>
        </w:rPr>
        <w:t xml:space="preserve"> s</w:t>
      </w:r>
      <w:r w:rsidR="00F41AB5">
        <w:rPr>
          <w:rFonts w:ascii="Garamond" w:hAnsi="Garamond" w:cstheme="majorBidi"/>
          <w:color w:val="0D0D0D" w:themeColor="text1" w:themeTint="F2"/>
        </w:rPr>
        <w:t>ë</w:t>
      </w:r>
      <w:r w:rsidRPr="00770F9D">
        <w:rPr>
          <w:rFonts w:ascii="Garamond" w:hAnsi="Garamond" w:cstheme="majorBidi"/>
          <w:color w:val="0D0D0D" w:themeColor="text1" w:themeTint="F2"/>
        </w:rPr>
        <w:t xml:space="preserve"> Shqipërisë.</w:t>
      </w:r>
    </w:p>
    <w:p w14:paraId="58045632" w14:textId="23A30A01" w:rsidR="0004171D" w:rsidRPr="00770F9D" w:rsidRDefault="0028077A"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 xml:space="preserve">7. </w:t>
      </w:r>
      <w:r w:rsidR="00B2062A" w:rsidRPr="00770F9D">
        <w:rPr>
          <w:rFonts w:ascii="Garamond" w:hAnsi="Garamond" w:cstheme="majorBidi"/>
          <w:color w:val="0D0D0D" w:themeColor="text1" w:themeTint="F2"/>
          <w:u w:val="none"/>
        </w:rPr>
        <w:t>Rreziqet e mundshme</w:t>
      </w:r>
    </w:p>
    <w:tbl>
      <w:tblPr>
        <w:tblStyle w:val="TableGrid"/>
        <w:tblW w:w="0" w:type="auto"/>
        <w:tblLook w:val="04A0" w:firstRow="1" w:lastRow="0" w:firstColumn="1" w:lastColumn="0" w:noHBand="0" w:noVBand="1"/>
      </w:tblPr>
      <w:tblGrid>
        <w:gridCol w:w="2384"/>
        <w:gridCol w:w="1670"/>
        <w:gridCol w:w="5233"/>
      </w:tblGrid>
      <w:tr w:rsidR="00210E36" w:rsidRPr="00770F9D" w14:paraId="1AE6FC6E" w14:textId="77777777" w:rsidTr="00F41AB5">
        <w:tc>
          <w:tcPr>
            <w:tcW w:w="2605" w:type="dxa"/>
            <w:shd w:val="clear" w:color="auto" w:fill="auto"/>
            <w:vAlign w:val="center"/>
          </w:tcPr>
          <w:p w14:paraId="396B9BB3" w14:textId="77777777" w:rsidR="00210E36" w:rsidRPr="00F41AB5" w:rsidRDefault="00210E36" w:rsidP="00F41AB5">
            <w:pPr>
              <w:snapToGrid w:val="0"/>
              <w:jc w:val="center"/>
              <w:rPr>
                <w:rFonts w:ascii="Garamond" w:hAnsi="Garamond" w:cstheme="majorBidi"/>
                <w:b/>
                <w:bCs/>
                <w:color w:val="0D0D0D" w:themeColor="text1" w:themeTint="F2"/>
                <w:sz w:val="20"/>
                <w:szCs w:val="20"/>
              </w:rPr>
            </w:pPr>
            <w:r w:rsidRPr="00F41AB5">
              <w:rPr>
                <w:rFonts w:ascii="Garamond" w:hAnsi="Garamond" w:cstheme="majorBidi"/>
                <w:b/>
                <w:bCs/>
                <w:color w:val="0D0D0D" w:themeColor="text1" w:themeTint="F2"/>
                <w:sz w:val="20"/>
                <w:szCs w:val="20"/>
              </w:rPr>
              <w:t>Risku</w:t>
            </w:r>
          </w:p>
        </w:tc>
        <w:tc>
          <w:tcPr>
            <w:tcW w:w="1758" w:type="dxa"/>
            <w:shd w:val="clear" w:color="auto" w:fill="auto"/>
            <w:vAlign w:val="center"/>
          </w:tcPr>
          <w:p w14:paraId="7040EC34" w14:textId="77777777" w:rsidR="00210E36" w:rsidRPr="00F41AB5" w:rsidRDefault="00210E36" w:rsidP="00F41AB5">
            <w:pPr>
              <w:snapToGrid w:val="0"/>
              <w:jc w:val="center"/>
              <w:rPr>
                <w:rFonts w:ascii="Garamond" w:hAnsi="Garamond" w:cstheme="majorBidi"/>
                <w:b/>
                <w:bCs/>
                <w:color w:val="0D0D0D" w:themeColor="text1" w:themeTint="F2"/>
                <w:sz w:val="20"/>
                <w:szCs w:val="20"/>
              </w:rPr>
            </w:pPr>
            <w:r w:rsidRPr="00F41AB5">
              <w:rPr>
                <w:rFonts w:ascii="Garamond" w:hAnsi="Garamond" w:cstheme="majorBidi"/>
                <w:b/>
                <w:bCs/>
                <w:color w:val="0D0D0D" w:themeColor="text1" w:themeTint="F2"/>
                <w:sz w:val="20"/>
                <w:szCs w:val="20"/>
              </w:rPr>
              <w:t>Probabiliteti</w:t>
            </w:r>
          </w:p>
          <w:p w14:paraId="05B2805A" w14:textId="35CB613C" w:rsidR="00210E36" w:rsidRPr="00F41AB5" w:rsidRDefault="00210E36" w:rsidP="00F41AB5">
            <w:pPr>
              <w:snapToGrid w:val="0"/>
              <w:jc w:val="center"/>
              <w:rPr>
                <w:rFonts w:ascii="Garamond" w:hAnsi="Garamond" w:cstheme="majorBidi"/>
                <w:b/>
                <w:bCs/>
                <w:color w:val="0D0D0D" w:themeColor="text1" w:themeTint="F2"/>
                <w:sz w:val="20"/>
                <w:szCs w:val="20"/>
              </w:rPr>
            </w:pPr>
            <w:r w:rsidRPr="00F41AB5">
              <w:rPr>
                <w:rFonts w:ascii="Garamond" w:hAnsi="Garamond" w:cstheme="majorBidi"/>
                <w:b/>
                <w:bCs/>
                <w:color w:val="0D0D0D" w:themeColor="text1" w:themeTint="F2"/>
                <w:sz w:val="20"/>
                <w:szCs w:val="20"/>
              </w:rPr>
              <w:t>(</w:t>
            </w:r>
            <w:r w:rsidR="00F41AB5" w:rsidRPr="00F41AB5">
              <w:rPr>
                <w:rFonts w:ascii="Garamond" w:hAnsi="Garamond" w:cstheme="majorBidi"/>
                <w:b/>
                <w:bCs/>
                <w:color w:val="0D0D0D" w:themeColor="text1" w:themeTint="F2"/>
                <w:sz w:val="20"/>
                <w:szCs w:val="20"/>
              </w:rPr>
              <w:t>i ulët/i lartë</w:t>
            </w:r>
            <w:r w:rsidRPr="00F41AB5">
              <w:rPr>
                <w:rFonts w:ascii="Garamond" w:hAnsi="Garamond" w:cstheme="majorBidi"/>
                <w:b/>
                <w:bCs/>
                <w:color w:val="0D0D0D" w:themeColor="text1" w:themeTint="F2"/>
                <w:sz w:val="20"/>
                <w:szCs w:val="20"/>
              </w:rPr>
              <w:t>)</w:t>
            </w:r>
          </w:p>
        </w:tc>
        <w:tc>
          <w:tcPr>
            <w:tcW w:w="6072" w:type="dxa"/>
            <w:shd w:val="clear" w:color="auto" w:fill="auto"/>
            <w:vAlign w:val="center"/>
          </w:tcPr>
          <w:p w14:paraId="2BF2C11B" w14:textId="4F0DFE07" w:rsidR="00210E36" w:rsidRPr="00F41AB5" w:rsidRDefault="00210E36" w:rsidP="00F41AB5">
            <w:pPr>
              <w:snapToGrid w:val="0"/>
              <w:jc w:val="center"/>
              <w:rPr>
                <w:rFonts w:ascii="Garamond" w:hAnsi="Garamond" w:cstheme="majorBidi"/>
                <w:b/>
                <w:bCs/>
                <w:color w:val="0D0D0D" w:themeColor="text1" w:themeTint="F2"/>
                <w:sz w:val="20"/>
                <w:szCs w:val="20"/>
              </w:rPr>
            </w:pPr>
            <w:r w:rsidRPr="00F41AB5">
              <w:rPr>
                <w:rFonts w:ascii="Garamond" w:hAnsi="Garamond" w:cstheme="majorBidi"/>
                <w:b/>
                <w:bCs/>
                <w:color w:val="0D0D0D" w:themeColor="text1" w:themeTint="F2"/>
                <w:sz w:val="20"/>
                <w:szCs w:val="20"/>
              </w:rPr>
              <w:t>Veprime të planifikuara p</w:t>
            </w:r>
            <w:r w:rsidR="00F41AB5" w:rsidRPr="00F41AB5">
              <w:rPr>
                <w:rFonts w:ascii="Garamond" w:hAnsi="Garamond" w:cstheme="majorBidi"/>
                <w:b/>
                <w:bCs/>
                <w:color w:val="0D0D0D" w:themeColor="text1" w:themeTint="F2"/>
                <w:sz w:val="20"/>
                <w:szCs w:val="20"/>
              </w:rPr>
              <w:t>ë</w:t>
            </w:r>
            <w:r w:rsidRPr="00F41AB5">
              <w:rPr>
                <w:rFonts w:ascii="Garamond" w:hAnsi="Garamond" w:cstheme="majorBidi"/>
                <w:b/>
                <w:bCs/>
                <w:color w:val="0D0D0D" w:themeColor="text1" w:themeTint="F2"/>
                <w:sz w:val="20"/>
                <w:szCs w:val="20"/>
              </w:rPr>
              <w:t>r zbutjen e riskut</w:t>
            </w:r>
          </w:p>
        </w:tc>
      </w:tr>
      <w:tr w:rsidR="00210E36" w:rsidRPr="00770F9D" w14:paraId="1A986EAC" w14:textId="77777777" w:rsidTr="00210E36">
        <w:tc>
          <w:tcPr>
            <w:tcW w:w="2605" w:type="dxa"/>
            <w:shd w:val="clear" w:color="auto" w:fill="auto"/>
          </w:tcPr>
          <w:p w14:paraId="2A6ED6B6" w14:textId="7814AE6A" w:rsidR="00210E36" w:rsidRPr="00770F9D" w:rsidRDefault="00210E36" w:rsidP="0028077A">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xml:space="preserve">Hapësira ligjore në fazat e operimit (detyrimi i </w:t>
            </w:r>
            <w:r w:rsidR="00F41AB5" w:rsidRPr="00770F9D">
              <w:rPr>
                <w:rFonts w:ascii="Garamond" w:hAnsi="Garamond" w:cstheme="majorBidi"/>
                <w:color w:val="0D0D0D" w:themeColor="text1" w:themeTint="F2"/>
                <w:sz w:val="20"/>
                <w:szCs w:val="20"/>
              </w:rPr>
              <w:t>shërbimit</w:t>
            </w:r>
            <w:r w:rsidRPr="00770F9D">
              <w:rPr>
                <w:rFonts w:ascii="Garamond" w:hAnsi="Garamond" w:cstheme="majorBidi"/>
                <w:color w:val="0D0D0D" w:themeColor="text1" w:themeTint="F2"/>
                <w:sz w:val="20"/>
                <w:szCs w:val="20"/>
              </w:rPr>
              <w:t xml:space="preserve"> publik, PSO)</w:t>
            </w:r>
          </w:p>
        </w:tc>
        <w:tc>
          <w:tcPr>
            <w:tcW w:w="1758" w:type="dxa"/>
            <w:shd w:val="clear" w:color="auto" w:fill="auto"/>
          </w:tcPr>
          <w:p w14:paraId="792FDA48" w14:textId="69D9A5BC" w:rsidR="00210E36" w:rsidRPr="00770F9D" w:rsidRDefault="00210E36" w:rsidP="0028077A">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xml:space="preserve">I </w:t>
            </w:r>
            <w:r w:rsidR="00F41AB5" w:rsidRPr="00770F9D">
              <w:rPr>
                <w:rFonts w:ascii="Garamond" w:hAnsi="Garamond" w:cstheme="majorBidi"/>
                <w:color w:val="0D0D0D" w:themeColor="text1" w:themeTint="F2"/>
                <w:sz w:val="20"/>
                <w:szCs w:val="20"/>
              </w:rPr>
              <w:t>mesëm</w:t>
            </w:r>
          </w:p>
        </w:tc>
        <w:tc>
          <w:tcPr>
            <w:tcW w:w="6072" w:type="dxa"/>
            <w:shd w:val="clear" w:color="auto" w:fill="auto"/>
          </w:tcPr>
          <w:p w14:paraId="3BD5F803" w14:textId="052F907B" w:rsidR="00210E36" w:rsidRPr="00770F9D" w:rsidRDefault="00210E36" w:rsidP="00EB64CA">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Propozimi i legjislacioneve zbatues për detyrimet e shërbimit publik PSO-të, sipas planit kombëtar t</w:t>
            </w:r>
            <w:r w:rsidR="00EB64CA">
              <w:rPr>
                <w:rFonts w:ascii="Garamond" w:hAnsi="Garamond" w:cstheme="majorBidi"/>
                <w:color w:val="0D0D0D" w:themeColor="text1" w:themeTint="F2"/>
                <w:sz w:val="20"/>
                <w:szCs w:val="20"/>
              </w:rPr>
              <w:t>ë</w:t>
            </w:r>
            <w:r w:rsidRPr="00770F9D">
              <w:rPr>
                <w:rFonts w:ascii="Garamond" w:hAnsi="Garamond" w:cstheme="majorBidi"/>
                <w:color w:val="0D0D0D" w:themeColor="text1" w:themeTint="F2"/>
                <w:sz w:val="20"/>
                <w:szCs w:val="20"/>
              </w:rPr>
              <w:t xml:space="preserve"> integrimit t</w:t>
            </w:r>
            <w:r w:rsidR="00EB64CA">
              <w:rPr>
                <w:rFonts w:ascii="Garamond" w:hAnsi="Garamond" w:cstheme="majorBidi"/>
                <w:color w:val="0D0D0D" w:themeColor="text1" w:themeTint="F2"/>
                <w:sz w:val="20"/>
                <w:szCs w:val="20"/>
              </w:rPr>
              <w:t>ë</w:t>
            </w:r>
            <w:r w:rsidRPr="00770F9D">
              <w:rPr>
                <w:rFonts w:ascii="Garamond" w:hAnsi="Garamond" w:cstheme="majorBidi"/>
                <w:color w:val="0D0D0D" w:themeColor="text1" w:themeTint="F2"/>
                <w:sz w:val="20"/>
                <w:szCs w:val="20"/>
              </w:rPr>
              <w:t xml:space="preserve"> </w:t>
            </w:r>
            <w:r w:rsidR="00F41AB5" w:rsidRPr="00770F9D">
              <w:rPr>
                <w:rFonts w:ascii="Garamond" w:hAnsi="Garamond" w:cstheme="majorBidi"/>
                <w:color w:val="0D0D0D" w:themeColor="text1" w:themeTint="F2"/>
                <w:sz w:val="20"/>
                <w:szCs w:val="20"/>
              </w:rPr>
              <w:t>Shqipërisë</w:t>
            </w:r>
            <w:r w:rsidRPr="00770F9D">
              <w:rPr>
                <w:rFonts w:ascii="Garamond" w:hAnsi="Garamond" w:cstheme="majorBidi"/>
                <w:color w:val="0D0D0D" w:themeColor="text1" w:themeTint="F2"/>
                <w:sz w:val="20"/>
                <w:szCs w:val="20"/>
              </w:rPr>
              <w:t xml:space="preserve"> n</w:t>
            </w:r>
            <w:r w:rsidR="00F41AB5">
              <w:rPr>
                <w:rFonts w:ascii="Garamond" w:hAnsi="Garamond" w:cstheme="majorBidi"/>
                <w:color w:val="0D0D0D" w:themeColor="text1" w:themeTint="F2"/>
                <w:sz w:val="20"/>
                <w:szCs w:val="20"/>
              </w:rPr>
              <w:t>ë</w:t>
            </w:r>
            <w:r w:rsidRPr="00770F9D">
              <w:rPr>
                <w:rFonts w:ascii="Garamond" w:hAnsi="Garamond" w:cstheme="majorBidi"/>
                <w:color w:val="0D0D0D" w:themeColor="text1" w:themeTint="F2"/>
                <w:sz w:val="20"/>
                <w:szCs w:val="20"/>
              </w:rPr>
              <w:t xml:space="preserve"> BE (PKIE) për miratimin e shërbimit publik hekurudhor dhe rrugor (në përgatitje). Propozimi i Drejtorisë së Përgjithshme të Politikave dhe Strategjive të Infrastrukturës, duhet të përafrojë </w:t>
            </w:r>
            <w:r w:rsidRPr="00EB64CA">
              <w:rPr>
                <w:rFonts w:ascii="Garamond" w:hAnsi="Garamond" w:cstheme="majorBidi"/>
                <w:i/>
                <w:iCs/>
                <w:color w:val="0D0D0D" w:themeColor="text1" w:themeTint="F2"/>
                <w:sz w:val="20"/>
                <w:szCs w:val="20"/>
              </w:rPr>
              <w:t>acquis</w:t>
            </w:r>
            <w:r w:rsidRPr="00770F9D">
              <w:rPr>
                <w:rFonts w:ascii="Garamond" w:hAnsi="Garamond" w:cstheme="majorBidi"/>
                <w:color w:val="0D0D0D" w:themeColor="text1" w:themeTint="F2"/>
                <w:sz w:val="20"/>
                <w:szCs w:val="20"/>
              </w:rPr>
              <w:t xml:space="preserve"> të BE-së për hekurudha dhe rrugë, së bashku në drejtim të shtyllës së tregut të transportit dhe mirëqeverisjes së shërbimit publik.</w:t>
            </w:r>
          </w:p>
        </w:tc>
      </w:tr>
      <w:tr w:rsidR="00210E36" w:rsidRPr="00770F9D" w14:paraId="69C7D4F8" w14:textId="77777777" w:rsidTr="00210E36">
        <w:tc>
          <w:tcPr>
            <w:tcW w:w="2605" w:type="dxa"/>
            <w:shd w:val="clear" w:color="auto" w:fill="auto"/>
          </w:tcPr>
          <w:p w14:paraId="64DA7F52" w14:textId="77777777" w:rsidR="00210E36" w:rsidRPr="00770F9D" w:rsidRDefault="00210E36" w:rsidP="0028077A">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Territori urban dhe planifikimi hapësinor dhe pengesat ndaj lejeve.</w:t>
            </w:r>
          </w:p>
        </w:tc>
        <w:tc>
          <w:tcPr>
            <w:tcW w:w="1758" w:type="dxa"/>
            <w:shd w:val="clear" w:color="auto" w:fill="auto"/>
          </w:tcPr>
          <w:p w14:paraId="2D534787" w14:textId="64C7AE02" w:rsidR="00210E36" w:rsidRPr="00770F9D" w:rsidRDefault="00210E36" w:rsidP="00F41AB5">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I ul</w:t>
            </w:r>
            <w:r w:rsidR="00F41AB5">
              <w:rPr>
                <w:rFonts w:ascii="Garamond" w:hAnsi="Garamond" w:cstheme="majorBidi"/>
                <w:color w:val="0D0D0D" w:themeColor="text1" w:themeTint="F2"/>
                <w:sz w:val="20"/>
                <w:szCs w:val="20"/>
              </w:rPr>
              <w:t>ë</w:t>
            </w:r>
            <w:r w:rsidRPr="00770F9D">
              <w:rPr>
                <w:rFonts w:ascii="Garamond" w:hAnsi="Garamond" w:cstheme="majorBidi"/>
                <w:color w:val="0D0D0D" w:themeColor="text1" w:themeTint="F2"/>
                <w:sz w:val="20"/>
                <w:szCs w:val="20"/>
              </w:rPr>
              <w:t>t</w:t>
            </w:r>
          </w:p>
        </w:tc>
        <w:tc>
          <w:tcPr>
            <w:tcW w:w="6072" w:type="dxa"/>
            <w:shd w:val="clear" w:color="auto" w:fill="auto"/>
          </w:tcPr>
          <w:p w14:paraId="6EEBDE9B" w14:textId="11D053E4" w:rsidR="00210E36" w:rsidRPr="00770F9D" w:rsidRDefault="00210E36" w:rsidP="00F41AB5">
            <w:pPr>
              <w:snapToGrid w:val="0"/>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xml:space="preserve">Donatorit i është dërguar shkresa zyrtare e </w:t>
            </w:r>
            <w:r w:rsidR="00F41AB5" w:rsidRPr="00770F9D">
              <w:rPr>
                <w:rFonts w:ascii="Garamond" w:hAnsi="Garamond" w:cstheme="majorBidi"/>
                <w:color w:val="0D0D0D" w:themeColor="text1" w:themeTint="F2"/>
                <w:sz w:val="20"/>
                <w:szCs w:val="20"/>
              </w:rPr>
              <w:t xml:space="preserve">ministrit </w:t>
            </w:r>
            <w:r w:rsidRPr="00770F9D">
              <w:rPr>
                <w:rFonts w:ascii="Garamond" w:hAnsi="Garamond" w:cstheme="majorBidi"/>
                <w:color w:val="0D0D0D" w:themeColor="text1" w:themeTint="F2"/>
                <w:sz w:val="20"/>
                <w:szCs w:val="20"/>
              </w:rPr>
              <w:t>me të cilën garantohet zhbllokimi i planit t</w:t>
            </w:r>
            <w:r w:rsidR="00F41AB5">
              <w:rPr>
                <w:rFonts w:ascii="Garamond" w:hAnsi="Garamond" w:cstheme="majorBidi"/>
                <w:color w:val="0D0D0D" w:themeColor="text1" w:themeTint="F2"/>
                <w:sz w:val="20"/>
                <w:szCs w:val="20"/>
              </w:rPr>
              <w:t>ë</w:t>
            </w:r>
            <w:r w:rsidRPr="00770F9D">
              <w:rPr>
                <w:rFonts w:ascii="Garamond" w:hAnsi="Garamond" w:cstheme="majorBidi"/>
                <w:color w:val="0D0D0D" w:themeColor="text1" w:themeTint="F2"/>
                <w:sz w:val="20"/>
                <w:szCs w:val="20"/>
              </w:rPr>
              <w:t xml:space="preserve"> blerjes s</w:t>
            </w:r>
            <w:r w:rsidR="00F41AB5">
              <w:rPr>
                <w:rFonts w:ascii="Garamond" w:hAnsi="Garamond" w:cstheme="majorBidi"/>
                <w:color w:val="0D0D0D" w:themeColor="text1" w:themeTint="F2"/>
                <w:sz w:val="20"/>
                <w:szCs w:val="20"/>
              </w:rPr>
              <w:t>ë</w:t>
            </w:r>
            <w:r w:rsidRPr="00770F9D">
              <w:rPr>
                <w:rFonts w:ascii="Garamond" w:hAnsi="Garamond" w:cstheme="majorBidi"/>
                <w:color w:val="0D0D0D" w:themeColor="text1" w:themeTint="F2"/>
                <w:sz w:val="20"/>
                <w:szCs w:val="20"/>
              </w:rPr>
              <w:t xml:space="preserve"> tokës (LAP).</w:t>
            </w:r>
          </w:p>
        </w:tc>
      </w:tr>
      <w:tr w:rsidR="00210E36" w:rsidRPr="00770F9D" w14:paraId="08421007" w14:textId="77777777" w:rsidTr="00210E36">
        <w:tc>
          <w:tcPr>
            <w:tcW w:w="2605" w:type="dxa"/>
            <w:shd w:val="clear" w:color="auto" w:fill="auto"/>
          </w:tcPr>
          <w:p w14:paraId="32422741" w14:textId="77777777" w:rsidR="00210E36" w:rsidRPr="00770F9D" w:rsidRDefault="00210E36" w:rsidP="0028077A">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Çështjet e shpronësimeve të tokës pengesë për ecurinë e reformës, në disa shkallë vazhdojnë ende.</w:t>
            </w:r>
          </w:p>
        </w:tc>
        <w:tc>
          <w:tcPr>
            <w:tcW w:w="1758" w:type="dxa"/>
            <w:shd w:val="clear" w:color="auto" w:fill="auto"/>
          </w:tcPr>
          <w:p w14:paraId="2EE8B770" w14:textId="2BA51D6F" w:rsidR="00210E36" w:rsidRPr="00770F9D" w:rsidRDefault="00210E36" w:rsidP="00F41AB5">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I ul</w:t>
            </w:r>
            <w:r w:rsidR="00F41AB5">
              <w:rPr>
                <w:rFonts w:ascii="Garamond" w:hAnsi="Garamond" w:cstheme="majorBidi"/>
                <w:color w:val="0D0D0D" w:themeColor="text1" w:themeTint="F2"/>
                <w:sz w:val="20"/>
                <w:szCs w:val="20"/>
              </w:rPr>
              <w:t>ë</w:t>
            </w:r>
            <w:r w:rsidRPr="00770F9D">
              <w:rPr>
                <w:rFonts w:ascii="Garamond" w:hAnsi="Garamond" w:cstheme="majorBidi"/>
                <w:color w:val="0D0D0D" w:themeColor="text1" w:themeTint="F2"/>
                <w:sz w:val="20"/>
                <w:szCs w:val="20"/>
              </w:rPr>
              <w:t>t</w:t>
            </w:r>
          </w:p>
        </w:tc>
        <w:tc>
          <w:tcPr>
            <w:tcW w:w="6072" w:type="dxa"/>
            <w:shd w:val="clear" w:color="auto" w:fill="auto"/>
          </w:tcPr>
          <w:p w14:paraId="30D220D3" w14:textId="77777777" w:rsidR="00210E36" w:rsidRPr="00770F9D" w:rsidRDefault="00210E36" w:rsidP="0028077A">
            <w:pPr>
              <w:snapToGrid w:val="0"/>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Projekti i propozuar i kushtoi vëmendje të veçantë aksesit të përdorimeve dhe pronave fqinje të tokës, si dhe lidhjes së këmbësorëve dhe rrugëve.</w:t>
            </w:r>
          </w:p>
        </w:tc>
      </w:tr>
      <w:tr w:rsidR="00210E36" w:rsidRPr="00770F9D" w14:paraId="27E5EEDF" w14:textId="77777777" w:rsidTr="00210E36">
        <w:tc>
          <w:tcPr>
            <w:tcW w:w="2605" w:type="dxa"/>
            <w:shd w:val="clear" w:color="auto" w:fill="auto"/>
          </w:tcPr>
          <w:p w14:paraId="696D9A0F" w14:textId="77777777" w:rsidR="00210E36" w:rsidRPr="00770F9D" w:rsidRDefault="00210E36" w:rsidP="0028077A">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Pamundësia për të negociuar zgjidhjet.</w:t>
            </w:r>
          </w:p>
        </w:tc>
        <w:tc>
          <w:tcPr>
            <w:tcW w:w="1758" w:type="dxa"/>
            <w:shd w:val="clear" w:color="auto" w:fill="auto"/>
          </w:tcPr>
          <w:p w14:paraId="2CBC1029" w14:textId="77777777" w:rsidR="00210E36" w:rsidRPr="00770F9D" w:rsidRDefault="00210E36" w:rsidP="0028077A">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xml:space="preserve">I mesëm </w:t>
            </w:r>
          </w:p>
        </w:tc>
        <w:tc>
          <w:tcPr>
            <w:tcW w:w="6072" w:type="dxa"/>
            <w:shd w:val="clear" w:color="auto" w:fill="auto"/>
          </w:tcPr>
          <w:p w14:paraId="45C4BF26" w14:textId="77777777" w:rsidR="00210E36" w:rsidRPr="00770F9D" w:rsidRDefault="00210E36" w:rsidP="0028077A">
            <w:pPr>
              <w:snapToGrid w:val="0"/>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Zgjidhjet e negociuara inkurajohen për të ndihmuar në shmangien e shpronësimit dhe eliminimin e nevojës për të përdorur autoritetin qeveritar për të larguar njerëzit me forcë.</w:t>
            </w:r>
          </w:p>
        </w:tc>
      </w:tr>
    </w:tbl>
    <w:p w14:paraId="69130C96" w14:textId="6CA901DA" w:rsidR="00C21F03" w:rsidRPr="00770F9D" w:rsidRDefault="00F41AB5" w:rsidP="00400806">
      <w:pPr>
        <w:pStyle w:val="Heading3"/>
        <w:snapToGrid w:val="0"/>
        <w:ind w:left="0" w:firstLine="284"/>
        <w:jc w:val="both"/>
        <w:rPr>
          <w:rFonts w:ascii="Garamond" w:hAnsi="Garamond" w:cstheme="majorBidi"/>
          <w:b/>
          <w:color w:val="0D0D0D" w:themeColor="text1" w:themeTint="F2"/>
          <w:sz w:val="24"/>
          <w:szCs w:val="24"/>
        </w:rPr>
      </w:pPr>
      <w:bookmarkStart w:id="54" w:name="_Toc126050968"/>
      <w:r>
        <w:rPr>
          <w:rFonts w:ascii="Garamond" w:hAnsi="Garamond" w:cstheme="majorBidi"/>
          <w:b/>
          <w:color w:val="0D0D0D" w:themeColor="text1" w:themeTint="F2"/>
          <w:sz w:val="24"/>
          <w:szCs w:val="24"/>
        </w:rPr>
        <w:t>5.2.8</w:t>
      </w:r>
      <w:r w:rsidR="005674F2" w:rsidRPr="00770F9D">
        <w:rPr>
          <w:rFonts w:ascii="Garamond" w:hAnsi="Garamond" w:cstheme="majorBidi"/>
          <w:b/>
          <w:color w:val="0D0D0D" w:themeColor="text1" w:themeTint="F2"/>
          <w:sz w:val="24"/>
          <w:szCs w:val="24"/>
        </w:rPr>
        <w:t xml:space="preserve"> </w:t>
      </w:r>
      <w:r w:rsidR="002C5872" w:rsidRPr="00770F9D">
        <w:rPr>
          <w:rFonts w:ascii="Garamond" w:hAnsi="Garamond" w:cstheme="majorBidi"/>
          <w:b/>
          <w:color w:val="0D0D0D" w:themeColor="text1" w:themeTint="F2"/>
          <w:sz w:val="24"/>
          <w:szCs w:val="24"/>
        </w:rPr>
        <w:t>Bujqësi</w:t>
      </w:r>
      <w:r w:rsidR="00E77C7F" w:rsidRPr="00770F9D">
        <w:rPr>
          <w:rFonts w:ascii="Garamond" w:hAnsi="Garamond" w:cstheme="majorBidi"/>
          <w:b/>
          <w:color w:val="0D0D0D" w:themeColor="text1" w:themeTint="F2"/>
          <w:sz w:val="24"/>
          <w:szCs w:val="24"/>
        </w:rPr>
        <w:t>a</w:t>
      </w:r>
      <w:r w:rsidR="002C5872" w:rsidRPr="00770F9D">
        <w:rPr>
          <w:rFonts w:ascii="Garamond" w:hAnsi="Garamond" w:cstheme="majorBidi"/>
          <w:b/>
          <w:color w:val="0D0D0D" w:themeColor="text1" w:themeTint="F2"/>
          <w:sz w:val="24"/>
          <w:szCs w:val="24"/>
        </w:rPr>
        <w:t>, industri</w:t>
      </w:r>
      <w:r w:rsidR="00E77C7F" w:rsidRPr="00770F9D">
        <w:rPr>
          <w:rFonts w:ascii="Garamond" w:hAnsi="Garamond" w:cstheme="majorBidi"/>
          <w:b/>
          <w:color w:val="0D0D0D" w:themeColor="text1" w:themeTint="F2"/>
          <w:sz w:val="24"/>
          <w:szCs w:val="24"/>
        </w:rPr>
        <w:t>a</w:t>
      </w:r>
      <w:r w:rsidR="002C5872" w:rsidRPr="00770F9D">
        <w:rPr>
          <w:rFonts w:ascii="Garamond" w:hAnsi="Garamond" w:cstheme="majorBidi"/>
          <w:b/>
          <w:color w:val="0D0D0D" w:themeColor="text1" w:themeTint="F2"/>
          <w:sz w:val="24"/>
          <w:szCs w:val="24"/>
        </w:rPr>
        <w:t xml:space="preserve"> dhe shërbime</w:t>
      </w:r>
      <w:r w:rsidR="00E77C7F" w:rsidRPr="00770F9D">
        <w:rPr>
          <w:rFonts w:ascii="Garamond" w:hAnsi="Garamond" w:cstheme="majorBidi"/>
          <w:b/>
          <w:color w:val="0D0D0D" w:themeColor="text1" w:themeTint="F2"/>
          <w:sz w:val="24"/>
          <w:szCs w:val="24"/>
        </w:rPr>
        <w:t>t</w:t>
      </w:r>
      <w:bookmarkEnd w:id="54"/>
    </w:p>
    <w:p w14:paraId="1AD6B85A" w14:textId="5B6B6B8D" w:rsidR="00614E20" w:rsidRPr="00770F9D" w:rsidRDefault="005674F2" w:rsidP="00400806">
      <w:pPr>
        <w:pStyle w:val="Heading4"/>
        <w:snapToGrid w:val="0"/>
        <w:ind w:left="0" w:firstLine="284"/>
        <w:jc w:val="both"/>
        <w:rPr>
          <w:rFonts w:ascii="Garamond" w:hAnsi="Garamond" w:cstheme="majorBidi"/>
          <w:b w:val="0"/>
          <w:i/>
          <w:color w:val="0D0D0D" w:themeColor="text1" w:themeTint="F2"/>
          <w:sz w:val="24"/>
          <w:szCs w:val="24"/>
        </w:rPr>
      </w:pPr>
      <w:r w:rsidRPr="00770F9D">
        <w:rPr>
          <w:rFonts w:ascii="Garamond" w:hAnsi="Garamond" w:cstheme="majorBidi"/>
          <w:b w:val="0"/>
          <w:i/>
          <w:color w:val="0D0D0D" w:themeColor="text1" w:themeTint="F2"/>
          <w:sz w:val="24"/>
          <w:szCs w:val="24"/>
        </w:rPr>
        <w:t>a</w:t>
      </w:r>
      <w:r w:rsidR="00F41AB5">
        <w:rPr>
          <w:rFonts w:ascii="Garamond" w:hAnsi="Garamond" w:cstheme="majorBidi"/>
          <w:b w:val="0"/>
          <w:i/>
          <w:color w:val="0D0D0D" w:themeColor="text1" w:themeTint="F2"/>
          <w:sz w:val="24"/>
          <w:szCs w:val="24"/>
        </w:rPr>
        <w:t>)</w:t>
      </w:r>
      <w:r w:rsidRPr="00770F9D">
        <w:rPr>
          <w:rFonts w:ascii="Garamond" w:hAnsi="Garamond" w:cstheme="majorBidi"/>
          <w:b w:val="0"/>
          <w:i/>
          <w:color w:val="0D0D0D" w:themeColor="text1" w:themeTint="F2"/>
          <w:sz w:val="24"/>
          <w:szCs w:val="24"/>
        </w:rPr>
        <w:t xml:space="preserve"> </w:t>
      </w:r>
      <w:r w:rsidR="00B2062A" w:rsidRPr="00770F9D">
        <w:rPr>
          <w:rFonts w:ascii="Garamond" w:hAnsi="Garamond" w:cstheme="majorBidi"/>
          <w:b w:val="0"/>
          <w:i/>
          <w:color w:val="0D0D0D" w:themeColor="text1" w:themeTint="F2"/>
          <w:sz w:val="24"/>
          <w:szCs w:val="24"/>
        </w:rPr>
        <w:t>Analiza e pengesave kryesore</w:t>
      </w:r>
    </w:p>
    <w:p w14:paraId="3A6B10B7" w14:textId="542811DC" w:rsidR="00ED69FC" w:rsidRPr="00770F9D" w:rsidRDefault="00ED69FC" w:rsidP="00EF55DA">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Sektori i bujqësisë, si sektori kryesor i ekonomisë, ka pësuar një rritje graduale në v</w:t>
      </w:r>
      <w:r w:rsidR="002D200F">
        <w:rPr>
          <w:rFonts w:ascii="Garamond" w:hAnsi="Garamond" w:cstheme="majorBidi"/>
          <w:color w:val="0D0D0D" w:themeColor="text1" w:themeTint="F2"/>
        </w:rPr>
        <w:t xml:space="preserve">jetët </w:t>
      </w:r>
      <w:r w:rsidRPr="00770F9D">
        <w:rPr>
          <w:rFonts w:ascii="Garamond" w:hAnsi="Garamond" w:cstheme="majorBidi"/>
          <w:color w:val="0D0D0D" w:themeColor="text1" w:themeTint="F2"/>
        </w:rPr>
        <w:t>e fundit deri në 2.5 miliardë euro në vitin 2020 (VSHB, INSTAT: 2020* gjysmëfinale, kursi mesatar i këmbimit euro nga BSH</w:t>
      </w:r>
      <w:r w:rsidR="007631FF">
        <w:rPr>
          <w:rFonts w:ascii="Garamond" w:hAnsi="Garamond" w:cstheme="majorBidi"/>
          <w:color w:val="0D0D0D" w:themeColor="text1" w:themeTint="F2"/>
        </w:rPr>
        <w:t>-ja</w:t>
      </w:r>
      <w:r w:rsidRPr="00770F9D">
        <w:rPr>
          <w:rFonts w:ascii="Garamond" w:hAnsi="Garamond" w:cstheme="majorBidi"/>
          <w:color w:val="0D0D0D" w:themeColor="text1" w:themeTint="F2"/>
        </w:rPr>
        <w:t xml:space="preserve">, 123.77). Kontributi i sektorit në totalin e vlerës së shtuar bruto ekonomike (GVA) është rritur me 22% ndaj VSHB-së së vendit (INSTAT: 2020* gjysmëfinale), ndërsa kontributi i tij në punësim është ulur me 10% </w:t>
      </w:r>
      <w:r w:rsidR="00EE365D" w:rsidRPr="00770F9D">
        <w:rPr>
          <w:rFonts w:ascii="Garamond" w:hAnsi="Garamond" w:cstheme="majorBidi"/>
          <w:color w:val="0D0D0D" w:themeColor="text1" w:themeTint="F2"/>
        </w:rPr>
        <w:t>pikë përqindjeje</w:t>
      </w:r>
      <w:r w:rsidR="00EF55DA">
        <w:rPr>
          <w:rFonts w:ascii="Garamond" w:hAnsi="Garamond" w:cstheme="majorBidi"/>
          <w:color w:val="0D0D0D" w:themeColor="text1" w:themeTint="F2"/>
        </w:rPr>
        <w:t xml:space="preserve"> </w:t>
      </w:r>
      <w:r w:rsidRPr="00770F9D">
        <w:rPr>
          <w:rFonts w:ascii="Garamond" w:hAnsi="Garamond" w:cstheme="majorBidi"/>
          <w:color w:val="0D0D0D" w:themeColor="text1" w:themeTint="F2"/>
        </w:rPr>
        <w:t>në dekadën e fundit.</w:t>
      </w:r>
    </w:p>
    <w:p w14:paraId="386D02EA" w14:textId="1E70E1D8" w:rsidR="00ED69FC" w:rsidRPr="00770F9D" w:rsidRDefault="00ED69FC" w:rsidP="00C6515A">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Rreth 45% e fermave totale shtrihen në kategorinë 0</w:t>
      </w:r>
      <w:r w:rsidR="00523A42">
        <w:rPr>
          <w:rFonts w:ascii="Garamond" w:hAnsi="Garamond"/>
          <w:color w:val="0D0D0D"/>
        </w:rPr>
        <w:t>–</w:t>
      </w:r>
      <w:r w:rsidRPr="00770F9D">
        <w:rPr>
          <w:rFonts w:ascii="Garamond" w:hAnsi="Garamond" w:cstheme="majorBidi"/>
          <w:color w:val="0D0D0D" w:themeColor="text1" w:themeTint="F2"/>
        </w:rPr>
        <w:t>1 hektar (si tokë e punueshme), 41% e fermave kanë një sipërfaqe prej 1.1</w:t>
      </w:r>
      <w:r w:rsidR="00C6515A">
        <w:rPr>
          <w:rFonts w:ascii="Garamond" w:hAnsi="Garamond"/>
          <w:color w:val="0D0D0D"/>
        </w:rPr>
        <w:t>–</w:t>
      </w:r>
      <w:r w:rsidRPr="00770F9D">
        <w:rPr>
          <w:rFonts w:ascii="Garamond" w:hAnsi="Garamond" w:cstheme="majorBidi"/>
          <w:color w:val="0D0D0D" w:themeColor="text1" w:themeTint="F2"/>
        </w:rPr>
        <w:t xml:space="preserve">2 hektarësh dhe vetëm 14% e fermave kanë një sipërfaqe prej më shumë se 2 hektarësh. Madhësia mesatare e fermës është pak më shumë se 1.2 </w:t>
      </w:r>
      <w:r w:rsidR="00C6515A" w:rsidRPr="00770F9D">
        <w:rPr>
          <w:rFonts w:ascii="Garamond" w:hAnsi="Garamond" w:cstheme="majorBidi"/>
          <w:color w:val="0D0D0D" w:themeColor="text1" w:themeTint="F2"/>
        </w:rPr>
        <w:t>ha</w:t>
      </w:r>
      <w:r w:rsidRPr="00770F9D">
        <w:rPr>
          <w:rFonts w:ascii="Garamond" w:hAnsi="Garamond" w:cstheme="majorBidi"/>
          <w:color w:val="0D0D0D" w:themeColor="text1" w:themeTint="F2"/>
        </w:rPr>
        <w:t xml:space="preserve">. Në vitin 2021 pesha e të punësuarve në sektorin e bujqësisë është 33,8 % e punësimit total. Kontribuon në 19.3% (INSTAT: 2020* gjysmëfinale) të PBB-së së vendit. Bujqësia shqiptare dominohet nga një numër i madh fermash shumë të vogla dhe të fragmentuara. Më shumë se 84 358 fermerë janë pajisur me </w:t>
      </w:r>
      <w:r w:rsidR="00C6515A" w:rsidRPr="00770F9D">
        <w:rPr>
          <w:rFonts w:ascii="Garamond" w:hAnsi="Garamond" w:cstheme="majorBidi"/>
          <w:color w:val="0D0D0D" w:themeColor="text1" w:themeTint="F2"/>
        </w:rPr>
        <w:t>numër tatim</w:t>
      </w:r>
      <w:r w:rsidR="00C6515A">
        <w:rPr>
          <w:rFonts w:ascii="Garamond" w:hAnsi="Garamond" w:cstheme="majorBidi"/>
          <w:color w:val="0D0D0D" w:themeColor="text1" w:themeTint="F2"/>
        </w:rPr>
        <w:t>i</w:t>
      </w:r>
      <w:r w:rsidR="00C6515A" w:rsidRPr="00770F9D">
        <w:rPr>
          <w:rFonts w:ascii="Garamond" w:hAnsi="Garamond" w:cstheme="majorBidi"/>
          <w:color w:val="0D0D0D" w:themeColor="text1" w:themeTint="F2"/>
        </w:rPr>
        <w:t xml:space="preserve"> identifikimi </w:t>
      </w:r>
      <w:r w:rsidRPr="00770F9D">
        <w:rPr>
          <w:rFonts w:ascii="Garamond" w:hAnsi="Garamond" w:cstheme="majorBidi"/>
          <w:color w:val="0D0D0D" w:themeColor="text1" w:themeTint="F2"/>
        </w:rPr>
        <w:t>NIPT në fund të vitit 2022 (përditësuar deri më 20.12.2022</w:t>
      </w:r>
      <w:r w:rsidR="00C6515A">
        <w:rPr>
          <w:rFonts w:ascii="Garamond" w:hAnsi="Garamond" w:cstheme="majorBidi"/>
          <w:color w:val="0D0D0D" w:themeColor="text1" w:themeTint="F2"/>
        </w:rPr>
        <w:t>,</w:t>
      </w:r>
      <w:r w:rsidRPr="00770F9D">
        <w:rPr>
          <w:rFonts w:ascii="Garamond" w:hAnsi="Garamond" w:cstheme="majorBidi"/>
          <w:color w:val="0D0D0D" w:themeColor="text1" w:themeTint="F2"/>
        </w:rPr>
        <w:t xml:space="preserve"> </w:t>
      </w:r>
      <w:r w:rsidR="00C6515A" w:rsidRPr="00770F9D">
        <w:rPr>
          <w:rFonts w:ascii="Garamond" w:hAnsi="Garamond" w:cstheme="majorBidi"/>
          <w:color w:val="0D0D0D" w:themeColor="text1" w:themeTint="F2"/>
        </w:rPr>
        <w:t>burimi</w:t>
      </w:r>
      <w:r w:rsidR="00C6515A">
        <w:rPr>
          <w:rFonts w:ascii="Garamond" w:hAnsi="Garamond" w:cstheme="majorBidi"/>
          <w:color w:val="0D0D0D" w:themeColor="text1" w:themeTint="F2"/>
        </w:rPr>
        <w:t>:</w:t>
      </w:r>
      <w:r w:rsidRPr="00770F9D">
        <w:rPr>
          <w:rFonts w:ascii="Garamond" w:hAnsi="Garamond" w:cstheme="majorBidi"/>
          <w:color w:val="0D0D0D" w:themeColor="text1" w:themeTint="F2"/>
        </w:rPr>
        <w:t xml:space="preserve"> DPT).</w:t>
      </w:r>
    </w:p>
    <w:p w14:paraId="5CE67B93" w14:textId="3AC7CFE0" w:rsidR="00ED69FC" w:rsidRPr="00770F9D" w:rsidRDefault="00ED69FC" w:rsidP="00C6515A">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Çështjet kryesore për t</w:t>
      </w:r>
      <w:r w:rsidR="00C6515A">
        <w:rPr>
          <w:rFonts w:ascii="Garamond" w:hAnsi="Garamond" w:cstheme="majorBidi"/>
          <w:color w:val="0D0D0D" w:themeColor="text1" w:themeTint="F2"/>
        </w:rPr>
        <w:t>’</w:t>
      </w:r>
      <w:r w:rsidRPr="00770F9D">
        <w:rPr>
          <w:rFonts w:ascii="Garamond" w:hAnsi="Garamond" w:cstheme="majorBidi"/>
          <w:color w:val="0D0D0D" w:themeColor="text1" w:themeTint="F2"/>
        </w:rPr>
        <w:t>u adresuar:</w:t>
      </w:r>
    </w:p>
    <w:p w14:paraId="111F96B0" w14:textId="695E0112" w:rsidR="00ED69FC" w:rsidRPr="00770F9D" w:rsidRDefault="0028077A"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w:t>
      </w:r>
      <w:r w:rsidR="00ED69FC" w:rsidRPr="00770F9D">
        <w:rPr>
          <w:rFonts w:ascii="Garamond" w:hAnsi="Garamond" w:cstheme="majorBidi"/>
          <w:color w:val="0D0D0D" w:themeColor="text1" w:themeTint="F2"/>
        </w:rPr>
        <w:t xml:space="preserve"> Mbështetja e një procesi adekuat të konsolidimit të fermave në a</w:t>
      </w:r>
      <w:r w:rsidR="007045B8">
        <w:rPr>
          <w:rFonts w:ascii="Garamond" w:hAnsi="Garamond" w:cstheme="majorBidi"/>
          <w:color w:val="0D0D0D" w:themeColor="text1" w:themeTint="F2"/>
        </w:rPr>
        <w:t>spektin ekonomik dhe strukturor;</w:t>
      </w:r>
    </w:p>
    <w:p w14:paraId="03E4A114" w14:textId="2AF6C973" w:rsidR="00ED69FC" w:rsidRPr="00770F9D" w:rsidRDefault="0028077A" w:rsidP="00C45049">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w:t>
      </w:r>
      <w:r w:rsidR="00ED69FC" w:rsidRPr="00770F9D">
        <w:rPr>
          <w:rFonts w:ascii="Garamond" w:hAnsi="Garamond" w:cstheme="majorBidi"/>
          <w:color w:val="0D0D0D" w:themeColor="text1" w:themeTint="F2"/>
        </w:rPr>
        <w:t xml:space="preserve"> Mbështetja e të ardhurave të fermave familjare të vogla dhe të mesme dhe të të ardhurave të atyre që ndodhen në zona me kufizime natyrore duke forcuar bashkëpunimin ndërmjet operatorëve në faza të ndryshme të prodhimit, tregtimit apo përpunimit. Nevoja për të mbështetur qëndrueshmërinë e fermave kërkohet në periudhën afatshkurtër dhe afatmesme, e nxitur nga ndryshimet e vazhdueshme në tregjet ndërkombëtare dhe procesi i stabilizimit të tregjeve të reja për produktet shqiptare, si dhe nga rritja e ngjarjeve ekstreme të motit të nxitura nga klima. Këta faktorë justifikojnë nevojën për skema të përshtatshme të mbështetjes së të ardhurave, veçanërisht për fermerët më të vegjël që duan të bëjnë tregti duke iu bashkuar operatorëve të tjerë ekonomikisht të qëndrueshëm</w:t>
      </w:r>
      <w:r w:rsidR="00C45049">
        <w:rPr>
          <w:rFonts w:ascii="Garamond" w:hAnsi="Garamond" w:cstheme="majorBidi"/>
          <w:color w:val="0D0D0D" w:themeColor="text1" w:themeTint="F2"/>
        </w:rPr>
        <w:t>;</w:t>
      </w:r>
    </w:p>
    <w:p w14:paraId="75042626" w14:textId="369FAFB2" w:rsidR="00ED69FC" w:rsidRPr="00770F9D" w:rsidRDefault="0028077A"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w:t>
      </w:r>
      <w:r w:rsidR="00ED69FC" w:rsidRPr="00770F9D">
        <w:rPr>
          <w:rFonts w:ascii="Garamond" w:hAnsi="Garamond" w:cstheme="majorBidi"/>
          <w:color w:val="0D0D0D" w:themeColor="text1" w:themeTint="F2"/>
        </w:rPr>
        <w:t xml:space="preserve"> Tërheqja e fermerëve të rinj në biznesin bujqësor dhe rural dhe lehtësimi i krijimit dhe zhvillimit të bizneseve fillestare për ripërtëritjen e brezit të fe</w:t>
      </w:r>
      <w:r w:rsidR="00C45049">
        <w:rPr>
          <w:rFonts w:ascii="Garamond" w:hAnsi="Garamond" w:cstheme="majorBidi"/>
          <w:color w:val="0D0D0D" w:themeColor="text1" w:themeTint="F2"/>
        </w:rPr>
        <w:t>rmerëve në sektorin e bujqësisë;</w:t>
      </w:r>
    </w:p>
    <w:p w14:paraId="3B386E40" w14:textId="6AD6BB1E" w:rsidR="00ED69FC" w:rsidRPr="00770F9D" w:rsidRDefault="0028077A"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w:t>
      </w:r>
      <w:r w:rsidR="00ED69FC" w:rsidRPr="00770F9D">
        <w:rPr>
          <w:rFonts w:ascii="Garamond" w:hAnsi="Garamond" w:cstheme="majorBidi"/>
          <w:color w:val="0D0D0D" w:themeColor="text1" w:themeTint="F2"/>
        </w:rPr>
        <w:t xml:space="preserve"> Përmirësimi i efikasitetit dhe qëndrueshmërisë së prodhimit në fermë, i cili do të sigurojë një përgjigje më të mirë ndaj kërkesave të konsumatorëve për ushqim të sigurt, ushqyes dhe të qëndrueshëm.</w:t>
      </w:r>
    </w:p>
    <w:p w14:paraId="7EEA5D32" w14:textId="4C4E4B23" w:rsidR="00ED69FC" w:rsidRPr="00770F9D" w:rsidRDefault="0028077A" w:rsidP="00C45049">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w:t>
      </w:r>
      <w:r w:rsidR="00ED69FC" w:rsidRPr="00770F9D">
        <w:rPr>
          <w:rFonts w:ascii="Garamond" w:hAnsi="Garamond" w:cstheme="majorBidi"/>
          <w:color w:val="0D0D0D" w:themeColor="text1" w:themeTint="F2"/>
        </w:rPr>
        <w:t xml:space="preserve"> Rritja e kapaciteteve të fermerëve për të krijuar dhe zotëruar një pjesë më të madhe të vlerës së shtuar në zinxhirin e furnizimit ushqimor</w:t>
      </w:r>
      <w:r w:rsidR="00C45049">
        <w:rPr>
          <w:rFonts w:ascii="Garamond" w:hAnsi="Garamond" w:cstheme="majorBidi"/>
          <w:color w:val="0D0D0D" w:themeColor="text1" w:themeTint="F2"/>
        </w:rPr>
        <w:t>;</w:t>
      </w:r>
    </w:p>
    <w:p w14:paraId="0006401A" w14:textId="4D6185A5" w:rsidR="00ED69FC" w:rsidRPr="00770F9D" w:rsidRDefault="0028077A" w:rsidP="00C45049">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 </w:t>
      </w:r>
      <w:r w:rsidR="00ED69FC" w:rsidRPr="00770F9D">
        <w:rPr>
          <w:rFonts w:ascii="Garamond" w:hAnsi="Garamond" w:cstheme="majorBidi"/>
          <w:color w:val="0D0D0D" w:themeColor="text1" w:themeTint="F2"/>
        </w:rPr>
        <w:t>Rritja e qëndrueshmërisë ekonomike të sektorit agroushqimor që varet nga arritjet e sektorit për të investuar në sigurinë ushqimore dhe përdorimin e qëndrueshëm të burimeve</w:t>
      </w:r>
      <w:r w:rsidR="00C45049">
        <w:rPr>
          <w:rFonts w:ascii="Garamond" w:hAnsi="Garamond" w:cstheme="majorBidi"/>
          <w:color w:val="0D0D0D" w:themeColor="text1" w:themeTint="F2"/>
        </w:rPr>
        <w:t>;</w:t>
      </w:r>
    </w:p>
    <w:p w14:paraId="0AD5DF85" w14:textId="02C43374" w:rsidR="00ED69FC" w:rsidRPr="00770F9D" w:rsidRDefault="0028077A"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w:t>
      </w:r>
      <w:r w:rsidR="00ED69FC" w:rsidRPr="00770F9D">
        <w:rPr>
          <w:rFonts w:ascii="Garamond" w:hAnsi="Garamond" w:cstheme="majorBidi"/>
          <w:color w:val="0D0D0D" w:themeColor="text1" w:themeTint="F2"/>
        </w:rPr>
        <w:t xml:space="preserve"> Përafrimi progresiv i fermave të qëndrueshme dhe përpunimit apo tregtimit agroushqimor me standardet e BE-së, për të siguruar produkte ushqimore të sigurta dhe për të rritur konkurrencën e tyre kombëtare dhe ndërkombëtare (rriten eksportet);</w:t>
      </w:r>
    </w:p>
    <w:p w14:paraId="49EC9C07" w14:textId="00DD1451" w:rsidR="00ED69FC" w:rsidRPr="00770F9D" w:rsidRDefault="0028077A"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w:t>
      </w:r>
      <w:r w:rsidR="00ED69FC" w:rsidRPr="00770F9D">
        <w:rPr>
          <w:rFonts w:ascii="Garamond" w:hAnsi="Garamond" w:cstheme="majorBidi"/>
          <w:color w:val="0D0D0D" w:themeColor="text1" w:themeTint="F2"/>
        </w:rPr>
        <w:t xml:space="preserve"> Inkurajimi i inovacionit dhe një nivel i ngritur trajnimi dhe investimesh në bujqësi dhe përpunim ushqimor.</w:t>
      </w:r>
    </w:p>
    <w:p w14:paraId="152A8E35" w14:textId="727D56AB" w:rsidR="00ED69FC" w:rsidRPr="00770F9D" w:rsidRDefault="0028077A"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w:t>
      </w:r>
      <w:r w:rsidR="00ED69FC" w:rsidRPr="00770F9D">
        <w:rPr>
          <w:rFonts w:ascii="Garamond" w:hAnsi="Garamond" w:cstheme="majorBidi"/>
          <w:color w:val="0D0D0D" w:themeColor="text1" w:themeTint="F2"/>
        </w:rPr>
        <w:t xml:space="preserve"> Inkurajimi i aksesit në financim për zhvillimin e biznesit</w:t>
      </w:r>
    </w:p>
    <w:p w14:paraId="1C9E4A78" w14:textId="499CF559" w:rsidR="00ED69FC" w:rsidRPr="00770F9D" w:rsidRDefault="0028077A"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w:t>
      </w:r>
      <w:r w:rsidR="00ED69FC" w:rsidRPr="00770F9D">
        <w:rPr>
          <w:rFonts w:ascii="Garamond" w:hAnsi="Garamond" w:cstheme="majorBidi"/>
          <w:color w:val="0D0D0D" w:themeColor="text1" w:themeTint="F2"/>
        </w:rPr>
        <w:t xml:space="preserve"> Siguria e ushqimit dhe menaxhimi i mbetjeve.</w:t>
      </w:r>
    </w:p>
    <w:p w14:paraId="0DB495BE" w14:textId="23906637" w:rsidR="00E77C7F" w:rsidRPr="00770F9D" w:rsidRDefault="00E77C7F" w:rsidP="00400806">
      <w:pPr>
        <w:ind w:firstLine="284"/>
        <w:jc w:val="both"/>
        <w:rPr>
          <w:rFonts w:ascii="Garamond" w:hAnsi="Garamond" w:cstheme="majorBidi"/>
          <w:b/>
          <w:bCs/>
          <w:color w:val="0D0D0D" w:themeColor="text1" w:themeTint="F2"/>
        </w:rPr>
      </w:pPr>
      <w:r w:rsidRPr="00770F9D">
        <w:rPr>
          <w:rFonts w:ascii="Garamond" w:hAnsi="Garamond" w:cstheme="majorBidi"/>
          <w:color w:val="0D0D0D" w:themeColor="text1" w:themeTint="F2"/>
        </w:rPr>
        <w:t xml:space="preserve">Viti 2021 konsiderohet si pikë kthese për sektorin e turizmit në kushtet e izolimit total </w:t>
      </w:r>
      <w:r w:rsidR="002354C4" w:rsidRPr="00770F9D">
        <w:rPr>
          <w:rFonts w:ascii="Garamond" w:hAnsi="Garamond" w:cstheme="majorBidi"/>
          <w:color w:val="0D0D0D" w:themeColor="text1" w:themeTint="F2"/>
        </w:rPr>
        <w:t>për sa</w:t>
      </w:r>
      <w:r w:rsidRPr="00770F9D">
        <w:rPr>
          <w:rFonts w:ascii="Garamond" w:hAnsi="Garamond" w:cstheme="majorBidi"/>
          <w:color w:val="0D0D0D" w:themeColor="text1" w:themeTint="F2"/>
        </w:rPr>
        <w:t xml:space="preserve"> i përket izolimit total</w:t>
      </w:r>
      <w:r w:rsidR="00C45049">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 shkak të pandemisë </w:t>
      </w:r>
      <w:r w:rsidR="00C45049" w:rsidRPr="00770F9D">
        <w:rPr>
          <w:rFonts w:ascii="Garamond" w:hAnsi="Garamond" w:cstheme="majorBidi"/>
          <w:color w:val="0D0D0D" w:themeColor="text1" w:themeTint="F2"/>
        </w:rPr>
        <w:t>COVID</w:t>
      </w:r>
      <w:r w:rsidRPr="00770F9D">
        <w:rPr>
          <w:rFonts w:ascii="Garamond" w:hAnsi="Garamond" w:cstheme="majorBidi"/>
          <w:color w:val="0D0D0D" w:themeColor="text1" w:themeTint="F2"/>
        </w:rPr>
        <w:t>-19. Ndonëse sezoni turistik veror i vitit 2021 i tejkaloi pritshmëritë, të cilat në pjesën më të madhe ishin të diktuara nga situata pandemike, ai nuk u kthye në normalitet, por iu përshtat normalitetit të ri. Sipas të dhënave të publikuara nga Instituti Shqiptar i Statistikave (INSTAT), Shqipërinë e kanë vizituar 3 655 432 turistë nga rajoni</w:t>
      </w:r>
      <w:r w:rsidRPr="00770F9D">
        <w:rPr>
          <w:rStyle w:val="FootnoteReference"/>
          <w:rFonts w:ascii="Garamond" w:hAnsi="Garamond" w:cstheme="majorBidi"/>
          <w:color w:val="0D0D0D" w:themeColor="text1" w:themeTint="F2"/>
        </w:rPr>
        <w:footnoteReference w:id="20"/>
      </w:r>
      <w:r w:rsidRPr="00770F9D">
        <w:rPr>
          <w:rFonts w:ascii="Garamond" w:hAnsi="Garamond" w:cstheme="majorBidi"/>
          <w:color w:val="0D0D0D" w:themeColor="text1" w:themeTint="F2"/>
        </w:rPr>
        <w:t>, ndërsa jashtë rajonit numri i turistëve është 2 033 217. Në total, numri i shtetasve të huaj që kanë hyrë në Shqipëri në vitin 2021 është 5.688.649, duke u rritur me 2.1 herë, krahasuar me 2.657.818 turistë të huaj në vitin 2020.</w:t>
      </w:r>
    </w:p>
    <w:p w14:paraId="63E143E8" w14:textId="44B02719" w:rsidR="00E77C7F" w:rsidRPr="00770F9D" w:rsidRDefault="00E77C7F" w:rsidP="00823513">
      <w:pPr>
        <w:ind w:firstLine="284"/>
        <w:jc w:val="both"/>
        <w:rPr>
          <w:rFonts w:ascii="Garamond" w:hAnsi="Garamond" w:cstheme="majorBidi"/>
          <w:b/>
          <w:bCs/>
          <w:color w:val="0D0D0D" w:themeColor="text1" w:themeTint="F2"/>
        </w:rPr>
      </w:pPr>
      <w:r w:rsidRPr="00770F9D">
        <w:rPr>
          <w:rFonts w:ascii="Garamond" w:hAnsi="Garamond" w:cstheme="majorBidi"/>
          <w:color w:val="0D0D0D" w:themeColor="text1" w:themeTint="F2"/>
        </w:rPr>
        <w:t>Sipas publikimit të Këshillit Botëror të Udhëtimit dhe Turizmit 2022, gjatë vitit 2021, sektori i turizmit regjistroi një kontribut total prej 3,092.7 milionë dollarë, duke zënë rreth 17.4% të PBB-së. Krahasuar me dy v</w:t>
      </w:r>
      <w:r w:rsidR="00823513">
        <w:rPr>
          <w:rFonts w:ascii="Garamond" w:hAnsi="Garamond" w:cstheme="majorBidi"/>
          <w:color w:val="0D0D0D" w:themeColor="text1" w:themeTint="F2"/>
        </w:rPr>
        <w:t>jetët</w:t>
      </w:r>
      <w:r w:rsidRPr="00770F9D">
        <w:rPr>
          <w:rFonts w:ascii="Garamond" w:hAnsi="Garamond" w:cstheme="majorBidi"/>
          <w:color w:val="0D0D0D" w:themeColor="text1" w:themeTint="F2"/>
        </w:rPr>
        <w:t xml:space="preserve"> e mëparsh</w:t>
      </w:r>
      <w:r w:rsidR="00823513">
        <w:rPr>
          <w:rFonts w:ascii="Garamond" w:hAnsi="Garamond" w:cstheme="majorBidi"/>
          <w:color w:val="0D0D0D" w:themeColor="text1" w:themeTint="F2"/>
        </w:rPr>
        <w:t>ë</w:t>
      </w:r>
      <w:r w:rsidRPr="00770F9D">
        <w:rPr>
          <w:rFonts w:ascii="Garamond" w:hAnsi="Garamond" w:cstheme="majorBidi"/>
          <w:color w:val="0D0D0D" w:themeColor="text1" w:themeTint="F2"/>
        </w:rPr>
        <w:t>me</w:t>
      </w:r>
      <w:r w:rsidR="00823513">
        <w:rPr>
          <w:rFonts w:ascii="Garamond" w:hAnsi="Garamond" w:cstheme="majorBidi"/>
          <w:color w:val="0D0D0D" w:themeColor="text1" w:themeTint="F2"/>
        </w:rPr>
        <w:t>=</w:t>
      </w:r>
      <w:r w:rsidRPr="00770F9D">
        <w:rPr>
          <w:rFonts w:ascii="Garamond" w:hAnsi="Garamond" w:cstheme="majorBidi"/>
          <w:color w:val="0D0D0D" w:themeColor="text1" w:themeTint="F2"/>
        </w:rPr>
        <w:t xml:space="preserve"> ka një ndryshim +81,1% nga viti 2020 dhe -10% nga viti 2019. </w:t>
      </w:r>
      <w:r w:rsidR="002354C4" w:rsidRPr="00770F9D">
        <w:rPr>
          <w:rFonts w:ascii="Garamond" w:hAnsi="Garamond" w:cstheme="majorBidi"/>
          <w:color w:val="0D0D0D" w:themeColor="text1" w:themeTint="F2"/>
        </w:rPr>
        <w:t>Për sa</w:t>
      </w:r>
      <w:r w:rsidRPr="00770F9D">
        <w:rPr>
          <w:rFonts w:ascii="Garamond" w:hAnsi="Garamond" w:cstheme="majorBidi"/>
          <w:color w:val="0D0D0D" w:themeColor="text1" w:themeTint="F2"/>
        </w:rPr>
        <w:t xml:space="preserve"> i përket punësimit, kontributi total i udhëtimeve dhe turizmit për vitin 2021 ishte 226,100 vende pune ose 20% e punësimit total në Shqipëri me një ndryshim +26.6% krahasuar me të dhënat e vitit 2020. Gjithashtu, shifrat për shpenzimet e vizitorëve për vitin 2021 u regjistruan në 2457,2 milionë dollarë për turistët ndërkombëtarë dhe 597,4 milionë dollarë për ata </w:t>
      </w:r>
      <w:r w:rsidR="002A4878" w:rsidRPr="00770F9D">
        <w:rPr>
          <w:rFonts w:ascii="Garamond" w:hAnsi="Garamond" w:cstheme="majorBidi"/>
          <w:color w:val="0D0D0D" w:themeColor="text1" w:themeTint="F2"/>
        </w:rPr>
        <w:t>vendës</w:t>
      </w:r>
      <w:r w:rsidRPr="00770F9D">
        <w:rPr>
          <w:rFonts w:ascii="Garamond" w:hAnsi="Garamond" w:cstheme="majorBidi"/>
          <w:color w:val="0D0D0D" w:themeColor="text1" w:themeTint="F2"/>
        </w:rPr>
        <w:t xml:space="preserve"> me një rritje përkatësisht +83,5% dhe +60,9% krahasuar me vitin 2020. </w:t>
      </w:r>
    </w:p>
    <w:p w14:paraId="53F709BA" w14:textId="1E27E815" w:rsidR="00E77C7F" w:rsidRPr="00770F9D" w:rsidRDefault="00E77C7F" w:rsidP="004D555A">
      <w:pPr>
        <w:ind w:firstLine="284"/>
        <w:jc w:val="both"/>
        <w:rPr>
          <w:rFonts w:ascii="Garamond" w:hAnsi="Garamond" w:cstheme="majorBidi"/>
          <w:b/>
          <w:bCs/>
          <w:color w:val="0D0D0D" w:themeColor="text1" w:themeTint="F2"/>
        </w:rPr>
      </w:pPr>
      <w:r w:rsidRPr="00770F9D">
        <w:rPr>
          <w:rFonts w:ascii="Garamond" w:hAnsi="Garamond" w:cstheme="majorBidi"/>
          <w:color w:val="0D0D0D" w:themeColor="text1" w:themeTint="F2"/>
        </w:rPr>
        <w:t>Në kushtet kur turizmi shqiptar po njeh tendenca pozitive në drejtim të zgjatjes së sezonit, zgjerimit të hartës turistike dhe zhvillimit të agroturizmit si model i zhvillimit të qëndrueshëm, diversifikimi i ofertës turistike</w:t>
      </w:r>
      <w:r w:rsidR="004D555A">
        <w:rPr>
          <w:rFonts w:ascii="Garamond" w:hAnsi="Garamond" w:cstheme="majorBidi"/>
          <w:color w:val="0D0D0D" w:themeColor="text1" w:themeTint="F2"/>
        </w:rPr>
        <w:t>,</w:t>
      </w:r>
      <w:r w:rsidRPr="00770F9D">
        <w:rPr>
          <w:rFonts w:ascii="Garamond" w:hAnsi="Garamond" w:cstheme="majorBidi"/>
          <w:color w:val="0D0D0D" w:themeColor="text1" w:themeTint="F2"/>
        </w:rPr>
        <w:t xml:space="preserve"> me qëllim konsolidimin e mëtejshëm të saj nëpërmjet përdorimit dhe optimizimit</w:t>
      </w:r>
      <w:r w:rsidR="004D555A">
        <w:rPr>
          <w:rFonts w:ascii="Garamond" w:hAnsi="Garamond" w:cstheme="majorBidi"/>
          <w:color w:val="0D0D0D" w:themeColor="text1" w:themeTint="F2"/>
        </w:rPr>
        <w:t>,</w:t>
      </w:r>
      <w:r w:rsidRPr="00770F9D">
        <w:rPr>
          <w:rFonts w:ascii="Garamond" w:hAnsi="Garamond" w:cstheme="majorBidi"/>
          <w:color w:val="0D0D0D" w:themeColor="text1" w:themeTint="F2"/>
        </w:rPr>
        <w:t xml:space="preserve"> të potencialeve të pashfrytëzuara turistike</w:t>
      </w:r>
      <w:r w:rsidR="004D555A">
        <w:rPr>
          <w:rFonts w:ascii="Garamond" w:hAnsi="Garamond" w:cstheme="majorBidi"/>
          <w:color w:val="0D0D0D" w:themeColor="text1" w:themeTint="F2"/>
        </w:rPr>
        <w:t>,</w:t>
      </w:r>
      <w:r w:rsidRPr="00770F9D">
        <w:rPr>
          <w:rFonts w:ascii="Garamond" w:hAnsi="Garamond" w:cstheme="majorBidi"/>
          <w:color w:val="0D0D0D" w:themeColor="text1" w:themeTint="F2"/>
        </w:rPr>
        <w:t xml:space="preserve"> si</w:t>
      </w:r>
      <w:r w:rsidR="004D555A">
        <w:rPr>
          <w:rFonts w:ascii="Garamond" w:hAnsi="Garamond" w:cstheme="majorBidi"/>
          <w:color w:val="0D0D0D" w:themeColor="text1" w:themeTint="F2"/>
        </w:rPr>
        <w:t>:</w:t>
      </w:r>
      <w:r w:rsidRPr="00770F9D">
        <w:rPr>
          <w:rFonts w:ascii="Garamond" w:hAnsi="Garamond" w:cstheme="majorBidi"/>
          <w:color w:val="0D0D0D" w:themeColor="text1" w:themeTint="F2"/>
        </w:rPr>
        <w:t xml:space="preserve"> turizmi detar, shihet si një nga masat afatgjata për të mbështetur zhvillimin e sektorit të turizmit. Turizmi detar, siç është vërtetuar edhe në vende të tjera të rajonit</w:t>
      </w:r>
      <w:r w:rsidR="004D555A">
        <w:rPr>
          <w:rFonts w:ascii="Garamond" w:hAnsi="Garamond" w:cstheme="majorBidi"/>
          <w:color w:val="0D0D0D" w:themeColor="text1" w:themeTint="F2"/>
        </w:rPr>
        <w:t>,</w:t>
      </w:r>
      <w:r w:rsidRPr="00770F9D">
        <w:rPr>
          <w:rFonts w:ascii="Garamond" w:hAnsi="Garamond" w:cstheme="majorBidi"/>
          <w:color w:val="0D0D0D" w:themeColor="text1" w:themeTint="F2"/>
        </w:rPr>
        <w:t xml:space="preserve"> si</w:t>
      </w:r>
      <w:r w:rsidR="004D555A">
        <w:rPr>
          <w:rFonts w:ascii="Garamond" w:hAnsi="Garamond" w:cstheme="majorBidi"/>
          <w:color w:val="0D0D0D" w:themeColor="text1" w:themeTint="F2"/>
        </w:rPr>
        <w:t>:</w:t>
      </w:r>
      <w:r w:rsidRPr="00770F9D">
        <w:rPr>
          <w:rFonts w:ascii="Garamond" w:hAnsi="Garamond" w:cstheme="majorBidi"/>
          <w:color w:val="0D0D0D" w:themeColor="text1" w:themeTint="F2"/>
        </w:rPr>
        <w:t xml:space="preserve"> Kroacia, Mali i Zi, Greqia dhe Italia, është një industri e madhe dhe Shqipëria i mungon këtij korridori të vlefshëm mesdhetar për shkak të ekonomisë së saj të pakët të marinës. Pozicioni i favorshëm gjeografik i Shqipërisë, që lidh detin Adriatik me Jon dhe </w:t>
      </w:r>
      <w:r w:rsidR="004D555A" w:rsidRPr="00770F9D">
        <w:rPr>
          <w:rFonts w:ascii="Garamond" w:hAnsi="Garamond" w:cstheme="majorBidi"/>
          <w:color w:val="0D0D0D" w:themeColor="text1" w:themeTint="F2"/>
        </w:rPr>
        <w:t xml:space="preserve">detin </w:t>
      </w:r>
      <w:r w:rsidRPr="00770F9D">
        <w:rPr>
          <w:rFonts w:ascii="Garamond" w:hAnsi="Garamond" w:cstheme="majorBidi"/>
          <w:color w:val="0D0D0D" w:themeColor="text1" w:themeTint="F2"/>
        </w:rPr>
        <w:t xml:space="preserve">Mesdhe </w:t>
      </w:r>
      <w:r w:rsidR="004D555A" w:rsidRPr="00770F9D">
        <w:rPr>
          <w:rFonts w:ascii="Garamond" w:hAnsi="Garamond" w:cstheme="majorBidi"/>
          <w:color w:val="0D0D0D" w:themeColor="text1" w:themeTint="F2"/>
        </w:rPr>
        <w:t>qendror</w:t>
      </w:r>
      <w:r w:rsidRPr="00770F9D">
        <w:rPr>
          <w:rFonts w:ascii="Garamond" w:hAnsi="Garamond" w:cstheme="majorBidi"/>
          <w:color w:val="0D0D0D" w:themeColor="text1" w:themeTint="F2"/>
        </w:rPr>
        <w:t>, e bën atë një vend të rëndësishëm për zhvillimin e aktiviteteve detare.</w:t>
      </w:r>
    </w:p>
    <w:p w14:paraId="473CF45E" w14:textId="088DF50F" w:rsidR="00E77C7F" w:rsidRPr="00770F9D" w:rsidRDefault="00E77C7F" w:rsidP="00400806">
      <w:pPr>
        <w:ind w:firstLine="284"/>
        <w:jc w:val="both"/>
        <w:rPr>
          <w:rFonts w:ascii="Garamond" w:hAnsi="Garamond" w:cstheme="majorBidi"/>
          <w:b/>
          <w:bCs/>
          <w:color w:val="0D0D0D" w:themeColor="text1" w:themeTint="F2"/>
        </w:rPr>
      </w:pPr>
      <w:r w:rsidRPr="00770F9D">
        <w:rPr>
          <w:rFonts w:ascii="Garamond" w:hAnsi="Garamond" w:cstheme="majorBidi"/>
          <w:color w:val="0D0D0D" w:themeColor="text1" w:themeTint="F2"/>
        </w:rPr>
        <w:t xml:space="preserve">Aktivitetet detare të Shqipërisë janë mjaft të kufizuara, të fokusuara kryesisht në peshkim. Shqipërisë i mungojnë infrastruktura bazë, njerëzit dhe pajisjet për të shërbyer qoftë edhe një numër modest anijesh argëtuese, aq më pak një industri e qëndrueshme marinash; Rregullat dhe procedurat e vendit, shumë të pandryshuara nga epoka komuniste, dallohen për kompleksitetin dhe vështirësinë e tyre, duke e bërë vendin destinacionin më pak mikpritës në </w:t>
      </w:r>
      <w:r w:rsidR="004D555A" w:rsidRPr="00770F9D">
        <w:rPr>
          <w:rFonts w:ascii="Garamond" w:hAnsi="Garamond" w:cstheme="majorBidi"/>
          <w:color w:val="0D0D0D" w:themeColor="text1" w:themeTint="F2"/>
        </w:rPr>
        <w:t xml:space="preserve">detin </w:t>
      </w:r>
      <w:r w:rsidRPr="00770F9D">
        <w:rPr>
          <w:rFonts w:ascii="Garamond" w:hAnsi="Garamond" w:cstheme="majorBidi"/>
          <w:color w:val="0D0D0D" w:themeColor="text1" w:themeTint="F2"/>
        </w:rPr>
        <w:t>Mesdhe verior.</w:t>
      </w:r>
    </w:p>
    <w:p w14:paraId="0877A526" w14:textId="52FDD08F" w:rsidR="00E77C7F" w:rsidRPr="00770F9D" w:rsidRDefault="00E77C7F" w:rsidP="004D555A">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Në këtë kuptim, “hartimi i kuadrit rregullator dhe institucional për zhvillimin e shërbimeve dhe mënyrën e funksionimit të </w:t>
      </w:r>
      <w:r w:rsidR="004D555A" w:rsidRPr="00770F9D">
        <w:rPr>
          <w:rFonts w:ascii="Garamond" w:hAnsi="Garamond" w:cstheme="majorBidi"/>
          <w:color w:val="0D0D0D" w:themeColor="text1" w:themeTint="F2"/>
        </w:rPr>
        <w:t xml:space="preserve">porteve turistike </w:t>
      </w:r>
      <w:r w:rsidRPr="00770F9D">
        <w:rPr>
          <w:rFonts w:ascii="Garamond" w:hAnsi="Garamond" w:cstheme="majorBidi"/>
          <w:color w:val="0D0D0D" w:themeColor="text1" w:themeTint="F2"/>
        </w:rPr>
        <w:t xml:space="preserve">dhe aktiviteteve në funksion të tyre”, si dhe “Zhvillimi i </w:t>
      </w:r>
      <w:r w:rsidR="00FF53A0" w:rsidRPr="00770F9D">
        <w:rPr>
          <w:rFonts w:ascii="Garamond" w:hAnsi="Garamond" w:cstheme="majorBidi"/>
          <w:color w:val="0D0D0D" w:themeColor="text1" w:themeTint="F2"/>
        </w:rPr>
        <w:t xml:space="preserve">programit të turizmit bregdetar dhe detar </w:t>
      </w:r>
      <w:r w:rsidRPr="00770F9D">
        <w:rPr>
          <w:rFonts w:ascii="Garamond" w:hAnsi="Garamond" w:cstheme="majorBidi"/>
          <w:color w:val="0D0D0D" w:themeColor="text1" w:themeTint="F2"/>
        </w:rPr>
        <w:t>dhe krijimi i produkteve të reja” janë ndër objektivat specifik</w:t>
      </w:r>
      <w:r w:rsidR="004D555A">
        <w:rPr>
          <w:rFonts w:ascii="Garamond" w:hAnsi="Garamond" w:cstheme="majorBidi"/>
          <w:color w:val="0D0D0D" w:themeColor="text1" w:themeTint="F2"/>
        </w:rPr>
        <w:t>ë</w:t>
      </w:r>
      <w:r w:rsidRPr="00770F9D">
        <w:rPr>
          <w:rFonts w:ascii="Garamond" w:hAnsi="Garamond" w:cstheme="majorBidi"/>
          <w:color w:val="0D0D0D" w:themeColor="text1" w:themeTint="F2"/>
        </w:rPr>
        <w:t xml:space="preserve"> të Strategjisë Kombëtare për Zhvillimin e Qëndrueshëm të Turizmit 2019</w:t>
      </w:r>
      <w:r w:rsidR="004D555A">
        <w:rPr>
          <w:rFonts w:ascii="Garamond" w:hAnsi="Garamond" w:cstheme="majorBidi"/>
          <w:color w:val="0D0D0D" w:themeColor="text1" w:themeTint="F2"/>
        </w:rPr>
        <w:t>–</w:t>
      </w:r>
      <w:r w:rsidRPr="00770F9D">
        <w:rPr>
          <w:rFonts w:ascii="Garamond" w:hAnsi="Garamond" w:cstheme="majorBidi"/>
          <w:color w:val="0D0D0D" w:themeColor="text1" w:themeTint="F2"/>
        </w:rPr>
        <w:t>2023.</w:t>
      </w:r>
    </w:p>
    <w:p w14:paraId="43B9407B" w14:textId="77777777" w:rsidR="00210E36" w:rsidRPr="00770F9D" w:rsidRDefault="00210E36"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Industria joushqimore në Shqipëri pengohet nga disa pengesa, si:</w:t>
      </w:r>
    </w:p>
    <w:p w14:paraId="34EB8620" w14:textId="4F27168A" w:rsidR="00210E36" w:rsidRPr="00770F9D" w:rsidRDefault="00210E36" w:rsidP="005F658D">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Mungesa e një strategjie për industrinë që përcakton prioritetet, objektivat dhe politikat që mundësojnë zhvillimin e saj harmonik dhe të qëndrueshëm</w:t>
      </w:r>
      <w:r w:rsidR="005F658D">
        <w:rPr>
          <w:rFonts w:ascii="Garamond" w:hAnsi="Garamond" w:cstheme="majorBidi"/>
          <w:color w:val="0D0D0D" w:themeColor="text1" w:themeTint="F2"/>
        </w:rPr>
        <w:t>;</w:t>
      </w:r>
    </w:p>
    <w:p w14:paraId="4A85527D" w14:textId="6920367F" w:rsidR="00210E36" w:rsidRPr="00770F9D" w:rsidRDefault="00FF53A0" w:rsidP="005F658D">
      <w:pPr>
        <w:snapToGrid w:val="0"/>
        <w:ind w:firstLine="284"/>
        <w:jc w:val="both"/>
        <w:rPr>
          <w:rFonts w:ascii="Garamond" w:hAnsi="Garamond" w:cstheme="majorBidi"/>
          <w:color w:val="0D0D0D" w:themeColor="text1" w:themeTint="F2"/>
        </w:rPr>
      </w:pPr>
      <w:r>
        <w:rPr>
          <w:rFonts w:ascii="Garamond" w:hAnsi="Garamond" w:cstheme="majorBidi"/>
          <w:color w:val="0D0D0D" w:themeColor="text1" w:themeTint="F2"/>
        </w:rPr>
        <w:t>- Vonesa në privatizimin e ish-</w:t>
      </w:r>
      <w:r w:rsidR="00210E36" w:rsidRPr="00770F9D">
        <w:rPr>
          <w:rFonts w:ascii="Garamond" w:hAnsi="Garamond" w:cstheme="majorBidi"/>
          <w:color w:val="0D0D0D" w:themeColor="text1" w:themeTint="F2"/>
        </w:rPr>
        <w:t>objekteve industriale, të cilat janë shkatërruar dhe nuk kanë më interes për shtetin</w:t>
      </w:r>
      <w:r w:rsidR="005F658D">
        <w:rPr>
          <w:rFonts w:ascii="Garamond" w:hAnsi="Garamond" w:cstheme="majorBidi"/>
          <w:color w:val="0D0D0D" w:themeColor="text1" w:themeTint="F2"/>
        </w:rPr>
        <w:t>;</w:t>
      </w:r>
    </w:p>
    <w:p w14:paraId="77BA6F95" w14:textId="4BDD40AE" w:rsidR="00210E36" w:rsidRPr="00770F9D" w:rsidRDefault="00210E36" w:rsidP="005F658D">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Vështirësi financiare për ruaj</w:t>
      </w:r>
      <w:r w:rsidR="005F658D">
        <w:rPr>
          <w:rFonts w:ascii="Garamond" w:hAnsi="Garamond" w:cstheme="majorBidi"/>
          <w:color w:val="0D0D0D" w:themeColor="text1" w:themeTint="F2"/>
        </w:rPr>
        <w:t>tjen e aseteve në disa prej ish-</w:t>
      </w:r>
      <w:r w:rsidRPr="00770F9D">
        <w:rPr>
          <w:rFonts w:ascii="Garamond" w:hAnsi="Garamond" w:cstheme="majorBidi"/>
          <w:color w:val="0D0D0D" w:themeColor="text1" w:themeTint="F2"/>
        </w:rPr>
        <w:t>objekteve industriale</w:t>
      </w:r>
      <w:r w:rsidR="005F658D">
        <w:rPr>
          <w:rFonts w:ascii="Garamond" w:hAnsi="Garamond" w:cstheme="majorBidi"/>
          <w:color w:val="0D0D0D" w:themeColor="text1" w:themeTint="F2"/>
        </w:rPr>
        <w:t>;</w:t>
      </w:r>
    </w:p>
    <w:p w14:paraId="46578FBB" w14:textId="6B409BE6" w:rsidR="00210E36" w:rsidRPr="00770F9D" w:rsidRDefault="00210E36" w:rsidP="005F658D">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Mungesa e një kuadri ligjor për mbikëqyrjen e disa sektorëve të industrisë joushqimore</w:t>
      </w:r>
      <w:r w:rsidR="005F658D">
        <w:rPr>
          <w:rFonts w:ascii="Garamond" w:hAnsi="Garamond" w:cstheme="majorBidi"/>
          <w:color w:val="0D0D0D" w:themeColor="text1" w:themeTint="F2"/>
        </w:rPr>
        <w:t>;</w:t>
      </w:r>
    </w:p>
    <w:p w14:paraId="2831C24A" w14:textId="5B194D22" w:rsidR="00210E36" w:rsidRPr="00770F9D" w:rsidRDefault="00210E36"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 Mungon një bazë të dhënash për të gjithë industrinë joushqimore, për ndotësit e mundshëm si në llojin e aktivitetit, por edhe për sasitë përkatëse që shkarkohen në një periudhë tremujore dhe vjetore, për të </w:t>
      </w:r>
      <w:r w:rsidR="00173A2C" w:rsidRPr="00770F9D">
        <w:rPr>
          <w:rFonts w:ascii="Garamond" w:hAnsi="Garamond" w:cstheme="majorBidi"/>
          <w:color w:val="0D0D0D" w:themeColor="text1" w:themeTint="F2"/>
        </w:rPr>
        <w:t>pasur</w:t>
      </w:r>
      <w:r w:rsidR="005F658D">
        <w:rPr>
          <w:rFonts w:ascii="Garamond" w:hAnsi="Garamond" w:cstheme="majorBidi"/>
          <w:color w:val="0D0D0D" w:themeColor="text1" w:themeTint="F2"/>
        </w:rPr>
        <w:t xml:space="preserve"> një pamje më reale të ajrit</w:t>
      </w:r>
      <w:r w:rsidRPr="00770F9D">
        <w:rPr>
          <w:rFonts w:ascii="Garamond" w:hAnsi="Garamond" w:cstheme="majorBidi"/>
          <w:color w:val="0D0D0D" w:themeColor="text1" w:themeTint="F2"/>
        </w:rPr>
        <w:t>, ndotja e ujit dhe e tokës.</w:t>
      </w:r>
    </w:p>
    <w:p w14:paraId="17F7640E" w14:textId="0CC6839F" w:rsidR="00210E36" w:rsidRPr="00770F9D" w:rsidRDefault="00210E36" w:rsidP="005F658D">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 Mungesa e </w:t>
      </w:r>
      <w:r w:rsidR="005F658D" w:rsidRPr="00770F9D">
        <w:rPr>
          <w:rFonts w:ascii="Garamond" w:hAnsi="Garamond" w:cstheme="majorBidi"/>
          <w:color w:val="0D0D0D" w:themeColor="text1" w:themeTint="F2"/>
        </w:rPr>
        <w:t xml:space="preserve">inspektoratit </w:t>
      </w:r>
      <w:r w:rsidRPr="00770F9D">
        <w:rPr>
          <w:rFonts w:ascii="Garamond" w:hAnsi="Garamond" w:cstheme="majorBidi"/>
          <w:color w:val="0D0D0D" w:themeColor="text1" w:themeTint="F2"/>
        </w:rPr>
        <w:t>për mbikëqyrjen e tregut për produktet joushqimore, i cili duhet t</w:t>
      </w:r>
      <w:r w:rsidR="005F658D">
        <w:rPr>
          <w:rFonts w:ascii="Garamond" w:hAnsi="Garamond" w:cstheme="majorBidi"/>
          <w:color w:val="0D0D0D" w:themeColor="text1" w:themeTint="F2"/>
        </w:rPr>
        <w:t>’</w:t>
      </w:r>
      <w:r w:rsidRPr="00770F9D">
        <w:rPr>
          <w:rFonts w:ascii="Garamond" w:hAnsi="Garamond" w:cstheme="majorBidi"/>
          <w:color w:val="0D0D0D" w:themeColor="text1" w:themeTint="F2"/>
        </w:rPr>
        <w:t>u garantojë qytetarëve që produktet e ofruara në treg janë të sigurta, ndikon drejtpërdrejt në humbjen e besimit të publikut te</w:t>
      </w:r>
      <w:r w:rsidR="00EB64CA">
        <w:rPr>
          <w:rFonts w:ascii="Garamond" w:hAnsi="Garamond" w:cstheme="majorBidi"/>
          <w:color w:val="0D0D0D" w:themeColor="text1" w:themeTint="F2"/>
        </w:rPr>
        <w:t>k</w:t>
      </w:r>
      <w:r w:rsidRPr="00770F9D">
        <w:rPr>
          <w:rFonts w:ascii="Garamond" w:hAnsi="Garamond" w:cstheme="majorBidi"/>
          <w:color w:val="0D0D0D" w:themeColor="text1" w:themeTint="F2"/>
        </w:rPr>
        <w:t xml:space="preserve"> organet e rendit dhe ka pasoja negative jo vetëm në cilësinë e jetës së konsumatorëve, por edhe në krijimin e një klime jo të favorshme për zhvillimin e konkurrencës së ndershme, rritjen e investimeve të huaja dhe zhvillimin e ekonomisë në tërësi.</w:t>
      </w:r>
    </w:p>
    <w:p w14:paraId="376E1CDC" w14:textId="37424F39" w:rsidR="00EC2A3F" w:rsidRPr="00770F9D" w:rsidRDefault="005674F2" w:rsidP="00400806">
      <w:pPr>
        <w:pStyle w:val="Heading4"/>
        <w:snapToGrid w:val="0"/>
        <w:ind w:left="0" w:firstLine="284"/>
        <w:jc w:val="both"/>
        <w:rPr>
          <w:rFonts w:ascii="Garamond" w:hAnsi="Garamond" w:cstheme="majorBidi"/>
          <w:b w:val="0"/>
          <w:i/>
          <w:color w:val="0D0D0D" w:themeColor="text1" w:themeTint="F2"/>
          <w:sz w:val="24"/>
          <w:szCs w:val="24"/>
        </w:rPr>
      </w:pPr>
      <w:r w:rsidRPr="00770F9D">
        <w:rPr>
          <w:rFonts w:ascii="Garamond" w:hAnsi="Garamond" w:cstheme="majorBidi"/>
          <w:b w:val="0"/>
          <w:i/>
          <w:color w:val="0D0D0D" w:themeColor="text1" w:themeTint="F2"/>
          <w:sz w:val="24"/>
          <w:szCs w:val="24"/>
        </w:rPr>
        <w:t>b</w:t>
      </w:r>
      <w:r w:rsidR="005F658D">
        <w:rPr>
          <w:rFonts w:ascii="Garamond" w:hAnsi="Garamond" w:cstheme="majorBidi"/>
          <w:b w:val="0"/>
          <w:i/>
          <w:color w:val="0D0D0D" w:themeColor="text1" w:themeTint="F2"/>
          <w:sz w:val="24"/>
          <w:szCs w:val="24"/>
        </w:rPr>
        <w:t>)</w:t>
      </w:r>
      <w:r w:rsidRPr="00770F9D">
        <w:rPr>
          <w:rFonts w:ascii="Garamond" w:hAnsi="Garamond" w:cstheme="majorBidi"/>
          <w:b w:val="0"/>
          <w:i/>
          <w:color w:val="0D0D0D" w:themeColor="text1" w:themeTint="F2"/>
          <w:sz w:val="24"/>
          <w:szCs w:val="24"/>
        </w:rPr>
        <w:t xml:space="preserve"> </w:t>
      </w:r>
      <w:r w:rsidR="00B2062A" w:rsidRPr="00770F9D">
        <w:rPr>
          <w:rFonts w:ascii="Garamond" w:hAnsi="Garamond" w:cstheme="majorBidi"/>
          <w:b w:val="0"/>
          <w:i/>
          <w:color w:val="0D0D0D" w:themeColor="text1" w:themeTint="F2"/>
          <w:sz w:val="24"/>
          <w:szCs w:val="24"/>
        </w:rPr>
        <w:t>Masat e reformës</w:t>
      </w:r>
    </w:p>
    <w:p w14:paraId="1655F72C" w14:textId="77777777" w:rsidR="00EC2A3F" w:rsidRPr="00770F9D" w:rsidRDefault="00B2062A" w:rsidP="00400806">
      <w:pPr>
        <w:pStyle w:val="Heading5"/>
        <w:snapToGrid w:val="0"/>
        <w:ind w:left="0" w:firstLine="284"/>
        <w:jc w:val="both"/>
        <w:rPr>
          <w:rFonts w:ascii="Garamond" w:hAnsi="Garamond" w:cstheme="majorBidi"/>
          <w:i w:val="0"/>
          <w:color w:val="0D0D0D" w:themeColor="text1" w:themeTint="F2"/>
          <w:sz w:val="24"/>
          <w:szCs w:val="24"/>
        </w:rPr>
      </w:pPr>
      <w:r w:rsidRPr="00770F9D">
        <w:rPr>
          <w:rFonts w:ascii="Garamond" w:hAnsi="Garamond" w:cstheme="majorBidi"/>
          <w:i w:val="0"/>
          <w:color w:val="0D0D0D" w:themeColor="text1" w:themeTint="F2"/>
          <w:sz w:val="24"/>
          <w:szCs w:val="24"/>
        </w:rPr>
        <w:t>Masa e reformës</w:t>
      </w:r>
      <w:r w:rsidR="005358F8" w:rsidRPr="00770F9D">
        <w:rPr>
          <w:rFonts w:ascii="Garamond" w:hAnsi="Garamond" w:cstheme="majorBidi"/>
          <w:i w:val="0"/>
          <w:color w:val="0D0D0D" w:themeColor="text1" w:themeTint="F2"/>
          <w:sz w:val="24"/>
          <w:szCs w:val="24"/>
        </w:rPr>
        <w:t xml:space="preserve"> 16</w:t>
      </w:r>
      <w:r w:rsidR="00EC2A3F" w:rsidRPr="00770F9D">
        <w:rPr>
          <w:rFonts w:ascii="Garamond" w:hAnsi="Garamond" w:cstheme="majorBidi"/>
          <w:i w:val="0"/>
          <w:color w:val="0D0D0D" w:themeColor="text1" w:themeTint="F2"/>
          <w:sz w:val="24"/>
          <w:szCs w:val="24"/>
        </w:rPr>
        <w:t xml:space="preserve">: </w:t>
      </w:r>
      <w:r w:rsidR="001E4FC2" w:rsidRPr="00770F9D">
        <w:rPr>
          <w:rFonts w:ascii="Garamond" w:hAnsi="Garamond" w:cstheme="majorBidi"/>
          <w:i w:val="0"/>
          <w:color w:val="0D0D0D" w:themeColor="text1" w:themeTint="F2"/>
          <w:sz w:val="24"/>
          <w:szCs w:val="24"/>
        </w:rPr>
        <w:t>Marina më të mira dhe qeverisje dhe shërbime detare</w:t>
      </w:r>
    </w:p>
    <w:p w14:paraId="7AF7FEE4" w14:textId="6E6522D4" w:rsidR="00EC2A3F" w:rsidRPr="00770F9D" w:rsidRDefault="005674F2"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 xml:space="preserve">1. </w:t>
      </w:r>
      <w:r w:rsidR="00B2062A" w:rsidRPr="00770F9D">
        <w:rPr>
          <w:rFonts w:ascii="Garamond" w:hAnsi="Garamond" w:cstheme="majorBidi"/>
          <w:color w:val="0D0D0D" w:themeColor="text1" w:themeTint="F2"/>
          <w:u w:val="none"/>
        </w:rPr>
        <w:t>Përshkrimi i masës</w:t>
      </w:r>
    </w:p>
    <w:p w14:paraId="16FA5B9B" w14:textId="02E30C8D" w:rsidR="00E77C7F" w:rsidRPr="00770F9D" w:rsidRDefault="00E77C7F" w:rsidP="00400806">
      <w:pPr>
        <w:ind w:firstLine="284"/>
        <w:jc w:val="both"/>
        <w:rPr>
          <w:rFonts w:ascii="Garamond" w:hAnsi="Garamond" w:cstheme="majorBidi"/>
          <w:b/>
          <w:bCs/>
          <w:color w:val="0D0D0D" w:themeColor="text1" w:themeTint="F2"/>
        </w:rPr>
      </w:pPr>
      <w:r w:rsidRPr="00770F9D">
        <w:rPr>
          <w:rFonts w:ascii="Garamond" w:hAnsi="Garamond" w:cstheme="majorBidi"/>
          <w:color w:val="0D0D0D" w:themeColor="text1" w:themeTint="F2"/>
        </w:rPr>
        <w:t>Kjo masë reformuese synon të ndryshojë, përafrojë dhe plotësojë legjislacionin dhe procedurat aktuale, për të krijuar kushte të favorshme dhe kuadër rregullator që të jetë modern, në përputhje me rregulloret e BE-së dhe të përshtatur me nevojat dhe karakteristikat e dallueshme të Ekonomisë Blu. Certifikimi i operatorëve të turizmit detar do të mundësojë ofrimin e veprimtarive të turizmit detar</w:t>
      </w:r>
      <w:r w:rsidR="00BE7FA7">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lundrim për qëllime turistike dhe argëtuese, </w:t>
      </w:r>
      <w:r w:rsidRPr="00BE7FA7">
        <w:rPr>
          <w:rFonts w:ascii="Garamond" w:hAnsi="Garamond" w:cstheme="majorBidi"/>
          <w:i/>
          <w:iCs/>
          <w:color w:val="0D0D0D" w:themeColor="text1" w:themeTint="F2"/>
        </w:rPr>
        <w:t>surfing</w:t>
      </w:r>
      <w:r w:rsidRPr="00770F9D">
        <w:rPr>
          <w:rFonts w:ascii="Garamond" w:hAnsi="Garamond" w:cstheme="majorBidi"/>
          <w:color w:val="0D0D0D" w:themeColor="text1" w:themeTint="F2"/>
        </w:rPr>
        <w:t xml:space="preserve">, zhytje rekreative, rrëshqitje në ajër, ski në ujë, </w:t>
      </w:r>
      <w:r w:rsidRPr="00BE7FA7">
        <w:rPr>
          <w:rFonts w:ascii="Garamond" w:hAnsi="Garamond" w:cstheme="majorBidi"/>
          <w:i/>
          <w:iCs/>
          <w:color w:val="0D0D0D" w:themeColor="text1" w:themeTint="F2"/>
        </w:rPr>
        <w:t>wakeboarding</w:t>
      </w:r>
      <w:r w:rsidRPr="00770F9D">
        <w:rPr>
          <w:rFonts w:ascii="Garamond" w:hAnsi="Garamond" w:cstheme="majorBidi"/>
          <w:color w:val="0D0D0D" w:themeColor="text1" w:themeTint="F2"/>
        </w:rPr>
        <w:t xml:space="preserve">, peshkim turistik etj., vetëm nga operatorë të licencuar të turizmit detar, duke </w:t>
      </w:r>
      <w:r w:rsidR="00173A2C" w:rsidRPr="00770F9D">
        <w:rPr>
          <w:rFonts w:ascii="Garamond" w:hAnsi="Garamond" w:cstheme="majorBidi"/>
          <w:color w:val="0D0D0D" w:themeColor="text1" w:themeTint="F2"/>
        </w:rPr>
        <w:t>pasur</w:t>
      </w:r>
      <w:r w:rsidRPr="00770F9D">
        <w:rPr>
          <w:rFonts w:ascii="Garamond" w:hAnsi="Garamond" w:cstheme="majorBidi"/>
          <w:color w:val="0D0D0D" w:themeColor="text1" w:themeTint="F2"/>
        </w:rPr>
        <w:t xml:space="preserve"> në këtë mënyrë një ndikim pozitiv në standardet dhe sigurinë e shërbimeve të turizmit detar. Ajo</w:t>
      </w:r>
      <w:r w:rsidR="00BE7FA7">
        <w:rPr>
          <w:rFonts w:ascii="Garamond" w:hAnsi="Garamond" w:cstheme="majorBidi"/>
          <w:color w:val="0D0D0D" w:themeColor="text1" w:themeTint="F2"/>
        </w:rPr>
        <w:t>,</w:t>
      </w:r>
      <w:r w:rsidRPr="00770F9D">
        <w:rPr>
          <w:rFonts w:ascii="Garamond" w:hAnsi="Garamond" w:cstheme="majorBidi"/>
          <w:color w:val="0D0D0D" w:themeColor="text1" w:themeTint="F2"/>
        </w:rPr>
        <w:t xml:space="preserve"> gjithashtu, ka një efekt pozitiv edhe në nxitjen e konkurrencës</w:t>
      </w:r>
      <w:r w:rsidR="00BE7FA7">
        <w:rPr>
          <w:rFonts w:ascii="Garamond" w:hAnsi="Garamond" w:cstheme="majorBidi"/>
          <w:color w:val="0D0D0D" w:themeColor="text1" w:themeTint="F2"/>
        </w:rPr>
        <w:t>,</w:t>
      </w:r>
      <w:r w:rsidRPr="00770F9D">
        <w:rPr>
          <w:rFonts w:ascii="Garamond" w:hAnsi="Garamond" w:cstheme="majorBidi"/>
          <w:color w:val="0D0D0D" w:themeColor="text1" w:themeTint="F2"/>
        </w:rPr>
        <w:t xml:space="preserve"> duke vendosur standarde dhe rregulla të qarta për të gjitha subjektet që operojnë në këtë sektor.</w:t>
      </w:r>
    </w:p>
    <w:p w14:paraId="103AC74D" w14:textId="3CBB3F6A" w:rsidR="00E77C7F" w:rsidRPr="00770F9D" w:rsidRDefault="00E77C7F" w:rsidP="00BE7FA7">
      <w:pPr>
        <w:ind w:firstLine="284"/>
        <w:jc w:val="both"/>
        <w:rPr>
          <w:rFonts w:ascii="Garamond" w:hAnsi="Garamond" w:cstheme="majorBidi"/>
          <w:b/>
          <w:bCs/>
          <w:color w:val="0D0D0D" w:themeColor="text1" w:themeTint="F2"/>
        </w:rPr>
      </w:pPr>
      <w:r w:rsidRPr="00770F9D">
        <w:rPr>
          <w:rFonts w:ascii="Garamond" w:hAnsi="Garamond" w:cstheme="majorBidi"/>
          <w:color w:val="0D0D0D" w:themeColor="text1" w:themeTint="F2"/>
        </w:rPr>
        <w:t>Për sa i përket përputhshmërisë së reformës me planet dhe politikat e përgjithshme për zhvillimin e sektorit, ajo është në përputhje me Strategjinë Kombëtare për Zhvillimin e Qëndrueshëm të Turizmit 2019</w:t>
      </w:r>
      <w:r w:rsidR="00BE7FA7">
        <w:rPr>
          <w:rFonts w:ascii="Garamond" w:hAnsi="Garamond"/>
          <w:color w:val="0D0D0D"/>
        </w:rPr>
        <w:t>–</w:t>
      </w:r>
      <w:r w:rsidRPr="00770F9D">
        <w:rPr>
          <w:rFonts w:ascii="Garamond" w:hAnsi="Garamond" w:cstheme="majorBidi"/>
          <w:color w:val="0D0D0D" w:themeColor="text1" w:themeTint="F2"/>
        </w:rPr>
        <w:t>2023, si dhe me programin e qeverisë 2017</w:t>
      </w:r>
      <w:r w:rsidR="00BE7FA7">
        <w:rPr>
          <w:rFonts w:ascii="Garamond" w:hAnsi="Garamond"/>
          <w:color w:val="0D0D0D"/>
        </w:rPr>
        <w:t>–</w:t>
      </w:r>
      <w:r w:rsidRPr="00770F9D">
        <w:rPr>
          <w:rFonts w:ascii="Garamond" w:hAnsi="Garamond" w:cstheme="majorBidi"/>
          <w:color w:val="0D0D0D" w:themeColor="text1" w:themeTint="F2"/>
        </w:rPr>
        <w:t>2021 për konsolidimin e porteve dhe marinave. Gjithashtu, Plani i Përgjithshëm Kombëtar i Territorit vendos si prioritet strategjik rritjen e numrit të marinave turistike në përputhje me kapacitetin fizik të bregdetit shqiptar për të zhvilluar një sektor të turizmit bregdetar që respekton mjedisin dhe karakteristikat fizike të natyrës dhe peizazhit urban të bregdetit shqiptar. Ashtu si Plani i Përgjithshëm Kombëtar i Territorit, Plani i Integruar Ndërsektorial i Zonës Bregdetare (PINS Bregdeti) përcakton si objektiv zhvillimin e marinave.</w:t>
      </w:r>
    </w:p>
    <w:p w14:paraId="39FC80A8" w14:textId="67327825" w:rsidR="00E77C7F" w:rsidRPr="00770F9D" w:rsidRDefault="00E77C7F" w:rsidP="00B324C5">
      <w:pPr>
        <w:ind w:firstLine="284"/>
        <w:jc w:val="both"/>
        <w:rPr>
          <w:rFonts w:ascii="Garamond" w:hAnsi="Garamond" w:cstheme="majorBidi"/>
          <w:b/>
          <w:bCs/>
          <w:color w:val="0D0D0D" w:themeColor="text1" w:themeTint="F2"/>
        </w:rPr>
      </w:pPr>
      <w:r w:rsidRPr="00770F9D">
        <w:rPr>
          <w:rFonts w:ascii="Garamond" w:hAnsi="Garamond" w:cstheme="majorBidi"/>
          <w:color w:val="0D0D0D" w:themeColor="text1" w:themeTint="F2"/>
        </w:rPr>
        <w:t xml:space="preserve">Qeveria shqiptare po aplikon një qasje të integruar për të shfrytëzuar potencialin e zhvillimit të turizmit detar. Një nismë tjetër e ndërmarrë në këtë drejtim është miratimi në 14 maj 2020 nga Kuvendi i ndryshimit </w:t>
      </w:r>
      <w:r w:rsidR="008E143C">
        <w:rPr>
          <w:rFonts w:ascii="Garamond" w:hAnsi="Garamond" w:cstheme="majorBidi"/>
          <w:color w:val="0D0D0D" w:themeColor="text1" w:themeTint="F2"/>
        </w:rPr>
        <w:t>të ligjit nr. 92/2014, datë 24.</w:t>
      </w:r>
      <w:r w:rsidRPr="00770F9D">
        <w:rPr>
          <w:rFonts w:ascii="Garamond" w:hAnsi="Garamond" w:cstheme="majorBidi"/>
          <w:color w:val="0D0D0D" w:themeColor="text1" w:themeTint="F2"/>
        </w:rPr>
        <w:t>7.2014</w:t>
      </w:r>
      <w:r w:rsidR="008E143C">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 tatimin mbi vlerën e shtuar në Republikën e Shqipërisë”, </w:t>
      </w:r>
      <w:r w:rsidR="00B324C5">
        <w:rPr>
          <w:rFonts w:ascii="Garamond" w:hAnsi="Garamond" w:cstheme="majorBidi"/>
          <w:color w:val="0D0D0D" w:themeColor="text1" w:themeTint="F2"/>
        </w:rPr>
        <w:t>të</w:t>
      </w:r>
      <w:r w:rsidRPr="00770F9D">
        <w:rPr>
          <w:rFonts w:ascii="Garamond" w:hAnsi="Garamond" w:cstheme="majorBidi"/>
          <w:color w:val="0D0D0D" w:themeColor="text1" w:themeTint="F2"/>
        </w:rPr>
        <w:t xml:space="preserve"> ndryshuar, i cili ofron një përjashtim nga detyrimi për të paguar TVSH 20% për anijet turistike të kënaqësisë të importuara, të cilat janë jo më shumë se 20 vjeç. Ky ndryshim i ligjit synon:</w:t>
      </w:r>
    </w:p>
    <w:p w14:paraId="26E082E7" w14:textId="21E28E90" w:rsidR="00E77C7F" w:rsidRPr="00770F9D" w:rsidRDefault="0028077A" w:rsidP="00400806">
      <w:pPr>
        <w:ind w:firstLine="284"/>
        <w:jc w:val="both"/>
        <w:rPr>
          <w:rFonts w:ascii="Garamond" w:hAnsi="Garamond" w:cstheme="majorBidi"/>
          <w:b/>
          <w:bCs/>
          <w:color w:val="0D0D0D" w:themeColor="text1" w:themeTint="F2"/>
        </w:rPr>
      </w:pPr>
      <w:r w:rsidRPr="00770F9D">
        <w:rPr>
          <w:rFonts w:ascii="Garamond" w:hAnsi="Garamond" w:cstheme="majorBidi"/>
          <w:color w:val="0D0D0D" w:themeColor="text1" w:themeTint="F2"/>
        </w:rPr>
        <w:t>-</w:t>
      </w:r>
      <w:r w:rsidR="00E77C7F" w:rsidRPr="00770F9D">
        <w:rPr>
          <w:rFonts w:ascii="Garamond" w:hAnsi="Garamond" w:cstheme="majorBidi"/>
          <w:color w:val="0D0D0D" w:themeColor="text1" w:themeTint="F2"/>
        </w:rPr>
        <w:t xml:space="preserve"> rindërtimin e një flotilje shqiptare me anije turistike miqësore me mjedisin; </w:t>
      </w:r>
    </w:p>
    <w:p w14:paraId="0E0A918B" w14:textId="60544849" w:rsidR="00E77C7F" w:rsidRPr="00770F9D" w:rsidRDefault="0028077A" w:rsidP="00400806">
      <w:pPr>
        <w:ind w:firstLine="284"/>
        <w:jc w:val="both"/>
        <w:rPr>
          <w:rFonts w:ascii="Garamond" w:hAnsi="Garamond" w:cstheme="majorBidi"/>
          <w:b/>
          <w:bCs/>
          <w:color w:val="0D0D0D" w:themeColor="text1" w:themeTint="F2"/>
        </w:rPr>
      </w:pPr>
      <w:r w:rsidRPr="00770F9D">
        <w:rPr>
          <w:rFonts w:ascii="Garamond" w:hAnsi="Garamond" w:cstheme="majorBidi"/>
          <w:color w:val="0D0D0D" w:themeColor="text1" w:themeTint="F2"/>
        </w:rPr>
        <w:t>-</w:t>
      </w:r>
      <w:r w:rsidR="00E77C7F" w:rsidRPr="00770F9D">
        <w:rPr>
          <w:rFonts w:ascii="Garamond" w:hAnsi="Garamond" w:cstheme="majorBidi"/>
          <w:color w:val="0D0D0D" w:themeColor="text1" w:themeTint="F2"/>
        </w:rPr>
        <w:t xml:space="preserve"> zgjerimin e flotiljes me flamurin shqiptar; </w:t>
      </w:r>
    </w:p>
    <w:p w14:paraId="467E28C2" w14:textId="10AEB6F0" w:rsidR="00E77C7F" w:rsidRPr="00770F9D" w:rsidRDefault="0028077A" w:rsidP="00400806">
      <w:pPr>
        <w:ind w:firstLine="284"/>
        <w:jc w:val="both"/>
        <w:rPr>
          <w:rFonts w:ascii="Garamond" w:hAnsi="Garamond" w:cstheme="majorBidi"/>
          <w:b/>
          <w:bCs/>
          <w:color w:val="0D0D0D" w:themeColor="text1" w:themeTint="F2"/>
        </w:rPr>
      </w:pPr>
      <w:r w:rsidRPr="00770F9D">
        <w:rPr>
          <w:rFonts w:ascii="Garamond" w:hAnsi="Garamond" w:cstheme="majorBidi"/>
          <w:color w:val="0D0D0D" w:themeColor="text1" w:themeTint="F2"/>
        </w:rPr>
        <w:t>-</w:t>
      </w:r>
      <w:r w:rsidR="00E77C7F" w:rsidRPr="00770F9D">
        <w:rPr>
          <w:rFonts w:ascii="Garamond" w:hAnsi="Garamond" w:cstheme="majorBidi"/>
          <w:color w:val="0D0D0D" w:themeColor="text1" w:themeTint="F2"/>
        </w:rPr>
        <w:t xml:space="preserve"> stimulimin e zhvillimit të infrastrukturës së marinës.</w:t>
      </w:r>
    </w:p>
    <w:p w14:paraId="07F98D34" w14:textId="77777777" w:rsidR="00E77C7F" w:rsidRPr="00770F9D" w:rsidRDefault="00E77C7F" w:rsidP="00400806">
      <w:pPr>
        <w:ind w:firstLine="284"/>
        <w:jc w:val="both"/>
        <w:rPr>
          <w:rFonts w:ascii="Garamond" w:hAnsi="Garamond" w:cstheme="majorBidi"/>
          <w:b/>
          <w:bCs/>
          <w:color w:val="0D0D0D" w:themeColor="text1" w:themeTint="F2"/>
        </w:rPr>
      </w:pPr>
      <w:r w:rsidRPr="00770F9D">
        <w:rPr>
          <w:rFonts w:ascii="Garamond" w:hAnsi="Garamond" w:cstheme="majorBidi"/>
          <w:color w:val="0D0D0D" w:themeColor="text1" w:themeTint="F2"/>
        </w:rPr>
        <w:t xml:space="preserve">Finalizimi i kuadrit ligjor për aktivitetet e turizmit detar </w:t>
      </w:r>
    </w:p>
    <w:p w14:paraId="0BAABB91" w14:textId="77777777" w:rsidR="00E77C7F" w:rsidRPr="00770F9D" w:rsidRDefault="00E77C7F" w:rsidP="00400806">
      <w:pPr>
        <w:ind w:firstLine="284"/>
        <w:jc w:val="both"/>
        <w:rPr>
          <w:rFonts w:ascii="Garamond" w:hAnsi="Garamond" w:cstheme="majorBidi"/>
          <w:b/>
          <w:bCs/>
          <w:color w:val="0D0D0D" w:themeColor="text1" w:themeTint="F2"/>
        </w:rPr>
      </w:pPr>
      <w:r w:rsidRPr="00770F9D">
        <w:rPr>
          <w:rFonts w:ascii="Garamond" w:hAnsi="Garamond" w:cstheme="majorBidi"/>
          <w:color w:val="0D0D0D" w:themeColor="text1" w:themeTint="F2"/>
        </w:rPr>
        <w:t>Në përputhje me miratimin e kuadrit ligjor mes viteve 2020 dhe 2022, ka filluar dhe vijon zbatimi i masave konkrete. Në kuadër të përgatitjeve për sezonin e ri veror 2023, ndryshe nga vitet e tjera, që në vitin 2022 do të përfundojë procesi i hartimit të hartave që përcaktojnë vendndodhjen e kullave të vrojtimit, zonat e notit, korridoret për hyrjen dhe daljen e mjeteve ujore në det. Po ashtu, ka nisur procesi i certifikimit të operatorëve detarë, rritja e kapaciteteve/aktiviteteve trajnuese dhe promovimi i sektorit të turizmit detar. Po vijon procesi për hartimin e ligjit “Për menaxhimin e integruar të vijës bregdetare”.</w:t>
      </w:r>
    </w:p>
    <w:p w14:paraId="2FEA5B94" w14:textId="36CE90CA" w:rsidR="00E77C7F" w:rsidRPr="00770F9D" w:rsidRDefault="00E77C7F" w:rsidP="00400806">
      <w:pPr>
        <w:ind w:firstLine="284"/>
        <w:jc w:val="both"/>
        <w:rPr>
          <w:rFonts w:ascii="Garamond" w:hAnsi="Garamond" w:cstheme="majorBidi"/>
          <w:b/>
          <w:bCs/>
          <w:color w:val="0D0D0D" w:themeColor="text1" w:themeTint="F2"/>
        </w:rPr>
      </w:pPr>
      <w:r w:rsidRPr="00770F9D">
        <w:rPr>
          <w:rFonts w:ascii="Garamond" w:hAnsi="Garamond" w:cstheme="majorBidi"/>
          <w:color w:val="0D0D0D" w:themeColor="text1" w:themeTint="F2"/>
        </w:rPr>
        <w:t>Certifikimi do të jetë një proces i mirërregulluar dhe shumë transparent që do të krijojë kushtet për zhvillimin e mëtejshëm të sektorit, përmirësimin e cilësisë dhe vendosjen e standardeve të larta të sigurisë. Operatorët duhet të demonstrojnë përputhjen e mjeteve dhe pajisjeve të tyre me dispozitat e legjislacionit, si dhe edukimin e duhur profesional. Ky do të jetë një proces i vazhdueshëm që do të reflektojë dhe adresojë nevojat e tregut për shërbimet detare. Aktualisht, deri në tetor 2022, janë licencuar 11 operatorë të turizmit detar (kryesisht nga Saranda dhe Vlora). Procesi i certifikimit adreson</w:t>
      </w:r>
      <w:r w:rsidR="006612EE">
        <w:rPr>
          <w:rFonts w:ascii="Garamond" w:hAnsi="Garamond" w:cstheme="majorBidi"/>
          <w:color w:val="0D0D0D" w:themeColor="text1" w:themeTint="F2"/>
        </w:rPr>
        <w:t>,</w:t>
      </w:r>
      <w:r w:rsidRPr="00770F9D">
        <w:rPr>
          <w:rFonts w:ascii="Garamond" w:hAnsi="Garamond" w:cstheme="majorBidi"/>
          <w:color w:val="0D0D0D" w:themeColor="text1" w:themeTint="F2"/>
        </w:rPr>
        <w:t xml:space="preserve"> gjithashtu</w:t>
      </w:r>
      <w:r w:rsidR="006612EE">
        <w:rPr>
          <w:rFonts w:ascii="Garamond" w:hAnsi="Garamond" w:cstheme="majorBidi"/>
          <w:color w:val="0D0D0D" w:themeColor="text1" w:themeTint="F2"/>
        </w:rPr>
        <w:t>,</w:t>
      </w:r>
      <w:r w:rsidRPr="00770F9D">
        <w:rPr>
          <w:rFonts w:ascii="Garamond" w:hAnsi="Garamond" w:cstheme="majorBidi"/>
          <w:color w:val="0D0D0D" w:themeColor="text1" w:themeTint="F2"/>
        </w:rPr>
        <w:t xml:space="preserve"> çështjen ekonomisë informale dhe do të lehtësojë legalizimin e bizneseve informale.</w:t>
      </w:r>
    </w:p>
    <w:p w14:paraId="4CC8158E" w14:textId="2D957285" w:rsidR="00E77C7F" w:rsidRPr="00770F9D" w:rsidRDefault="00E77C7F" w:rsidP="00400806">
      <w:pPr>
        <w:ind w:firstLine="284"/>
        <w:jc w:val="both"/>
        <w:rPr>
          <w:rFonts w:ascii="Garamond" w:hAnsi="Garamond" w:cstheme="majorBidi"/>
          <w:b/>
          <w:bCs/>
          <w:color w:val="0D0D0D" w:themeColor="text1" w:themeTint="F2"/>
        </w:rPr>
      </w:pPr>
      <w:r w:rsidRPr="00770F9D">
        <w:rPr>
          <w:rFonts w:ascii="Garamond" w:hAnsi="Garamond" w:cstheme="majorBidi"/>
          <w:color w:val="0D0D0D" w:themeColor="text1" w:themeTint="F2"/>
        </w:rPr>
        <w:t>Promovimi i sektorit përfshin informimin dhe ndërgjegjësimin e subjekteve private</w:t>
      </w:r>
      <w:r w:rsidR="006612EE">
        <w:rPr>
          <w:rFonts w:ascii="Garamond" w:hAnsi="Garamond" w:cstheme="majorBidi"/>
          <w:color w:val="0D0D0D" w:themeColor="text1" w:themeTint="F2"/>
        </w:rPr>
        <w:t>,</w:t>
      </w:r>
      <w:r w:rsidRPr="00770F9D">
        <w:rPr>
          <w:rFonts w:ascii="Garamond" w:hAnsi="Garamond" w:cstheme="majorBidi"/>
          <w:color w:val="0D0D0D" w:themeColor="text1" w:themeTint="F2"/>
        </w:rPr>
        <w:t xml:space="preserve"> në lidhje me të gjithë kuadrin e ri ligjor që përcakton kriteret dhe rregullat për funksionimin e aktiviteteve që lidhen me turizmin detar. Gjithashtu, ky aktivitet përfshin mbështetjen e aktiviteteve të ndryshme promovuese në komuna të ndryshme, organizimin e aktiviteteve etj. </w:t>
      </w:r>
    </w:p>
    <w:p w14:paraId="32EFCBCB" w14:textId="77777777" w:rsidR="00E77C7F" w:rsidRPr="00770F9D" w:rsidRDefault="00E77C7F"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Ngritja/trajnimi i kapaciteteve synon të inkurajojë bashkëpunimin dhe promovimin e trajnimeve profesionale në lidhje me aktivitetet e turizmit detar.</w:t>
      </w:r>
    </w:p>
    <w:p w14:paraId="09B48EF5" w14:textId="56D74B5E" w:rsidR="005674F2" w:rsidRPr="00770F9D" w:rsidRDefault="005674F2" w:rsidP="000F6F7A">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a</w:t>
      </w:r>
      <w:r w:rsidR="006612EE">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 xml:space="preserve">Aktivitete të planifikuara </w:t>
      </w:r>
      <w:r w:rsidR="000F6F7A">
        <w:rPr>
          <w:rFonts w:ascii="Garamond" w:hAnsi="Garamond"/>
          <w:b/>
          <w:bCs/>
          <w:color w:val="0D0D0D"/>
          <w:sz w:val="24"/>
          <w:szCs w:val="24"/>
          <w:lang w:val="sq-AL"/>
        </w:rPr>
        <w:t>m</w:t>
      </w:r>
      <w:r w:rsidRPr="00770F9D">
        <w:rPr>
          <w:rFonts w:ascii="Garamond" w:hAnsi="Garamond"/>
          <w:b/>
          <w:bCs/>
          <w:color w:val="0D0D0D"/>
          <w:sz w:val="24"/>
          <w:szCs w:val="24"/>
          <w:lang w:val="sq-AL"/>
        </w:rPr>
        <w:t>ë 2023</w:t>
      </w:r>
      <w:r w:rsidR="006D7DBD">
        <w:rPr>
          <w:rFonts w:ascii="Garamond" w:hAnsi="Garamond"/>
          <w:b/>
          <w:bCs/>
          <w:color w:val="0D0D0D"/>
          <w:sz w:val="24"/>
          <w:szCs w:val="24"/>
          <w:lang w:val="sq-AL"/>
        </w:rPr>
        <w:t>-shin</w:t>
      </w:r>
    </w:p>
    <w:p w14:paraId="6EDCF3AA" w14:textId="35A42AC2" w:rsidR="005674F2" w:rsidRPr="00770F9D" w:rsidRDefault="005674F2" w:rsidP="006612EE">
      <w:pPr>
        <w:pStyle w:val="ListParagraph"/>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a</w:t>
      </w:r>
      <w:r w:rsidR="006612EE">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Certifikimi </w:t>
      </w:r>
      <w:r w:rsidR="006D7DBD">
        <w:rPr>
          <w:rFonts w:ascii="Garamond" w:hAnsi="Garamond"/>
          <w:color w:val="0D0D0D"/>
          <w:sz w:val="24"/>
          <w:szCs w:val="24"/>
          <w:lang w:val="sq-AL"/>
        </w:rPr>
        <w:t>i operatorëve të turizmit detar</w:t>
      </w:r>
      <w:r w:rsidRPr="00770F9D">
        <w:rPr>
          <w:rFonts w:ascii="Garamond" w:hAnsi="Garamond"/>
          <w:color w:val="0D0D0D"/>
          <w:sz w:val="24"/>
          <w:szCs w:val="24"/>
          <w:lang w:val="sq-AL"/>
        </w:rPr>
        <w:t xml:space="preserve"> (MTE)</w:t>
      </w:r>
      <w:r w:rsidR="006D7DBD">
        <w:rPr>
          <w:rFonts w:ascii="Garamond" w:hAnsi="Garamond"/>
          <w:color w:val="0D0D0D"/>
          <w:sz w:val="24"/>
          <w:szCs w:val="24"/>
          <w:lang w:val="sq-AL"/>
        </w:rPr>
        <w:t>;</w:t>
      </w:r>
    </w:p>
    <w:p w14:paraId="2D7CB679" w14:textId="76092D6A" w:rsidR="005674F2" w:rsidRPr="00770F9D" w:rsidRDefault="005674F2" w:rsidP="006612EE">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a</w:t>
      </w:r>
      <w:r w:rsidR="006612EE">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Promovi</w:t>
      </w:r>
      <w:r w:rsidR="006D7DBD">
        <w:rPr>
          <w:rFonts w:ascii="Garamond" w:hAnsi="Garamond"/>
          <w:color w:val="0D0D0D"/>
          <w:sz w:val="24"/>
          <w:szCs w:val="24"/>
          <w:lang w:val="sq-AL"/>
        </w:rPr>
        <w:t>mi i sektorit të turizmit detar</w:t>
      </w:r>
      <w:r w:rsidRPr="00770F9D">
        <w:rPr>
          <w:rFonts w:ascii="Garamond" w:hAnsi="Garamond"/>
          <w:color w:val="0D0D0D"/>
          <w:sz w:val="24"/>
          <w:szCs w:val="24"/>
          <w:lang w:val="sq-AL"/>
        </w:rPr>
        <w:t xml:space="preserve"> (MTE)</w:t>
      </w:r>
      <w:r w:rsidR="006D7DBD">
        <w:rPr>
          <w:rFonts w:ascii="Garamond" w:hAnsi="Garamond"/>
          <w:color w:val="0D0D0D"/>
          <w:sz w:val="24"/>
          <w:szCs w:val="24"/>
          <w:lang w:val="sq-AL"/>
        </w:rPr>
        <w:t>;</w:t>
      </w:r>
    </w:p>
    <w:p w14:paraId="24710139" w14:textId="59202CA6" w:rsidR="005674F2" w:rsidRPr="00770F9D" w:rsidRDefault="005674F2" w:rsidP="006612EE">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b</w:t>
      </w:r>
      <w:r w:rsidR="006612EE">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Rritja e kap</w:t>
      </w:r>
      <w:r w:rsidR="006D7DBD">
        <w:rPr>
          <w:rFonts w:ascii="Garamond" w:hAnsi="Garamond"/>
          <w:color w:val="0D0D0D"/>
          <w:sz w:val="24"/>
          <w:szCs w:val="24"/>
          <w:lang w:val="sq-AL"/>
        </w:rPr>
        <w:t>aciteteve të burimeve njerëzore</w:t>
      </w:r>
      <w:r w:rsidRPr="00770F9D">
        <w:rPr>
          <w:rFonts w:ascii="Garamond" w:hAnsi="Garamond"/>
          <w:color w:val="0D0D0D"/>
          <w:sz w:val="24"/>
          <w:szCs w:val="24"/>
          <w:lang w:val="sq-AL"/>
        </w:rPr>
        <w:t xml:space="preserve"> (MTE, GDM)</w:t>
      </w:r>
      <w:r w:rsidR="006D7DBD">
        <w:rPr>
          <w:rFonts w:ascii="Garamond" w:hAnsi="Garamond"/>
          <w:color w:val="0D0D0D"/>
          <w:sz w:val="24"/>
          <w:szCs w:val="24"/>
          <w:lang w:val="sq-AL"/>
        </w:rPr>
        <w:t>.</w:t>
      </w:r>
    </w:p>
    <w:p w14:paraId="1E48A334" w14:textId="0C93326B" w:rsidR="005674F2" w:rsidRPr="00770F9D" w:rsidRDefault="005674F2" w:rsidP="000F6F7A">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b</w:t>
      </w:r>
      <w:r w:rsidR="006612EE">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 xml:space="preserve">Aktivitete të planifikuara </w:t>
      </w:r>
      <w:r w:rsidR="000F6F7A">
        <w:rPr>
          <w:rFonts w:ascii="Garamond" w:hAnsi="Garamond"/>
          <w:b/>
          <w:bCs/>
          <w:color w:val="0D0D0D"/>
          <w:sz w:val="24"/>
          <w:szCs w:val="24"/>
          <w:lang w:val="sq-AL"/>
        </w:rPr>
        <w:t>m</w:t>
      </w:r>
      <w:r w:rsidRPr="00770F9D">
        <w:rPr>
          <w:rFonts w:ascii="Garamond" w:hAnsi="Garamond"/>
          <w:b/>
          <w:bCs/>
          <w:color w:val="0D0D0D"/>
          <w:sz w:val="24"/>
          <w:szCs w:val="24"/>
          <w:lang w:val="sq-AL"/>
        </w:rPr>
        <w:t>ë 2024</w:t>
      </w:r>
      <w:r w:rsidR="006D7DBD">
        <w:rPr>
          <w:rFonts w:ascii="Garamond" w:hAnsi="Garamond"/>
          <w:b/>
          <w:bCs/>
          <w:color w:val="0D0D0D"/>
          <w:sz w:val="24"/>
          <w:szCs w:val="24"/>
          <w:lang w:val="sq-AL"/>
        </w:rPr>
        <w:t>-n</w:t>
      </w:r>
    </w:p>
    <w:p w14:paraId="63A9BDE8" w14:textId="425DC0EF" w:rsidR="005674F2" w:rsidRPr="00770F9D" w:rsidRDefault="005674F2" w:rsidP="006612EE">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a</w:t>
      </w:r>
      <w:r w:rsidR="006612EE">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Certifikimi </w:t>
      </w:r>
      <w:r w:rsidR="006D7DBD">
        <w:rPr>
          <w:rFonts w:ascii="Garamond" w:hAnsi="Garamond"/>
          <w:color w:val="0D0D0D"/>
          <w:sz w:val="24"/>
          <w:szCs w:val="24"/>
          <w:lang w:val="sq-AL"/>
        </w:rPr>
        <w:t>i operatorëve të turizmit detar</w:t>
      </w:r>
      <w:r w:rsidRPr="00770F9D">
        <w:rPr>
          <w:rFonts w:ascii="Garamond" w:hAnsi="Garamond"/>
          <w:color w:val="0D0D0D"/>
          <w:sz w:val="24"/>
          <w:szCs w:val="24"/>
          <w:lang w:val="sq-AL"/>
        </w:rPr>
        <w:t xml:space="preserve"> (MTE)</w:t>
      </w:r>
      <w:r w:rsidR="006D7DBD">
        <w:rPr>
          <w:rFonts w:ascii="Garamond" w:hAnsi="Garamond"/>
          <w:color w:val="0D0D0D"/>
          <w:sz w:val="24"/>
          <w:szCs w:val="24"/>
          <w:lang w:val="sq-AL"/>
        </w:rPr>
        <w:t>;</w:t>
      </w:r>
    </w:p>
    <w:p w14:paraId="01E75A15" w14:textId="21BF687E" w:rsidR="005674F2" w:rsidRPr="00770F9D" w:rsidRDefault="005674F2" w:rsidP="006612EE">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a</w:t>
      </w:r>
      <w:r w:rsidR="006612EE">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Promovi</w:t>
      </w:r>
      <w:r w:rsidR="006D7DBD">
        <w:rPr>
          <w:rFonts w:ascii="Garamond" w:hAnsi="Garamond"/>
          <w:color w:val="0D0D0D"/>
          <w:sz w:val="24"/>
          <w:szCs w:val="24"/>
          <w:lang w:val="sq-AL"/>
        </w:rPr>
        <w:t>mi i sektorit të turizmit detar</w:t>
      </w:r>
      <w:r w:rsidRPr="00770F9D">
        <w:rPr>
          <w:rFonts w:ascii="Garamond" w:hAnsi="Garamond"/>
          <w:color w:val="0D0D0D"/>
          <w:sz w:val="24"/>
          <w:szCs w:val="24"/>
          <w:lang w:val="sq-AL"/>
        </w:rPr>
        <w:t xml:space="preserve"> (MTE)</w:t>
      </w:r>
      <w:r w:rsidR="006D7DBD">
        <w:rPr>
          <w:rFonts w:ascii="Garamond" w:hAnsi="Garamond"/>
          <w:color w:val="0D0D0D"/>
          <w:sz w:val="24"/>
          <w:szCs w:val="24"/>
          <w:lang w:val="sq-AL"/>
        </w:rPr>
        <w:t>;</w:t>
      </w:r>
    </w:p>
    <w:p w14:paraId="23778137" w14:textId="4718712E" w:rsidR="005674F2" w:rsidRPr="00770F9D" w:rsidRDefault="005674F2" w:rsidP="006612EE">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b</w:t>
      </w:r>
      <w:r w:rsidR="006612EE">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Rritja e kap</w:t>
      </w:r>
      <w:r w:rsidR="006D7DBD">
        <w:rPr>
          <w:rFonts w:ascii="Garamond" w:hAnsi="Garamond"/>
          <w:color w:val="0D0D0D"/>
          <w:sz w:val="24"/>
          <w:szCs w:val="24"/>
          <w:lang w:val="sq-AL"/>
        </w:rPr>
        <w:t>aciteteve të burimeve njerëzore</w:t>
      </w:r>
      <w:r w:rsidRPr="00770F9D">
        <w:rPr>
          <w:rFonts w:ascii="Garamond" w:hAnsi="Garamond"/>
          <w:color w:val="0D0D0D"/>
          <w:sz w:val="24"/>
          <w:szCs w:val="24"/>
          <w:lang w:val="sq-AL"/>
        </w:rPr>
        <w:t xml:space="preserve"> (MTE, GDM)</w:t>
      </w:r>
      <w:r w:rsidR="006D7DBD">
        <w:rPr>
          <w:rFonts w:ascii="Garamond" w:hAnsi="Garamond"/>
          <w:color w:val="0D0D0D"/>
          <w:sz w:val="24"/>
          <w:szCs w:val="24"/>
          <w:lang w:val="sq-AL"/>
        </w:rPr>
        <w:t>.</w:t>
      </w:r>
    </w:p>
    <w:p w14:paraId="3AA4ED8E" w14:textId="12814F69" w:rsidR="005674F2" w:rsidRPr="00770F9D" w:rsidRDefault="005674F2" w:rsidP="000F6F7A">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c</w:t>
      </w:r>
      <w:r w:rsidR="006612EE">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 xml:space="preserve">Aktivitete të planifikuara </w:t>
      </w:r>
      <w:r w:rsidR="000F6F7A">
        <w:rPr>
          <w:rFonts w:ascii="Garamond" w:hAnsi="Garamond"/>
          <w:b/>
          <w:bCs/>
          <w:color w:val="0D0D0D"/>
          <w:sz w:val="24"/>
          <w:szCs w:val="24"/>
          <w:lang w:val="sq-AL"/>
        </w:rPr>
        <w:t>m</w:t>
      </w:r>
      <w:r w:rsidRPr="00770F9D">
        <w:rPr>
          <w:rFonts w:ascii="Garamond" w:hAnsi="Garamond"/>
          <w:b/>
          <w:bCs/>
          <w:color w:val="0D0D0D"/>
          <w:sz w:val="24"/>
          <w:szCs w:val="24"/>
          <w:lang w:val="sq-AL"/>
        </w:rPr>
        <w:t>ë 2025</w:t>
      </w:r>
      <w:r w:rsidR="006D7DBD">
        <w:rPr>
          <w:rFonts w:ascii="Garamond" w:hAnsi="Garamond"/>
          <w:b/>
          <w:bCs/>
          <w:color w:val="0D0D0D"/>
          <w:sz w:val="24"/>
          <w:szCs w:val="24"/>
          <w:lang w:val="sq-AL"/>
        </w:rPr>
        <w:t>-n</w:t>
      </w:r>
    </w:p>
    <w:p w14:paraId="643A3182" w14:textId="3B24CBF8" w:rsidR="005674F2" w:rsidRPr="00770F9D" w:rsidRDefault="005674F2" w:rsidP="006612EE">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a</w:t>
      </w:r>
      <w:r w:rsidR="006612EE">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Certifikimi </w:t>
      </w:r>
      <w:r w:rsidR="006D7DBD">
        <w:rPr>
          <w:rFonts w:ascii="Garamond" w:hAnsi="Garamond"/>
          <w:color w:val="0D0D0D"/>
          <w:sz w:val="24"/>
          <w:szCs w:val="24"/>
          <w:lang w:val="sq-AL"/>
        </w:rPr>
        <w:t>i operatorëve të turizmit detar</w:t>
      </w:r>
      <w:r w:rsidRPr="00770F9D">
        <w:rPr>
          <w:rFonts w:ascii="Garamond" w:hAnsi="Garamond"/>
          <w:color w:val="0D0D0D"/>
          <w:sz w:val="24"/>
          <w:szCs w:val="24"/>
          <w:lang w:val="sq-AL"/>
        </w:rPr>
        <w:t xml:space="preserve"> (MTE)</w:t>
      </w:r>
      <w:r w:rsidR="006D7DBD">
        <w:rPr>
          <w:rFonts w:ascii="Garamond" w:hAnsi="Garamond"/>
          <w:color w:val="0D0D0D"/>
          <w:sz w:val="24"/>
          <w:szCs w:val="24"/>
          <w:lang w:val="sq-AL"/>
        </w:rPr>
        <w:t>;</w:t>
      </w:r>
    </w:p>
    <w:p w14:paraId="278A28A9" w14:textId="0DB1C722" w:rsidR="005674F2" w:rsidRPr="00770F9D" w:rsidRDefault="005674F2" w:rsidP="006612EE">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a</w:t>
      </w:r>
      <w:r w:rsidR="006612EE">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Promovi</w:t>
      </w:r>
      <w:r w:rsidR="006D7DBD">
        <w:rPr>
          <w:rFonts w:ascii="Garamond" w:hAnsi="Garamond"/>
          <w:color w:val="0D0D0D"/>
          <w:sz w:val="24"/>
          <w:szCs w:val="24"/>
          <w:lang w:val="sq-AL"/>
        </w:rPr>
        <w:t>mi i sektorit të turizmit detar</w:t>
      </w:r>
      <w:r w:rsidRPr="00770F9D">
        <w:rPr>
          <w:rFonts w:ascii="Garamond" w:hAnsi="Garamond"/>
          <w:color w:val="0D0D0D"/>
          <w:sz w:val="24"/>
          <w:szCs w:val="24"/>
          <w:lang w:val="sq-AL"/>
        </w:rPr>
        <w:t xml:space="preserve"> (MTE)</w:t>
      </w:r>
      <w:r w:rsidR="006D7DBD">
        <w:rPr>
          <w:rFonts w:ascii="Garamond" w:hAnsi="Garamond"/>
          <w:color w:val="0D0D0D"/>
          <w:sz w:val="24"/>
          <w:szCs w:val="24"/>
          <w:lang w:val="sq-AL"/>
        </w:rPr>
        <w:t>;</w:t>
      </w:r>
    </w:p>
    <w:p w14:paraId="7A46AC77" w14:textId="129F4DB3" w:rsidR="005674F2" w:rsidRPr="00770F9D" w:rsidRDefault="005674F2" w:rsidP="006612EE">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b</w:t>
      </w:r>
      <w:r w:rsidR="006612EE">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Rritja e kapa</w:t>
      </w:r>
      <w:r w:rsidR="006D7DBD">
        <w:rPr>
          <w:rFonts w:ascii="Garamond" w:hAnsi="Garamond"/>
          <w:color w:val="0D0D0D"/>
          <w:sz w:val="24"/>
          <w:szCs w:val="24"/>
          <w:lang w:val="sq-AL"/>
        </w:rPr>
        <w:t>citeteve të burimeve njerëzore</w:t>
      </w:r>
      <w:r w:rsidRPr="00770F9D">
        <w:rPr>
          <w:rFonts w:ascii="Garamond" w:hAnsi="Garamond"/>
          <w:color w:val="0D0D0D"/>
          <w:sz w:val="24"/>
          <w:szCs w:val="24"/>
          <w:lang w:val="sq-AL"/>
        </w:rPr>
        <w:t xml:space="preserve"> (MTE, GDM)</w:t>
      </w:r>
      <w:r w:rsidR="006D7DBD">
        <w:rPr>
          <w:rFonts w:ascii="Garamond" w:hAnsi="Garamond"/>
          <w:color w:val="0D0D0D"/>
          <w:sz w:val="24"/>
          <w:szCs w:val="24"/>
          <w:lang w:val="sq-AL"/>
        </w:rPr>
        <w:t>.</w:t>
      </w:r>
    </w:p>
    <w:p w14:paraId="08BBBFDB" w14:textId="3AECC892" w:rsidR="005674F2" w:rsidRPr="00770F9D" w:rsidRDefault="0028077A"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2.</w:t>
      </w:r>
      <w:r w:rsidR="00BA4F1A" w:rsidRPr="00770F9D">
        <w:rPr>
          <w:rFonts w:ascii="Garamond" w:hAnsi="Garamond"/>
          <w:color w:val="0D0D0D"/>
          <w:u w:val="none"/>
        </w:rPr>
        <w:t xml:space="preserve"> </w:t>
      </w:r>
      <w:r w:rsidR="005674F2" w:rsidRPr="00770F9D">
        <w:rPr>
          <w:rFonts w:ascii="Garamond" w:hAnsi="Garamond"/>
          <w:color w:val="0D0D0D"/>
          <w:u w:val="none"/>
        </w:rPr>
        <w:t>Treguesit e rezultateve</w:t>
      </w:r>
    </w:p>
    <w:tbl>
      <w:tblPr>
        <w:tblStyle w:val="TableGrid"/>
        <w:tblW w:w="0" w:type="auto"/>
        <w:jc w:val="center"/>
        <w:tblLook w:val="04A0" w:firstRow="1" w:lastRow="0" w:firstColumn="1" w:lastColumn="0" w:noHBand="0" w:noVBand="1"/>
      </w:tblPr>
      <w:tblGrid>
        <w:gridCol w:w="4067"/>
        <w:gridCol w:w="1730"/>
        <w:gridCol w:w="1759"/>
        <w:gridCol w:w="1731"/>
      </w:tblGrid>
      <w:tr w:rsidR="00FA29AB" w:rsidRPr="00770F9D" w14:paraId="338DF470" w14:textId="77777777" w:rsidTr="00D078C2">
        <w:trPr>
          <w:jc w:val="center"/>
        </w:trPr>
        <w:tc>
          <w:tcPr>
            <w:tcW w:w="4248" w:type="dxa"/>
            <w:vAlign w:val="center"/>
          </w:tcPr>
          <w:p w14:paraId="4E2EB8D1" w14:textId="77777777" w:rsidR="002B2B60" w:rsidRPr="00C71200" w:rsidRDefault="00B2062A" w:rsidP="00C71200">
            <w:pPr>
              <w:snapToGrid w:val="0"/>
              <w:jc w:val="center"/>
              <w:rPr>
                <w:rFonts w:ascii="Garamond" w:hAnsi="Garamond" w:cstheme="majorBidi"/>
                <w:b/>
                <w:bCs/>
                <w:color w:val="0D0D0D" w:themeColor="text1" w:themeTint="F2"/>
                <w:sz w:val="20"/>
                <w:szCs w:val="20"/>
              </w:rPr>
            </w:pPr>
            <w:r w:rsidRPr="00C71200">
              <w:rPr>
                <w:rFonts w:ascii="Garamond" w:hAnsi="Garamond" w:cstheme="majorBidi"/>
                <w:b/>
                <w:bCs/>
                <w:color w:val="0D0D0D" w:themeColor="text1" w:themeTint="F2"/>
                <w:sz w:val="20"/>
                <w:szCs w:val="20"/>
              </w:rPr>
              <w:t>Tregues</w:t>
            </w:r>
          </w:p>
        </w:tc>
        <w:tc>
          <w:tcPr>
            <w:tcW w:w="1791" w:type="dxa"/>
            <w:vAlign w:val="center"/>
          </w:tcPr>
          <w:p w14:paraId="717517C5" w14:textId="77777777" w:rsidR="002B2B60" w:rsidRPr="00C71200" w:rsidRDefault="00B2062A" w:rsidP="00C71200">
            <w:pPr>
              <w:snapToGrid w:val="0"/>
              <w:jc w:val="center"/>
              <w:rPr>
                <w:rFonts w:ascii="Garamond" w:hAnsi="Garamond" w:cstheme="majorBidi"/>
                <w:b/>
                <w:bCs/>
                <w:color w:val="0D0D0D" w:themeColor="text1" w:themeTint="F2"/>
                <w:sz w:val="20"/>
                <w:szCs w:val="20"/>
              </w:rPr>
            </w:pPr>
            <w:r w:rsidRPr="00C71200">
              <w:rPr>
                <w:rFonts w:ascii="Garamond" w:hAnsi="Garamond" w:cstheme="majorBidi"/>
                <w:b/>
                <w:bCs/>
                <w:color w:val="0D0D0D" w:themeColor="text1" w:themeTint="F2"/>
                <w:sz w:val="20"/>
                <w:szCs w:val="20"/>
              </w:rPr>
              <w:t>Bazë</w:t>
            </w:r>
            <w:r w:rsidR="002B2B60" w:rsidRPr="00C71200">
              <w:rPr>
                <w:rFonts w:ascii="Garamond" w:hAnsi="Garamond" w:cstheme="majorBidi"/>
                <w:b/>
                <w:bCs/>
                <w:color w:val="0D0D0D" w:themeColor="text1" w:themeTint="F2"/>
                <w:sz w:val="20"/>
                <w:szCs w:val="20"/>
              </w:rPr>
              <w:t xml:space="preserve"> (2020)</w:t>
            </w:r>
          </w:p>
        </w:tc>
        <w:tc>
          <w:tcPr>
            <w:tcW w:w="1791" w:type="dxa"/>
            <w:vAlign w:val="center"/>
          </w:tcPr>
          <w:p w14:paraId="341DC559" w14:textId="77777777" w:rsidR="002B2B60" w:rsidRPr="00C71200" w:rsidRDefault="00B2062A" w:rsidP="00C71200">
            <w:pPr>
              <w:snapToGrid w:val="0"/>
              <w:jc w:val="center"/>
              <w:rPr>
                <w:rFonts w:ascii="Garamond" w:hAnsi="Garamond" w:cstheme="majorBidi"/>
                <w:b/>
                <w:bCs/>
                <w:color w:val="0D0D0D" w:themeColor="text1" w:themeTint="F2"/>
                <w:sz w:val="20"/>
                <w:szCs w:val="20"/>
              </w:rPr>
            </w:pPr>
            <w:r w:rsidRPr="00C71200">
              <w:rPr>
                <w:rFonts w:ascii="Garamond" w:hAnsi="Garamond" w:cstheme="majorBidi"/>
                <w:b/>
                <w:bCs/>
                <w:color w:val="0D0D0D" w:themeColor="text1" w:themeTint="F2"/>
                <w:sz w:val="20"/>
                <w:szCs w:val="20"/>
              </w:rPr>
              <w:t>I ndërmjetëm</w:t>
            </w:r>
            <w:r w:rsidR="002B2B60" w:rsidRPr="00C71200">
              <w:rPr>
                <w:rFonts w:ascii="Garamond" w:hAnsi="Garamond" w:cstheme="majorBidi"/>
                <w:b/>
                <w:bCs/>
                <w:color w:val="0D0D0D" w:themeColor="text1" w:themeTint="F2"/>
                <w:sz w:val="20"/>
                <w:szCs w:val="20"/>
              </w:rPr>
              <w:t xml:space="preserve"> (</w:t>
            </w:r>
            <w:r w:rsidR="00DB3786" w:rsidRPr="00C71200">
              <w:rPr>
                <w:rFonts w:ascii="Garamond" w:hAnsi="Garamond" w:cstheme="majorBidi"/>
                <w:b/>
                <w:bCs/>
                <w:color w:val="0D0D0D" w:themeColor="text1" w:themeTint="F2"/>
                <w:sz w:val="20"/>
                <w:szCs w:val="20"/>
              </w:rPr>
              <w:t>2023</w:t>
            </w:r>
            <w:r w:rsidR="002B2B60" w:rsidRPr="00C71200">
              <w:rPr>
                <w:rFonts w:ascii="Garamond" w:hAnsi="Garamond" w:cstheme="majorBidi"/>
                <w:b/>
                <w:bCs/>
                <w:color w:val="0D0D0D" w:themeColor="text1" w:themeTint="F2"/>
                <w:sz w:val="20"/>
                <w:szCs w:val="20"/>
              </w:rPr>
              <w:t>)</w:t>
            </w:r>
          </w:p>
        </w:tc>
        <w:tc>
          <w:tcPr>
            <w:tcW w:w="1792" w:type="dxa"/>
            <w:vAlign w:val="center"/>
          </w:tcPr>
          <w:p w14:paraId="7528A6A5" w14:textId="77777777" w:rsidR="002B2B60" w:rsidRPr="00C71200" w:rsidRDefault="00DB3786" w:rsidP="00C71200">
            <w:pPr>
              <w:snapToGrid w:val="0"/>
              <w:jc w:val="center"/>
              <w:rPr>
                <w:rFonts w:ascii="Garamond" w:hAnsi="Garamond" w:cstheme="majorBidi"/>
                <w:b/>
                <w:bCs/>
                <w:color w:val="0D0D0D" w:themeColor="text1" w:themeTint="F2"/>
                <w:sz w:val="20"/>
                <w:szCs w:val="20"/>
              </w:rPr>
            </w:pPr>
            <w:r w:rsidRPr="00C71200">
              <w:rPr>
                <w:rFonts w:ascii="Garamond" w:hAnsi="Garamond" w:cstheme="majorBidi"/>
                <w:b/>
                <w:bCs/>
                <w:color w:val="0D0D0D" w:themeColor="text1" w:themeTint="F2"/>
                <w:sz w:val="20"/>
                <w:szCs w:val="20"/>
              </w:rPr>
              <w:t>Final</w:t>
            </w:r>
            <w:r w:rsidR="002B2B60" w:rsidRPr="00C71200">
              <w:rPr>
                <w:rFonts w:ascii="Garamond" w:hAnsi="Garamond" w:cstheme="majorBidi"/>
                <w:b/>
                <w:bCs/>
                <w:color w:val="0D0D0D" w:themeColor="text1" w:themeTint="F2"/>
                <w:sz w:val="20"/>
                <w:szCs w:val="20"/>
              </w:rPr>
              <w:t xml:space="preserve"> (2025)</w:t>
            </w:r>
          </w:p>
        </w:tc>
      </w:tr>
      <w:tr w:rsidR="00E77C7F" w:rsidRPr="00770F9D" w14:paraId="72EBEEDD" w14:textId="77777777" w:rsidTr="00D078C2">
        <w:trPr>
          <w:jc w:val="center"/>
        </w:trPr>
        <w:tc>
          <w:tcPr>
            <w:tcW w:w="4248" w:type="dxa"/>
            <w:vAlign w:val="center"/>
          </w:tcPr>
          <w:p w14:paraId="67E74720" w14:textId="77777777" w:rsidR="00E77C7F" w:rsidRPr="00770F9D" w:rsidRDefault="00E77C7F" w:rsidP="00C71200">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Numër operatorësh të turizmit detar të certifikuar</w:t>
            </w:r>
          </w:p>
        </w:tc>
        <w:tc>
          <w:tcPr>
            <w:tcW w:w="1791" w:type="dxa"/>
            <w:vAlign w:val="center"/>
          </w:tcPr>
          <w:p w14:paraId="2EA079AE" w14:textId="77777777" w:rsidR="00E77C7F" w:rsidRPr="00770F9D" w:rsidRDefault="00E77C7F" w:rsidP="006612EE">
            <w:pPr>
              <w:snapToGrid w:val="0"/>
              <w:jc w:val="cente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0</w:t>
            </w:r>
          </w:p>
        </w:tc>
        <w:tc>
          <w:tcPr>
            <w:tcW w:w="1791" w:type="dxa"/>
            <w:vAlign w:val="center"/>
          </w:tcPr>
          <w:p w14:paraId="5D68E6FE" w14:textId="77777777" w:rsidR="00E77C7F" w:rsidRPr="00770F9D" w:rsidRDefault="00E77C7F" w:rsidP="00C71200">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20</w:t>
            </w:r>
          </w:p>
        </w:tc>
        <w:tc>
          <w:tcPr>
            <w:tcW w:w="1792" w:type="dxa"/>
            <w:vAlign w:val="center"/>
          </w:tcPr>
          <w:p w14:paraId="1C7295DD" w14:textId="77777777" w:rsidR="00E77C7F" w:rsidRPr="00770F9D" w:rsidRDefault="00E77C7F" w:rsidP="00C71200">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35</w:t>
            </w:r>
          </w:p>
        </w:tc>
      </w:tr>
      <w:tr w:rsidR="00E77C7F" w:rsidRPr="00770F9D" w14:paraId="2A78B3DE" w14:textId="77777777" w:rsidTr="00D078C2">
        <w:trPr>
          <w:jc w:val="center"/>
        </w:trPr>
        <w:tc>
          <w:tcPr>
            <w:tcW w:w="4248" w:type="dxa"/>
            <w:vAlign w:val="center"/>
          </w:tcPr>
          <w:p w14:paraId="60377B3C" w14:textId="77777777" w:rsidR="00E77C7F" w:rsidRPr="00770F9D" w:rsidRDefault="00E77C7F" w:rsidP="00C71200">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Numër jahtesh që vizitojnë portet dhe numri i prekjeve të porteve</w:t>
            </w:r>
          </w:p>
        </w:tc>
        <w:tc>
          <w:tcPr>
            <w:tcW w:w="1791" w:type="dxa"/>
            <w:vAlign w:val="center"/>
          </w:tcPr>
          <w:p w14:paraId="4B7F9CD0" w14:textId="7264C68C" w:rsidR="00E77C7F" w:rsidRPr="00770F9D" w:rsidRDefault="00C71200" w:rsidP="00C71200">
            <w:pPr>
              <w:snapToGrid w:val="0"/>
              <w:jc w:val="center"/>
              <w:rPr>
                <w:rFonts w:ascii="Garamond" w:hAnsi="Garamond" w:cstheme="majorBidi"/>
                <w:color w:val="0D0D0D" w:themeColor="text1" w:themeTint="F2"/>
                <w:sz w:val="20"/>
                <w:szCs w:val="20"/>
              </w:rPr>
            </w:pPr>
            <w:r>
              <w:rPr>
                <w:rFonts w:ascii="Garamond" w:hAnsi="Garamond" w:cstheme="majorBidi"/>
                <w:color w:val="0D0D0D" w:themeColor="text1" w:themeTint="F2"/>
                <w:sz w:val="20"/>
                <w:szCs w:val="20"/>
              </w:rPr>
              <w:t xml:space="preserve">441 </w:t>
            </w:r>
            <w:r w:rsidR="00E77C7F" w:rsidRPr="00770F9D">
              <w:rPr>
                <w:rFonts w:ascii="Garamond" w:hAnsi="Garamond" w:cstheme="majorBidi"/>
                <w:color w:val="0D0D0D" w:themeColor="text1" w:themeTint="F2"/>
                <w:sz w:val="20"/>
                <w:szCs w:val="20"/>
              </w:rPr>
              <w:t xml:space="preserve">hyrje </w:t>
            </w:r>
            <w:r>
              <w:rPr>
                <w:rFonts w:ascii="Garamond" w:hAnsi="Garamond" w:cstheme="majorBidi"/>
                <w:color w:val="0D0D0D" w:themeColor="text1" w:themeTint="F2"/>
                <w:sz w:val="20"/>
                <w:szCs w:val="20"/>
              </w:rPr>
              <w:t>dhe</w:t>
            </w:r>
          </w:p>
          <w:p w14:paraId="79AFC69A" w14:textId="38C419BE" w:rsidR="00E77C7F" w:rsidRPr="00770F9D" w:rsidRDefault="00C71200" w:rsidP="006612EE">
            <w:pPr>
              <w:snapToGrid w:val="0"/>
              <w:jc w:val="center"/>
              <w:rPr>
                <w:rFonts w:ascii="Garamond" w:hAnsi="Garamond" w:cstheme="majorBidi"/>
                <w:color w:val="0D0D0D" w:themeColor="text1" w:themeTint="F2"/>
                <w:sz w:val="20"/>
                <w:szCs w:val="20"/>
              </w:rPr>
            </w:pPr>
            <w:r>
              <w:rPr>
                <w:rFonts w:ascii="Garamond" w:hAnsi="Garamond" w:cstheme="majorBidi"/>
                <w:color w:val="0D0D0D" w:themeColor="text1" w:themeTint="F2"/>
                <w:sz w:val="20"/>
                <w:szCs w:val="20"/>
              </w:rPr>
              <w:t xml:space="preserve">423 </w:t>
            </w:r>
            <w:r w:rsidR="00E77C7F" w:rsidRPr="00770F9D">
              <w:rPr>
                <w:rFonts w:ascii="Garamond" w:hAnsi="Garamond" w:cstheme="majorBidi"/>
                <w:color w:val="0D0D0D" w:themeColor="text1" w:themeTint="F2"/>
                <w:sz w:val="20"/>
                <w:szCs w:val="20"/>
              </w:rPr>
              <w:t>dalje</w:t>
            </w:r>
          </w:p>
        </w:tc>
        <w:tc>
          <w:tcPr>
            <w:tcW w:w="1791" w:type="dxa"/>
            <w:vAlign w:val="center"/>
          </w:tcPr>
          <w:p w14:paraId="6763097D" w14:textId="77777777" w:rsidR="00E77C7F" w:rsidRPr="00770F9D" w:rsidRDefault="00E77C7F" w:rsidP="00C71200">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2000</w:t>
            </w:r>
          </w:p>
        </w:tc>
        <w:tc>
          <w:tcPr>
            <w:tcW w:w="1792" w:type="dxa"/>
            <w:vAlign w:val="center"/>
          </w:tcPr>
          <w:p w14:paraId="5D6FF0E0" w14:textId="77777777" w:rsidR="00E77C7F" w:rsidRPr="00770F9D" w:rsidRDefault="00E77C7F" w:rsidP="00C71200">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3500</w:t>
            </w:r>
          </w:p>
        </w:tc>
      </w:tr>
      <w:tr w:rsidR="00E77C7F" w:rsidRPr="00770F9D" w14:paraId="1F5ADAED" w14:textId="77777777" w:rsidTr="00D078C2">
        <w:trPr>
          <w:jc w:val="center"/>
        </w:trPr>
        <w:tc>
          <w:tcPr>
            <w:tcW w:w="4248" w:type="dxa"/>
            <w:vAlign w:val="center"/>
          </w:tcPr>
          <w:p w14:paraId="7399141A" w14:textId="77777777" w:rsidR="00E77C7F" w:rsidRPr="00770F9D" w:rsidRDefault="00E77C7F" w:rsidP="00C71200">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Numër të punësuarish në sektorin e turizmit detar</w:t>
            </w:r>
          </w:p>
        </w:tc>
        <w:tc>
          <w:tcPr>
            <w:tcW w:w="1791" w:type="dxa"/>
            <w:vAlign w:val="center"/>
          </w:tcPr>
          <w:p w14:paraId="52A51C16" w14:textId="77777777" w:rsidR="00E77C7F" w:rsidRPr="00770F9D" w:rsidRDefault="00E77C7F" w:rsidP="006612EE">
            <w:pPr>
              <w:snapToGrid w:val="0"/>
              <w:jc w:val="cente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N/A</w:t>
            </w:r>
          </w:p>
        </w:tc>
        <w:tc>
          <w:tcPr>
            <w:tcW w:w="1791" w:type="dxa"/>
            <w:vAlign w:val="center"/>
          </w:tcPr>
          <w:p w14:paraId="23334E89" w14:textId="77777777" w:rsidR="00E77C7F" w:rsidRPr="00770F9D" w:rsidRDefault="00E77C7F" w:rsidP="00C71200">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+ 400</w:t>
            </w:r>
          </w:p>
        </w:tc>
        <w:tc>
          <w:tcPr>
            <w:tcW w:w="1792" w:type="dxa"/>
            <w:vAlign w:val="center"/>
          </w:tcPr>
          <w:p w14:paraId="0258AFBF" w14:textId="77777777" w:rsidR="00E77C7F" w:rsidRPr="00770F9D" w:rsidRDefault="00E77C7F" w:rsidP="00C71200">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+1000</w:t>
            </w:r>
          </w:p>
        </w:tc>
      </w:tr>
      <w:tr w:rsidR="00E77C7F" w:rsidRPr="00770F9D" w14:paraId="0548C82B" w14:textId="77777777" w:rsidTr="00D078C2">
        <w:trPr>
          <w:trHeight w:val="401"/>
          <w:jc w:val="center"/>
        </w:trPr>
        <w:tc>
          <w:tcPr>
            <w:tcW w:w="4248" w:type="dxa"/>
            <w:vAlign w:val="center"/>
          </w:tcPr>
          <w:p w14:paraId="7B8D73D6" w14:textId="77777777" w:rsidR="00E77C7F" w:rsidRPr="00770F9D" w:rsidRDefault="00E77C7F" w:rsidP="00C71200">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Numri (inventari) i mjeteve turistike</w:t>
            </w:r>
          </w:p>
        </w:tc>
        <w:tc>
          <w:tcPr>
            <w:tcW w:w="1791" w:type="dxa"/>
            <w:vAlign w:val="center"/>
          </w:tcPr>
          <w:p w14:paraId="7CA1E35B" w14:textId="77777777" w:rsidR="00E77C7F" w:rsidRPr="00770F9D" w:rsidRDefault="00E77C7F" w:rsidP="006612EE">
            <w:pPr>
              <w:snapToGrid w:val="0"/>
              <w:jc w:val="cente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*1416</w:t>
            </w:r>
          </w:p>
        </w:tc>
        <w:tc>
          <w:tcPr>
            <w:tcW w:w="1791" w:type="dxa"/>
            <w:vAlign w:val="center"/>
          </w:tcPr>
          <w:p w14:paraId="699C1BC2" w14:textId="77777777" w:rsidR="00E77C7F" w:rsidRPr="00770F9D" w:rsidRDefault="00E77C7F" w:rsidP="00C71200">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+ 1000</w:t>
            </w:r>
          </w:p>
        </w:tc>
        <w:tc>
          <w:tcPr>
            <w:tcW w:w="1792" w:type="dxa"/>
            <w:vAlign w:val="center"/>
          </w:tcPr>
          <w:p w14:paraId="24E1CB81" w14:textId="77777777" w:rsidR="00E77C7F" w:rsidRPr="00770F9D" w:rsidRDefault="00E77C7F" w:rsidP="00C71200">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+1500</w:t>
            </w:r>
          </w:p>
        </w:tc>
      </w:tr>
    </w:tbl>
    <w:p w14:paraId="5433C4DB" w14:textId="1A61DF9E" w:rsidR="006A7C45" w:rsidRPr="00770F9D" w:rsidRDefault="000867CB"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w:t>
      </w:r>
      <w:r w:rsidR="00C71200">
        <w:rPr>
          <w:rFonts w:ascii="Garamond" w:hAnsi="Garamond" w:cstheme="majorBidi"/>
          <w:color w:val="0D0D0D" w:themeColor="text1" w:themeTint="F2"/>
        </w:rPr>
        <w:t xml:space="preserve"> </w:t>
      </w:r>
      <w:r w:rsidRPr="00770F9D">
        <w:rPr>
          <w:rFonts w:ascii="Garamond" w:hAnsi="Garamond" w:cstheme="majorBidi"/>
          <w:color w:val="0D0D0D" w:themeColor="text1" w:themeTint="F2"/>
        </w:rPr>
        <w:t>Të dhënat e regjistrit elektronik të mjeteve të vogla ujore për kategorinë: argëtim, turizëm dhe anije argëtuese deri në vitin 2020</w:t>
      </w:r>
      <w:r w:rsidR="00C71200">
        <w:rPr>
          <w:rFonts w:ascii="Garamond" w:hAnsi="Garamond" w:cstheme="majorBidi"/>
          <w:color w:val="0D0D0D" w:themeColor="text1" w:themeTint="F2"/>
        </w:rPr>
        <w:t>.</w:t>
      </w:r>
    </w:p>
    <w:p w14:paraId="51518A87" w14:textId="59A1C760" w:rsidR="00836016" w:rsidRPr="00770F9D" w:rsidRDefault="0028077A"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3</w:t>
      </w:r>
      <w:r w:rsidR="005674F2" w:rsidRPr="00770F9D">
        <w:rPr>
          <w:rFonts w:ascii="Garamond" w:hAnsi="Garamond" w:cstheme="majorBidi"/>
          <w:color w:val="0D0D0D" w:themeColor="text1" w:themeTint="F2"/>
          <w:u w:val="none"/>
        </w:rPr>
        <w:t xml:space="preserve">. </w:t>
      </w:r>
      <w:r w:rsidR="004D1F24" w:rsidRPr="00770F9D">
        <w:rPr>
          <w:rFonts w:ascii="Garamond" w:hAnsi="Garamond" w:cstheme="majorBidi"/>
          <w:color w:val="0D0D0D" w:themeColor="text1" w:themeTint="F2"/>
          <w:u w:val="none"/>
        </w:rPr>
        <w:t>Ndikimi i pritshëm në konkurrueshmëri</w:t>
      </w:r>
    </w:p>
    <w:p w14:paraId="403C4EC9" w14:textId="739D9460" w:rsidR="000867CB" w:rsidRPr="00770F9D" w:rsidRDefault="000867CB" w:rsidP="00D078C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Kjo reformë do të kontribuojë në uljen e informalitetit dhe në mundësimin e shërbimeve më cilësore në sektorin e turizmit detar. Sektori i turizmit detar është një sektor me potencial të madh dhe të pashfrytëzuar. Sipas të dhënave të Institutit të Statistikave, vetëm për periudhën janar</w:t>
      </w:r>
      <w:r w:rsidR="00D078C2">
        <w:rPr>
          <w:rFonts w:ascii="Garamond" w:hAnsi="Garamond"/>
          <w:color w:val="0D0D0D"/>
        </w:rPr>
        <w:t>–</w:t>
      </w:r>
      <w:r w:rsidRPr="00770F9D">
        <w:rPr>
          <w:rFonts w:ascii="Garamond" w:hAnsi="Garamond" w:cstheme="majorBidi"/>
          <w:color w:val="0D0D0D" w:themeColor="text1" w:themeTint="F2"/>
        </w:rPr>
        <w:t>shtator 2022, numri i shtetasve të huaj që preferuan të hynin në vendin</w:t>
      </w:r>
      <w:r w:rsidR="00910474" w:rsidRPr="00770F9D">
        <w:rPr>
          <w:rFonts w:ascii="Garamond" w:hAnsi="Garamond" w:cstheme="majorBidi"/>
          <w:color w:val="0D0D0D" w:themeColor="text1" w:themeTint="F2"/>
        </w:rPr>
        <w:t xml:space="preserve"> tonë me rrugë detare ishte 588,</w:t>
      </w:r>
      <w:r w:rsidRPr="00770F9D">
        <w:rPr>
          <w:rFonts w:ascii="Garamond" w:hAnsi="Garamond" w:cstheme="majorBidi"/>
          <w:color w:val="0D0D0D" w:themeColor="text1" w:themeTint="F2"/>
        </w:rPr>
        <w:t>359 persona, me një rritje prej 47,3% krahasuar me të njëjtën periudhë të një viti më parë. Vendosja dhe zbatimi i kritereve dhe rregullave të qarta do të inkurajojë dhe promovojë më tej konkurrencën midis bizneseve që operojnë në këtë sektor brenda vendit si dhe në nivel rajonal. Ai do të forcojë kapacitetet njerëzore si një parakusht kyç drejt rritjes.</w:t>
      </w:r>
    </w:p>
    <w:p w14:paraId="7FFC7170" w14:textId="1B07FBA1" w:rsidR="00EC2A3F" w:rsidRPr="00770F9D" w:rsidRDefault="0028077A"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4</w:t>
      </w:r>
      <w:r w:rsidR="005674F2"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Kosto</w:t>
      </w:r>
      <w:r w:rsidR="00757584">
        <w:rPr>
          <w:rFonts w:ascii="Garamond" w:hAnsi="Garamond" w:cstheme="majorBidi"/>
          <w:color w:val="0D0D0D" w:themeColor="text1" w:themeTint="F2"/>
          <w:u w:val="none"/>
        </w:rPr>
        <w:t>ja</w:t>
      </w:r>
      <w:r w:rsidR="00B2062A" w:rsidRPr="00770F9D">
        <w:rPr>
          <w:rFonts w:ascii="Garamond" w:hAnsi="Garamond" w:cstheme="majorBidi"/>
          <w:color w:val="0D0D0D" w:themeColor="text1" w:themeTint="F2"/>
          <w:u w:val="none"/>
        </w:rPr>
        <w:t xml:space="preserve"> e parashikuar e aktiviteteve dhe burimi i financimit</w:t>
      </w:r>
    </w:p>
    <w:p w14:paraId="1298CEB3" w14:textId="61604854" w:rsidR="000867CB" w:rsidRPr="00770F9D" w:rsidRDefault="000867CB" w:rsidP="00C61F59">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Burimi i financimit është nga buxheti i shtetit. Aktivitetet e parashikuara do të kryhen nga stafi i Ministrisë së Turizmit dhe Mjedisit si pjesë e punës së përditshme pa krijuar kosto shtesë të ndryshme nga ato që parashikohen në planin buxhetor të institucionit për vitin përkatës për zërin paga dhe shpenzime operacionale (</w:t>
      </w:r>
      <w:r w:rsidR="00C61F59" w:rsidRPr="00770F9D">
        <w:rPr>
          <w:rFonts w:ascii="Garamond" w:hAnsi="Garamond" w:cstheme="majorBidi"/>
          <w:color w:val="0D0D0D" w:themeColor="text1" w:themeTint="F2"/>
        </w:rPr>
        <w:t>s</w:t>
      </w:r>
      <w:r w:rsidR="00C61F59">
        <w:rPr>
          <w:rFonts w:ascii="Garamond" w:hAnsi="Garamond" w:cstheme="majorBidi"/>
          <w:color w:val="0D0D0D" w:themeColor="text1" w:themeTint="F2"/>
        </w:rPr>
        <w:t>’</w:t>
      </w:r>
      <w:r w:rsidRPr="00770F9D">
        <w:rPr>
          <w:rFonts w:ascii="Garamond" w:hAnsi="Garamond" w:cstheme="majorBidi"/>
          <w:color w:val="0D0D0D" w:themeColor="text1" w:themeTint="F2"/>
        </w:rPr>
        <w:t>ka kosto shtesë).</w:t>
      </w:r>
    </w:p>
    <w:p w14:paraId="7474FB41" w14:textId="22B00D41" w:rsidR="00EC2A3F" w:rsidRPr="00770F9D" w:rsidRDefault="0028077A"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5</w:t>
      </w:r>
      <w:r w:rsidR="005674F2"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Ndikimi i pritshëm në përfundimet sociale si punësimi, ulja e varfërisë, barazia gjinore dhe aksesi në kujdesin shëndetësor</w:t>
      </w:r>
    </w:p>
    <w:p w14:paraId="46D7DF7A" w14:textId="77777777" w:rsidR="000867CB" w:rsidRPr="00770F9D" w:rsidRDefault="000867CB"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Turizmi detar në Shqipëri është ndër sektorët me përfitime të shumëfishta ekonomike, por me potencial të pashfrytëzuar. Përveç të ardhurave që pritet të gjenerohen nga shërbimi i drejtpërdrejtë, turizmi detar gjeneron një mori përfitimesh indirekte në punësim dhe të ardhura, siç tregojnë praktikat e suksesit të vendeve fqinje. Si rrjedhojë, pritet një efekt pozitiv në drejtim të rritjes së investimeve dhe rrjedhimisht punësimit dhe të ardhurave buxhetore. Rritje do të kenë edhe sektorë të tjerë që lidhen me turizmin, kryesisht furnizues karburantesh, importues të pjesëve të këmbimit, kurse profesionale për një sërë pozicionesh pune. Ndikimet ekonomike pritet të prekin veçanërisht autoritetet publike dhe bizneset e vogla dhe të mesme.</w:t>
      </w:r>
    </w:p>
    <w:p w14:paraId="7730094D" w14:textId="3423343D" w:rsidR="00EC2A3F" w:rsidRPr="00770F9D" w:rsidRDefault="0028077A"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6</w:t>
      </w:r>
      <w:r w:rsidR="005674F2"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Ndikimi i pritshëm në mjedis dhe ndryshimi i klimës</w:t>
      </w:r>
    </w:p>
    <w:p w14:paraId="08E1C97C" w14:textId="45C3AFE2" w:rsidR="005C391A" w:rsidRPr="00770F9D" w:rsidRDefault="005C391A"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Ndër të tjera, në hartimin e kuadrit ligjor për aktivitetet e turizmit detar, janë marrë parasysh konventat ndërkombëtare detare, si: Konventa e UNESCO-s për Mbrojtjen e Trashëgimisë Kulturore Nënujore, Konventa për Mbrojtjen e Jetës Detare dhe Bregdetit të Mesdheut, Konventa Ndërkombëtare për Kërkim dhe Shpëtim Detar, Konventa Ndërkombëtare për Parandalimin e Ndotjes së Anijeve. Ndërhyrjet e reja ligjore synojnë të mbajnë nën kontroll ndotjen e shkaktuar nga aktivitetet e lundrimit detar</w:t>
      </w:r>
      <w:r w:rsidR="00C61F59">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 shkak të rritjes së shkallës së kontrollit që sjell ndërhyrja rregullatorë.</w:t>
      </w:r>
    </w:p>
    <w:p w14:paraId="3BC2E063" w14:textId="0AFA5292" w:rsidR="00EC2A3F" w:rsidRPr="00770F9D" w:rsidRDefault="0028077A"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 xml:space="preserve">7. </w:t>
      </w:r>
      <w:r w:rsidR="00B2062A" w:rsidRPr="00770F9D">
        <w:rPr>
          <w:rFonts w:ascii="Garamond" w:hAnsi="Garamond" w:cstheme="majorBidi"/>
          <w:color w:val="0D0D0D" w:themeColor="text1" w:themeTint="F2"/>
          <w:u w:val="none"/>
        </w:rPr>
        <w:t>Rreziqet e mundshme</w:t>
      </w:r>
    </w:p>
    <w:tbl>
      <w:tblPr>
        <w:tblStyle w:val="TableGrid"/>
        <w:tblW w:w="0" w:type="auto"/>
        <w:jc w:val="center"/>
        <w:tblLook w:val="04A0" w:firstRow="1" w:lastRow="0" w:firstColumn="1" w:lastColumn="0" w:noHBand="0" w:noVBand="1"/>
      </w:tblPr>
      <w:tblGrid>
        <w:gridCol w:w="3668"/>
        <w:gridCol w:w="1529"/>
        <w:gridCol w:w="4090"/>
      </w:tblGrid>
      <w:tr w:rsidR="00FA29AB" w:rsidRPr="00770F9D" w14:paraId="3ED30AE2" w14:textId="77777777" w:rsidTr="00E00DBD">
        <w:trPr>
          <w:jc w:val="center"/>
        </w:trPr>
        <w:tc>
          <w:tcPr>
            <w:tcW w:w="3823" w:type="dxa"/>
            <w:vAlign w:val="center"/>
          </w:tcPr>
          <w:p w14:paraId="3E2709F6" w14:textId="77777777" w:rsidR="00836016" w:rsidRPr="00C61F59" w:rsidRDefault="00B2062A" w:rsidP="00C61F59">
            <w:pPr>
              <w:snapToGrid w:val="0"/>
              <w:jc w:val="center"/>
              <w:rPr>
                <w:rFonts w:ascii="Garamond" w:hAnsi="Garamond" w:cstheme="majorBidi"/>
                <w:b/>
                <w:bCs/>
                <w:color w:val="0D0D0D" w:themeColor="text1" w:themeTint="F2"/>
                <w:sz w:val="20"/>
                <w:szCs w:val="20"/>
              </w:rPr>
            </w:pPr>
            <w:r w:rsidRPr="00C61F59">
              <w:rPr>
                <w:rFonts w:ascii="Garamond" w:hAnsi="Garamond" w:cstheme="majorBidi"/>
                <w:b/>
                <w:bCs/>
                <w:color w:val="0D0D0D" w:themeColor="text1" w:themeTint="F2"/>
                <w:sz w:val="20"/>
                <w:szCs w:val="20"/>
              </w:rPr>
              <w:t>Rreziku</w:t>
            </w:r>
          </w:p>
        </w:tc>
        <w:tc>
          <w:tcPr>
            <w:tcW w:w="1559" w:type="dxa"/>
            <w:vAlign w:val="center"/>
          </w:tcPr>
          <w:p w14:paraId="7AB5ED98" w14:textId="77777777" w:rsidR="00836016" w:rsidRPr="00C61F59" w:rsidRDefault="00B2062A" w:rsidP="00C61F59">
            <w:pPr>
              <w:snapToGrid w:val="0"/>
              <w:jc w:val="center"/>
              <w:rPr>
                <w:rFonts w:ascii="Garamond" w:hAnsi="Garamond" w:cstheme="majorBidi"/>
                <w:b/>
                <w:bCs/>
                <w:color w:val="0D0D0D" w:themeColor="text1" w:themeTint="F2"/>
                <w:sz w:val="20"/>
                <w:szCs w:val="20"/>
              </w:rPr>
            </w:pPr>
            <w:r w:rsidRPr="00C61F59">
              <w:rPr>
                <w:rFonts w:ascii="Garamond" w:hAnsi="Garamond" w:cstheme="majorBidi"/>
                <w:b/>
                <w:bCs/>
                <w:color w:val="0D0D0D" w:themeColor="text1" w:themeTint="F2"/>
                <w:sz w:val="20"/>
                <w:szCs w:val="20"/>
              </w:rPr>
              <w:t>Mundësia</w:t>
            </w:r>
            <w:r w:rsidR="00836016" w:rsidRPr="00C61F59">
              <w:rPr>
                <w:rFonts w:ascii="Garamond" w:hAnsi="Garamond" w:cstheme="majorBidi"/>
                <w:b/>
                <w:bCs/>
                <w:color w:val="0D0D0D" w:themeColor="text1" w:themeTint="F2"/>
                <w:sz w:val="20"/>
                <w:szCs w:val="20"/>
              </w:rPr>
              <w:t xml:space="preserve"> (</w:t>
            </w:r>
            <w:r w:rsidRPr="00C61F59">
              <w:rPr>
                <w:rFonts w:ascii="Garamond" w:hAnsi="Garamond" w:cstheme="majorBidi"/>
                <w:b/>
                <w:bCs/>
                <w:color w:val="0D0D0D" w:themeColor="text1" w:themeTint="F2"/>
                <w:sz w:val="20"/>
                <w:szCs w:val="20"/>
              </w:rPr>
              <w:t>e ulët, e lartë</w:t>
            </w:r>
            <w:r w:rsidR="00836016" w:rsidRPr="00C61F59">
              <w:rPr>
                <w:rFonts w:ascii="Garamond" w:hAnsi="Garamond" w:cstheme="majorBidi"/>
                <w:b/>
                <w:bCs/>
                <w:color w:val="0D0D0D" w:themeColor="text1" w:themeTint="F2"/>
                <w:sz w:val="20"/>
                <w:szCs w:val="20"/>
              </w:rPr>
              <w:t>)</w:t>
            </w:r>
          </w:p>
        </w:tc>
        <w:tc>
          <w:tcPr>
            <w:tcW w:w="4240" w:type="dxa"/>
            <w:vAlign w:val="center"/>
          </w:tcPr>
          <w:p w14:paraId="3068C825" w14:textId="77777777" w:rsidR="00836016" w:rsidRPr="00C61F59" w:rsidRDefault="00B2062A" w:rsidP="00C61F59">
            <w:pPr>
              <w:snapToGrid w:val="0"/>
              <w:jc w:val="center"/>
              <w:rPr>
                <w:rFonts w:ascii="Garamond" w:hAnsi="Garamond" w:cstheme="majorBidi"/>
                <w:b/>
                <w:bCs/>
                <w:color w:val="0D0D0D" w:themeColor="text1" w:themeTint="F2"/>
                <w:sz w:val="20"/>
                <w:szCs w:val="20"/>
              </w:rPr>
            </w:pPr>
            <w:r w:rsidRPr="00C61F59">
              <w:rPr>
                <w:rFonts w:ascii="Garamond" w:hAnsi="Garamond" w:cstheme="majorBidi"/>
                <w:b/>
                <w:bCs/>
                <w:color w:val="0D0D0D" w:themeColor="text1" w:themeTint="F2"/>
                <w:sz w:val="20"/>
                <w:szCs w:val="20"/>
              </w:rPr>
              <w:t>Veprimi zbutës i parashikuar</w:t>
            </w:r>
          </w:p>
        </w:tc>
      </w:tr>
      <w:tr w:rsidR="005C391A" w:rsidRPr="00770F9D" w14:paraId="46A7DAA8" w14:textId="77777777" w:rsidTr="00E00DBD">
        <w:trPr>
          <w:jc w:val="center"/>
        </w:trPr>
        <w:tc>
          <w:tcPr>
            <w:tcW w:w="3823" w:type="dxa"/>
          </w:tcPr>
          <w:p w14:paraId="415558F7" w14:textId="77777777" w:rsidR="005C391A" w:rsidRPr="00770F9D" w:rsidRDefault="005C391A" w:rsidP="00856FA6">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xml:space="preserve">Mungesa e eksperiencës së mjaftueshme në hartimin e akteve ligjore dhe nënligjore të nevojshme. </w:t>
            </w:r>
          </w:p>
          <w:p w14:paraId="0242E5E8" w14:textId="77777777" w:rsidR="005C391A" w:rsidRPr="00770F9D" w:rsidRDefault="005C391A" w:rsidP="00856FA6">
            <w:pPr>
              <w:snapToGrid w:val="0"/>
              <w:rPr>
                <w:rFonts w:ascii="Garamond" w:hAnsi="Garamond" w:cstheme="majorBidi"/>
                <w:color w:val="0D0D0D" w:themeColor="text1" w:themeTint="F2"/>
                <w:sz w:val="20"/>
                <w:szCs w:val="20"/>
              </w:rPr>
            </w:pPr>
          </w:p>
        </w:tc>
        <w:tc>
          <w:tcPr>
            <w:tcW w:w="1559" w:type="dxa"/>
          </w:tcPr>
          <w:p w14:paraId="5B7AB784" w14:textId="77777777" w:rsidR="005C391A" w:rsidRPr="00770F9D" w:rsidRDefault="005C391A" w:rsidP="00856FA6">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I ulët</w:t>
            </w:r>
          </w:p>
        </w:tc>
        <w:tc>
          <w:tcPr>
            <w:tcW w:w="4240" w:type="dxa"/>
          </w:tcPr>
          <w:p w14:paraId="0DDF32AD" w14:textId="1B909173" w:rsidR="005C391A" w:rsidRPr="00770F9D" w:rsidRDefault="005C391A" w:rsidP="00856FA6">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xml:space="preserve">Do të identifikohen burimet që ofrojnë asistencë teknike në përgatitjen e të gjitha akteve nënligjore. Për këtë, do të jetë e nevojshme ekspertiza/ekspertë </w:t>
            </w:r>
            <w:r w:rsidR="002A4878" w:rsidRPr="00770F9D">
              <w:rPr>
                <w:rFonts w:ascii="Garamond" w:hAnsi="Garamond" w:cstheme="majorBidi"/>
                <w:color w:val="0D0D0D" w:themeColor="text1" w:themeTint="F2"/>
                <w:sz w:val="20"/>
                <w:szCs w:val="20"/>
              </w:rPr>
              <w:t>vendës</w:t>
            </w:r>
            <w:r w:rsidRPr="00770F9D">
              <w:rPr>
                <w:rFonts w:ascii="Garamond" w:hAnsi="Garamond" w:cstheme="majorBidi"/>
                <w:color w:val="0D0D0D" w:themeColor="text1" w:themeTint="F2"/>
                <w:sz w:val="20"/>
                <w:szCs w:val="20"/>
              </w:rPr>
              <w:t xml:space="preserve"> dhe të huaj. </w:t>
            </w:r>
          </w:p>
        </w:tc>
      </w:tr>
    </w:tbl>
    <w:p w14:paraId="42EA536D" w14:textId="23E27139" w:rsidR="00C21F03" w:rsidRPr="00770F9D" w:rsidRDefault="00856FA6" w:rsidP="00400806">
      <w:pPr>
        <w:pStyle w:val="Heading3"/>
        <w:snapToGrid w:val="0"/>
        <w:ind w:left="0" w:firstLine="284"/>
        <w:jc w:val="both"/>
        <w:rPr>
          <w:rFonts w:ascii="Garamond" w:hAnsi="Garamond" w:cstheme="majorBidi"/>
          <w:b/>
          <w:color w:val="0D0D0D" w:themeColor="text1" w:themeTint="F2"/>
          <w:sz w:val="24"/>
          <w:szCs w:val="24"/>
        </w:rPr>
      </w:pPr>
      <w:bookmarkStart w:id="55" w:name="_Toc126050969"/>
      <w:r w:rsidRPr="00770F9D">
        <w:rPr>
          <w:rFonts w:ascii="Garamond" w:hAnsi="Garamond" w:cstheme="majorBidi"/>
          <w:b/>
          <w:color w:val="0D0D0D" w:themeColor="text1" w:themeTint="F2"/>
          <w:sz w:val="24"/>
          <w:szCs w:val="24"/>
        </w:rPr>
        <w:t>5.2.9</w:t>
      </w:r>
      <w:r w:rsidR="005674F2" w:rsidRPr="00770F9D">
        <w:rPr>
          <w:rFonts w:ascii="Garamond" w:hAnsi="Garamond" w:cstheme="majorBidi"/>
          <w:b/>
          <w:color w:val="0D0D0D" w:themeColor="text1" w:themeTint="F2"/>
          <w:sz w:val="24"/>
          <w:szCs w:val="24"/>
        </w:rPr>
        <w:t xml:space="preserve"> </w:t>
      </w:r>
      <w:r w:rsidR="00A72F9A" w:rsidRPr="00770F9D">
        <w:rPr>
          <w:rFonts w:ascii="Garamond" w:hAnsi="Garamond" w:cstheme="majorBidi"/>
          <w:b/>
          <w:color w:val="0D0D0D" w:themeColor="text1" w:themeTint="F2"/>
          <w:sz w:val="24"/>
          <w:szCs w:val="24"/>
        </w:rPr>
        <w:t>Arsimimi dhe aftësitë</w:t>
      </w:r>
      <w:bookmarkEnd w:id="55"/>
    </w:p>
    <w:p w14:paraId="328F47E7" w14:textId="39253CFE" w:rsidR="0030742B" w:rsidRPr="00770F9D" w:rsidRDefault="005674F2" w:rsidP="00C61F59">
      <w:pPr>
        <w:pStyle w:val="Heading4"/>
        <w:snapToGrid w:val="0"/>
        <w:ind w:left="0" w:firstLine="284"/>
        <w:jc w:val="both"/>
        <w:rPr>
          <w:rFonts w:ascii="Garamond" w:hAnsi="Garamond" w:cstheme="majorBidi"/>
          <w:b w:val="0"/>
          <w:i/>
          <w:color w:val="0D0D0D" w:themeColor="text1" w:themeTint="F2"/>
          <w:sz w:val="24"/>
          <w:szCs w:val="24"/>
        </w:rPr>
      </w:pPr>
      <w:r w:rsidRPr="00770F9D">
        <w:rPr>
          <w:rFonts w:ascii="Garamond" w:hAnsi="Garamond" w:cstheme="majorBidi"/>
          <w:b w:val="0"/>
          <w:i/>
          <w:color w:val="0D0D0D" w:themeColor="text1" w:themeTint="F2"/>
          <w:sz w:val="24"/>
          <w:szCs w:val="24"/>
        </w:rPr>
        <w:t>a</w:t>
      </w:r>
      <w:r w:rsidR="00C61F59">
        <w:rPr>
          <w:rFonts w:ascii="Garamond" w:hAnsi="Garamond" w:cstheme="majorBidi"/>
          <w:b w:val="0"/>
          <w:i/>
          <w:color w:val="0D0D0D" w:themeColor="text1" w:themeTint="F2"/>
          <w:sz w:val="24"/>
          <w:szCs w:val="24"/>
        </w:rPr>
        <w:t>)</w:t>
      </w:r>
      <w:r w:rsidRPr="00770F9D">
        <w:rPr>
          <w:rFonts w:ascii="Garamond" w:hAnsi="Garamond" w:cstheme="majorBidi"/>
          <w:b w:val="0"/>
          <w:i/>
          <w:color w:val="0D0D0D" w:themeColor="text1" w:themeTint="F2"/>
          <w:sz w:val="24"/>
          <w:szCs w:val="24"/>
        </w:rPr>
        <w:t xml:space="preserve"> </w:t>
      </w:r>
      <w:r w:rsidR="00B2062A" w:rsidRPr="00770F9D">
        <w:rPr>
          <w:rFonts w:ascii="Garamond" w:hAnsi="Garamond" w:cstheme="majorBidi"/>
          <w:b w:val="0"/>
          <w:i/>
          <w:color w:val="0D0D0D" w:themeColor="text1" w:themeTint="F2"/>
          <w:sz w:val="24"/>
          <w:szCs w:val="24"/>
        </w:rPr>
        <w:t>Analiza e pengesave kryesore</w:t>
      </w:r>
    </w:p>
    <w:p w14:paraId="3DC63173" w14:textId="5275E98C" w:rsidR="00BA72A4" w:rsidRPr="00770F9D" w:rsidRDefault="00BA72A4" w:rsidP="00EB068D">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Gjithëpërfshirja ka qenë fokusi i politikave arsimore në Shqipëri gjatë dekadës së fundit, duke synuar rritjen e pjesëmarrjes në arsim në fëmijërinë e hershme, si dhe pjesëmarrjen në edukimin e fëmijëve nga grupet vulnerabël. Pjesëmarrja në arsimin para universitar të fëmijëve me aftësi të kufizuara është rritur nga viti në vit. Në vitin shkollor 2021</w:t>
      </w:r>
      <w:r w:rsidR="00EB068D">
        <w:rPr>
          <w:rFonts w:ascii="Garamond" w:hAnsi="Garamond"/>
          <w:color w:val="0D0D0D"/>
        </w:rPr>
        <w:t>–</w:t>
      </w:r>
      <w:r w:rsidRPr="00770F9D">
        <w:rPr>
          <w:rFonts w:ascii="Garamond" w:hAnsi="Garamond" w:cstheme="majorBidi"/>
          <w:color w:val="0D0D0D" w:themeColor="text1" w:themeTint="F2"/>
        </w:rPr>
        <w:t>2022, në sistemin arsimor para universitar, 4748 nxënës me aftësi të kufizuar kanë vijuar mësimet në institucionet arsimore publike dhe private duke filluar nga arsimi parashkollor. Raporti i nxënësve me aftësi të kufizuara që ndjekin arsimin gjithëpërfshirës ndaj arsimit special është përmirësuar nga 75% në vitin 2014 në rreth 90%. Progres është bërë me përmirësimin e mësimit të gjuhës shqipe të shenjave për rritjen e cilësisë së arsimimit të nxënësve që nuk dëgjojnë deri në arsimin e mesëm.</w:t>
      </w:r>
    </w:p>
    <w:p w14:paraId="7763DC05" w14:textId="0D1E20CD" w:rsidR="00BA72A4" w:rsidRPr="00770F9D" w:rsidRDefault="00BA72A4" w:rsidP="00EB068D">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Gjatë periudhës 2019</w:t>
      </w:r>
      <w:r w:rsidR="00EB068D">
        <w:rPr>
          <w:rFonts w:ascii="Garamond" w:hAnsi="Garamond"/>
          <w:color w:val="0D0D0D"/>
        </w:rPr>
        <w:t>–</w:t>
      </w:r>
      <w:r w:rsidRPr="00770F9D">
        <w:rPr>
          <w:rFonts w:ascii="Garamond" w:hAnsi="Garamond" w:cstheme="majorBidi"/>
          <w:color w:val="0D0D0D" w:themeColor="text1" w:themeTint="F2"/>
        </w:rPr>
        <w:t>2022, ka qenë në fokus zhvillimi profesional i mësuesve ndihmës për fëmijët me aftësi të kufizuara, me synim ngritjen e një sistemi mbështetës për aftësitë e tyre profesionale. Në këtë kuadër, deri tani janë krijuar dhe funksionojnë efektivisht 61 rrjete profesionale të mësuesve ndihmës, ku përfshihen të gjithë mësuesit ndihmës në arsimin para universitar. Rreth 1000 mësues ndihmës kanë ndjekur module trajnimi të akredituara nga MAS</w:t>
      </w:r>
      <w:r w:rsidR="00EB068D">
        <w:rPr>
          <w:rFonts w:ascii="Garamond" w:hAnsi="Garamond" w:cstheme="majorBidi"/>
          <w:color w:val="0D0D0D" w:themeColor="text1" w:themeTint="F2"/>
        </w:rPr>
        <w:t>-i</w:t>
      </w:r>
      <w:r w:rsidRPr="00770F9D">
        <w:rPr>
          <w:rFonts w:ascii="Garamond" w:hAnsi="Garamond" w:cstheme="majorBidi"/>
          <w:color w:val="0D0D0D" w:themeColor="text1" w:themeTint="F2"/>
        </w:rPr>
        <w:t xml:space="preserve"> dhe janë certifikuar.</w:t>
      </w:r>
    </w:p>
    <w:p w14:paraId="4CFCA473" w14:textId="0EA53557" w:rsidR="00BA72A4" w:rsidRPr="00770F9D" w:rsidRDefault="00EB068D" w:rsidP="00E66EF5">
      <w:pPr>
        <w:snapToGrid w:val="0"/>
        <w:ind w:firstLine="284"/>
        <w:jc w:val="both"/>
        <w:rPr>
          <w:rFonts w:ascii="Garamond" w:hAnsi="Garamond" w:cstheme="majorBidi"/>
          <w:color w:val="0D0D0D" w:themeColor="text1" w:themeTint="F2"/>
        </w:rPr>
      </w:pPr>
      <w:r>
        <w:rPr>
          <w:rFonts w:ascii="Garamond" w:hAnsi="Garamond" w:cstheme="majorBidi"/>
          <w:color w:val="0D0D0D" w:themeColor="text1" w:themeTint="F2"/>
        </w:rPr>
        <w:t>Shërbimi psiko</w:t>
      </w:r>
      <w:r w:rsidR="00BA72A4" w:rsidRPr="00770F9D">
        <w:rPr>
          <w:rFonts w:ascii="Garamond" w:hAnsi="Garamond" w:cstheme="majorBidi"/>
          <w:color w:val="0D0D0D" w:themeColor="text1" w:themeTint="F2"/>
        </w:rPr>
        <w:t>social ka ofruar shërbime të drejtpërdrejta për të gjithë fëmijët e arsimit para universitar me fokus të veçantë fëmijët në nevojë. Në vitin shkollor 2021</w:t>
      </w:r>
      <w:r>
        <w:rPr>
          <w:rFonts w:ascii="Garamond" w:hAnsi="Garamond"/>
          <w:color w:val="0D0D0D"/>
        </w:rPr>
        <w:t>–</w:t>
      </w:r>
      <w:r w:rsidR="00BA72A4" w:rsidRPr="00770F9D">
        <w:rPr>
          <w:rFonts w:ascii="Garamond" w:hAnsi="Garamond" w:cstheme="majorBidi"/>
          <w:color w:val="0D0D0D" w:themeColor="text1" w:themeTint="F2"/>
        </w:rPr>
        <w:t>2022 kanë ushtruar aktivitetin e tyre rreth 628 punonjës të shërbimit psikosocial.</w:t>
      </w:r>
    </w:p>
    <w:p w14:paraId="133DBAB4" w14:textId="750C1AA9" w:rsidR="00BA72A4" w:rsidRPr="00770F9D" w:rsidRDefault="00BA72A4" w:rsidP="00B10B95">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Republika e Shqipërisë ka një rrjet prej 3511 institucioneve arsimore parauniversitare: 2090 kopshte dhe 1421 shkolla, nga të cilat 1398 shkolla publike dhe 225 shkolla private (viti shkollor 2021</w:t>
      </w:r>
      <w:r w:rsidR="00B10B95">
        <w:rPr>
          <w:rFonts w:ascii="Garamond" w:hAnsi="Garamond"/>
          <w:color w:val="0D0D0D"/>
        </w:rPr>
        <w:t>–</w:t>
      </w:r>
      <w:r w:rsidRPr="00770F9D">
        <w:rPr>
          <w:rFonts w:ascii="Garamond" w:hAnsi="Garamond" w:cstheme="majorBidi"/>
          <w:color w:val="0D0D0D" w:themeColor="text1" w:themeTint="F2"/>
        </w:rPr>
        <w:t xml:space="preserve">2022). Vitet e fundit vihet re një tendencë e qartë </w:t>
      </w:r>
      <w:r w:rsidR="00B10B95">
        <w:rPr>
          <w:rFonts w:ascii="Garamond" w:hAnsi="Garamond" w:cstheme="majorBidi"/>
          <w:color w:val="0D0D0D" w:themeColor="text1" w:themeTint="F2"/>
        </w:rPr>
        <w:t>–</w:t>
      </w:r>
      <w:r w:rsidRPr="00770F9D">
        <w:rPr>
          <w:rFonts w:ascii="Garamond" w:hAnsi="Garamond" w:cstheme="majorBidi"/>
          <w:color w:val="0D0D0D" w:themeColor="text1" w:themeTint="F2"/>
        </w:rPr>
        <w:t xml:space="preserve"> reduktimi i numrit të fëmijëve/nxënësve në të gjitha nivelet e arsimit para universitar, si rezultat i uljes së popullsisë rezidente, uljes së fertilitetit dhe migrimit etj. Shqipëria ka një numër të konsiderueshëm të shkollave të vogla me klasa të përbashkëta ku mësojnë së bashku edhe nxënës të klasave të ndryshme. Gjatë vitit shkollor 2021</w:t>
      </w:r>
      <w:r w:rsidR="00B10B95">
        <w:rPr>
          <w:rFonts w:ascii="Garamond" w:hAnsi="Garamond"/>
          <w:color w:val="0D0D0D"/>
        </w:rPr>
        <w:t>–</w:t>
      </w:r>
      <w:r w:rsidRPr="00770F9D">
        <w:rPr>
          <w:rFonts w:ascii="Garamond" w:hAnsi="Garamond" w:cstheme="majorBidi"/>
          <w:color w:val="0D0D0D" w:themeColor="text1" w:themeTint="F2"/>
        </w:rPr>
        <w:t>2022 kanë studiuar në klasa kolektive 22029 nxënës.</w:t>
      </w:r>
    </w:p>
    <w:p w14:paraId="42304696" w14:textId="26BCD9A5" w:rsidR="00BA72A4" w:rsidRPr="00770F9D" w:rsidRDefault="00BA72A4" w:rsidP="00B10B95">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Për koordinimin e aktiviteteve në këtë fushë nevojitet zhvillimi</w:t>
      </w:r>
      <w:r w:rsidR="00B10B95">
        <w:rPr>
          <w:rFonts w:ascii="Garamond" w:hAnsi="Garamond" w:cstheme="majorBidi"/>
          <w:color w:val="0D0D0D" w:themeColor="text1" w:themeTint="F2"/>
        </w:rPr>
        <w:t xml:space="preserve"> i mëtejshëm i politikave multi</w:t>
      </w:r>
      <w:r w:rsidRPr="00770F9D">
        <w:rPr>
          <w:rFonts w:ascii="Garamond" w:hAnsi="Garamond" w:cstheme="majorBidi"/>
          <w:color w:val="0D0D0D" w:themeColor="text1" w:themeTint="F2"/>
        </w:rPr>
        <w:t xml:space="preserve">sektoriale të edukimit të fëmijërisë së hershme. Në fushën e shërbimeve publike dhe infrastrukturës, njësitë e qeverisjes vendore janë përgjegjëse për menaxhimin dhe rregullimin e sistemit të arsimit parashkollor në kopshte dhe çerdhe. Referuar pikës 12, neni 23, </w:t>
      </w:r>
      <w:r w:rsidR="00B10B95">
        <w:rPr>
          <w:rFonts w:ascii="Garamond" w:hAnsi="Garamond" w:cstheme="majorBidi"/>
          <w:color w:val="0D0D0D" w:themeColor="text1" w:themeTint="F2"/>
        </w:rPr>
        <w:t>të</w:t>
      </w:r>
      <w:r w:rsidRPr="00770F9D">
        <w:rPr>
          <w:rFonts w:ascii="Garamond" w:hAnsi="Garamond" w:cstheme="majorBidi"/>
          <w:color w:val="0D0D0D" w:themeColor="text1" w:themeTint="F2"/>
        </w:rPr>
        <w:t xml:space="preserve"> ligjit nr.</w:t>
      </w:r>
      <w:r w:rsidR="00B10B95">
        <w:rPr>
          <w:rFonts w:ascii="Garamond" w:hAnsi="Garamond" w:cstheme="majorBidi"/>
          <w:color w:val="0D0D0D" w:themeColor="text1" w:themeTint="F2"/>
        </w:rPr>
        <w:t xml:space="preserve"> </w:t>
      </w:r>
      <w:r w:rsidRPr="00770F9D">
        <w:rPr>
          <w:rFonts w:ascii="Garamond" w:hAnsi="Garamond" w:cstheme="majorBidi"/>
          <w:color w:val="0D0D0D" w:themeColor="text1" w:themeTint="F2"/>
        </w:rPr>
        <w:t xml:space="preserve">139/2015, </w:t>
      </w:r>
      <w:r w:rsidR="00B10B95">
        <w:rPr>
          <w:rFonts w:ascii="Garamond" w:hAnsi="Garamond" w:cstheme="majorBidi"/>
          <w:color w:val="0D0D0D" w:themeColor="text1" w:themeTint="F2"/>
        </w:rPr>
        <w:t>të</w:t>
      </w:r>
      <w:r w:rsidRPr="00770F9D">
        <w:rPr>
          <w:rFonts w:ascii="Garamond" w:hAnsi="Garamond" w:cstheme="majorBidi"/>
          <w:color w:val="0D0D0D" w:themeColor="text1" w:themeTint="F2"/>
        </w:rPr>
        <w:t xml:space="preserve"> ndryshuar, njësitë e qeverisjes vendore janë përgjegjëse për menaxhimin dhe rregullimin e sistemit arsimor parashkollor në kopshte dhe çerdhe. Përgjegjësia e MAS-it është vetëm në hartimin e kurrikulës së arsimit parashkollor dhe zhvillimin profesional të mësuesve të arsimit parashkollor.</w:t>
      </w:r>
    </w:p>
    <w:p w14:paraId="5110AF00" w14:textId="77777777" w:rsidR="00BA72A4" w:rsidRPr="00770F9D" w:rsidRDefault="00BA72A4"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Përmirësimi i infrastrukturës shkollore ka një rëndësi të veçantë në politikat e shtetit shqiptar. Nga tërmeti i vitit 2019 janë dëmtuar apo shkatërruar plotësisht 185 institucione arsimore (IA). Gjithsej duheshin ndërtuar 129 IA dhe 56 IA kishin nevojë për rindërtim. Deri më tani, kanë përfunduar ndërtimin ose rindërtimin 79 IA, dhe 105 janë ende në proces. I gjithë procesi i rindërtimit do të përfundojë në vitin 2023.</w:t>
      </w:r>
    </w:p>
    <w:p w14:paraId="081669EC" w14:textId="6D56CEB7" w:rsidR="00BA72A4" w:rsidRPr="00770F9D" w:rsidRDefault="00BA72A4"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Për sa i përket cilësisë së arsimit, Shqipëria ka parë përmirësime të qëndrueshme dhe thelbësore në shkencë, lexim dhe matematikë. Shqipëria ka marrë pjesë gjashtë herë në Programin për Vlerësimin Ndërkombëtar të Studentëve (PISA) </w:t>
      </w:r>
      <w:r w:rsidR="00DB034D">
        <w:rPr>
          <w:rFonts w:ascii="Garamond" w:hAnsi="Garamond" w:cstheme="majorBidi"/>
          <w:color w:val="0D0D0D" w:themeColor="text1" w:themeTint="F2"/>
        </w:rPr>
        <w:t>–</w:t>
      </w:r>
      <w:r w:rsidRPr="00770F9D">
        <w:rPr>
          <w:rFonts w:ascii="Garamond" w:hAnsi="Garamond" w:cstheme="majorBidi"/>
          <w:color w:val="0D0D0D" w:themeColor="text1" w:themeTint="F2"/>
        </w:rPr>
        <w:t xml:space="preserve"> 2000, 2009, 2012, 2015, 2018 dhe 2022. Gjatë kësaj periudhe, studentët shqiptarë kanë treguar përmirësim të vazhdueshëm në të gjitha fushat, gjë që ka ndikuar në zvogëlimin e hendekut me nxënësit nga vendet e OECD-së.</w:t>
      </w:r>
    </w:p>
    <w:p w14:paraId="5EEA2AD2" w14:textId="77777777" w:rsidR="00BA72A4" w:rsidRPr="00770F9D" w:rsidRDefault="00BA72A4"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Në vitin 2019, Shqipëria mori pjesë për herë të parë në TIMSS </w:t>
      </w:r>
      <w:r w:rsidRPr="00DB034D">
        <w:rPr>
          <w:rFonts w:ascii="Garamond" w:hAnsi="Garamond" w:cstheme="majorBidi"/>
          <w:i/>
          <w:iCs/>
          <w:color w:val="0D0D0D" w:themeColor="text1" w:themeTint="F2"/>
        </w:rPr>
        <w:t>(Trends in International Mathematics and Science Study)</w:t>
      </w:r>
      <w:r w:rsidRPr="00770F9D">
        <w:rPr>
          <w:rFonts w:ascii="Garamond" w:hAnsi="Garamond" w:cstheme="majorBidi"/>
          <w:color w:val="0D0D0D" w:themeColor="text1" w:themeTint="F2"/>
        </w:rPr>
        <w:t xml:space="preserve">, i cili mat arritjet e nxënësve të klasës së katërt në matematikë dhe shkencë. Në vitin 2021, Shqipëria mori pjesë për herë të parë në PIRLS </w:t>
      </w:r>
      <w:r w:rsidRPr="00DB034D">
        <w:rPr>
          <w:rFonts w:ascii="Garamond" w:hAnsi="Garamond" w:cstheme="majorBidi"/>
          <w:i/>
          <w:iCs/>
          <w:color w:val="0D0D0D" w:themeColor="text1" w:themeTint="F2"/>
        </w:rPr>
        <w:t>(Progress of International Study in Reading),</w:t>
      </w:r>
      <w:r w:rsidRPr="00770F9D">
        <w:rPr>
          <w:rFonts w:ascii="Garamond" w:hAnsi="Garamond" w:cstheme="majorBidi"/>
          <w:color w:val="0D0D0D" w:themeColor="text1" w:themeTint="F2"/>
        </w:rPr>
        <w:t xml:space="preserve"> i cili mat arritjet në lexim të nxënësve të klasës së katërt. </w:t>
      </w:r>
    </w:p>
    <w:p w14:paraId="58799AF2" w14:textId="2DD3C5FE" w:rsidR="00BA72A4" w:rsidRPr="00770F9D" w:rsidRDefault="00BA72A4" w:rsidP="00A2549B">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Zhvillimi i mëtejshëm i kompetencës digjitale është një nga objektivat e Strategjisë Kombëtare të Arsimit 2021</w:t>
      </w:r>
      <w:r w:rsidR="00A2549B">
        <w:rPr>
          <w:rFonts w:ascii="Garamond" w:hAnsi="Garamond"/>
          <w:color w:val="0D0D0D"/>
        </w:rPr>
        <w:t>–</w:t>
      </w:r>
      <w:r w:rsidRPr="00770F9D">
        <w:rPr>
          <w:rFonts w:ascii="Garamond" w:hAnsi="Garamond" w:cstheme="majorBidi"/>
          <w:color w:val="0D0D0D" w:themeColor="text1" w:themeTint="F2"/>
        </w:rPr>
        <w:t xml:space="preserve">2026 miratuar me </w:t>
      </w:r>
      <w:r w:rsidR="00A2549B" w:rsidRPr="00770F9D">
        <w:rPr>
          <w:rFonts w:ascii="Garamond" w:hAnsi="Garamond" w:cstheme="majorBidi"/>
          <w:color w:val="0D0D0D" w:themeColor="text1" w:themeTint="F2"/>
        </w:rPr>
        <w:t xml:space="preserve">vendimin </w:t>
      </w:r>
      <w:r w:rsidRPr="00770F9D">
        <w:rPr>
          <w:rFonts w:ascii="Garamond" w:hAnsi="Garamond" w:cstheme="majorBidi"/>
          <w:color w:val="0D0D0D" w:themeColor="text1" w:themeTint="F2"/>
        </w:rPr>
        <w:t>e Këshillit të Ministrave nr. 621, datë 22.10.2021</w:t>
      </w:r>
      <w:r w:rsidR="00A2549B">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 miratimin e Strategjisë Kombëtare të Arsimit 2021</w:t>
      </w:r>
      <w:r w:rsidR="00A2549B">
        <w:rPr>
          <w:rFonts w:ascii="Garamond" w:hAnsi="Garamond"/>
          <w:color w:val="0D0D0D"/>
        </w:rPr>
        <w:t>–</w:t>
      </w:r>
      <w:r w:rsidRPr="00770F9D">
        <w:rPr>
          <w:rFonts w:ascii="Garamond" w:hAnsi="Garamond" w:cstheme="majorBidi"/>
          <w:color w:val="0D0D0D" w:themeColor="text1" w:themeTint="F2"/>
        </w:rPr>
        <w:t xml:space="preserve">2026 dhe Planit të Veprimit për Zbatimin e saj”. Teknologjia e informacionit dhe komunikimit (TIK), e cila përfshin kompjuterë, tabletë, telefona inteligjentë, tavolina ndërvepruese dhe aksesorë të tjerë, mund të ketë një ndikim pozitiv në përmirësimin e cilësisë së mësimdhënies, rritjen e motivimit dhe përmirësimin e performancës së studentëve, duke siguruar që të gjithë studentët të jenë në gjendje të marrin nivele të caktuara të kompetencës </w:t>
      </w:r>
      <w:r w:rsidR="003F4C96" w:rsidRPr="00770F9D">
        <w:rPr>
          <w:rFonts w:ascii="Garamond" w:hAnsi="Garamond" w:cstheme="majorBidi"/>
          <w:color w:val="0D0D0D" w:themeColor="text1" w:themeTint="F2"/>
        </w:rPr>
        <w:t>digjital</w:t>
      </w:r>
      <w:r w:rsidRPr="00770F9D">
        <w:rPr>
          <w:rFonts w:ascii="Garamond" w:hAnsi="Garamond" w:cstheme="majorBidi"/>
          <w:color w:val="0D0D0D" w:themeColor="text1" w:themeTint="F2"/>
        </w:rPr>
        <w:t>e për të përmbushur kërkesat e njohurive të shoqërive të shekullit të 21-të. Në rast situatash të paparashikuara, të tilla si pandemitë apo fatkeqësitë natyrore, TIK ofron mundësi për të organizuar mësimin në distancë, ndërsa në situata normale teknologjia mund të përdoret për të avancuar procesin e mësimdhënies në shkolla.</w:t>
      </w:r>
    </w:p>
    <w:p w14:paraId="4C3A1BE4" w14:textId="21B210DC" w:rsidR="00BA72A4" w:rsidRPr="00770F9D" w:rsidRDefault="00BA72A4" w:rsidP="0051295A">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Disa nga sfidat kryesore për arritjen e këtij qëllimi janë numri i pamjaftueshëm i pajisjeve TIK në shkolla dhe aksesi i kufizuar në pajisjet TIK dhe interneti në laboratorë të specializuar në shkolla. Mundësitë për të shfrytëzuar pajisjet në klasa janë shumë të kufizuara, për shkak të mungesës së projektorëve, të rrjetit </w:t>
      </w:r>
      <w:r w:rsidR="0051295A">
        <w:rPr>
          <w:rFonts w:ascii="Garamond" w:hAnsi="Garamond" w:cstheme="majorBidi"/>
          <w:i/>
          <w:iCs/>
          <w:color w:val="0D0D0D" w:themeColor="text1" w:themeTint="F2"/>
        </w:rPr>
        <w:t>wireles</w:t>
      </w:r>
      <w:r w:rsidRPr="00770F9D">
        <w:rPr>
          <w:rFonts w:ascii="Garamond" w:hAnsi="Garamond" w:cstheme="majorBidi"/>
          <w:color w:val="0D0D0D" w:themeColor="text1" w:themeTint="F2"/>
        </w:rPr>
        <w:t xml:space="preserve"> dhe aksesorëve të tjerë të dedikuar. Përdorimi i internetit nga fëmijët mund të ketë</w:t>
      </w:r>
      <w:r w:rsidR="0051295A">
        <w:rPr>
          <w:rFonts w:ascii="Garamond" w:hAnsi="Garamond" w:cstheme="majorBidi"/>
          <w:color w:val="0D0D0D" w:themeColor="text1" w:themeTint="F2"/>
        </w:rPr>
        <w:t>,</w:t>
      </w:r>
      <w:r w:rsidRPr="00770F9D">
        <w:rPr>
          <w:rFonts w:ascii="Garamond" w:hAnsi="Garamond" w:cstheme="majorBidi"/>
          <w:color w:val="0D0D0D" w:themeColor="text1" w:themeTint="F2"/>
        </w:rPr>
        <w:t xml:space="preserve"> gjithashtu</w:t>
      </w:r>
      <w:r w:rsidR="0051295A">
        <w:rPr>
          <w:rFonts w:ascii="Garamond" w:hAnsi="Garamond" w:cstheme="majorBidi"/>
          <w:color w:val="0D0D0D" w:themeColor="text1" w:themeTint="F2"/>
        </w:rPr>
        <w:t>,</w:t>
      </w:r>
      <w:r w:rsidRPr="00770F9D">
        <w:rPr>
          <w:rFonts w:ascii="Garamond" w:hAnsi="Garamond" w:cstheme="majorBidi"/>
          <w:color w:val="0D0D0D" w:themeColor="text1" w:themeTint="F2"/>
        </w:rPr>
        <w:t xml:space="preserve"> rezultate pozitive në rezultatet e tyre mësimore dhe përfshirjen sociale, por gjithashtu mund t</w:t>
      </w:r>
      <w:r w:rsidR="0051295A">
        <w:rPr>
          <w:rFonts w:ascii="Garamond" w:hAnsi="Garamond" w:cstheme="majorBidi"/>
          <w:color w:val="0D0D0D" w:themeColor="text1" w:themeTint="F2"/>
        </w:rPr>
        <w:t>’</w:t>
      </w:r>
      <w:r w:rsidRPr="00770F9D">
        <w:rPr>
          <w:rFonts w:ascii="Garamond" w:hAnsi="Garamond" w:cstheme="majorBidi"/>
          <w:color w:val="0D0D0D" w:themeColor="text1" w:themeTint="F2"/>
        </w:rPr>
        <w:t>i ekspozojë ata ndaj rreziqeve të botës virtuale. Masat që synojnë mbrojtjen e fëmijëve dhe të rinjve nga dhuna, abuzimi dhe shfrytëzimi në internet janë</w:t>
      </w:r>
      <w:r w:rsidR="0051295A">
        <w:rPr>
          <w:rFonts w:ascii="Garamond" w:hAnsi="Garamond" w:cstheme="majorBidi"/>
          <w:color w:val="0D0D0D" w:themeColor="text1" w:themeTint="F2"/>
        </w:rPr>
        <w:t>,</w:t>
      </w:r>
      <w:r w:rsidRPr="00770F9D">
        <w:rPr>
          <w:rFonts w:ascii="Garamond" w:hAnsi="Garamond" w:cstheme="majorBidi"/>
          <w:color w:val="0D0D0D" w:themeColor="text1" w:themeTint="F2"/>
        </w:rPr>
        <w:t xml:space="preserve"> gjithashtu</w:t>
      </w:r>
      <w:r w:rsidR="0051295A">
        <w:rPr>
          <w:rFonts w:ascii="Garamond" w:hAnsi="Garamond" w:cstheme="majorBidi"/>
          <w:color w:val="0D0D0D" w:themeColor="text1" w:themeTint="F2"/>
        </w:rPr>
        <w:t>,</w:t>
      </w:r>
      <w:r w:rsidRPr="00770F9D">
        <w:rPr>
          <w:rFonts w:ascii="Garamond" w:hAnsi="Garamond" w:cstheme="majorBidi"/>
          <w:color w:val="0D0D0D" w:themeColor="text1" w:themeTint="F2"/>
        </w:rPr>
        <w:t xml:space="preserve"> të rëndësishme.</w:t>
      </w:r>
    </w:p>
    <w:p w14:paraId="6C4CDBD5" w14:textId="5BA54E47" w:rsidR="00637186" w:rsidRPr="00770F9D" w:rsidRDefault="00BA72A4" w:rsidP="0051295A">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Një aspekt i rëndësishëm është zbatimi i rekomandimit të Këshillit të Evropës për të Mësuarit për Tranzicionin e Gjelbër dhe Zhvillimin e Qëndrueshëm. Në këtë kuadër është hartuar dhe miratuar nga </w:t>
      </w:r>
      <w:r w:rsidR="0051295A" w:rsidRPr="00770F9D">
        <w:rPr>
          <w:rFonts w:ascii="Garamond" w:hAnsi="Garamond" w:cstheme="majorBidi"/>
          <w:color w:val="0D0D0D" w:themeColor="text1" w:themeTint="F2"/>
        </w:rPr>
        <w:t xml:space="preserve">ministri </w:t>
      </w:r>
      <w:r w:rsidRPr="00770F9D">
        <w:rPr>
          <w:rFonts w:ascii="Garamond" w:hAnsi="Garamond" w:cstheme="majorBidi"/>
          <w:color w:val="0D0D0D" w:themeColor="text1" w:themeTint="F2"/>
        </w:rPr>
        <w:t xml:space="preserve">dokumenti politik i standardeve mësimore “Arsimi për Zhvillim të Qëndrueshëm” nga klasa përgatitore deri në klasën e </w:t>
      </w:r>
      <w:r w:rsidR="0051295A">
        <w:rPr>
          <w:rFonts w:ascii="Garamond" w:hAnsi="Garamond" w:cstheme="majorBidi"/>
          <w:color w:val="0D0D0D" w:themeColor="text1" w:themeTint="F2"/>
        </w:rPr>
        <w:t xml:space="preserve">12-të (nr. 10094/1 prot., datë </w:t>
      </w:r>
      <w:r w:rsidRPr="00770F9D">
        <w:rPr>
          <w:rFonts w:ascii="Garamond" w:hAnsi="Garamond" w:cstheme="majorBidi"/>
          <w:color w:val="0D0D0D" w:themeColor="text1" w:themeTint="F2"/>
        </w:rPr>
        <w:t>1.11.2018 MAS). Gjithashtu</w:t>
      </w:r>
      <w:r w:rsidR="0051295A">
        <w:rPr>
          <w:rFonts w:ascii="Garamond" w:hAnsi="Garamond" w:cstheme="majorBidi"/>
          <w:color w:val="0D0D0D" w:themeColor="text1" w:themeTint="F2"/>
        </w:rPr>
        <w:t>,</w:t>
      </w:r>
      <w:r w:rsidRPr="00770F9D">
        <w:rPr>
          <w:rFonts w:ascii="Garamond" w:hAnsi="Garamond" w:cstheme="majorBidi"/>
          <w:color w:val="0D0D0D" w:themeColor="text1" w:themeTint="F2"/>
        </w:rPr>
        <w:t xml:space="preserve"> çështjet mjedisore dhe zhvillimi i qëndrueshëm përfshihen në kurrikulën e arsimit parauniversitar dhe në dokumentet kurrikulare, temat dhe modulet e akredituara nga komisioni i akreditimit për çështje</w:t>
      </w:r>
      <w:r w:rsidR="0051295A">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ndryshimet klimatike, zhvillimi i qëndrueshëm dhe edukimi mjedisor përfshihen në programet e trajnimit të mësuesve. Gjithashtu, është përfshirë në </w:t>
      </w:r>
      <w:r w:rsidR="0051295A" w:rsidRPr="00770F9D">
        <w:rPr>
          <w:rFonts w:ascii="Garamond" w:hAnsi="Garamond" w:cstheme="majorBidi"/>
          <w:color w:val="0D0D0D" w:themeColor="text1" w:themeTint="F2"/>
        </w:rPr>
        <w:t xml:space="preserve">udhëzimin </w:t>
      </w:r>
      <w:r w:rsidRPr="00770F9D">
        <w:rPr>
          <w:rFonts w:ascii="Garamond" w:hAnsi="Garamond" w:cstheme="majorBidi"/>
          <w:color w:val="0D0D0D" w:themeColor="text1" w:themeTint="F2"/>
        </w:rPr>
        <w:t>e vitit shkollor 2022</w:t>
      </w:r>
      <w:r w:rsidR="0051295A">
        <w:rPr>
          <w:rFonts w:ascii="Garamond" w:hAnsi="Garamond"/>
          <w:color w:val="0D0D0D"/>
        </w:rPr>
        <w:t>–</w:t>
      </w:r>
      <w:r w:rsidRPr="00770F9D">
        <w:rPr>
          <w:rFonts w:ascii="Garamond" w:hAnsi="Garamond" w:cstheme="majorBidi"/>
          <w:color w:val="0D0D0D" w:themeColor="text1" w:themeTint="F2"/>
        </w:rPr>
        <w:t xml:space="preserve">2023, “Edukimi </w:t>
      </w:r>
      <w:r w:rsidR="0051295A" w:rsidRPr="00770F9D">
        <w:rPr>
          <w:rFonts w:ascii="Garamond" w:hAnsi="Garamond" w:cstheme="majorBidi"/>
          <w:color w:val="0D0D0D" w:themeColor="text1" w:themeTint="F2"/>
        </w:rPr>
        <w:t>mjedisor</w:t>
      </w:r>
      <w:r w:rsidR="0051295A">
        <w:rPr>
          <w:rFonts w:ascii="Garamond" w:hAnsi="Garamond" w:cstheme="majorBidi"/>
          <w:color w:val="0D0D0D" w:themeColor="text1" w:themeTint="F2"/>
        </w:rPr>
        <w:t>” dhe në disa program</w:t>
      </w:r>
      <w:r w:rsidRPr="00770F9D">
        <w:rPr>
          <w:rFonts w:ascii="Garamond" w:hAnsi="Garamond" w:cstheme="majorBidi"/>
          <w:color w:val="0D0D0D" w:themeColor="text1" w:themeTint="F2"/>
        </w:rPr>
        <w:t>e të tjera që po zbatohen aktualisht me këtë fokus në institucionet e arsimit parauniversitar</w:t>
      </w:r>
      <w:r w:rsidR="00637186" w:rsidRPr="00770F9D">
        <w:rPr>
          <w:rFonts w:ascii="Garamond" w:hAnsi="Garamond" w:cstheme="majorBidi"/>
          <w:color w:val="0D0D0D" w:themeColor="text1" w:themeTint="F2"/>
        </w:rPr>
        <w:t>.</w:t>
      </w:r>
    </w:p>
    <w:p w14:paraId="4DFC134B" w14:textId="6FB8DE0B" w:rsidR="0030742B" w:rsidRPr="00770F9D" w:rsidRDefault="005674F2" w:rsidP="00400806">
      <w:pPr>
        <w:pStyle w:val="Heading4"/>
        <w:snapToGrid w:val="0"/>
        <w:ind w:left="0" w:firstLine="284"/>
        <w:jc w:val="both"/>
        <w:rPr>
          <w:rFonts w:ascii="Garamond" w:hAnsi="Garamond" w:cstheme="majorBidi"/>
          <w:b w:val="0"/>
          <w:i/>
          <w:color w:val="0D0D0D" w:themeColor="text1" w:themeTint="F2"/>
          <w:sz w:val="24"/>
          <w:szCs w:val="24"/>
        </w:rPr>
      </w:pPr>
      <w:r w:rsidRPr="00770F9D">
        <w:rPr>
          <w:rFonts w:ascii="Garamond" w:hAnsi="Garamond" w:cstheme="majorBidi"/>
          <w:b w:val="0"/>
          <w:i/>
          <w:color w:val="0D0D0D" w:themeColor="text1" w:themeTint="F2"/>
          <w:sz w:val="24"/>
          <w:szCs w:val="24"/>
        </w:rPr>
        <w:t>b</w:t>
      </w:r>
      <w:r w:rsidR="0051295A">
        <w:rPr>
          <w:rFonts w:ascii="Garamond" w:hAnsi="Garamond" w:cstheme="majorBidi"/>
          <w:b w:val="0"/>
          <w:i/>
          <w:color w:val="0D0D0D" w:themeColor="text1" w:themeTint="F2"/>
          <w:sz w:val="24"/>
          <w:szCs w:val="24"/>
        </w:rPr>
        <w:t>)</w:t>
      </w:r>
      <w:r w:rsidRPr="00770F9D">
        <w:rPr>
          <w:rFonts w:ascii="Garamond" w:hAnsi="Garamond" w:cstheme="majorBidi"/>
          <w:b w:val="0"/>
          <w:i/>
          <w:color w:val="0D0D0D" w:themeColor="text1" w:themeTint="F2"/>
          <w:sz w:val="24"/>
          <w:szCs w:val="24"/>
        </w:rPr>
        <w:t xml:space="preserve"> </w:t>
      </w:r>
      <w:r w:rsidR="00B2062A" w:rsidRPr="00770F9D">
        <w:rPr>
          <w:rFonts w:ascii="Garamond" w:hAnsi="Garamond" w:cstheme="majorBidi"/>
          <w:b w:val="0"/>
          <w:i/>
          <w:color w:val="0D0D0D" w:themeColor="text1" w:themeTint="F2"/>
          <w:sz w:val="24"/>
          <w:szCs w:val="24"/>
        </w:rPr>
        <w:t>Masat e reformës</w:t>
      </w:r>
    </w:p>
    <w:p w14:paraId="5A7CFBE9" w14:textId="724ACFF2" w:rsidR="0030742B" w:rsidRPr="00770F9D" w:rsidRDefault="00B2062A" w:rsidP="00400806">
      <w:pPr>
        <w:pStyle w:val="Heading5"/>
        <w:snapToGrid w:val="0"/>
        <w:ind w:left="0" w:firstLine="284"/>
        <w:jc w:val="both"/>
        <w:rPr>
          <w:rFonts w:ascii="Garamond" w:hAnsi="Garamond" w:cstheme="majorBidi"/>
          <w:i w:val="0"/>
          <w:color w:val="0D0D0D" w:themeColor="text1" w:themeTint="F2"/>
          <w:sz w:val="24"/>
          <w:szCs w:val="24"/>
        </w:rPr>
      </w:pPr>
      <w:r w:rsidRPr="00770F9D">
        <w:rPr>
          <w:rFonts w:ascii="Garamond" w:hAnsi="Garamond" w:cstheme="majorBidi"/>
          <w:i w:val="0"/>
          <w:color w:val="0D0D0D" w:themeColor="text1" w:themeTint="F2"/>
          <w:sz w:val="24"/>
          <w:szCs w:val="24"/>
        </w:rPr>
        <w:t>Masa e reformës</w:t>
      </w:r>
      <w:r w:rsidR="005358F8" w:rsidRPr="00770F9D">
        <w:rPr>
          <w:rFonts w:ascii="Garamond" w:hAnsi="Garamond" w:cstheme="majorBidi"/>
          <w:i w:val="0"/>
          <w:color w:val="0D0D0D" w:themeColor="text1" w:themeTint="F2"/>
          <w:sz w:val="24"/>
          <w:szCs w:val="24"/>
        </w:rPr>
        <w:t xml:space="preserve"> 17</w:t>
      </w:r>
      <w:r w:rsidR="0030742B" w:rsidRPr="00770F9D">
        <w:rPr>
          <w:rFonts w:ascii="Garamond" w:hAnsi="Garamond" w:cstheme="majorBidi"/>
          <w:i w:val="0"/>
          <w:color w:val="0D0D0D" w:themeColor="text1" w:themeTint="F2"/>
          <w:sz w:val="24"/>
          <w:szCs w:val="24"/>
        </w:rPr>
        <w:t xml:space="preserve">: </w:t>
      </w:r>
      <w:r w:rsidR="00A72F9A" w:rsidRPr="00770F9D">
        <w:rPr>
          <w:rFonts w:ascii="Garamond" w:hAnsi="Garamond" w:cstheme="majorBidi"/>
          <w:i w:val="0"/>
          <w:color w:val="0D0D0D" w:themeColor="text1" w:themeTint="F2"/>
          <w:sz w:val="24"/>
          <w:szCs w:val="24"/>
        </w:rPr>
        <w:t>Mbështetja e zbatim</w:t>
      </w:r>
      <w:r w:rsidR="0051295A">
        <w:rPr>
          <w:rFonts w:ascii="Garamond" w:hAnsi="Garamond" w:cstheme="majorBidi"/>
          <w:i w:val="0"/>
          <w:color w:val="0D0D0D" w:themeColor="text1" w:themeTint="F2"/>
          <w:sz w:val="24"/>
          <w:szCs w:val="24"/>
        </w:rPr>
        <w:t>it të reformës kurrikulare para</w:t>
      </w:r>
      <w:r w:rsidR="00A72F9A" w:rsidRPr="00770F9D">
        <w:rPr>
          <w:rFonts w:ascii="Garamond" w:hAnsi="Garamond" w:cstheme="majorBidi"/>
          <w:i w:val="0"/>
          <w:color w:val="0D0D0D" w:themeColor="text1" w:themeTint="F2"/>
          <w:sz w:val="24"/>
          <w:szCs w:val="24"/>
        </w:rPr>
        <w:t>universitare dhe trajnimit të mësuesve</w:t>
      </w:r>
    </w:p>
    <w:p w14:paraId="07D9076B" w14:textId="362101FD" w:rsidR="0030742B" w:rsidRPr="00770F9D" w:rsidRDefault="005674F2"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 xml:space="preserve">1. </w:t>
      </w:r>
      <w:r w:rsidR="00B2062A" w:rsidRPr="00770F9D">
        <w:rPr>
          <w:rFonts w:ascii="Garamond" w:hAnsi="Garamond" w:cstheme="majorBidi"/>
          <w:color w:val="0D0D0D" w:themeColor="text1" w:themeTint="F2"/>
          <w:u w:val="none"/>
        </w:rPr>
        <w:t>Përshkrimi i masës</w:t>
      </w:r>
    </w:p>
    <w:p w14:paraId="2BFE4B52" w14:textId="303A9E23" w:rsidR="00BA72A4" w:rsidRPr="00770F9D" w:rsidRDefault="00BA72A4" w:rsidP="0051295A">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Kurrikula e bazuar në kompetenca zbatohet në të gjitha klasat 1 deri në 12 të sistemit arsimor parauniversitar. Me ndryshimet që ndodhin në shoqëri shfaqen nevoja të reja, marrëdhënie të reja në shoqëri dhe në tregun e punës, investime më të mëdha në kapitalin njerëzor, inovacione teknologjike, aspirata të reja njerëzore, strategji të reja zhvillimi etj. Kurrikula </w:t>
      </w:r>
      <w:r w:rsidR="0051295A">
        <w:rPr>
          <w:rFonts w:ascii="Garamond" w:hAnsi="Garamond" w:cstheme="majorBidi"/>
          <w:color w:val="0D0D0D" w:themeColor="text1" w:themeTint="F2"/>
        </w:rPr>
        <w:t>u</w:t>
      </w:r>
      <w:r w:rsidRPr="00770F9D">
        <w:rPr>
          <w:rFonts w:ascii="Garamond" w:hAnsi="Garamond" w:cstheme="majorBidi"/>
          <w:color w:val="0D0D0D" w:themeColor="text1" w:themeTint="F2"/>
        </w:rPr>
        <w:t xml:space="preserve"> përgjigjet këtyre ndryshimeve të shpejta me zhvillime të brendshme sasiore dhe cilësore, për të mundësuar njohuri, aftësi, vlera dhe qëndrime të reja të përshtatshme, sistematike, koherente dhe në zhvillim të vazhdueshëm, të cilat u transmetohen nxënësve nëpërmjet mësuesve të tyre. Procesi i zbatimit të kurrikulës është shoqëruar me forcimin e kapaciteteve të mësuesve dhe drejtuesve në zbatimin efektiv të kurrikulës së reformuar. Për të arritur këtë qëllim, theks i veçantë iu kushtua trajnimit të mësuesve, rrjetit profesional të fuqizimit dhe inkurajimit të mësuesve, si një mekanizëm që mbështet zhvillimin profesional të mësuesve dhe përmirëson cilësinë e kurrikulës së zbatuar në shkollë. Vlerësimi i brendshëm dhe i jashtëm i kurrikulës dhe faktorët që ndikojnë në të konsiderohen si një proces shumë i rëndësishëm për monitorimin dhe vlerësimin e vazhdueshëm të cilësisë së hartimit dhe zbatimit të kurrikulës.</w:t>
      </w:r>
    </w:p>
    <w:p w14:paraId="559C4C26" w14:textId="4E8DC705" w:rsidR="00BA72A4" w:rsidRPr="00770F9D" w:rsidRDefault="002354C4"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Për sa</w:t>
      </w:r>
      <w:r w:rsidR="00BA72A4" w:rsidRPr="00770F9D">
        <w:rPr>
          <w:rFonts w:ascii="Garamond" w:hAnsi="Garamond" w:cstheme="majorBidi"/>
          <w:color w:val="0D0D0D" w:themeColor="text1" w:themeTint="F2"/>
        </w:rPr>
        <w:t xml:space="preserve"> i përket zhvillimit profesional të mësuesve, funksionimi i rrjeteve profesionale të mësuesve ka vijuar sipas profileve përkatëse ose sipas roleve të mësuesve në shkollë. Mësuesit dhe drejtuesit e shkollave duhet të ndjekin të paktën 3 ditë trajnim në vit nga ofruesit e autorizuar, ndër të cilët ASCAP është qendror.</w:t>
      </w:r>
    </w:p>
    <w:p w14:paraId="682232F5" w14:textId="77777777" w:rsidR="00BA72A4" w:rsidRPr="00770F9D" w:rsidRDefault="00BA72A4"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Mësuesit kanë mundësinë të ndajnë përvojat dhe të reflektojnë përmes “rrjeteve të zhvillimit profesional”, të cilat organizohen rregullisht dhe ku stafi i shkollës mund të ndajë sfidat dhe arritjet e tyre. Arsyeja pse rrjetet funksionojnë është sepse mësuesit i shohin ato si një vend ku ata mund të ndajnë shqetësimet dhe arritjet e tyre.</w:t>
      </w:r>
    </w:p>
    <w:p w14:paraId="0309C317" w14:textId="796C223D" w:rsidR="00BA72A4" w:rsidRPr="00770F9D" w:rsidRDefault="00BA72A4" w:rsidP="00500AAF">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Harmonizimi i kurrikulës së trajnimit fillestar për programet e arsimit të lartë bazuar në kërkesat e Ligjit për Arsimin e Lartë</w:t>
      </w:r>
      <w:r w:rsidR="00500AAF">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dhe me kurrikulën e parashikuar për arsimin parauniversitar është një masë e rëndësishme. Ky proces duhet të përdoret për të përshtatur kurrikulat, në përputhje me praktikat më të mira ndërkombëtare, veçanërisht me rekomandimet e BE-së që vendosin një ekuilibër të drejtë midis përmbajtjes së lëndës, komponentit pedagogjik dhe punës praktike të integruar në programin e studimit. Në përputhje me këto rekomandime, programet fillestare të trajnimit të mësuesve duhet t</w:t>
      </w:r>
      <w:r w:rsidR="00500AAF">
        <w:rPr>
          <w:rFonts w:ascii="Garamond" w:hAnsi="Garamond" w:cstheme="majorBidi"/>
          <w:color w:val="0D0D0D" w:themeColor="text1" w:themeTint="F2"/>
        </w:rPr>
        <w:t>’</w:t>
      </w:r>
      <w:r w:rsidRPr="00770F9D">
        <w:rPr>
          <w:rFonts w:ascii="Garamond" w:hAnsi="Garamond" w:cstheme="majorBidi"/>
          <w:color w:val="0D0D0D" w:themeColor="text1" w:themeTint="F2"/>
        </w:rPr>
        <w:t>u ofrojnë mësuesve të ardhshëm kompetencat kyçe të nevojshme për mësimdhënie cilësore, por edhe t</w:t>
      </w:r>
      <w:r w:rsidR="00500AAF">
        <w:rPr>
          <w:rFonts w:ascii="Garamond" w:hAnsi="Garamond" w:cstheme="majorBidi"/>
          <w:color w:val="0D0D0D" w:themeColor="text1" w:themeTint="F2"/>
        </w:rPr>
        <w:t>’</w:t>
      </w:r>
      <w:r w:rsidRPr="00770F9D">
        <w:rPr>
          <w:rFonts w:ascii="Garamond" w:hAnsi="Garamond" w:cstheme="majorBidi"/>
          <w:color w:val="0D0D0D" w:themeColor="text1" w:themeTint="F2"/>
        </w:rPr>
        <w:t>i motivojnë ata që t</w:t>
      </w:r>
      <w:r w:rsidR="00500AAF">
        <w:rPr>
          <w:rFonts w:ascii="Garamond" w:hAnsi="Garamond" w:cstheme="majorBidi"/>
          <w:color w:val="0D0D0D" w:themeColor="text1" w:themeTint="F2"/>
        </w:rPr>
        <w:t>’</w:t>
      </w:r>
      <w:r w:rsidRPr="00770F9D">
        <w:rPr>
          <w:rFonts w:ascii="Garamond" w:hAnsi="Garamond" w:cstheme="majorBidi"/>
          <w:color w:val="0D0D0D" w:themeColor="text1" w:themeTint="F2"/>
        </w:rPr>
        <w:t>i zhvillojnë më tej këto kompetenca gjatë karrierës së tyre. Veçanërisht, këto programe duhet t</w:t>
      </w:r>
      <w:r w:rsidR="00500AAF">
        <w:rPr>
          <w:rFonts w:ascii="Garamond" w:hAnsi="Garamond" w:cstheme="majorBidi"/>
          <w:color w:val="0D0D0D" w:themeColor="text1" w:themeTint="F2"/>
        </w:rPr>
        <w:t>’</w:t>
      </w:r>
      <w:r w:rsidRPr="00770F9D">
        <w:rPr>
          <w:rFonts w:ascii="Garamond" w:hAnsi="Garamond" w:cstheme="majorBidi"/>
          <w:color w:val="0D0D0D" w:themeColor="text1" w:themeTint="F2"/>
        </w:rPr>
        <w:t>i kushtojnë vëmendje trajnimit të mësuesve të ardhshëm për zhvillimin e kompetencave kyçe ndërkurrikulare te nxënësit, si: kompetenca digjitale, kompetenca e të nxënit, kompetenca sipërmarrëse dhe komunikimi i shkrim-leximit, puna në grup, prezantimi, zgjidhja e problemeve, të menduarit kritik, aftësitë e gjelbra. Mësuesit gjithashtu duhet të trajnohen për të punuar me grupe të ndryshme nxënësish, duke përfshirë nxënësit me aftësi të kufizuara dhe fëmijët që janë pjesë e grupeve vulnerabël.</w:t>
      </w:r>
    </w:p>
    <w:p w14:paraId="288DF3EB" w14:textId="441CCBEE" w:rsidR="00BA72A4" w:rsidRPr="00770F9D" w:rsidRDefault="00BA72A4"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Bazuar në programin e qeverisë për përfshirjen e </w:t>
      </w:r>
      <w:r w:rsidR="00500AAF">
        <w:rPr>
          <w:rFonts w:ascii="Garamond" w:hAnsi="Garamond" w:cstheme="majorBidi"/>
          <w:color w:val="0D0D0D" w:themeColor="text1" w:themeTint="F2"/>
        </w:rPr>
        <w:t>gjuhës angleze në klasën e parë</w:t>
      </w:r>
      <w:r w:rsidRPr="00770F9D">
        <w:rPr>
          <w:rFonts w:ascii="Garamond" w:hAnsi="Garamond" w:cstheme="majorBidi"/>
          <w:color w:val="0D0D0D" w:themeColor="text1" w:themeTint="F2"/>
        </w:rPr>
        <w:t xml:space="preserve"> është rishikuar dhe miratuar plani i arsimit bazë. Gjuha angleze përfshihet në kurrikulën e detyrueshme për klasën e parë dhe gjuha e huaj e dytë përfshihet në kurrikulën bërthamë në klasën e gjashtë. Është hartuar dhe miratuar programi i gjuhës angleze për klasën e parë. Trajnimi i mësuesve të anglishtes është ofruar në bazë të moduleve të trajnimit.</w:t>
      </w:r>
    </w:p>
    <w:p w14:paraId="68D33871" w14:textId="77777777" w:rsidR="00BA72A4" w:rsidRPr="00770F9D" w:rsidRDefault="00BA72A4"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Mësimi i zejeve dhe arteve në arsimin e mesëm të lartë në kurrikulat me zgjedhje është një tjetër politikë e cila do të zbatohet si kurrikulë me zgjedhje në arsimin e mesëm të lartë. Në këtë drejtim, ASCAP do të hartojë module kurrikulare dhe profesionale për zanatet dhe artet. Në varësi të interesave dhe pasioneve të tyre, studentët do të kenë mundësinë të zgjedhin një zanat apo një lloj arti për të mësuar nga një “menu” modulesh. Gjithashtu, do të ofrohen trajnime të mësuesve për zhvillimin e moduleve artizanale dhe zejeve në arsimin e mesëm të lartë lidhur me përmbajtjen mësimore, metodologjinë dhe vlerësimin e këtyre moduleve.</w:t>
      </w:r>
    </w:p>
    <w:p w14:paraId="0A292F21" w14:textId="520131A7" w:rsidR="00BA72A4" w:rsidRPr="00770F9D" w:rsidRDefault="00BA72A4"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Programi kombëtar “Art, zeje, sport” i quajtur ndryshe program </w:t>
      </w:r>
      <w:r w:rsidR="00500AAF" w:rsidRPr="00770F9D">
        <w:rPr>
          <w:rFonts w:ascii="Garamond" w:hAnsi="Garamond" w:cstheme="majorBidi"/>
          <w:color w:val="0D0D0D" w:themeColor="text1" w:themeTint="F2"/>
        </w:rPr>
        <w:t xml:space="preserve">jashtë orarit mësimor </w:t>
      </w:r>
      <w:r w:rsidRPr="00770F9D">
        <w:rPr>
          <w:rFonts w:ascii="Garamond" w:hAnsi="Garamond" w:cstheme="majorBidi"/>
          <w:color w:val="0D0D0D" w:themeColor="text1" w:themeTint="F2"/>
        </w:rPr>
        <w:t>(JOM) do të zbatohet gradualisht në sistemin arsimor parauniversitar. Fillimisht do të nisë zbatimi në 200 Shkolla Qendër Komunitare (SHQK), të përzgjedhura nga ZVAP-et dhe të miratuara nga Drejtoria e Përgjithshme e Arsimit Parauniversitar (DPAP). Më pas JOM-i do të shtrihet gradualisht në nivel kombëtar.</w:t>
      </w:r>
    </w:p>
    <w:p w14:paraId="6901C3ED" w14:textId="479D629D" w:rsidR="00BA72A4" w:rsidRPr="00770F9D" w:rsidRDefault="00BA72A4" w:rsidP="00B00F0F">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Programi “Art, zeje, sport” është një iniciativë përmes së cilës synohet përfshirja e artit, zejeve, teknologjisë, mjedisit, bujqësisë dhe sportit në edukim, duke nxitur mësimin e arteve dhe artizanatit, folklorit dhe zejeve tradicionale, përdorimin e aftësive digjitale, edukimin dhe ndërgjegjësimin mjedisor, edukimin bujqësor, angazhimin e fëmijëve dhe të rinjve në disiplinat sportive. Ata synojnë të zhvillojnë dhe promovojnë një shëndet sa më të plotë në aspektin shpirtëror dhe social, në mënyrë që studentët të formojnë modele të jetës aktive dhe të zhvillojnë vlera dhe qëndrime si bashkëpunimi, respektimi i diversitetit, përgjegjshmëria etj. Ky program është krijuar për t</w:t>
      </w:r>
      <w:r w:rsidR="00B00F0F">
        <w:rPr>
          <w:rFonts w:ascii="Garamond" w:hAnsi="Garamond" w:cstheme="majorBidi"/>
          <w:color w:val="0D0D0D" w:themeColor="text1" w:themeTint="F2"/>
        </w:rPr>
        <w:t>’</w:t>
      </w:r>
      <w:r w:rsidRPr="00770F9D">
        <w:rPr>
          <w:rFonts w:ascii="Garamond" w:hAnsi="Garamond" w:cstheme="majorBidi"/>
          <w:color w:val="0D0D0D" w:themeColor="text1" w:themeTint="F2"/>
        </w:rPr>
        <w:t xml:space="preserve">i shërbyer dhe mbështetur zhvillimin e fëmijëve dhe të rinjve në arsimin bazë dhe të mesëm të lartë. </w:t>
      </w:r>
      <w:r w:rsidR="00B00F0F">
        <w:rPr>
          <w:rFonts w:ascii="Garamond" w:hAnsi="Garamond" w:cstheme="majorBidi"/>
          <w:color w:val="0D0D0D" w:themeColor="text1" w:themeTint="F2"/>
        </w:rPr>
        <w:t>“</w:t>
      </w:r>
      <w:r w:rsidRPr="00770F9D">
        <w:rPr>
          <w:rFonts w:ascii="Garamond" w:hAnsi="Garamond" w:cstheme="majorBidi"/>
          <w:color w:val="0D0D0D" w:themeColor="text1" w:themeTint="F2"/>
        </w:rPr>
        <w:t>Art, zeje, sport</w:t>
      </w:r>
      <w:r w:rsidR="00B00F0F">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përfshin kreativitetin, inovacionin dhe marrjen përsipër të iniciativave, aktivitete dhe projekte që zhvillohen në shkolla në bashkëpunim dhe partneritet me prindërit, komunitetin dhe bizneset lokale. Ai synon të nxisë aftësitë sipërmarrëse të studentëve në këndvështrimin e ruajtjes dhe promovimit të vlerave të komunitetit ku ata jetojnë, si dhe të trashëgimisë sonë kulturore. Përfitimet që ofron edukimi për artet, zejet dhe sportin janë të shumta dhe të ndryshme. Siguron ndër të tjera arritje më të mira të fëmijëve dhe nxënësve, garanci për shëndet më të mirë, pjesëmarrje aktive në vendimmarrje të fëmijëve dhe të rinjve, përfshirje dhe kontribut të gjerë të familjes, hapje ndaj komunitetit dhe strukturave vendore dhe më shumë siguri për fëmijët dhe të rinjtë. Veprimtaritë/kurset jashtë orarit mësimor ofrohen dhe janë të hapura për të gjithë studentët, të grupuara sipas klasave ose cikleve.</w:t>
      </w:r>
    </w:p>
    <w:p w14:paraId="03C64B1F" w14:textId="268B557E" w:rsidR="00BA72A4" w:rsidRPr="00770F9D" w:rsidRDefault="00BA72A4"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Ato do të ofrohen rregullisht, 2 (dy) herë në javë nga dy orë, gjatë gjithë vitit shkollor. Gjatë vitit shkollor, arritjet e nxënësve në kurse të ndryshme do të përcillen përmes aktiviteteve të nivelit shkollor si ekspozita, panaire, festivale, koncerte, konkurse, gara</w:t>
      </w:r>
      <w:r w:rsidR="003469F3" w:rsidRPr="00770F9D">
        <w:rPr>
          <w:rFonts w:ascii="Garamond" w:hAnsi="Garamond" w:cstheme="majorBidi"/>
          <w:color w:val="0D0D0D" w:themeColor="text1" w:themeTint="F2"/>
        </w:rPr>
        <w:t xml:space="preserve"> etj</w:t>
      </w:r>
      <w:r w:rsidRPr="00770F9D">
        <w:rPr>
          <w:rFonts w:ascii="Garamond" w:hAnsi="Garamond" w:cstheme="majorBidi"/>
          <w:color w:val="0D0D0D" w:themeColor="text1" w:themeTint="F2"/>
        </w:rPr>
        <w:t>.</w:t>
      </w:r>
    </w:p>
    <w:p w14:paraId="693C8694" w14:textId="48A23E58" w:rsidR="00BA72A4" w:rsidRPr="00770F9D" w:rsidRDefault="00BA72A4"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Për të forcuar kompetencat e të rinjve të përshtatshëm për tregun e punës, prioritet i është dhënë përmirësimit të aftësive digjitale të nxënësve, duke filluar nga klasa e parë me aftësi kodimi. Në këtë kuadër është miratuar plani i arsimit bazë për përfshirjen e TIK-ut në klasën e parë, duke u fokusuar më shumë tek kodimi. Programi i ri i TIK në klasën e parë është miratuar nga Ministria e Arsimit dhe Sportit. Është hartuar një manual mësuesi për zbatimin e programit të klasës së parë me fokus kodimin. Një udhëzues është zhvilluar si një material mbështetës për mësuesit</w:t>
      </w:r>
      <w:r w:rsidR="00102247">
        <w:rPr>
          <w:rFonts w:ascii="Garamond" w:hAnsi="Garamond" w:cstheme="majorBidi"/>
          <w:color w:val="0D0D0D" w:themeColor="text1" w:themeTint="F2"/>
        </w:rPr>
        <w:t>,</w:t>
      </w:r>
      <w:r w:rsidRPr="00770F9D">
        <w:rPr>
          <w:rFonts w:ascii="Garamond" w:hAnsi="Garamond" w:cstheme="majorBidi"/>
          <w:color w:val="0D0D0D" w:themeColor="text1" w:themeTint="F2"/>
        </w:rPr>
        <w:t xml:space="preserve"> në lidhje me zhvillimin e të nxënit të përzier si metodologji mësimore dhe përdorimin e TIK-ut në procesin e mësimdhënies. 101 mësues u trajnuan në 4 shkolla pilot për zbatimin e mësimit të përzier në Zyrën Vendore të Arsimit Parauniversitar Elbasan.</w:t>
      </w:r>
    </w:p>
    <w:p w14:paraId="5203BCF2" w14:textId="77777777" w:rsidR="00BA72A4" w:rsidRPr="00770F9D" w:rsidRDefault="00BA72A4"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Shqipëria përfshihet për herë të parë në studimin ndërkombëtar të TALIS 2024. Në zbatim të detyrave për pjesëmarrjen e vendit tonë në këtë studim, Agjencia e Sigurimit të Cilësisë për Arsimin Parauniversitar (ASCAP) ka ngritur një grup pune me persona përgjegjës, të cilët kanë ndjekur të gjitha procedurat dhe trajnimet e kryera nga grupi koordinues TALIS 2024.</w:t>
      </w:r>
    </w:p>
    <w:p w14:paraId="7474804E" w14:textId="76134116" w:rsidR="00BA72A4" w:rsidRPr="00770F9D" w:rsidRDefault="00102247" w:rsidP="00400806">
      <w:pPr>
        <w:snapToGrid w:val="0"/>
        <w:ind w:firstLine="284"/>
        <w:jc w:val="both"/>
        <w:rPr>
          <w:rFonts w:ascii="Garamond" w:hAnsi="Garamond" w:cstheme="majorBidi"/>
          <w:color w:val="0D0D0D" w:themeColor="text1" w:themeTint="F2"/>
        </w:rPr>
      </w:pPr>
      <w:r>
        <w:rPr>
          <w:rFonts w:ascii="Garamond" w:hAnsi="Garamond" w:cstheme="majorBidi"/>
          <w:color w:val="0D0D0D" w:themeColor="text1" w:themeTint="F2"/>
        </w:rPr>
        <w:t>Gjatë periudhës shkurt–</w:t>
      </w:r>
      <w:r w:rsidRPr="00770F9D">
        <w:rPr>
          <w:rFonts w:ascii="Garamond" w:hAnsi="Garamond" w:cstheme="majorBidi"/>
          <w:color w:val="0D0D0D" w:themeColor="text1" w:themeTint="F2"/>
        </w:rPr>
        <w:t xml:space="preserve">mars </w:t>
      </w:r>
      <w:r w:rsidR="00BA72A4" w:rsidRPr="00770F9D">
        <w:rPr>
          <w:rFonts w:ascii="Garamond" w:hAnsi="Garamond" w:cstheme="majorBidi"/>
          <w:color w:val="0D0D0D" w:themeColor="text1" w:themeTint="F2"/>
        </w:rPr>
        <w:t>2022, ASCAP</w:t>
      </w:r>
      <w:r>
        <w:rPr>
          <w:rFonts w:ascii="Garamond" w:hAnsi="Garamond" w:cstheme="majorBidi"/>
          <w:color w:val="0D0D0D" w:themeColor="text1" w:themeTint="F2"/>
        </w:rPr>
        <w:t>-i</w:t>
      </w:r>
      <w:r w:rsidR="00BA72A4" w:rsidRPr="00770F9D">
        <w:rPr>
          <w:rFonts w:ascii="Garamond" w:hAnsi="Garamond" w:cstheme="majorBidi"/>
          <w:color w:val="0D0D0D" w:themeColor="text1" w:themeTint="F2"/>
        </w:rPr>
        <w:t xml:space="preserve"> ka zhvilluar procesin e pilotimit të instrumenteve të anketimit dhe është në proces të zhvillimit të fazës së </w:t>
      </w:r>
      <w:r w:rsidRPr="00770F9D">
        <w:rPr>
          <w:rFonts w:ascii="Garamond" w:hAnsi="Garamond" w:cstheme="majorBidi"/>
          <w:color w:val="0D0D0D" w:themeColor="text1" w:themeTint="F2"/>
        </w:rPr>
        <w:t xml:space="preserve">testit </w:t>
      </w:r>
      <w:r w:rsidR="00BA72A4" w:rsidRPr="00770F9D">
        <w:rPr>
          <w:rFonts w:ascii="Garamond" w:hAnsi="Garamond" w:cstheme="majorBidi"/>
          <w:color w:val="0D0D0D" w:themeColor="text1" w:themeTint="F2"/>
        </w:rPr>
        <w:t>në terren me 400 mësues.</w:t>
      </w:r>
    </w:p>
    <w:p w14:paraId="346B1BDC" w14:textId="49F8B9B2" w:rsidR="00637186" w:rsidRPr="00770F9D" w:rsidRDefault="00BA72A4"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Kjo masë lidhet me </w:t>
      </w:r>
      <w:r w:rsidR="00102247" w:rsidRPr="00770F9D">
        <w:rPr>
          <w:rFonts w:ascii="Garamond" w:hAnsi="Garamond" w:cstheme="majorBidi"/>
          <w:color w:val="0D0D0D" w:themeColor="text1" w:themeTint="F2"/>
        </w:rPr>
        <w:t>kriteret ekonomike</w:t>
      </w:r>
      <w:r w:rsidRPr="00770F9D">
        <w:rPr>
          <w:rFonts w:ascii="Garamond" w:hAnsi="Garamond" w:cstheme="majorBidi"/>
          <w:color w:val="0D0D0D" w:themeColor="text1" w:themeTint="F2"/>
        </w:rPr>
        <w:t>, për të qenë konkurrues në BE, gjë që kërkon një sasi të mjaftueshme kapitali njerëzor, arsim, kërkim, inovacion dhe zhvillime të ardhshme në këtë fushë</w:t>
      </w:r>
      <w:r w:rsidR="00637186" w:rsidRPr="00770F9D">
        <w:rPr>
          <w:rFonts w:ascii="Garamond" w:hAnsi="Garamond" w:cstheme="majorBidi"/>
          <w:color w:val="0D0D0D" w:themeColor="text1" w:themeTint="F2"/>
        </w:rPr>
        <w:t>.</w:t>
      </w:r>
    </w:p>
    <w:p w14:paraId="481C40F7" w14:textId="1FBB3DAF" w:rsidR="005674F2" w:rsidRPr="00770F9D" w:rsidRDefault="005674F2" w:rsidP="000F6F7A">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a</w:t>
      </w:r>
      <w:r w:rsidR="00322249" w:rsidRPr="00770F9D">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 xml:space="preserve">Aktivitete të planifikuara </w:t>
      </w:r>
      <w:r w:rsidR="000F6F7A">
        <w:rPr>
          <w:rFonts w:ascii="Garamond" w:hAnsi="Garamond"/>
          <w:b/>
          <w:bCs/>
          <w:color w:val="0D0D0D"/>
          <w:sz w:val="24"/>
          <w:szCs w:val="24"/>
          <w:lang w:val="sq-AL"/>
        </w:rPr>
        <w:t>m</w:t>
      </w:r>
      <w:r w:rsidRPr="00770F9D">
        <w:rPr>
          <w:rFonts w:ascii="Garamond" w:hAnsi="Garamond"/>
          <w:b/>
          <w:bCs/>
          <w:color w:val="0D0D0D"/>
          <w:sz w:val="24"/>
          <w:szCs w:val="24"/>
          <w:lang w:val="sq-AL"/>
        </w:rPr>
        <w:t>ë</w:t>
      </w:r>
      <w:r w:rsidR="00102247">
        <w:rPr>
          <w:rFonts w:ascii="Garamond" w:hAnsi="Garamond"/>
          <w:b/>
          <w:bCs/>
          <w:color w:val="0D0D0D"/>
          <w:sz w:val="24"/>
          <w:szCs w:val="24"/>
          <w:lang w:val="sq-AL"/>
        </w:rPr>
        <w:t xml:space="preserve"> </w:t>
      </w:r>
      <w:r w:rsidRPr="00770F9D">
        <w:rPr>
          <w:rFonts w:ascii="Garamond" w:hAnsi="Garamond"/>
          <w:b/>
          <w:bCs/>
          <w:color w:val="0D0D0D"/>
          <w:sz w:val="24"/>
          <w:szCs w:val="24"/>
          <w:lang w:val="sq-AL"/>
        </w:rPr>
        <w:t>2023</w:t>
      </w:r>
      <w:r w:rsidR="00102247">
        <w:rPr>
          <w:rFonts w:ascii="Garamond" w:hAnsi="Garamond"/>
          <w:b/>
          <w:bCs/>
          <w:color w:val="0D0D0D"/>
          <w:sz w:val="24"/>
          <w:szCs w:val="24"/>
          <w:lang w:val="sq-AL"/>
        </w:rPr>
        <w:t>-shin</w:t>
      </w:r>
    </w:p>
    <w:p w14:paraId="7EF517DF" w14:textId="10445F71" w:rsidR="005674F2" w:rsidRPr="00770F9D" w:rsidRDefault="005674F2" w:rsidP="00102247">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a</w:t>
      </w:r>
      <w:r w:rsidR="00322249"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Trajnimi i 1000 mësuesve të klasës së dytë dhe monitorimi i vazhdimësisë së punës për zbatimin e programit të gjuhës angleze</w:t>
      </w:r>
      <w:r w:rsidR="00102247">
        <w:rPr>
          <w:rFonts w:ascii="Garamond" w:hAnsi="Garamond"/>
          <w:color w:val="0D0D0D"/>
          <w:sz w:val="24"/>
          <w:szCs w:val="24"/>
          <w:lang w:val="sq-AL"/>
        </w:rPr>
        <w:t>;</w:t>
      </w:r>
    </w:p>
    <w:p w14:paraId="1BA1C58B" w14:textId="2F3E171E" w:rsidR="005674F2" w:rsidRPr="00770F9D" w:rsidRDefault="005674F2" w:rsidP="00102247">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b</w:t>
      </w:r>
      <w:r w:rsidR="00322249"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Përfundimi i procesit të harmonizimit të kurrikulave të trajnimit fillestar të mësuesve të IAL-ve bazuar në kërkesat e </w:t>
      </w:r>
      <w:r w:rsidR="00A64222" w:rsidRPr="00770F9D">
        <w:rPr>
          <w:rFonts w:ascii="Garamond" w:hAnsi="Garamond"/>
          <w:color w:val="0D0D0D"/>
          <w:sz w:val="24"/>
          <w:szCs w:val="24"/>
          <w:lang w:val="sq-AL"/>
        </w:rPr>
        <w:t>ligjit për arsimin e lartë</w:t>
      </w:r>
      <w:r w:rsidR="00A64222">
        <w:rPr>
          <w:rFonts w:ascii="Garamond" w:hAnsi="Garamond"/>
          <w:color w:val="0D0D0D"/>
          <w:sz w:val="24"/>
          <w:szCs w:val="24"/>
          <w:lang w:val="sq-AL"/>
        </w:rPr>
        <w:t>,</w:t>
      </w:r>
      <w:r w:rsidR="00A64222" w:rsidRPr="00770F9D">
        <w:rPr>
          <w:rFonts w:ascii="Garamond" w:hAnsi="Garamond"/>
          <w:color w:val="0D0D0D"/>
          <w:sz w:val="24"/>
          <w:szCs w:val="24"/>
          <w:lang w:val="sq-AL"/>
        </w:rPr>
        <w:t xml:space="preserve"> </w:t>
      </w:r>
      <w:r w:rsidRPr="00770F9D">
        <w:rPr>
          <w:rFonts w:ascii="Garamond" w:hAnsi="Garamond"/>
          <w:color w:val="0D0D0D"/>
          <w:sz w:val="24"/>
          <w:szCs w:val="24"/>
          <w:lang w:val="sq-AL"/>
        </w:rPr>
        <w:t>si dhe me kurrikulën e ofruar në arsimin parauniversitar</w:t>
      </w:r>
      <w:r w:rsidR="00102247">
        <w:rPr>
          <w:rFonts w:ascii="Garamond" w:hAnsi="Garamond"/>
          <w:color w:val="0D0D0D"/>
          <w:sz w:val="24"/>
          <w:szCs w:val="24"/>
          <w:lang w:val="sq-AL"/>
        </w:rPr>
        <w:t>;</w:t>
      </w:r>
    </w:p>
    <w:p w14:paraId="28241EF8" w14:textId="2B38916A" w:rsidR="005674F2" w:rsidRPr="00770F9D" w:rsidRDefault="005674F2" w:rsidP="00102247">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c</w:t>
      </w:r>
      <w:r w:rsidR="00322249"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Diskutimi dhe finalizimi i draftit të sistemit të karrierës së mësuesit bazuar në vlerësimin e performancës së mësuesit në shkollë</w:t>
      </w:r>
      <w:r w:rsidR="00102247">
        <w:rPr>
          <w:rFonts w:ascii="Garamond" w:hAnsi="Garamond"/>
          <w:color w:val="0D0D0D"/>
          <w:sz w:val="24"/>
          <w:szCs w:val="24"/>
          <w:lang w:val="sq-AL"/>
        </w:rPr>
        <w:t>;</w:t>
      </w:r>
    </w:p>
    <w:p w14:paraId="0CC4CFC9" w14:textId="467A1EA9" w:rsidR="005674F2" w:rsidRPr="00770F9D" w:rsidRDefault="005674F2" w:rsidP="00102247">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d</w:t>
      </w:r>
      <w:r w:rsidR="00322249"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Forcimi i kapaciteteve njerëzore në sektorët e kurrikulës në nivel të </w:t>
      </w:r>
      <w:r w:rsidR="00A64222" w:rsidRPr="00770F9D">
        <w:rPr>
          <w:rFonts w:ascii="Garamond" w:hAnsi="Garamond"/>
          <w:color w:val="0D0D0D"/>
          <w:sz w:val="24"/>
          <w:szCs w:val="24"/>
          <w:lang w:val="sq-AL"/>
        </w:rPr>
        <w:t>zyrave arsimore vendore</w:t>
      </w:r>
      <w:r w:rsidR="00A64222">
        <w:rPr>
          <w:rFonts w:ascii="Garamond" w:hAnsi="Garamond"/>
          <w:color w:val="0D0D0D"/>
          <w:sz w:val="24"/>
          <w:szCs w:val="24"/>
          <w:lang w:val="sq-AL"/>
        </w:rPr>
        <w:t>;</w:t>
      </w:r>
    </w:p>
    <w:p w14:paraId="756414A1" w14:textId="6BAC277F" w:rsidR="005674F2" w:rsidRPr="00770F9D" w:rsidRDefault="005674F2" w:rsidP="00102247">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e</w:t>
      </w:r>
      <w:r w:rsidR="00322249"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Trajnimi i 700 drejtuesve të rrjeteve profesionale të arsimit të mesëm të ulët mbi udhëzuesin e zhvillimit të arsimit për </w:t>
      </w:r>
      <w:r w:rsidR="00A64222" w:rsidRPr="00770F9D">
        <w:rPr>
          <w:rFonts w:ascii="Garamond" w:hAnsi="Garamond"/>
          <w:color w:val="0D0D0D"/>
          <w:sz w:val="24"/>
          <w:szCs w:val="24"/>
          <w:lang w:val="sq-AL"/>
        </w:rPr>
        <w:t>arte dhe zeje</w:t>
      </w:r>
      <w:r w:rsidRPr="00770F9D">
        <w:rPr>
          <w:rFonts w:ascii="Garamond" w:hAnsi="Garamond"/>
          <w:color w:val="0D0D0D"/>
          <w:sz w:val="24"/>
          <w:szCs w:val="24"/>
          <w:lang w:val="sq-AL"/>
        </w:rPr>
        <w:t>, gjithashtu udhëzues për orientimin në karrierë në arsimin bazë</w:t>
      </w:r>
      <w:r w:rsidR="00102247">
        <w:rPr>
          <w:rFonts w:ascii="Garamond" w:hAnsi="Garamond"/>
          <w:color w:val="0D0D0D"/>
          <w:sz w:val="24"/>
          <w:szCs w:val="24"/>
          <w:lang w:val="sq-AL"/>
        </w:rPr>
        <w:t>;</w:t>
      </w:r>
    </w:p>
    <w:p w14:paraId="1B7850B0" w14:textId="1356F2BC" w:rsidR="005674F2" w:rsidRPr="00770F9D" w:rsidRDefault="005674F2" w:rsidP="00102247">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f</w:t>
      </w:r>
      <w:r w:rsidR="00322249"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Hartimi dhe miratimi i kornizës për vlerësimin e cilësisë së shërbimeve në arsimin parashkollor</w:t>
      </w:r>
      <w:r w:rsidR="00102247">
        <w:rPr>
          <w:rFonts w:ascii="Garamond" w:hAnsi="Garamond"/>
          <w:color w:val="0D0D0D"/>
          <w:sz w:val="24"/>
          <w:szCs w:val="24"/>
          <w:lang w:val="sq-AL"/>
        </w:rPr>
        <w:t>;</w:t>
      </w:r>
    </w:p>
    <w:p w14:paraId="71BC2E80" w14:textId="2317070F" w:rsidR="005674F2" w:rsidRPr="00770F9D" w:rsidRDefault="005674F2" w:rsidP="00322249">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g</w:t>
      </w:r>
      <w:r w:rsidR="00322249"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Hartimi i programit të ri dhe trajnimi i 100 mësuesve në zbatimin e programit TIK për klasën e parë dhe të dytë.</w:t>
      </w:r>
    </w:p>
    <w:p w14:paraId="5B50D80A" w14:textId="7A58C816" w:rsidR="005674F2" w:rsidRPr="00770F9D" w:rsidRDefault="005674F2" w:rsidP="00102247">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h</w:t>
      </w:r>
      <w:r w:rsidR="00322249"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Zbatimi i TALIS 2024 për instrumentet e vrojtimit pilot</w:t>
      </w:r>
      <w:r w:rsidR="00102247">
        <w:rPr>
          <w:rFonts w:ascii="Garamond" w:hAnsi="Garamond"/>
          <w:color w:val="0D0D0D"/>
          <w:sz w:val="24"/>
          <w:szCs w:val="24"/>
          <w:lang w:val="sq-AL"/>
        </w:rPr>
        <w:t>;</w:t>
      </w:r>
    </w:p>
    <w:p w14:paraId="477CD511" w14:textId="6824E5A0" w:rsidR="005674F2" w:rsidRPr="00770F9D" w:rsidRDefault="005674F2" w:rsidP="000F6F7A">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b</w:t>
      </w:r>
      <w:r w:rsidR="00322249" w:rsidRPr="00770F9D">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 xml:space="preserve">Aktivitete të planifikuara </w:t>
      </w:r>
      <w:r w:rsidR="000F6F7A">
        <w:rPr>
          <w:rFonts w:ascii="Garamond" w:hAnsi="Garamond"/>
          <w:b/>
          <w:bCs/>
          <w:color w:val="0D0D0D"/>
          <w:sz w:val="24"/>
          <w:szCs w:val="24"/>
          <w:lang w:val="sq-AL"/>
        </w:rPr>
        <w:t>m</w:t>
      </w:r>
      <w:r w:rsidRPr="00770F9D">
        <w:rPr>
          <w:rFonts w:ascii="Garamond" w:hAnsi="Garamond"/>
          <w:b/>
          <w:bCs/>
          <w:color w:val="0D0D0D"/>
          <w:sz w:val="24"/>
          <w:szCs w:val="24"/>
          <w:lang w:val="sq-AL"/>
        </w:rPr>
        <w:t>ë</w:t>
      </w:r>
      <w:r w:rsidR="00102247">
        <w:rPr>
          <w:rFonts w:ascii="Garamond" w:hAnsi="Garamond"/>
          <w:b/>
          <w:bCs/>
          <w:color w:val="0D0D0D"/>
          <w:sz w:val="24"/>
          <w:szCs w:val="24"/>
          <w:lang w:val="sq-AL"/>
        </w:rPr>
        <w:t xml:space="preserve"> </w:t>
      </w:r>
      <w:r w:rsidRPr="00770F9D">
        <w:rPr>
          <w:rFonts w:ascii="Garamond" w:hAnsi="Garamond"/>
          <w:b/>
          <w:bCs/>
          <w:color w:val="0D0D0D"/>
          <w:sz w:val="24"/>
          <w:szCs w:val="24"/>
          <w:lang w:val="sq-AL"/>
        </w:rPr>
        <w:t>2024</w:t>
      </w:r>
      <w:r w:rsidR="00102247">
        <w:rPr>
          <w:rFonts w:ascii="Garamond" w:hAnsi="Garamond"/>
          <w:b/>
          <w:bCs/>
          <w:color w:val="0D0D0D"/>
          <w:sz w:val="24"/>
          <w:szCs w:val="24"/>
          <w:lang w:val="sq-AL"/>
        </w:rPr>
        <w:t>-n</w:t>
      </w:r>
    </w:p>
    <w:p w14:paraId="1B06DA6C" w14:textId="117EA820" w:rsidR="005674F2" w:rsidRPr="00770F9D" w:rsidRDefault="005674F2" w:rsidP="00851B05">
      <w:pPr>
        <w:pStyle w:val="ListParagraph"/>
        <w:tabs>
          <w:tab w:val="left" w:pos="0"/>
        </w:tabs>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a</w:t>
      </w:r>
      <w:r w:rsidR="00322249"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Përmirësimi i aftësive të studentëve në gjuhë dhe komunikim, matematikë dhe shkencë</w:t>
      </w:r>
      <w:r w:rsidR="00851B05">
        <w:rPr>
          <w:rFonts w:ascii="Garamond" w:hAnsi="Garamond"/>
          <w:color w:val="0D0D0D"/>
          <w:sz w:val="24"/>
          <w:szCs w:val="24"/>
          <w:lang w:val="sq-AL"/>
        </w:rPr>
        <w:t>;</w:t>
      </w:r>
    </w:p>
    <w:p w14:paraId="70F634A0" w14:textId="235A789B" w:rsidR="005674F2" w:rsidRPr="00770F9D" w:rsidRDefault="005674F2" w:rsidP="00851B05">
      <w:pPr>
        <w:pStyle w:val="ListParagraph"/>
        <w:tabs>
          <w:tab w:val="left" w:pos="0"/>
        </w:tabs>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b</w:t>
      </w:r>
      <w:r w:rsidR="00322249"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Miratimi i sistemit të karrierës së mësuesit bazuar në vlerësimin e performancës së mësuesit në shkollë</w:t>
      </w:r>
      <w:r w:rsidR="00851B05">
        <w:rPr>
          <w:rFonts w:ascii="Garamond" w:hAnsi="Garamond"/>
          <w:color w:val="0D0D0D"/>
          <w:sz w:val="24"/>
          <w:szCs w:val="24"/>
          <w:lang w:val="sq-AL"/>
        </w:rPr>
        <w:t>;</w:t>
      </w:r>
    </w:p>
    <w:p w14:paraId="304DE4B3" w14:textId="63EEC032" w:rsidR="005674F2" w:rsidRPr="00770F9D" w:rsidRDefault="005674F2" w:rsidP="00851B05">
      <w:pPr>
        <w:pStyle w:val="ListParagraph"/>
        <w:tabs>
          <w:tab w:val="left" w:pos="0"/>
        </w:tabs>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c</w:t>
      </w:r>
      <w:r w:rsidR="00322249"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Forcimi i kapaciteteve njerëzore në sektorët e kurrikulës në nivel të zyrave arsimore vendore</w:t>
      </w:r>
      <w:r w:rsidR="00851B05">
        <w:rPr>
          <w:rFonts w:ascii="Garamond" w:hAnsi="Garamond"/>
          <w:color w:val="0D0D0D"/>
          <w:sz w:val="24"/>
          <w:szCs w:val="24"/>
          <w:lang w:val="sq-AL"/>
        </w:rPr>
        <w:t>;</w:t>
      </w:r>
    </w:p>
    <w:p w14:paraId="374B6332" w14:textId="6DB06F20" w:rsidR="005674F2" w:rsidRPr="00770F9D" w:rsidRDefault="005674F2" w:rsidP="00851B05">
      <w:pPr>
        <w:pStyle w:val="ListParagraph"/>
        <w:tabs>
          <w:tab w:val="left" w:pos="0"/>
        </w:tabs>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d</w:t>
      </w:r>
      <w:r w:rsidR="00322249"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Trajnimi i 500 drejtuesve të rrjetit për mësimin dhe zhvillimin e arsimit të </w:t>
      </w:r>
      <w:r w:rsidR="00A64222" w:rsidRPr="00770F9D">
        <w:rPr>
          <w:rFonts w:ascii="Garamond" w:hAnsi="Garamond"/>
          <w:color w:val="0D0D0D"/>
          <w:sz w:val="24"/>
          <w:szCs w:val="24"/>
          <w:lang w:val="sq-AL"/>
        </w:rPr>
        <w:t xml:space="preserve">arteve dhe zejeve </w:t>
      </w:r>
      <w:r w:rsidRPr="00770F9D">
        <w:rPr>
          <w:rFonts w:ascii="Garamond" w:hAnsi="Garamond"/>
          <w:color w:val="0D0D0D"/>
          <w:sz w:val="24"/>
          <w:szCs w:val="24"/>
          <w:lang w:val="sq-AL"/>
        </w:rPr>
        <w:t>dhe orientimin në karrierë në arsimin bazë</w:t>
      </w:r>
      <w:r w:rsidR="00851B05">
        <w:rPr>
          <w:rFonts w:ascii="Garamond" w:hAnsi="Garamond"/>
          <w:color w:val="0D0D0D"/>
          <w:sz w:val="24"/>
          <w:szCs w:val="24"/>
          <w:lang w:val="sq-AL"/>
        </w:rPr>
        <w:t>;</w:t>
      </w:r>
    </w:p>
    <w:p w14:paraId="62294988" w14:textId="14A81D02" w:rsidR="005674F2" w:rsidRPr="00770F9D" w:rsidRDefault="005674F2" w:rsidP="00851B05">
      <w:pPr>
        <w:pStyle w:val="ListParagraph"/>
        <w:tabs>
          <w:tab w:val="left" w:pos="0"/>
        </w:tabs>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e</w:t>
      </w:r>
      <w:r w:rsidR="00322249"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Hartimi i programit të ri dhe trajnimi i 100 mësuesve në zbatimin e programit TIK për klasën e tretë</w:t>
      </w:r>
      <w:r w:rsidR="00851B05">
        <w:rPr>
          <w:rFonts w:ascii="Garamond" w:hAnsi="Garamond"/>
          <w:color w:val="0D0D0D"/>
          <w:sz w:val="24"/>
          <w:szCs w:val="24"/>
          <w:lang w:val="sq-AL"/>
        </w:rPr>
        <w:t>;</w:t>
      </w:r>
    </w:p>
    <w:p w14:paraId="64F6D479" w14:textId="36E95DBE" w:rsidR="005674F2" w:rsidRPr="00770F9D" w:rsidRDefault="005674F2" w:rsidP="00322249">
      <w:pPr>
        <w:pStyle w:val="ListParagraph"/>
        <w:tabs>
          <w:tab w:val="left" w:pos="0"/>
        </w:tabs>
        <w:ind w:left="0" w:firstLine="284"/>
        <w:jc w:val="both"/>
        <w:rPr>
          <w:rFonts w:ascii="Garamond" w:hAnsi="Garamond"/>
          <w:b/>
          <w:bCs/>
          <w:color w:val="0D0D0D"/>
          <w:sz w:val="24"/>
          <w:szCs w:val="24"/>
          <w:lang w:val="sq-AL"/>
        </w:rPr>
      </w:pPr>
      <w:r w:rsidRPr="00770F9D">
        <w:rPr>
          <w:rFonts w:ascii="Garamond" w:hAnsi="Garamond"/>
          <w:color w:val="0D0D0D"/>
          <w:sz w:val="24"/>
          <w:szCs w:val="24"/>
          <w:lang w:val="sq-AL"/>
        </w:rPr>
        <w:t>f</w:t>
      </w:r>
      <w:r w:rsidR="00322249"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Zbatimi i TALIS 2024 për </w:t>
      </w:r>
      <w:r w:rsidR="00A64222" w:rsidRPr="00770F9D">
        <w:rPr>
          <w:rFonts w:ascii="Garamond" w:hAnsi="Garamond"/>
          <w:color w:val="0D0D0D"/>
          <w:sz w:val="24"/>
          <w:szCs w:val="24"/>
          <w:lang w:val="sq-AL"/>
        </w:rPr>
        <w:t>anketimin kryesor</w:t>
      </w:r>
      <w:r w:rsidRPr="00770F9D">
        <w:rPr>
          <w:rFonts w:ascii="Garamond" w:hAnsi="Garamond"/>
          <w:color w:val="0D0D0D"/>
          <w:sz w:val="24"/>
          <w:szCs w:val="24"/>
          <w:lang w:val="sq-AL"/>
        </w:rPr>
        <w:t>.</w:t>
      </w:r>
    </w:p>
    <w:p w14:paraId="6C421FA3" w14:textId="5651F4C2" w:rsidR="005674F2" w:rsidRPr="00770F9D" w:rsidRDefault="005674F2" w:rsidP="00322249">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c</w:t>
      </w:r>
      <w:r w:rsidR="00322249" w:rsidRPr="00770F9D">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Aktivitete të planifikuara në</w:t>
      </w:r>
      <w:r w:rsidR="00851B05">
        <w:rPr>
          <w:rFonts w:ascii="Garamond" w:hAnsi="Garamond"/>
          <w:b/>
          <w:bCs/>
          <w:color w:val="0D0D0D"/>
          <w:sz w:val="24"/>
          <w:szCs w:val="24"/>
          <w:lang w:val="sq-AL"/>
        </w:rPr>
        <w:t xml:space="preserve"> </w:t>
      </w:r>
      <w:r w:rsidRPr="00770F9D">
        <w:rPr>
          <w:rFonts w:ascii="Garamond" w:hAnsi="Garamond"/>
          <w:b/>
          <w:bCs/>
          <w:color w:val="0D0D0D"/>
          <w:sz w:val="24"/>
          <w:szCs w:val="24"/>
          <w:lang w:val="sq-AL"/>
        </w:rPr>
        <w:t>2025</w:t>
      </w:r>
      <w:r w:rsidR="00851B05">
        <w:rPr>
          <w:rFonts w:ascii="Garamond" w:hAnsi="Garamond"/>
          <w:b/>
          <w:bCs/>
          <w:color w:val="0D0D0D"/>
          <w:sz w:val="24"/>
          <w:szCs w:val="24"/>
          <w:lang w:val="sq-AL"/>
        </w:rPr>
        <w:t>-n</w:t>
      </w:r>
    </w:p>
    <w:p w14:paraId="3FC4AFD1" w14:textId="07E08DB2" w:rsidR="005674F2" w:rsidRPr="00770F9D" w:rsidRDefault="005674F2" w:rsidP="00851B05">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a</w:t>
      </w:r>
      <w:r w:rsidR="00322249"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Përmirësimi i aftësive të studentëve në gjuhë dhe komunikim, matematikë dhe shkencë</w:t>
      </w:r>
      <w:r w:rsidR="00851B05">
        <w:rPr>
          <w:rFonts w:ascii="Garamond" w:hAnsi="Garamond"/>
          <w:color w:val="0D0D0D"/>
          <w:sz w:val="24"/>
          <w:szCs w:val="24"/>
          <w:lang w:val="sq-AL"/>
        </w:rPr>
        <w:t>;</w:t>
      </w:r>
    </w:p>
    <w:p w14:paraId="7799CBA6" w14:textId="786A09E1" w:rsidR="005674F2" w:rsidRPr="00770F9D" w:rsidRDefault="005674F2" w:rsidP="00851B05">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b</w:t>
      </w:r>
      <w:r w:rsidR="00322249"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Forcimi i kapaciteteve njerëzore në sektorët e kurrikulës në nivel të zyrave arsimore vendore</w:t>
      </w:r>
      <w:r w:rsidR="00851B05">
        <w:rPr>
          <w:rFonts w:ascii="Garamond" w:hAnsi="Garamond"/>
          <w:color w:val="0D0D0D"/>
          <w:sz w:val="24"/>
          <w:szCs w:val="24"/>
          <w:lang w:val="sq-AL"/>
        </w:rPr>
        <w:t>;</w:t>
      </w:r>
    </w:p>
    <w:p w14:paraId="6226A0A1" w14:textId="29B016A4" w:rsidR="005674F2" w:rsidRPr="00770F9D" w:rsidRDefault="005674F2" w:rsidP="00851B05">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c</w:t>
      </w:r>
      <w:r w:rsidR="00322249"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Trajnim i 500 drejtuesve të rrjeteve profesionale, koordinatorë shkollash, drejtues shkollash të arsimit parauniversitar mbi udhëzuesin e zhvillimit të arsimit për </w:t>
      </w:r>
      <w:r w:rsidR="00A64222" w:rsidRPr="00770F9D">
        <w:rPr>
          <w:rFonts w:ascii="Garamond" w:hAnsi="Garamond"/>
          <w:color w:val="0D0D0D"/>
          <w:sz w:val="24"/>
          <w:szCs w:val="24"/>
          <w:lang w:val="sq-AL"/>
        </w:rPr>
        <w:t>arte dhe artizanatit</w:t>
      </w:r>
      <w:r w:rsidR="00851B05">
        <w:rPr>
          <w:rFonts w:ascii="Garamond" w:hAnsi="Garamond"/>
          <w:color w:val="0D0D0D"/>
          <w:sz w:val="24"/>
          <w:szCs w:val="24"/>
          <w:lang w:val="sq-AL"/>
        </w:rPr>
        <w:t>;</w:t>
      </w:r>
    </w:p>
    <w:p w14:paraId="7EED2E1B" w14:textId="7B4D4647" w:rsidR="005674F2" w:rsidRPr="00770F9D" w:rsidRDefault="005674F2" w:rsidP="00851B05">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d</w:t>
      </w:r>
      <w:r w:rsidR="00322249"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Hartimi i programit të ri dhe trajnimi i 100 mësuesve në zbatimin e programit TIK për klasën e katërt</w:t>
      </w:r>
      <w:r w:rsidR="00851B05">
        <w:rPr>
          <w:rFonts w:ascii="Garamond" w:hAnsi="Garamond"/>
          <w:color w:val="0D0D0D"/>
          <w:sz w:val="24"/>
          <w:szCs w:val="24"/>
          <w:lang w:val="sq-AL"/>
        </w:rPr>
        <w:t>;</w:t>
      </w:r>
    </w:p>
    <w:p w14:paraId="6C0EB80B" w14:textId="71ABE300" w:rsidR="005674F2" w:rsidRPr="00770F9D" w:rsidRDefault="005674F2" w:rsidP="00322249">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e</w:t>
      </w:r>
      <w:r w:rsidR="00322249"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 xml:space="preserve">Përpunimi i të dhënave nga rezultatet e TALIS 2024 në </w:t>
      </w:r>
      <w:r w:rsidR="00851B05" w:rsidRPr="00770F9D">
        <w:rPr>
          <w:rFonts w:ascii="Garamond" w:hAnsi="Garamond"/>
          <w:color w:val="0D0D0D"/>
          <w:sz w:val="24"/>
          <w:szCs w:val="24"/>
          <w:lang w:val="sq-AL"/>
        </w:rPr>
        <w:t>sondazhin kryesor</w:t>
      </w:r>
      <w:r w:rsidRPr="00770F9D">
        <w:rPr>
          <w:rFonts w:ascii="Garamond" w:hAnsi="Garamond"/>
          <w:color w:val="0D0D0D"/>
          <w:sz w:val="24"/>
          <w:szCs w:val="24"/>
          <w:lang w:val="sq-AL"/>
        </w:rPr>
        <w:t>.</w:t>
      </w:r>
    </w:p>
    <w:p w14:paraId="1754D497" w14:textId="2BC433FC" w:rsidR="005674F2" w:rsidRPr="00770F9D" w:rsidRDefault="00856FA6"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2</w:t>
      </w:r>
      <w:r w:rsidR="005674F2" w:rsidRPr="00770F9D">
        <w:rPr>
          <w:rFonts w:ascii="Garamond" w:hAnsi="Garamond"/>
          <w:color w:val="0D0D0D"/>
          <w:u w:val="none"/>
        </w:rPr>
        <w:t>.</w:t>
      </w:r>
      <w:r w:rsidR="00BA4F1A" w:rsidRPr="00770F9D">
        <w:rPr>
          <w:rFonts w:ascii="Garamond" w:hAnsi="Garamond"/>
          <w:color w:val="0D0D0D"/>
          <w:u w:val="none"/>
        </w:rPr>
        <w:t xml:space="preserve"> </w:t>
      </w:r>
      <w:r w:rsidR="005674F2" w:rsidRPr="00770F9D">
        <w:rPr>
          <w:rFonts w:ascii="Garamond" w:hAnsi="Garamond"/>
          <w:color w:val="0D0D0D"/>
          <w:u w:val="none"/>
        </w:rPr>
        <w:t>Treguesit e rezultateve</w:t>
      </w:r>
    </w:p>
    <w:tbl>
      <w:tblPr>
        <w:tblStyle w:val="TableGrid"/>
        <w:tblW w:w="0" w:type="auto"/>
        <w:tblLook w:val="04A0" w:firstRow="1" w:lastRow="0" w:firstColumn="1" w:lastColumn="0" w:noHBand="0" w:noVBand="1"/>
      </w:tblPr>
      <w:tblGrid>
        <w:gridCol w:w="4057"/>
        <w:gridCol w:w="1724"/>
        <w:gridCol w:w="1756"/>
        <w:gridCol w:w="1750"/>
      </w:tblGrid>
      <w:tr w:rsidR="00FA29AB" w:rsidRPr="00770F9D" w14:paraId="2A1EE143" w14:textId="77777777" w:rsidTr="00A64222">
        <w:tc>
          <w:tcPr>
            <w:tcW w:w="4248" w:type="dxa"/>
            <w:vAlign w:val="center"/>
          </w:tcPr>
          <w:p w14:paraId="7F455D98" w14:textId="77777777" w:rsidR="00D95692" w:rsidRPr="00A64222" w:rsidRDefault="00B2062A" w:rsidP="00A64222">
            <w:pPr>
              <w:snapToGrid w:val="0"/>
              <w:jc w:val="center"/>
              <w:rPr>
                <w:rFonts w:ascii="Garamond" w:hAnsi="Garamond" w:cstheme="majorBidi"/>
                <w:b/>
                <w:bCs/>
                <w:color w:val="0D0D0D" w:themeColor="text1" w:themeTint="F2"/>
                <w:sz w:val="20"/>
                <w:szCs w:val="20"/>
              </w:rPr>
            </w:pPr>
            <w:r w:rsidRPr="00A64222">
              <w:rPr>
                <w:rFonts w:ascii="Garamond" w:hAnsi="Garamond" w:cstheme="majorBidi"/>
                <w:b/>
                <w:bCs/>
                <w:color w:val="0D0D0D" w:themeColor="text1" w:themeTint="F2"/>
                <w:sz w:val="20"/>
                <w:szCs w:val="20"/>
              </w:rPr>
              <w:t>Tregues</w:t>
            </w:r>
          </w:p>
        </w:tc>
        <w:tc>
          <w:tcPr>
            <w:tcW w:w="1791" w:type="dxa"/>
            <w:vAlign w:val="center"/>
          </w:tcPr>
          <w:p w14:paraId="23247C58" w14:textId="77777777" w:rsidR="00D95692" w:rsidRPr="00A64222" w:rsidRDefault="00B2062A" w:rsidP="00A64222">
            <w:pPr>
              <w:snapToGrid w:val="0"/>
              <w:jc w:val="center"/>
              <w:rPr>
                <w:rFonts w:ascii="Garamond" w:hAnsi="Garamond" w:cstheme="majorBidi"/>
                <w:b/>
                <w:bCs/>
                <w:color w:val="0D0D0D" w:themeColor="text1" w:themeTint="F2"/>
                <w:sz w:val="20"/>
                <w:szCs w:val="20"/>
              </w:rPr>
            </w:pPr>
            <w:r w:rsidRPr="00A64222">
              <w:rPr>
                <w:rFonts w:ascii="Garamond" w:hAnsi="Garamond" w:cstheme="majorBidi"/>
                <w:b/>
                <w:bCs/>
                <w:color w:val="0D0D0D" w:themeColor="text1" w:themeTint="F2"/>
                <w:sz w:val="20"/>
                <w:szCs w:val="20"/>
              </w:rPr>
              <w:t>Bazë</w:t>
            </w:r>
            <w:r w:rsidR="00D95692" w:rsidRPr="00A64222">
              <w:rPr>
                <w:rFonts w:ascii="Garamond" w:hAnsi="Garamond" w:cstheme="majorBidi"/>
                <w:b/>
                <w:bCs/>
                <w:color w:val="0D0D0D" w:themeColor="text1" w:themeTint="F2"/>
                <w:sz w:val="20"/>
                <w:szCs w:val="20"/>
              </w:rPr>
              <w:t xml:space="preserve"> (</w:t>
            </w:r>
            <w:r w:rsidR="00DB3786" w:rsidRPr="00A64222">
              <w:rPr>
                <w:rFonts w:ascii="Garamond" w:hAnsi="Garamond" w:cstheme="majorBidi"/>
                <w:b/>
                <w:bCs/>
                <w:color w:val="0D0D0D" w:themeColor="text1" w:themeTint="F2"/>
                <w:sz w:val="20"/>
                <w:szCs w:val="20"/>
              </w:rPr>
              <w:t>2023</w:t>
            </w:r>
            <w:r w:rsidR="00D95692" w:rsidRPr="00A64222">
              <w:rPr>
                <w:rFonts w:ascii="Garamond" w:hAnsi="Garamond" w:cstheme="majorBidi"/>
                <w:b/>
                <w:bCs/>
                <w:color w:val="0D0D0D" w:themeColor="text1" w:themeTint="F2"/>
                <w:sz w:val="20"/>
                <w:szCs w:val="20"/>
              </w:rPr>
              <w:t>)</w:t>
            </w:r>
          </w:p>
        </w:tc>
        <w:tc>
          <w:tcPr>
            <w:tcW w:w="1791" w:type="dxa"/>
            <w:vAlign w:val="center"/>
          </w:tcPr>
          <w:p w14:paraId="49C2F3A4" w14:textId="77777777" w:rsidR="00D95692" w:rsidRPr="00A64222" w:rsidRDefault="00B2062A" w:rsidP="00A64222">
            <w:pPr>
              <w:snapToGrid w:val="0"/>
              <w:jc w:val="center"/>
              <w:rPr>
                <w:rFonts w:ascii="Garamond" w:hAnsi="Garamond" w:cstheme="majorBidi"/>
                <w:b/>
                <w:bCs/>
                <w:color w:val="0D0D0D" w:themeColor="text1" w:themeTint="F2"/>
                <w:sz w:val="20"/>
                <w:szCs w:val="20"/>
              </w:rPr>
            </w:pPr>
            <w:r w:rsidRPr="00A64222">
              <w:rPr>
                <w:rFonts w:ascii="Garamond" w:hAnsi="Garamond" w:cstheme="majorBidi"/>
                <w:b/>
                <w:bCs/>
                <w:color w:val="0D0D0D" w:themeColor="text1" w:themeTint="F2"/>
                <w:sz w:val="20"/>
                <w:szCs w:val="20"/>
              </w:rPr>
              <w:t>I ndërmjetëm</w:t>
            </w:r>
            <w:r w:rsidR="00D95692" w:rsidRPr="00A64222">
              <w:rPr>
                <w:rFonts w:ascii="Garamond" w:hAnsi="Garamond" w:cstheme="majorBidi"/>
                <w:b/>
                <w:bCs/>
                <w:color w:val="0D0D0D" w:themeColor="text1" w:themeTint="F2"/>
                <w:sz w:val="20"/>
                <w:szCs w:val="20"/>
              </w:rPr>
              <w:t xml:space="preserve"> (</w:t>
            </w:r>
            <w:r w:rsidR="00DB3786" w:rsidRPr="00A64222">
              <w:rPr>
                <w:rFonts w:ascii="Garamond" w:hAnsi="Garamond" w:cstheme="majorBidi"/>
                <w:b/>
                <w:bCs/>
                <w:color w:val="0D0D0D" w:themeColor="text1" w:themeTint="F2"/>
                <w:sz w:val="20"/>
                <w:szCs w:val="20"/>
              </w:rPr>
              <w:t>2024</w:t>
            </w:r>
            <w:r w:rsidR="001D4E1C" w:rsidRPr="00A64222">
              <w:rPr>
                <w:rFonts w:ascii="Garamond" w:hAnsi="Garamond" w:cstheme="majorBidi"/>
                <w:b/>
                <w:bCs/>
                <w:color w:val="0D0D0D" w:themeColor="text1" w:themeTint="F2"/>
                <w:sz w:val="20"/>
                <w:szCs w:val="20"/>
              </w:rPr>
              <w:t>)</w:t>
            </w:r>
          </w:p>
        </w:tc>
        <w:tc>
          <w:tcPr>
            <w:tcW w:w="1792" w:type="dxa"/>
            <w:vAlign w:val="center"/>
          </w:tcPr>
          <w:p w14:paraId="5709B2D8" w14:textId="77777777" w:rsidR="00D95692" w:rsidRPr="00A64222" w:rsidRDefault="00DB3786" w:rsidP="00A64222">
            <w:pPr>
              <w:snapToGrid w:val="0"/>
              <w:jc w:val="center"/>
              <w:rPr>
                <w:rFonts w:ascii="Garamond" w:hAnsi="Garamond" w:cstheme="majorBidi"/>
                <w:b/>
                <w:bCs/>
                <w:color w:val="0D0D0D" w:themeColor="text1" w:themeTint="F2"/>
                <w:sz w:val="20"/>
                <w:szCs w:val="20"/>
              </w:rPr>
            </w:pPr>
            <w:r w:rsidRPr="00A64222">
              <w:rPr>
                <w:rFonts w:ascii="Garamond" w:hAnsi="Garamond" w:cstheme="majorBidi"/>
                <w:b/>
                <w:bCs/>
                <w:color w:val="0D0D0D" w:themeColor="text1" w:themeTint="F2"/>
                <w:sz w:val="20"/>
                <w:szCs w:val="20"/>
              </w:rPr>
              <w:t>Final</w:t>
            </w:r>
            <w:r w:rsidR="00D95692" w:rsidRPr="00A64222">
              <w:rPr>
                <w:rFonts w:ascii="Garamond" w:hAnsi="Garamond" w:cstheme="majorBidi"/>
                <w:b/>
                <w:bCs/>
                <w:color w:val="0D0D0D" w:themeColor="text1" w:themeTint="F2"/>
                <w:sz w:val="20"/>
                <w:szCs w:val="20"/>
              </w:rPr>
              <w:t xml:space="preserve"> (</w:t>
            </w:r>
            <w:r w:rsidRPr="00A64222">
              <w:rPr>
                <w:rFonts w:ascii="Garamond" w:hAnsi="Garamond" w:cstheme="majorBidi"/>
                <w:b/>
                <w:bCs/>
                <w:color w:val="0D0D0D" w:themeColor="text1" w:themeTint="F2"/>
                <w:sz w:val="20"/>
                <w:szCs w:val="20"/>
              </w:rPr>
              <w:t>2025</w:t>
            </w:r>
            <w:r w:rsidR="001D4E1C" w:rsidRPr="00A64222">
              <w:rPr>
                <w:rFonts w:ascii="Garamond" w:hAnsi="Garamond" w:cstheme="majorBidi"/>
                <w:b/>
                <w:bCs/>
                <w:color w:val="0D0D0D" w:themeColor="text1" w:themeTint="F2"/>
                <w:sz w:val="20"/>
                <w:szCs w:val="20"/>
              </w:rPr>
              <w:t>)</w:t>
            </w:r>
          </w:p>
        </w:tc>
      </w:tr>
      <w:tr w:rsidR="001D4E1C" w:rsidRPr="00770F9D" w14:paraId="63863D57" w14:textId="77777777" w:rsidTr="00A64222">
        <w:tc>
          <w:tcPr>
            <w:tcW w:w="4248" w:type="dxa"/>
          </w:tcPr>
          <w:p w14:paraId="7DB4842E" w14:textId="77777777" w:rsidR="001D4E1C" w:rsidRPr="00770F9D" w:rsidRDefault="001D4E1C" w:rsidP="00856FA6">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Numri i mësuesve të gjuhës angleze të trajnuar</w:t>
            </w:r>
          </w:p>
        </w:tc>
        <w:tc>
          <w:tcPr>
            <w:tcW w:w="1791" w:type="dxa"/>
            <w:vAlign w:val="center"/>
          </w:tcPr>
          <w:p w14:paraId="113FC56F" w14:textId="77777777" w:rsidR="001D4E1C" w:rsidRPr="00770F9D" w:rsidRDefault="001D4E1C" w:rsidP="00A64222">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100</w:t>
            </w:r>
          </w:p>
        </w:tc>
        <w:tc>
          <w:tcPr>
            <w:tcW w:w="1791" w:type="dxa"/>
            <w:vAlign w:val="center"/>
          </w:tcPr>
          <w:p w14:paraId="5685FC61" w14:textId="77777777" w:rsidR="001D4E1C" w:rsidRPr="00770F9D" w:rsidRDefault="001D4E1C" w:rsidP="00A64222">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1000</w:t>
            </w:r>
          </w:p>
        </w:tc>
        <w:tc>
          <w:tcPr>
            <w:tcW w:w="1792" w:type="dxa"/>
            <w:vAlign w:val="center"/>
          </w:tcPr>
          <w:p w14:paraId="6D2FF2E5" w14:textId="77777777" w:rsidR="001D4E1C" w:rsidRPr="00770F9D" w:rsidRDefault="001D4E1C" w:rsidP="00A64222">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1000</w:t>
            </w:r>
          </w:p>
        </w:tc>
      </w:tr>
      <w:tr w:rsidR="001D4E1C" w:rsidRPr="00770F9D" w14:paraId="78E8C071" w14:textId="77777777" w:rsidTr="00A64222">
        <w:tc>
          <w:tcPr>
            <w:tcW w:w="4248" w:type="dxa"/>
          </w:tcPr>
          <w:p w14:paraId="2FEC2014" w14:textId="2AC4A0A8" w:rsidR="001D4E1C" w:rsidRPr="00770F9D" w:rsidRDefault="001D4E1C" w:rsidP="00856FA6">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Harmonizimi i ku</w:t>
            </w:r>
            <w:r w:rsidR="00A64222">
              <w:rPr>
                <w:rFonts w:ascii="Garamond" w:hAnsi="Garamond" w:cstheme="majorBidi"/>
                <w:color w:val="0D0D0D" w:themeColor="text1" w:themeTint="F2"/>
                <w:sz w:val="20"/>
                <w:szCs w:val="20"/>
              </w:rPr>
              <w:t>rrikulës së trajnimit fillestar</w:t>
            </w:r>
          </w:p>
        </w:tc>
        <w:tc>
          <w:tcPr>
            <w:tcW w:w="1791" w:type="dxa"/>
            <w:vAlign w:val="center"/>
          </w:tcPr>
          <w:p w14:paraId="10976135" w14:textId="77777777" w:rsidR="001D4E1C" w:rsidRPr="00770F9D" w:rsidRDefault="001D4E1C" w:rsidP="00A64222">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50%</w:t>
            </w:r>
          </w:p>
        </w:tc>
        <w:tc>
          <w:tcPr>
            <w:tcW w:w="1791" w:type="dxa"/>
            <w:vAlign w:val="center"/>
          </w:tcPr>
          <w:p w14:paraId="1A78DBBD" w14:textId="52DAA629" w:rsidR="001D4E1C" w:rsidRPr="00770F9D" w:rsidRDefault="001D4E1C" w:rsidP="00EB64CA">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70% e programeve arsimore n</w:t>
            </w:r>
            <w:r w:rsidR="00EB64CA">
              <w:rPr>
                <w:rFonts w:ascii="Garamond" w:hAnsi="Garamond" w:cstheme="majorBidi"/>
                <w:color w:val="0D0D0D" w:themeColor="text1" w:themeTint="F2"/>
                <w:sz w:val="20"/>
                <w:szCs w:val="20"/>
              </w:rPr>
              <w:t xml:space="preserve">ë </w:t>
            </w:r>
            <w:r w:rsidRPr="00770F9D">
              <w:rPr>
                <w:rFonts w:ascii="Garamond" w:hAnsi="Garamond" w:cstheme="majorBidi"/>
                <w:color w:val="0D0D0D" w:themeColor="text1" w:themeTint="F2"/>
                <w:sz w:val="20"/>
                <w:szCs w:val="20"/>
              </w:rPr>
              <w:t>IAL</w:t>
            </w:r>
          </w:p>
        </w:tc>
        <w:tc>
          <w:tcPr>
            <w:tcW w:w="1792" w:type="dxa"/>
            <w:vAlign w:val="center"/>
          </w:tcPr>
          <w:p w14:paraId="29929EF4" w14:textId="095C8578" w:rsidR="001D4E1C" w:rsidRPr="00770F9D" w:rsidRDefault="001D4E1C" w:rsidP="00EB64CA">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100% e programeve arsimore n</w:t>
            </w:r>
            <w:r w:rsidR="00EB64CA">
              <w:rPr>
                <w:rFonts w:ascii="Garamond" w:hAnsi="Garamond" w:cstheme="majorBidi"/>
                <w:color w:val="0D0D0D" w:themeColor="text1" w:themeTint="F2"/>
                <w:sz w:val="20"/>
                <w:szCs w:val="20"/>
              </w:rPr>
              <w:t>ë</w:t>
            </w:r>
            <w:r w:rsidRPr="00770F9D">
              <w:rPr>
                <w:rFonts w:ascii="Garamond" w:hAnsi="Garamond" w:cstheme="majorBidi"/>
                <w:color w:val="0D0D0D" w:themeColor="text1" w:themeTint="F2"/>
                <w:sz w:val="20"/>
                <w:szCs w:val="20"/>
              </w:rPr>
              <w:t xml:space="preserve"> IAL</w:t>
            </w:r>
          </w:p>
        </w:tc>
      </w:tr>
      <w:tr w:rsidR="001D4E1C" w:rsidRPr="00770F9D" w14:paraId="2F1D5CF9" w14:textId="77777777" w:rsidTr="00A64222">
        <w:tc>
          <w:tcPr>
            <w:tcW w:w="4248" w:type="dxa"/>
          </w:tcPr>
          <w:p w14:paraId="142BAC09" w14:textId="3ACBB18A" w:rsidR="001D4E1C" w:rsidRPr="00770F9D" w:rsidRDefault="001D4E1C" w:rsidP="00856FA6">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Udhëzues për trajnimin e drejtuesve të rrjeteve profes</w:t>
            </w:r>
            <w:r w:rsidR="00A64222">
              <w:rPr>
                <w:rFonts w:ascii="Garamond" w:hAnsi="Garamond" w:cstheme="majorBidi"/>
                <w:color w:val="0D0D0D" w:themeColor="text1" w:themeTint="F2"/>
                <w:sz w:val="20"/>
                <w:szCs w:val="20"/>
              </w:rPr>
              <w:t>ionale të artit dhe artizanatit</w:t>
            </w:r>
          </w:p>
        </w:tc>
        <w:tc>
          <w:tcPr>
            <w:tcW w:w="1791" w:type="dxa"/>
            <w:vAlign w:val="center"/>
          </w:tcPr>
          <w:p w14:paraId="6A7387D8" w14:textId="77777777" w:rsidR="001D4E1C" w:rsidRPr="00770F9D" w:rsidRDefault="001D4E1C" w:rsidP="00A64222">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0</w:t>
            </w:r>
          </w:p>
        </w:tc>
        <w:tc>
          <w:tcPr>
            <w:tcW w:w="1791" w:type="dxa"/>
            <w:vAlign w:val="center"/>
          </w:tcPr>
          <w:p w14:paraId="6D2F5A9C" w14:textId="77777777" w:rsidR="001D4E1C" w:rsidRPr="00770F9D" w:rsidRDefault="001D4E1C" w:rsidP="00A64222">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700</w:t>
            </w:r>
          </w:p>
        </w:tc>
        <w:tc>
          <w:tcPr>
            <w:tcW w:w="1792" w:type="dxa"/>
            <w:vAlign w:val="center"/>
          </w:tcPr>
          <w:p w14:paraId="4CB3F726" w14:textId="77777777" w:rsidR="001D4E1C" w:rsidRPr="00770F9D" w:rsidRDefault="001D4E1C" w:rsidP="00A64222">
            <w:pPr>
              <w:snapToGrid w:val="0"/>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1200</w:t>
            </w:r>
          </w:p>
        </w:tc>
      </w:tr>
    </w:tbl>
    <w:p w14:paraId="14849314" w14:textId="77777777" w:rsidR="00D95692" w:rsidRPr="00770F9D" w:rsidRDefault="00D95692" w:rsidP="005674F2">
      <w:pPr>
        <w:snapToGrid w:val="0"/>
        <w:ind w:firstLine="284"/>
        <w:rPr>
          <w:rFonts w:ascii="Garamond" w:hAnsi="Garamond" w:cstheme="majorBidi"/>
          <w:color w:val="0D0D0D" w:themeColor="text1" w:themeTint="F2"/>
        </w:rPr>
      </w:pPr>
    </w:p>
    <w:p w14:paraId="3D0B18D8" w14:textId="51200802" w:rsidR="0030742B" w:rsidRPr="00770F9D" w:rsidRDefault="00856FA6"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3</w:t>
      </w:r>
      <w:r w:rsidR="005674F2"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Ndikimi i pritshëm në konkurrueshmëri</w:t>
      </w:r>
    </w:p>
    <w:p w14:paraId="6DC4E13F" w14:textId="591761C6" w:rsidR="00E95E96" w:rsidRPr="00770F9D" w:rsidRDefault="003A5B7E" w:rsidP="00A64222">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Në terma afatgjatë</w:t>
      </w:r>
      <w:r w:rsidR="00A64222">
        <w:rPr>
          <w:rFonts w:ascii="Garamond" w:hAnsi="Garamond" w:cstheme="majorBidi"/>
          <w:color w:val="0D0D0D" w:themeColor="text1" w:themeTint="F2"/>
        </w:rPr>
        <w:t>,</w:t>
      </w:r>
      <w:r w:rsidRPr="00770F9D">
        <w:rPr>
          <w:rFonts w:ascii="Garamond" w:hAnsi="Garamond" w:cstheme="majorBidi"/>
          <w:color w:val="0D0D0D" w:themeColor="text1" w:themeTint="F2"/>
        </w:rPr>
        <w:t xml:space="preserve"> sipas studimeve, si studimi i OECD PISA që bëjnë një lidhje midis rezultateve më të mira në aftësitë bazë dhe zhvillimit ekonomik të vendeve </w:t>
      </w:r>
      <w:r w:rsidR="00A64222">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përmirësimi i cilësisë së mësuesve rrit rezultatet në aftësitë bazë, gjë që i mundëson këtij brezi studentësh të përgatiten më mirë për tregun e punës: qoftë si punonjës apo si krijues pune</w:t>
      </w:r>
      <w:r w:rsidR="00E95E96" w:rsidRPr="00770F9D">
        <w:rPr>
          <w:rFonts w:ascii="Garamond" w:hAnsi="Garamond" w:cstheme="majorBidi"/>
          <w:color w:val="0D0D0D" w:themeColor="text1" w:themeTint="F2"/>
        </w:rPr>
        <w:t>.</w:t>
      </w:r>
    </w:p>
    <w:p w14:paraId="2B8769F4" w14:textId="710ECB62" w:rsidR="0030742B" w:rsidRPr="00770F9D" w:rsidRDefault="00856FA6"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4</w:t>
      </w:r>
      <w:r w:rsidR="005674F2"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Kosto</w:t>
      </w:r>
      <w:r w:rsidR="00A64222">
        <w:rPr>
          <w:rFonts w:ascii="Garamond" w:hAnsi="Garamond" w:cstheme="majorBidi"/>
          <w:color w:val="0D0D0D" w:themeColor="text1" w:themeTint="F2"/>
          <w:u w:val="none"/>
        </w:rPr>
        <w:t>ja</w:t>
      </w:r>
      <w:r w:rsidR="00B2062A" w:rsidRPr="00770F9D">
        <w:rPr>
          <w:rFonts w:ascii="Garamond" w:hAnsi="Garamond" w:cstheme="majorBidi"/>
          <w:color w:val="0D0D0D" w:themeColor="text1" w:themeTint="F2"/>
          <w:u w:val="none"/>
        </w:rPr>
        <w:t xml:space="preserve"> e parashikuar e aktiviteteve dhe burimi i financimit</w:t>
      </w:r>
    </w:p>
    <w:tbl>
      <w:tblPr>
        <w:tblW w:w="5000" w:type="pct"/>
        <w:jc w:val="center"/>
        <w:tblLook w:val="04A0" w:firstRow="1" w:lastRow="0" w:firstColumn="1" w:lastColumn="0" w:noHBand="0" w:noVBand="1"/>
      </w:tblPr>
      <w:tblGrid>
        <w:gridCol w:w="790"/>
        <w:gridCol w:w="5934"/>
        <w:gridCol w:w="1352"/>
        <w:gridCol w:w="1211"/>
      </w:tblGrid>
      <w:tr w:rsidR="003A5B7E" w:rsidRPr="00770F9D" w14:paraId="48D7C240" w14:textId="77777777" w:rsidTr="00A64222">
        <w:trPr>
          <w:trHeight w:val="20"/>
          <w:jc w:val="center"/>
        </w:trPr>
        <w:tc>
          <w:tcPr>
            <w:tcW w:w="425" w:type="pct"/>
            <w:tcBorders>
              <w:top w:val="single" w:sz="4" w:space="0" w:color="000000"/>
              <w:left w:val="single" w:sz="4" w:space="0" w:color="000000"/>
              <w:bottom w:val="single" w:sz="4" w:space="0" w:color="000000"/>
              <w:right w:val="single" w:sz="4" w:space="0" w:color="000000"/>
            </w:tcBorders>
            <w:vAlign w:val="center"/>
          </w:tcPr>
          <w:p w14:paraId="04F88C43" w14:textId="77777777" w:rsidR="003A5B7E" w:rsidRPr="00770F9D" w:rsidRDefault="003A5B7E" w:rsidP="00A64222">
            <w:pPr>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Viti</w:t>
            </w:r>
          </w:p>
        </w:tc>
        <w:tc>
          <w:tcPr>
            <w:tcW w:w="3195" w:type="pct"/>
            <w:tcBorders>
              <w:top w:val="single" w:sz="4" w:space="0" w:color="000000"/>
              <w:left w:val="single" w:sz="4" w:space="0" w:color="000000"/>
              <w:bottom w:val="single" w:sz="4" w:space="0" w:color="000000"/>
              <w:right w:val="single" w:sz="4" w:space="0" w:color="000000"/>
            </w:tcBorders>
            <w:vAlign w:val="center"/>
          </w:tcPr>
          <w:p w14:paraId="4E2998EA" w14:textId="77777777" w:rsidR="003A5B7E" w:rsidRPr="00770F9D" w:rsidRDefault="003A5B7E" w:rsidP="00A64222">
            <w:pPr>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Aktiviteti</w:t>
            </w:r>
          </w:p>
        </w:tc>
        <w:tc>
          <w:tcPr>
            <w:tcW w:w="728" w:type="pct"/>
            <w:tcBorders>
              <w:top w:val="single" w:sz="4" w:space="0" w:color="000000"/>
              <w:left w:val="single" w:sz="4" w:space="0" w:color="000000"/>
              <w:bottom w:val="single" w:sz="4" w:space="0" w:color="000000"/>
              <w:right w:val="single" w:sz="4" w:space="0" w:color="000000"/>
            </w:tcBorders>
            <w:vAlign w:val="center"/>
          </w:tcPr>
          <w:p w14:paraId="2CDC3A27" w14:textId="77777777" w:rsidR="003A5B7E" w:rsidRPr="00770F9D" w:rsidRDefault="003A5B7E" w:rsidP="00A64222">
            <w:pPr>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Kostoja e parashikuar</w:t>
            </w:r>
          </w:p>
        </w:tc>
        <w:tc>
          <w:tcPr>
            <w:tcW w:w="652" w:type="pct"/>
            <w:tcBorders>
              <w:top w:val="single" w:sz="4" w:space="0" w:color="000000"/>
              <w:left w:val="single" w:sz="4" w:space="0" w:color="000000"/>
              <w:bottom w:val="single" w:sz="4" w:space="0" w:color="000000"/>
              <w:right w:val="single" w:sz="4" w:space="0" w:color="000000"/>
            </w:tcBorders>
            <w:vAlign w:val="center"/>
          </w:tcPr>
          <w:p w14:paraId="17AFA849" w14:textId="77777777" w:rsidR="003A5B7E" w:rsidRPr="00770F9D" w:rsidRDefault="003A5B7E" w:rsidP="00A64222">
            <w:pPr>
              <w:jc w:val="center"/>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Burimi i financimit</w:t>
            </w:r>
          </w:p>
        </w:tc>
      </w:tr>
      <w:tr w:rsidR="003A5B7E" w:rsidRPr="00770F9D" w14:paraId="4D765BE9" w14:textId="77777777" w:rsidTr="004A4F63">
        <w:trPr>
          <w:trHeight w:val="20"/>
          <w:jc w:val="center"/>
        </w:trPr>
        <w:tc>
          <w:tcPr>
            <w:tcW w:w="425" w:type="pct"/>
            <w:vMerge w:val="restart"/>
            <w:tcBorders>
              <w:top w:val="single" w:sz="4" w:space="0" w:color="000000"/>
              <w:left w:val="single" w:sz="4" w:space="0" w:color="000000"/>
              <w:bottom w:val="single" w:sz="4" w:space="0" w:color="000000"/>
              <w:right w:val="single" w:sz="4" w:space="0" w:color="000000"/>
            </w:tcBorders>
          </w:tcPr>
          <w:p w14:paraId="1843E0E7" w14:textId="77777777" w:rsidR="003A5B7E" w:rsidRPr="00770F9D" w:rsidRDefault="003A5B7E" w:rsidP="00856FA6">
            <w:pPr>
              <w:snapToGrid w:val="0"/>
              <w:jc w:val="both"/>
              <w:rPr>
                <w:rFonts w:ascii="Garamond" w:hAnsi="Garamond" w:cstheme="majorBidi"/>
                <w:b/>
                <w:bCs/>
                <w:color w:val="0D0D0D" w:themeColor="text1" w:themeTint="F2"/>
                <w:sz w:val="20"/>
                <w:szCs w:val="20"/>
              </w:rPr>
            </w:pPr>
          </w:p>
          <w:p w14:paraId="7F17B49D" w14:textId="77777777" w:rsidR="003A5B7E" w:rsidRPr="00770F9D" w:rsidRDefault="003A5B7E" w:rsidP="00856FA6">
            <w:pPr>
              <w:jc w:val="both"/>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2023</w:t>
            </w:r>
          </w:p>
        </w:tc>
        <w:tc>
          <w:tcPr>
            <w:tcW w:w="3195" w:type="pct"/>
            <w:tcBorders>
              <w:top w:val="single" w:sz="4" w:space="0" w:color="000000"/>
              <w:left w:val="single" w:sz="4" w:space="0" w:color="000000"/>
              <w:bottom w:val="single" w:sz="4" w:space="0" w:color="000000"/>
              <w:right w:val="single" w:sz="4" w:space="0" w:color="000000"/>
            </w:tcBorders>
          </w:tcPr>
          <w:p w14:paraId="4B78DBCD" w14:textId="33D37C0D" w:rsidR="003A5B7E" w:rsidRPr="00770F9D" w:rsidRDefault="003A5B7E" w:rsidP="00856FA6">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Trajnimi i 1000 mësuesve të klasës së dytë dhe monitorimi i vazhdimësisë së punës për zbatimi</w:t>
            </w:r>
            <w:r w:rsidR="00A64222">
              <w:rPr>
                <w:rFonts w:ascii="Garamond" w:hAnsi="Garamond" w:cstheme="majorBidi"/>
                <w:color w:val="0D0D0D" w:themeColor="text1" w:themeTint="F2"/>
                <w:sz w:val="20"/>
                <w:szCs w:val="20"/>
              </w:rPr>
              <w:t>n e programit të gjuhës angleze</w:t>
            </w:r>
          </w:p>
        </w:tc>
        <w:tc>
          <w:tcPr>
            <w:tcW w:w="728" w:type="pct"/>
            <w:tcBorders>
              <w:top w:val="single" w:sz="4" w:space="0" w:color="000000"/>
              <w:left w:val="single" w:sz="4" w:space="0" w:color="000000"/>
              <w:bottom w:val="single" w:sz="4" w:space="0" w:color="000000"/>
              <w:right w:val="single" w:sz="4" w:space="0" w:color="000000"/>
            </w:tcBorders>
            <w:vAlign w:val="center"/>
          </w:tcPr>
          <w:p w14:paraId="76952F8C" w14:textId="77777777" w:rsidR="003A5B7E" w:rsidRPr="00770F9D" w:rsidRDefault="003A5B7E" w:rsidP="00A64222">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15 000 euro</w:t>
            </w:r>
          </w:p>
        </w:tc>
        <w:tc>
          <w:tcPr>
            <w:tcW w:w="652" w:type="pct"/>
            <w:tcBorders>
              <w:top w:val="single" w:sz="4" w:space="0" w:color="000000"/>
              <w:left w:val="single" w:sz="4" w:space="0" w:color="000000"/>
              <w:bottom w:val="single" w:sz="4" w:space="0" w:color="000000"/>
              <w:right w:val="single" w:sz="4" w:space="0" w:color="000000"/>
            </w:tcBorders>
            <w:vAlign w:val="center"/>
          </w:tcPr>
          <w:p w14:paraId="544DF329" w14:textId="77777777" w:rsidR="003A5B7E" w:rsidRPr="00770F9D" w:rsidRDefault="003A5B7E" w:rsidP="004A4F63">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r w:rsidR="003A5B7E" w:rsidRPr="00770F9D" w14:paraId="4715F05C" w14:textId="77777777" w:rsidTr="004A4F63">
        <w:trPr>
          <w:trHeight w:val="20"/>
          <w:jc w:val="center"/>
        </w:trPr>
        <w:tc>
          <w:tcPr>
            <w:tcW w:w="425" w:type="pct"/>
            <w:vMerge/>
            <w:tcBorders>
              <w:top w:val="single" w:sz="4" w:space="0" w:color="000000"/>
              <w:left w:val="single" w:sz="4" w:space="0" w:color="000000"/>
              <w:bottom w:val="single" w:sz="4" w:space="0" w:color="000000"/>
              <w:right w:val="single" w:sz="4" w:space="0" w:color="000000"/>
            </w:tcBorders>
          </w:tcPr>
          <w:p w14:paraId="50B0E8B0" w14:textId="77777777" w:rsidR="003A5B7E" w:rsidRPr="00770F9D" w:rsidRDefault="003A5B7E" w:rsidP="00856FA6">
            <w:pPr>
              <w:snapToGrid w:val="0"/>
              <w:jc w:val="both"/>
              <w:rPr>
                <w:rFonts w:ascii="Garamond" w:hAnsi="Garamond" w:cstheme="majorBidi"/>
                <w:b/>
                <w:bCs/>
                <w:color w:val="0D0D0D" w:themeColor="text1" w:themeTint="F2"/>
                <w:sz w:val="20"/>
                <w:szCs w:val="20"/>
              </w:rPr>
            </w:pPr>
          </w:p>
        </w:tc>
        <w:tc>
          <w:tcPr>
            <w:tcW w:w="3195" w:type="pct"/>
            <w:tcBorders>
              <w:top w:val="single" w:sz="4" w:space="0" w:color="000000"/>
              <w:left w:val="single" w:sz="4" w:space="0" w:color="000000"/>
              <w:bottom w:val="single" w:sz="4" w:space="0" w:color="000000"/>
              <w:right w:val="single" w:sz="4" w:space="0" w:color="000000"/>
            </w:tcBorders>
          </w:tcPr>
          <w:p w14:paraId="2DDB891F" w14:textId="62948EDE" w:rsidR="003A5B7E" w:rsidRPr="00770F9D" w:rsidRDefault="003A5B7E" w:rsidP="00856FA6">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xml:space="preserve">Përfundimi i procesit të harmonizimit të kurrikulave të trajnimit fillestar të mësuesve të IAL-ve bazuar në kërkesat e </w:t>
            </w:r>
            <w:r w:rsidR="00A64222" w:rsidRPr="00770F9D">
              <w:rPr>
                <w:rFonts w:ascii="Garamond" w:hAnsi="Garamond" w:cstheme="majorBidi"/>
                <w:color w:val="0D0D0D" w:themeColor="text1" w:themeTint="F2"/>
                <w:sz w:val="20"/>
                <w:szCs w:val="20"/>
              </w:rPr>
              <w:t>ligjit për arsimin e lartë</w:t>
            </w:r>
            <w:r w:rsidR="00A64222">
              <w:rPr>
                <w:rFonts w:ascii="Garamond" w:hAnsi="Garamond" w:cstheme="majorBidi"/>
                <w:color w:val="0D0D0D" w:themeColor="text1" w:themeTint="F2"/>
                <w:sz w:val="20"/>
                <w:szCs w:val="20"/>
              </w:rPr>
              <w:t>,</w:t>
            </w:r>
            <w:r w:rsidR="00A64222" w:rsidRPr="00770F9D">
              <w:rPr>
                <w:rFonts w:ascii="Garamond" w:hAnsi="Garamond" w:cstheme="majorBidi"/>
                <w:color w:val="0D0D0D" w:themeColor="text1" w:themeTint="F2"/>
                <w:sz w:val="20"/>
                <w:szCs w:val="20"/>
              </w:rPr>
              <w:t xml:space="preserve"> </w:t>
            </w:r>
            <w:r w:rsidRPr="00770F9D">
              <w:rPr>
                <w:rFonts w:ascii="Garamond" w:hAnsi="Garamond" w:cstheme="majorBidi"/>
                <w:color w:val="0D0D0D" w:themeColor="text1" w:themeTint="F2"/>
                <w:sz w:val="20"/>
                <w:szCs w:val="20"/>
              </w:rPr>
              <w:t>si dhe me kurrikulën e of</w:t>
            </w:r>
            <w:r w:rsidR="00A64222">
              <w:rPr>
                <w:rFonts w:ascii="Garamond" w:hAnsi="Garamond" w:cstheme="majorBidi"/>
                <w:color w:val="0D0D0D" w:themeColor="text1" w:themeTint="F2"/>
                <w:sz w:val="20"/>
                <w:szCs w:val="20"/>
              </w:rPr>
              <w:t>ruar në arsimin parauniversitar</w:t>
            </w:r>
          </w:p>
        </w:tc>
        <w:tc>
          <w:tcPr>
            <w:tcW w:w="728" w:type="pct"/>
            <w:tcBorders>
              <w:top w:val="single" w:sz="4" w:space="0" w:color="000000"/>
              <w:left w:val="single" w:sz="4" w:space="0" w:color="000000"/>
              <w:bottom w:val="single" w:sz="4" w:space="0" w:color="000000"/>
              <w:right w:val="single" w:sz="4" w:space="0" w:color="000000"/>
            </w:tcBorders>
            <w:vAlign w:val="center"/>
          </w:tcPr>
          <w:p w14:paraId="5A28344A" w14:textId="77777777" w:rsidR="003A5B7E" w:rsidRPr="00770F9D" w:rsidRDefault="003A5B7E" w:rsidP="00A64222">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ASCAL</w:t>
            </w:r>
          </w:p>
        </w:tc>
        <w:tc>
          <w:tcPr>
            <w:tcW w:w="652" w:type="pct"/>
            <w:tcBorders>
              <w:top w:val="single" w:sz="4" w:space="0" w:color="000000"/>
              <w:left w:val="single" w:sz="4" w:space="0" w:color="000000"/>
              <w:bottom w:val="single" w:sz="4" w:space="0" w:color="000000"/>
              <w:right w:val="single" w:sz="4" w:space="0" w:color="000000"/>
            </w:tcBorders>
            <w:vAlign w:val="center"/>
          </w:tcPr>
          <w:p w14:paraId="536AE667" w14:textId="77777777" w:rsidR="003A5B7E" w:rsidRPr="00770F9D" w:rsidRDefault="003A5B7E" w:rsidP="004A4F63">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r w:rsidR="003A5B7E" w:rsidRPr="00770F9D" w14:paraId="055922A3" w14:textId="77777777" w:rsidTr="004A4F63">
        <w:trPr>
          <w:trHeight w:val="20"/>
          <w:jc w:val="center"/>
        </w:trPr>
        <w:tc>
          <w:tcPr>
            <w:tcW w:w="425" w:type="pct"/>
            <w:vMerge/>
            <w:tcBorders>
              <w:top w:val="single" w:sz="4" w:space="0" w:color="000000"/>
              <w:left w:val="single" w:sz="4" w:space="0" w:color="000000"/>
              <w:bottom w:val="single" w:sz="4" w:space="0" w:color="000000"/>
              <w:right w:val="single" w:sz="4" w:space="0" w:color="000000"/>
            </w:tcBorders>
          </w:tcPr>
          <w:p w14:paraId="2FB2C553" w14:textId="77777777" w:rsidR="003A5B7E" w:rsidRPr="00770F9D" w:rsidRDefault="003A5B7E" w:rsidP="00856FA6">
            <w:pPr>
              <w:snapToGrid w:val="0"/>
              <w:jc w:val="both"/>
              <w:rPr>
                <w:rFonts w:ascii="Garamond" w:hAnsi="Garamond" w:cstheme="majorBidi"/>
                <w:b/>
                <w:bCs/>
                <w:color w:val="0D0D0D" w:themeColor="text1" w:themeTint="F2"/>
                <w:sz w:val="20"/>
                <w:szCs w:val="20"/>
              </w:rPr>
            </w:pPr>
          </w:p>
        </w:tc>
        <w:tc>
          <w:tcPr>
            <w:tcW w:w="3195" w:type="pct"/>
            <w:tcBorders>
              <w:top w:val="single" w:sz="4" w:space="0" w:color="000000"/>
              <w:left w:val="single" w:sz="4" w:space="0" w:color="000000"/>
              <w:bottom w:val="single" w:sz="4" w:space="0" w:color="000000"/>
              <w:right w:val="single" w:sz="4" w:space="0" w:color="000000"/>
            </w:tcBorders>
          </w:tcPr>
          <w:p w14:paraId="7848DB10" w14:textId="5A0FE299" w:rsidR="003A5B7E" w:rsidRPr="00770F9D" w:rsidRDefault="003A5B7E" w:rsidP="00856FA6">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Diskutimi dhe finalizimi i draftit të karrierës së mësuesit bazuar në vlerësimin e perf</w:t>
            </w:r>
            <w:r w:rsidR="00A64222">
              <w:rPr>
                <w:rFonts w:ascii="Garamond" w:hAnsi="Garamond" w:cstheme="majorBidi"/>
                <w:color w:val="0D0D0D" w:themeColor="text1" w:themeTint="F2"/>
                <w:sz w:val="20"/>
                <w:szCs w:val="20"/>
              </w:rPr>
              <w:t>ormancës së mësuesit në shkollë</w:t>
            </w:r>
          </w:p>
        </w:tc>
        <w:tc>
          <w:tcPr>
            <w:tcW w:w="728" w:type="pct"/>
            <w:tcBorders>
              <w:top w:val="single" w:sz="4" w:space="0" w:color="000000"/>
              <w:left w:val="single" w:sz="4" w:space="0" w:color="000000"/>
              <w:bottom w:val="single" w:sz="4" w:space="0" w:color="000000"/>
              <w:right w:val="single" w:sz="4" w:space="0" w:color="000000"/>
            </w:tcBorders>
            <w:vAlign w:val="center"/>
          </w:tcPr>
          <w:p w14:paraId="1E08F3D1" w14:textId="77777777" w:rsidR="003A5B7E" w:rsidRPr="00770F9D" w:rsidRDefault="003A5B7E" w:rsidP="00A64222">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3000 euro</w:t>
            </w:r>
          </w:p>
        </w:tc>
        <w:tc>
          <w:tcPr>
            <w:tcW w:w="652" w:type="pct"/>
            <w:tcBorders>
              <w:top w:val="single" w:sz="4" w:space="0" w:color="000000"/>
              <w:left w:val="single" w:sz="4" w:space="0" w:color="000000"/>
              <w:bottom w:val="single" w:sz="4" w:space="0" w:color="000000"/>
              <w:right w:val="single" w:sz="4" w:space="0" w:color="000000"/>
            </w:tcBorders>
            <w:vAlign w:val="center"/>
          </w:tcPr>
          <w:p w14:paraId="587E6E45" w14:textId="77777777" w:rsidR="003A5B7E" w:rsidRPr="00770F9D" w:rsidRDefault="003A5B7E" w:rsidP="004A4F63">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r w:rsidR="003A5B7E" w:rsidRPr="00770F9D" w14:paraId="0462741F" w14:textId="77777777" w:rsidTr="004A4F63">
        <w:trPr>
          <w:trHeight w:val="20"/>
          <w:jc w:val="center"/>
        </w:trPr>
        <w:tc>
          <w:tcPr>
            <w:tcW w:w="425" w:type="pct"/>
            <w:vMerge/>
            <w:tcBorders>
              <w:top w:val="single" w:sz="4" w:space="0" w:color="000000"/>
              <w:left w:val="single" w:sz="4" w:space="0" w:color="000000"/>
              <w:bottom w:val="single" w:sz="4" w:space="0" w:color="000000"/>
              <w:right w:val="single" w:sz="4" w:space="0" w:color="000000"/>
            </w:tcBorders>
          </w:tcPr>
          <w:p w14:paraId="47928B53" w14:textId="77777777" w:rsidR="003A5B7E" w:rsidRPr="00770F9D" w:rsidRDefault="003A5B7E" w:rsidP="00856FA6">
            <w:pPr>
              <w:snapToGrid w:val="0"/>
              <w:jc w:val="both"/>
              <w:rPr>
                <w:rFonts w:ascii="Garamond" w:hAnsi="Garamond" w:cstheme="majorBidi"/>
                <w:b/>
                <w:bCs/>
                <w:color w:val="0D0D0D" w:themeColor="text1" w:themeTint="F2"/>
                <w:sz w:val="20"/>
                <w:szCs w:val="20"/>
              </w:rPr>
            </w:pPr>
          </w:p>
        </w:tc>
        <w:tc>
          <w:tcPr>
            <w:tcW w:w="3195" w:type="pct"/>
            <w:tcBorders>
              <w:top w:val="single" w:sz="4" w:space="0" w:color="000000"/>
              <w:left w:val="single" w:sz="4" w:space="0" w:color="000000"/>
              <w:bottom w:val="single" w:sz="4" w:space="0" w:color="000000"/>
              <w:right w:val="single" w:sz="4" w:space="0" w:color="000000"/>
            </w:tcBorders>
          </w:tcPr>
          <w:p w14:paraId="5BF7CD43" w14:textId="77777777" w:rsidR="003A5B7E" w:rsidRPr="00770F9D" w:rsidRDefault="003A5B7E" w:rsidP="00856FA6">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Forcimi i 300 kapaciteteve njerëzore në sektorët e kurrikulës në nivel DRAP dhe ZVAP</w:t>
            </w:r>
          </w:p>
        </w:tc>
        <w:tc>
          <w:tcPr>
            <w:tcW w:w="728" w:type="pct"/>
            <w:tcBorders>
              <w:top w:val="single" w:sz="4" w:space="0" w:color="000000"/>
              <w:left w:val="single" w:sz="4" w:space="0" w:color="000000"/>
              <w:bottom w:val="single" w:sz="4" w:space="0" w:color="000000"/>
              <w:right w:val="single" w:sz="4" w:space="0" w:color="000000"/>
            </w:tcBorders>
            <w:vAlign w:val="center"/>
          </w:tcPr>
          <w:p w14:paraId="4C8A6293" w14:textId="77777777" w:rsidR="003A5B7E" w:rsidRPr="00770F9D" w:rsidRDefault="003A5B7E" w:rsidP="00A64222">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3600 euro</w:t>
            </w:r>
          </w:p>
        </w:tc>
        <w:tc>
          <w:tcPr>
            <w:tcW w:w="652" w:type="pct"/>
            <w:tcBorders>
              <w:top w:val="single" w:sz="4" w:space="0" w:color="000000"/>
              <w:left w:val="single" w:sz="4" w:space="0" w:color="000000"/>
              <w:bottom w:val="single" w:sz="4" w:space="0" w:color="000000"/>
              <w:right w:val="single" w:sz="4" w:space="0" w:color="000000"/>
            </w:tcBorders>
            <w:vAlign w:val="center"/>
          </w:tcPr>
          <w:p w14:paraId="73F47612" w14:textId="77777777" w:rsidR="003A5B7E" w:rsidRPr="00770F9D" w:rsidRDefault="003A5B7E" w:rsidP="004A4F63">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r w:rsidR="003A5B7E" w:rsidRPr="00770F9D" w14:paraId="6C147E02" w14:textId="77777777" w:rsidTr="004A4F63">
        <w:trPr>
          <w:trHeight w:val="20"/>
          <w:jc w:val="center"/>
        </w:trPr>
        <w:tc>
          <w:tcPr>
            <w:tcW w:w="425" w:type="pct"/>
            <w:vMerge/>
            <w:tcBorders>
              <w:top w:val="single" w:sz="4" w:space="0" w:color="000000"/>
              <w:left w:val="single" w:sz="4" w:space="0" w:color="000000"/>
              <w:bottom w:val="single" w:sz="4" w:space="0" w:color="000000"/>
              <w:right w:val="single" w:sz="4" w:space="0" w:color="000000"/>
            </w:tcBorders>
          </w:tcPr>
          <w:p w14:paraId="500D8C2C" w14:textId="77777777" w:rsidR="003A5B7E" w:rsidRPr="00770F9D" w:rsidRDefault="003A5B7E" w:rsidP="00856FA6">
            <w:pPr>
              <w:snapToGrid w:val="0"/>
              <w:jc w:val="both"/>
              <w:rPr>
                <w:rFonts w:ascii="Garamond" w:hAnsi="Garamond" w:cstheme="majorBidi"/>
                <w:b/>
                <w:bCs/>
                <w:color w:val="0D0D0D" w:themeColor="text1" w:themeTint="F2"/>
                <w:sz w:val="20"/>
                <w:szCs w:val="20"/>
              </w:rPr>
            </w:pPr>
          </w:p>
        </w:tc>
        <w:tc>
          <w:tcPr>
            <w:tcW w:w="3195" w:type="pct"/>
            <w:tcBorders>
              <w:top w:val="single" w:sz="4" w:space="0" w:color="000000"/>
              <w:left w:val="single" w:sz="4" w:space="0" w:color="000000"/>
              <w:bottom w:val="single" w:sz="4" w:space="0" w:color="000000"/>
              <w:right w:val="single" w:sz="4" w:space="0" w:color="000000"/>
            </w:tcBorders>
          </w:tcPr>
          <w:p w14:paraId="32C755B1" w14:textId="1361F87E" w:rsidR="003A5B7E" w:rsidRPr="00770F9D" w:rsidRDefault="003A5B7E" w:rsidP="00856FA6">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xml:space="preserve">Trajnimi i 700 drejtuesve të rrjeteve profesionale të arsimit të mesëm të ulët mbi udhëzuesin e zhvillimit të arsimit të </w:t>
            </w:r>
            <w:r w:rsidR="00A64222" w:rsidRPr="00770F9D">
              <w:rPr>
                <w:rFonts w:ascii="Garamond" w:hAnsi="Garamond" w:cstheme="majorBidi"/>
                <w:color w:val="0D0D0D" w:themeColor="text1" w:themeTint="F2"/>
                <w:sz w:val="20"/>
                <w:szCs w:val="20"/>
              </w:rPr>
              <w:t xml:space="preserve">arteve dhe artizanatit </w:t>
            </w:r>
            <w:r w:rsidRPr="00770F9D">
              <w:rPr>
                <w:rFonts w:ascii="Garamond" w:hAnsi="Garamond" w:cstheme="majorBidi"/>
                <w:bCs/>
                <w:color w:val="0D0D0D" w:themeColor="text1" w:themeTint="F2"/>
                <w:sz w:val="20"/>
                <w:szCs w:val="20"/>
              </w:rPr>
              <w:t>edhe udhëzuesin për orientimin në karrierë në arsimin bazë</w:t>
            </w:r>
          </w:p>
        </w:tc>
        <w:tc>
          <w:tcPr>
            <w:tcW w:w="728" w:type="pct"/>
            <w:tcBorders>
              <w:top w:val="single" w:sz="4" w:space="0" w:color="000000"/>
              <w:left w:val="single" w:sz="4" w:space="0" w:color="000000"/>
              <w:bottom w:val="single" w:sz="4" w:space="0" w:color="000000"/>
              <w:right w:val="single" w:sz="4" w:space="0" w:color="000000"/>
            </w:tcBorders>
            <w:vAlign w:val="center"/>
          </w:tcPr>
          <w:p w14:paraId="242F3BBF" w14:textId="77777777" w:rsidR="003A5B7E" w:rsidRPr="00770F9D" w:rsidRDefault="003A5B7E" w:rsidP="00A64222">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8 400 euro</w:t>
            </w:r>
          </w:p>
        </w:tc>
        <w:tc>
          <w:tcPr>
            <w:tcW w:w="652" w:type="pct"/>
            <w:tcBorders>
              <w:top w:val="single" w:sz="4" w:space="0" w:color="000000"/>
              <w:left w:val="single" w:sz="4" w:space="0" w:color="000000"/>
              <w:bottom w:val="single" w:sz="4" w:space="0" w:color="000000"/>
              <w:right w:val="single" w:sz="4" w:space="0" w:color="000000"/>
            </w:tcBorders>
            <w:vAlign w:val="center"/>
          </w:tcPr>
          <w:p w14:paraId="4313DD10" w14:textId="77777777" w:rsidR="003A5B7E" w:rsidRPr="00770F9D" w:rsidRDefault="003A5B7E" w:rsidP="004A4F63">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r w:rsidR="003A5B7E" w:rsidRPr="00770F9D" w14:paraId="2081FEE6" w14:textId="77777777" w:rsidTr="004A4F63">
        <w:trPr>
          <w:trHeight w:val="20"/>
          <w:jc w:val="center"/>
        </w:trPr>
        <w:tc>
          <w:tcPr>
            <w:tcW w:w="425" w:type="pct"/>
            <w:vMerge/>
            <w:tcBorders>
              <w:top w:val="single" w:sz="4" w:space="0" w:color="000000"/>
              <w:left w:val="single" w:sz="4" w:space="0" w:color="000000"/>
              <w:bottom w:val="single" w:sz="4" w:space="0" w:color="000000"/>
              <w:right w:val="single" w:sz="4" w:space="0" w:color="000000"/>
            </w:tcBorders>
          </w:tcPr>
          <w:p w14:paraId="693312B4" w14:textId="77777777" w:rsidR="003A5B7E" w:rsidRPr="00770F9D" w:rsidRDefault="003A5B7E" w:rsidP="00856FA6">
            <w:pPr>
              <w:snapToGrid w:val="0"/>
              <w:jc w:val="both"/>
              <w:rPr>
                <w:rFonts w:ascii="Garamond" w:hAnsi="Garamond" w:cstheme="majorBidi"/>
                <w:b/>
                <w:bCs/>
                <w:color w:val="0D0D0D" w:themeColor="text1" w:themeTint="F2"/>
                <w:sz w:val="20"/>
                <w:szCs w:val="20"/>
              </w:rPr>
            </w:pPr>
          </w:p>
        </w:tc>
        <w:tc>
          <w:tcPr>
            <w:tcW w:w="3195" w:type="pct"/>
            <w:tcBorders>
              <w:top w:val="single" w:sz="4" w:space="0" w:color="000000"/>
              <w:left w:val="single" w:sz="4" w:space="0" w:color="000000"/>
              <w:bottom w:val="single" w:sz="4" w:space="0" w:color="000000"/>
              <w:right w:val="single" w:sz="4" w:space="0" w:color="000000"/>
            </w:tcBorders>
          </w:tcPr>
          <w:p w14:paraId="67616685" w14:textId="77777777" w:rsidR="003A5B7E" w:rsidRPr="00770F9D" w:rsidRDefault="003A5B7E" w:rsidP="00856FA6">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Hartimi dhe miratimi i kornizës për vlerësimin e cilësisë së shërbimeve në arsimin parashkollor.</w:t>
            </w:r>
          </w:p>
        </w:tc>
        <w:tc>
          <w:tcPr>
            <w:tcW w:w="728" w:type="pct"/>
            <w:tcBorders>
              <w:top w:val="single" w:sz="4" w:space="0" w:color="000000"/>
              <w:left w:val="single" w:sz="4" w:space="0" w:color="000000"/>
              <w:bottom w:val="single" w:sz="4" w:space="0" w:color="000000"/>
              <w:right w:val="single" w:sz="4" w:space="0" w:color="000000"/>
            </w:tcBorders>
            <w:vAlign w:val="center"/>
          </w:tcPr>
          <w:p w14:paraId="1EA6E212" w14:textId="77777777" w:rsidR="003A5B7E" w:rsidRPr="00770F9D" w:rsidRDefault="003A5B7E" w:rsidP="00A64222">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2000 euro</w:t>
            </w:r>
          </w:p>
        </w:tc>
        <w:tc>
          <w:tcPr>
            <w:tcW w:w="652" w:type="pct"/>
            <w:tcBorders>
              <w:top w:val="single" w:sz="4" w:space="0" w:color="000000"/>
              <w:left w:val="single" w:sz="4" w:space="0" w:color="000000"/>
              <w:bottom w:val="single" w:sz="4" w:space="0" w:color="000000"/>
              <w:right w:val="single" w:sz="4" w:space="0" w:color="000000"/>
            </w:tcBorders>
            <w:vAlign w:val="center"/>
          </w:tcPr>
          <w:p w14:paraId="033B99A5" w14:textId="77777777" w:rsidR="003A5B7E" w:rsidRPr="00770F9D" w:rsidRDefault="003A5B7E" w:rsidP="004A4F63">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r w:rsidR="003A5B7E" w:rsidRPr="00770F9D" w14:paraId="68F6ABC8" w14:textId="77777777" w:rsidTr="004A4F63">
        <w:trPr>
          <w:trHeight w:val="20"/>
          <w:jc w:val="center"/>
        </w:trPr>
        <w:tc>
          <w:tcPr>
            <w:tcW w:w="425" w:type="pct"/>
            <w:vMerge/>
            <w:tcBorders>
              <w:top w:val="single" w:sz="4" w:space="0" w:color="000000"/>
              <w:left w:val="single" w:sz="4" w:space="0" w:color="000000"/>
              <w:bottom w:val="single" w:sz="4" w:space="0" w:color="000000"/>
              <w:right w:val="single" w:sz="4" w:space="0" w:color="000000"/>
            </w:tcBorders>
          </w:tcPr>
          <w:p w14:paraId="361C7AA0" w14:textId="77777777" w:rsidR="003A5B7E" w:rsidRPr="00770F9D" w:rsidRDefault="003A5B7E" w:rsidP="00856FA6">
            <w:pPr>
              <w:snapToGrid w:val="0"/>
              <w:jc w:val="both"/>
              <w:rPr>
                <w:rFonts w:ascii="Garamond" w:hAnsi="Garamond" w:cstheme="majorBidi"/>
                <w:b/>
                <w:bCs/>
                <w:color w:val="0D0D0D" w:themeColor="text1" w:themeTint="F2"/>
                <w:sz w:val="20"/>
                <w:szCs w:val="20"/>
              </w:rPr>
            </w:pPr>
          </w:p>
        </w:tc>
        <w:tc>
          <w:tcPr>
            <w:tcW w:w="3195" w:type="pct"/>
            <w:tcBorders>
              <w:top w:val="single" w:sz="4" w:space="0" w:color="000000"/>
              <w:left w:val="single" w:sz="4" w:space="0" w:color="000000"/>
              <w:bottom w:val="single" w:sz="4" w:space="0" w:color="000000"/>
              <w:right w:val="single" w:sz="4" w:space="0" w:color="000000"/>
            </w:tcBorders>
          </w:tcPr>
          <w:p w14:paraId="7D991806" w14:textId="3BE1C8B4" w:rsidR="003A5B7E" w:rsidRPr="00770F9D" w:rsidRDefault="003A5B7E" w:rsidP="00856FA6">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Hartimi i programit të ri dhe trajnimi i 100 mësuesve në zbatimin e programit TI</w:t>
            </w:r>
            <w:r w:rsidR="00A64222">
              <w:rPr>
                <w:rFonts w:ascii="Garamond" w:hAnsi="Garamond" w:cstheme="majorBidi"/>
                <w:color w:val="0D0D0D" w:themeColor="text1" w:themeTint="F2"/>
                <w:sz w:val="20"/>
                <w:szCs w:val="20"/>
              </w:rPr>
              <w:t>K për klasën e parë dhe të dytë</w:t>
            </w:r>
          </w:p>
        </w:tc>
        <w:tc>
          <w:tcPr>
            <w:tcW w:w="728" w:type="pct"/>
            <w:tcBorders>
              <w:top w:val="single" w:sz="4" w:space="0" w:color="000000"/>
              <w:left w:val="single" w:sz="4" w:space="0" w:color="000000"/>
              <w:bottom w:val="single" w:sz="4" w:space="0" w:color="000000"/>
              <w:right w:val="single" w:sz="4" w:space="0" w:color="000000"/>
            </w:tcBorders>
            <w:vAlign w:val="center"/>
          </w:tcPr>
          <w:p w14:paraId="753B9E74" w14:textId="77777777" w:rsidR="003A5B7E" w:rsidRPr="00770F9D" w:rsidRDefault="003A5B7E" w:rsidP="00A64222">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2000 euro</w:t>
            </w:r>
          </w:p>
        </w:tc>
        <w:tc>
          <w:tcPr>
            <w:tcW w:w="652" w:type="pct"/>
            <w:tcBorders>
              <w:top w:val="single" w:sz="4" w:space="0" w:color="000000"/>
              <w:left w:val="single" w:sz="4" w:space="0" w:color="000000"/>
              <w:bottom w:val="single" w:sz="4" w:space="0" w:color="000000"/>
              <w:right w:val="single" w:sz="4" w:space="0" w:color="000000"/>
            </w:tcBorders>
            <w:vAlign w:val="center"/>
          </w:tcPr>
          <w:p w14:paraId="0B3AC726" w14:textId="77777777" w:rsidR="003A5B7E" w:rsidRPr="00770F9D" w:rsidRDefault="003A5B7E" w:rsidP="004A4F63">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r w:rsidR="003A5B7E" w:rsidRPr="00770F9D" w14:paraId="77AFCD16" w14:textId="77777777" w:rsidTr="004A4F63">
        <w:trPr>
          <w:trHeight w:val="20"/>
          <w:jc w:val="center"/>
        </w:trPr>
        <w:tc>
          <w:tcPr>
            <w:tcW w:w="425" w:type="pct"/>
            <w:vMerge/>
            <w:tcBorders>
              <w:top w:val="single" w:sz="4" w:space="0" w:color="000000"/>
              <w:left w:val="single" w:sz="4" w:space="0" w:color="000000"/>
              <w:bottom w:val="single" w:sz="4" w:space="0" w:color="000000"/>
              <w:right w:val="single" w:sz="4" w:space="0" w:color="000000"/>
            </w:tcBorders>
          </w:tcPr>
          <w:p w14:paraId="5A291396" w14:textId="77777777" w:rsidR="003A5B7E" w:rsidRPr="00770F9D" w:rsidRDefault="003A5B7E" w:rsidP="00856FA6">
            <w:pPr>
              <w:snapToGrid w:val="0"/>
              <w:jc w:val="both"/>
              <w:rPr>
                <w:rFonts w:ascii="Garamond" w:hAnsi="Garamond" w:cstheme="majorBidi"/>
                <w:b/>
                <w:bCs/>
                <w:color w:val="0D0D0D" w:themeColor="text1" w:themeTint="F2"/>
                <w:sz w:val="20"/>
                <w:szCs w:val="20"/>
              </w:rPr>
            </w:pPr>
          </w:p>
        </w:tc>
        <w:tc>
          <w:tcPr>
            <w:tcW w:w="3195" w:type="pct"/>
            <w:tcBorders>
              <w:top w:val="single" w:sz="4" w:space="0" w:color="000000"/>
              <w:left w:val="single" w:sz="4" w:space="0" w:color="000000"/>
              <w:bottom w:val="single" w:sz="4" w:space="0" w:color="000000"/>
              <w:right w:val="single" w:sz="4" w:space="0" w:color="000000"/>
            </w:tcBorders>
          </w:tcPr>
          <w:p w14:paraId="74E14BF6" w14:textId="4F09B564" w:rsidR="003A5B7E" w:rsidRPr="00770F9D" w:rsidRDefault="003A5B7E" w:rsidP="00856FA6">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Zbatimi i TALIS 2024 për pilotimin në terren me 20 shkolla, 20 dr</w:t>
            </w:r>
            <w:r w:rsidR="00A64222">
              <w:rPr>
                <w:rFonts w:ascii="Garamond" w:hAnsi="Garamond" w:cstheme="majorBidi"/>
                <w:color w:val="0D0D0D" w:themeColor="text1" w:themeTint="F2"/>
                <w:sz w:val="20"/>
                <w:szCs w:val="20"/>
              </w:rPr>
              <w:t>ejtues shkollash dhe 400 mësues</w:t>
            </w:r>
          </w:p>
        </w:tc>
        <w:tc>
          <w:tcPr>
            <w:tcW w:w="728" w:type="pct"/>
            <w:tcBorders>
              <w:top w:val="single" w:sz="4" w:space="0" w:color="000000"/>
              <w:left w:val="single" w:sz="4" w:space="0" w:color="000000"/>
              <w:bottom w:val="single" w:sz="4" w:space="0" w:color="000000"/>
              <w:right w:val="single" w:sz="4" w:space="0" w:color="000000"/>
            </w:tcBorders>
            <w:vAlign w:val="center"/>
          </w:tcPr>
          <w:p w14:paraId="022C20D8" w14:textId="77777777" w:rsidR="003A5B7E" w:rsidRPr="00770F9D" w:rsidRDefault="003A5B7E" w:rsidP="00A64222">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30 000</w:t>
            </w:r>
          </w:p>
          <w:p w14:paraId="71F4B756" w14:textId="77777777" w:rsidR="003A5B7E" w:rsidRPr="00770F9D" w:rsidRDefault="003A5B7E" w:rsidP="00A64222">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euro</w:t>
            </w:r>
          </w:p>
        </w:tc>
        <w:tc>
          <w:tcPr>
            <w:tcW w:w="652" w:type="pct"/>
            <w:tcBorders>
              <w:top w:val="single" w:sz="4" w:space="0" w:color="000000"/>
              <w:left w:val="single" w:sz="4" w:space="0" w:color="000000"/>
              <w:bottom w:val="single" w:sz="4" w:space="0" w:color="000000"/>
              <w:right w:val="single" w:sz="4" w:space="0" w:color="000000"/>
            </w:tcBorders>
            <w:vAlign w:val="center"/>
          </w:tcPr>
          <w:p w14:paraId="542A5947" w14:textId="77777777" w:rsidR="003A5B7E" w:rsidRPr="00770F9D" w:rsidRDefault="003A5B7E" w:rsidP="004A4F63">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r w:rsidR="003A5B7E" w:rsidRPr="00770F9D" w14:paraId="285D95E8" w14:textId="77777777" w:rsidTr="004A4F63">
        <w:trPr>
          <w:trHeight w:val="20"/>
          <w:jc w:val="center"/>
        </w:trPr>
        <w:tc>
          <w:tcPr>
            <w:tcW w:w="425" w:type="pct"/>
            <w:vMerge w:val="restart"/>
            <w:tcBorders>
              <w:top w:val="single" w:sz="4" w:space="0" w:color="000000"/>
              <w:left w:val="single" w:sz="4" w:space="0" w:color="000000"/>
              <w:bottom w:val="single" w:sz="4" w:space="0" w:color="000000"/>
              <w:right w:val="single" w:sz="4" w:space="0" w:color="000000"/>
            </w:tcBorders>
          </w:tcPr>
          <w:p w14:paraId="2E5BAC18" w14:textId="77777777" w:rsidR="003A5B7E" w:rsidRPr="00770F9D" w:rsidRDefault="003A5B7E" w:rsidP="00856FA6">
            <w:pPr>
              <w:jc w:val="both"/>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2024</w:t>
            </w:r>
          </w:p>
        </w:tc>
        <w:tc>
          <w:tcPr>
            <w:tcW w:w="3195" w:type="pct"/>
            <w:tcBorders>
              <w:top w:val="single" w:sz="4" w:space="0" w:color="000000"/>
              <w:left w:val="single" w:sz="4" w:space="0" w:color="000000"/>
              <w:bottom w:val="single" w:sz="4" w:space="0" w:color="000000"/>
              <w:right w:val="single" w:sz="4" w:space="0" w:color="000000"/>
            </w:tcBorders>
          </w:tcPr>
          <w:p w14:paraId="0DE5EC2A" w14:textId="58AA5002" w:rsidR="003A5B7E" w:rsidRPr="00770F9D" w:rsidRDefault="003A5B7E" w:rsidP="00856FA6">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Përmirësimi i aftësive të studentëve në gjuhë dhe ko</w:t>
            </w:r>
            <w:r w:rsidR="00A64222">
              <w:rPr>
                <w:rFonts w:ascii="Garamond" w:hAnsi="Garamond" w:cstheme="majorBidi"/>
                <w:color w:val="0D0D0D" w:themeColor="text1" w:themeTint="F2"/>
                <w:sz w:val="20"/>
                <w:szCs w:val="20"/>
              </w:rPr>
              <w:t>munikim, matematikë dhe shkencë</w:t>
            </w:r>
          </w:p>
        </w:tc>
        <w:tc>
          <w:tcPr>
            <w:tcW w:w="728" w:type="pct"/>
            <w:tcBorders>
              <w:top w:val="single" w:sz="4" w:space="0" w:color="000000"/>
              <w:left w:val="single" w:sz="4" w:space="0" w:color="000000"/>
              <w:bottom w:val="single" w:sz="4" w:space="0" w:color="000000"/>
              <w:right w:val="single" w:sz="4" w:space="0" w:color="000000"/>
            </w:tcBorders>
            <w:vAlign w:val="center"/>
          </w:tcPr>
          <w:p w14:paraId="48A1B9C2" w14:textId="77777777" w:rsidR="003A5B7E" w:rsidRPr="00770F9D" w:rsidRDefault="003A5B7E" w:rsidP="00A64222">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5000 euro</w:t>
            </w:r>
          </w:p>
        </w:tc>
        <w:tc>
          <w:tcPr>
            <w:tcW w:w="652" w:type="pct"/>
            <w:tcBorders>
              <w:top w:val="single" w:sz="4" w:space="0" w:color="000000"/>
              <w:left w:val="single" w:sz="4" w:space="0" w:color="000000"/>
              <w:bottom w:val="single" w:sz="4" w:space="0" w:color="000000"/>
              <w:right w:val="single" w:sz="4" w:space="0" w:color="000000"/>
            </w:tcBorders>
            <w:vAlign w:val="center"/>
          </w:tcPr>
          <w:p w14:paraId="7F6031A5" w14:textId="77777777" w:rsidR="003A5B7E" w:rsidRPr="00770F9D" w:rsidRDefault="003A5B7E" w:rsidP="004A4F63">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r w:rsidR="003A5B7E" w:rsidRPr="00770F9D" w14:paraId="620B9AB2" w14:textId="77777777" w:rsidTr="004A4F63">
        <w:trPr>
          <w:trHeight w:val="20"/>
          <w:jc w:val="center"/>
        </w:trPr>
        <w:tc>
          <w:tcPr>
            <w:tcW w:w="425" w:type="pct"/>
            <w:vMerge/>
            <w:tcBorders>
              <w:top w:val="single" w:sz="4" w:space="0" w:color="000000"/>
              <w:left w:val="single" w:sz="4" w:space="0" w:color="000000"/>
              <w:bottom w:val="single" w:sz="4" w:space="0" w:color="000000"/>
              <w:right w:val="single" w:sz="4" w:space="0" w:color="000000"/>
            </w:tcBorders>
          </w:tcPr>
          <w:p w14:paraId="294CAEA3" w14:textId="77777777" w:rsidR="003A5B7E" w:rsidRPr="00770F9D" w:rsidRDefault="003A5B7E" w:rsidP="00856FA6">
            <w:pPr>
              <w:snapToGrid w:val="0"/>
              <w:jc w:val="both"/>
              <w:rPr>
                <w:rFonts w:ascii="Garamond" w:hAnsi="Garamond" w:cstheme="majorBidi"/>
                <w:b/>
                <w:bCs/>
                <w:color w:val="0D0D0D" w:themeColor="text1" w:themeTint="F2"/>
                <w:sz w:val="20"/>
                <w:szCs w:val="20"/>
              </w:rPr>
            </w:pPr>
          </w:p>
        </w:tc>
        <w:tc>
          <w:tcPr>
            <w:tcW w:w="3195" w:type="pct"/>
            <w:tcBorders>
              <w:top w:val="single" w:sz="4" w:space="0" w:color="000000"/>
              <w:left w:val="single" w:sz="4" w:space="0" w:color="000000"/>
              <w:bottom w:val="single" w:sz="4" w:space="0" w:color="000000"/>
              <w:right w:val="single" w:sz="4" w:space="0" w:color="000000"/>
            </w:tcBorders>
          </w:tcPr>
          <w:p w14:paraId="7DD47662" w14:textId="7163DBA9" w:rsidR="003A5B7E" w:rsidRPr="00770F9D" w:rsidRDefault="003A5B7E" w:rsidP="00856FA6">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Miratimi i sistemit të karrierës së mësuesit bazuar në vlerësimin e perf</w:t>
            </w:r>
            <w:r w:rsidR="00A64222">
              <w:rPr>
                <w:rFonts w:ascii="Garamond" w:hAnsi="Garamond" w:cstheme="majorBidi"/>
                <w:color w:val="0D0D0D" w:themeColor="text1" w:themeTint="F2"/>
                <w:sz w:val="20"/>
                <w:szCs w:val="20"/>
              </w:rPr>
              <w:t>ormancës së mësuesve në shkollë</w:t>
            </w:r>
          </w:p>
        </w:tc>
        <w:tc>
          <w:tcPr>
            <w:tcW w:w="728" w:type="pct"/>
            <w:tcBorders>
              <w:top w:val="single" w:sz="4" w:space="0" w:color="000000"/>
              <w:left w:val="single" w:sz="4" w:space="0" w:color="000000"/>
              <w:bottom w:val="single" w:sz="4" w:space="0" w:color="000000"/>
              <w:right w:val="single" w:sz="4" w:space="0" w:color="000000"/>
            </w:tcBorders>
            <w:vAlign w:val="center"/>
          </w:tcPr>
          <w:p w14:paraId="5ACE7F44" w14:textId="77777777" w:rsidR="003A5B7E" w:rsidRPr="00770F9D" w:rsidRDefault="003A5B7E" w:rsidP="00A64222">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3000 euro</w:t>
            </w:r>
          </w:p>
        </w:tc>
        <w:tc>
          <w:tcPr>
            <w:tcW w:w="652" w:type="pct"/>
            <w:tcBorders>
              <w:top w:val="single" w:sz="4" w:space="0" w:color="000000"/>
              <w:left w:val="single" w:sz="4" w:space="0" w:color="000000"/>
              <w:bottom w:val="single" w:sz="4" w:space="0" w:color="000000"/>
              <w:right w:val="single" w:sz="4" w:space="0" w:color="000000"/>
            </w:tcBorders>
            <w:vAlign w:val="center"/>
          </w:tcPr>
          <w:p w14:paraId="3EF542AC" w14:textId="77777777" w:rsidR="003A5B7E" w:rsidRPr="00770F9D" w:rsidRDefault="003A5B7E" w:rsidP="004A4F63">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r w:rsidR="003A5B7E" w:rsidRPr="00770F9D" w14:paraId="6564EA4E" w14:textId="77777777" w:rsidTr="004A4F63">
        <w:trPr>
          <w:trHeight w:val="20"/>
          <w:jc w:val="center"/>
        </w:trPr>
        <w:tc>
          <w:tcPr>
            <w:tcW w:w="425" w:type="pct"/>
            <w:vMerge/>
            <w:tcBorders>
              <w:top w:val="single" w:sz="4" w:space="0" w:color="000000"/>
              <w:left w:val="single" w:sz="4" w:space="0" w:color="000000"/>
              <w:bottom w:val="single" w:sz="4" w:space="0" w:color="000000"/>
              <w:right w:val="single" w:sz="4" w:space="0" w:color="000000"/>
            </w:tcBorders>
          </w:tcPr>
          <w:p w14:paraId="723A932D" w14:textId="77777777" w:rsidR="003A5B7E" w:rsidRPr="00770F9D" w:rsidRDefault="003A5B7E" w:rsidP="00856FA6">
            <w:pPr>
              <w:snapToGrid w:val="0"/>
              <w:jc w:val="both"/>
              <w:rPr>
                <w:rFonts w:ascii="Garamond" w:hAnsi="Garamond" w:cstheme="majorBidi"/>
                <w:b/>
                <w:bCs/>
                <w:color w:val="0D0D0D" w:themeColor="text1" w:themeTint="F2"/>
                <w:sz w:val="20"/>
                <w:szCs w:val="20"/>
              </w:rPr>
            </w:pPr>
          </w:p>
        </w:tc>
        <w:tc>
          <w:tcPr>
            <w:tcW w:w="3195" w:type="pct"/>
            <w:tcBorders>
              <w:top w:val="single" w:sz="4" w:space="0" w:color="000000"/>
              <w:left w:val="single" w:sz="4" w:space="0" w:color="000000"/>
              <w:bottom w:val="single" w:sz="4" w:space="0" w:color="000000"/>
              <w:right w:val="single" w:sz="4" w:space="0" w:color="000000"/>
            </w:tcBorders>
          </w:tcPr>
          <w:p w14:paraId="4C2D107F" w14:textId="48EBADC8" w:rsidR="003A5B7E" w:rsidRPr="00770F9D" w:rsidRDefault="003A5B7E" w:rsidP="00856FA6">
            <w:pPr>
              <w:snapToGrid w:val="0"/>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Forcimi i kapaciteteve njerëzore në sektorët e kurrikulës në nivel të DRAP-ve dhe ZVAP-ve dhe trajnimi i 500 drejtuesve të rrjetit për drejtimin dhe zhvillimin e arsimit të Arteve dhe Artizanatit dhe</w:t>
            </w:r>
            <w:r w:rsidR="00A64222">
              <w:rPr>
                <w:rFonts w:ascii="Garamond" w:hAnsi="Garamond" w:cstheme="majorBidi"/>
                <w:color w:val="0D0D0D" w:themeColor="text1" w:themeTint="F2"/>
                <w:sz w:val="20"/>
                <w:szCs w:val="20"/>
              </w:rPr>
              <w:t xml:space="preserve"> </w:t>
            </w:r>
            <w:r w:rsidRPr="00770F9D">
              <w:rPr>
                <w:rFonts w:ascii="Garamond" w:hAnsi="Garamond" w:cstheme="majorBidi"/>
                <w:bCs/>
                <w:color w:val="0D0D0D" w:themeColor="text1" w:themeTint="F2"/>
                <w:sz w:val="20"/>
                <w:szCs w:val="20"/>
              </w:rPr>
              <w:t>orientimi në karrierë në arsimin bazë</w:t>
            </w:r>
          </w:p>
        </w:tc>
        <w:tc>
          <w:tcPr>
            <w:tcW w:w="728" w:type="pct"/>
            <w:tcBorders>
              <w:top w:val="single" w:sz="4" w:space="0" w:color="000000"/>
              <w:left w:val="single" w:sz="4" w:space="0" w:color="000000"/>
              <w:bottom w:val="single" w:sz="4" w:space="0" w:color="000000"/>
              <w:right w:val="single" w:sz="4" w:space="0" w:color="000000"/>
            </w:tcBorders>
            <w:vAlign w:val="center"/>
          </w:tcPr>
          <w:p w14:paraId="77DEA862" w14:textId="77777777" w:rsidR="003A5B7E" w:rsidRPr="00770F9D" w:rsidRDefault="003A5B7E" w:rsidP="00A64222">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6000 euro</w:t>
            </w:r>
          </w:p>
        </w:tc>
        <w:tc>
          <w:tcPr>
            <w:tcW w:w="652" w:type="pct"/>
            <w:tcBorders>
              <w:top w:val="single" w:sz="4" w:space="0" w:color="000000"/>
              <w:left w:val="single" w:sz="4" w:space="0" w:color="000000"/>
              <w:bottom w:val="single" w:sz="4" w:space="0" w:color="000000"/>
              <w:right w:val="single" w:sz="4" w:space="0" w:color="000000"/>
            </w:tcBorders>
            <w:vAlign w:val="center"/>
          </w:tcPr>
          <w:p w14:paraId="33EEA60C" w14:textId="77777777" w:rsidR="003A5B7E" w:rsidRPr="00770F9D" w:rsidRDefault="003A5B7E" w:rsidP="004A4F63">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r w:rsidR="003A5B7E" w:rsidRPr="00770F9D" w14:paraId="665D6675" w14:textId="77777777" w:rsidTr="00A64222">
        <w:trPr>
          <w:trHeight w:val="20"/>
          <w:jc w:val="center"/>
        </w:trPr>
        <w:tc>
          <w:tcPr>
            <w:tcW w:w="425" w:type="pct"/>
            <w:vMerge/>
            <w:tcBorders>
              <w:top w:val="single" w:sz="4" w:space="0" w:color="000000"/>
              <w:left w:val="single" w:sz="4" w:space="0" w:color="000000"/>
              <w:bottom w:val="single" w:sz="4" w:space="0" w:color="000000"/>
              <w:right w:val="single" w:sz="4" w:space="0" w:color="000000"/>
            </w:tcBorders>
          </w:tcPr>
          <w:p w14:paraId="6B7DAB45" w14:textId="77777777" w:rsidR="003A5B7E" w:rsidRPr="00770F9D" w:rsidRDefault="003A5B7E" w:rsidP="00856FA6">
            <w:pPr>
              <w:snapToGrid w:val="0"/>
              <w:jc w:val="both"/>
              <w:rPr>
                <w:rFonts w:ascii="Garamond" w:hAnsi="Garamond" w:cstheme="majorBidi"/>
                <w:b/>
                <w:bCs/>
                <w:color w:val="0D0D0D" w:themeColor="text1" w:themeTint="F2"/>
                <w:sz w:val="20"/>
                <w:szCs w:val="20"/>
              </w:rPr>
            </w:pPr>
          </w:p>
        </w:tc>
        <w:tc>
          <w:tcPr>
            <w:tcW w:w="3195" w:type="pct"/>
            <w:tcBorders>
              <w:top w:val="single" w:sz="4" w:space="0" w:color="000000"/>
              <w:left w:val="single" w:sz="4" w:space="0" w:color="000000"/>
              <w:bottom w:val="single" w:sz="4" w:space="0" w:color="000000"/>
              <w:right w:val="single" w:sz="4" w:space="0" w:color="000000"/>
            </w:tcBorders>
          </w:tcPr>
          <w:p w14:paraId="4F205659" w14:textId="77777777" w:rsidR="003A5B7E" w:rsidRPr="00770F9D" w:rsidRDefault="003A5B7E" w:rsidP="00856FA6">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Hartimi i programit të ri dhe trajnimi i 100 mësuesve në zbatimin e programit TIK për klasën e tretë.</w:t>
            </w:r>
          </w:p>
        </w:tc>
        <w:tc>
          <w:tcPr>
            <w:tcW w:w="728" w:type="pct"/>
            <w:tcBorders>
              <w:top w:val="single" w:sz="4" w:space="0" w:color="000000"/>
              <w:left w:val="single" w:sz="4" w:space="0" w:color="000000"/>
              <w:bottom w:val="single" w:sz="4" w:space="0" w:color="000000"/>
              <w:right w:val="single" w:sz="4" w:space="0" w:color="000000"/>
            </w:tcBorders>
          </w:tcPr>
          <w:p w14:paraId="269D7DE8" w14:textId="77777777" w:rsidR="003A5B7E" w:rsidRPr="00770F9D" w:rsidRDefault="003A5B7E" w:rsidP="00A64222">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2000 euro</w:t>
            </w:r>
          </w:p>
        </w:tc>
        <w:tc>
          <w:tcPr>
            <w:tcW w:w="652" w:type="pct"/>
            <w:tcBorders>
              <w:top w:val="single" w:sz="4" w:space="0" w:color="000000"/>
              <w:left w:val="single" w:sz="4" w:space="0" w:color="000000"/>
              <w:bottom w:val="single" w:sz="4" w:space="0" w:color="000000"/>
              <w:right w:val="single" w:sz="4" w:space="0" w:color="000000"/>
            </w:tcBorders>
          </w:tcPr>
          <w:p w14:paraId="02F40480" w14:textId="77777777" w:rsidR="003A5B7E" w:rsidRPr="00770F9D" w:rsidRDefault="003A5B7E" w:rsidP="00856FA6">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r w:rsidR="003A5B7E" w:rsidRPr="00770F9D" w14:paraId="1C64F5ED" w14:textId="77777777" w:rsidTr="00A64222">
        <w:trPr>
          <w:trHeight w:val="20"/>
          <w:jc w:val="center"/>
        </w:trPr>
        <w:tc>
          <w:tcPr>
            <w:tcW w:w="425" w:type="pct"/>
            <w:vMerge/>
            <w:tcBorders>
              <w:top w:val="single" w:sz="4" w:space="0" w:color="000000"/>
              <w:left w:val="single" w:sz="4" w:space="0" w:color="000000"/>
              <w:bottom w:val="single" w:sz="4" w:space="0" w:color="000000"/>
              <w:right w:val="single" w:sz="4" w:space="0" w:color="000000"/>
            </w:tcBorders>
          </w:tcPr>
          <w:p w14:paraId="28308D0B" w14:textId="77777777" w:rsidR="003A5B7E" w:rsidRPr="00770F9D" w:rsidRDefault="003A5B7E" w:rsidP="00856FA6">
            <w:pPr>
              <w:snapToGrid w:val="0"/>
              <w:jc w:val="both"/>
              <w:rPr>
                <w:rFonts w:ascii="Garamond" w:hAnsi="Garamond" w:cstheme="majorBidi"/>
                <w:b/>
                <w:bCs/>
                <w:color w:val="0D0D0D" w:themeColor="text1" w:themeTint="F2"/>
                <w:sz w:val="20"/>
                <w:szCs w:val="20"/>
              </w:rPr>
            </w:pPr>
          </w:p>
        </w:tc>
        <w:tc>
          <w:tcPr>
            <w:tcW w:w="3195" w:type="pct"/>
            <w:tcBorders>
              <w:top w:val="single" w:sz="4" w:space="0" w:color="000000"/>
              <w:left w:val="single" w:sz="4" w:space="0" w:color="000000"/>
              <w:bottom w:val="single" w:sz="4" w:space="0" w:color="000000"/>
              <w:right w:val="single" w:sz="4" w:space="0" w:color="000000"/>
            </w:tcBorders>
          </w:tcPr>
          <w:p w14:paraId="699FB71C" w14:textId="77777777" w:rsidR="003A5B7E" w:rsidRPr="00770F9D" w:rsidRDefault="003A5B7E" w:rsidP="00856FA6">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Zbatimi i TALIS 2024 për anketën kryesore me 200 shkolla, 200 drejtues shkollash dhe 4000 mësues.</w:t>
            </w:r>
          </w:p>
        </w:tc>
        <w:tc>
          <w:tcPr>
            <w:tcW w:w="728" w:type="pct"/>
            <w:tcBorders>
              <w:top w:val="single" w:sz="4" w:space="0" w:color="000000"/>
              <w:left w:val="single" w:sz="4" w:space="0" w:color="000000"/>
              <w:bottom w:val="single" w:sz="4" w:space="0" w:color="000000"/>
              <w:right w:val="single" w:sz="4" w:space="0" w:color="000000"/>
            </w:tcBorders>
          </w:tcPr>
          <w:p w14:paraId="2F409E64" w14:textId="77777777" w:rsidR="003A5B7E" w:rsidRPr="00770F9D" w:rsidRDefault="003A5B7E" w:rsidP="00A64222">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80 000</w:t>
            </w:r>
          </w:p>
          <w:p w14:paraId="5D092769" w14:textId="77777777" w:rsidR="003A5B7E" w:rsidRPr="00770F9D" w:rsidRDefault="003A5B7E" w:rsidP="00A64222">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euro</w:t>
            </w:r>
          </w:p>
        </w:tc>
        <w:tc>
          <w:tcPr>
            <w:tcW w:w="652" w:type="pct"/>
            <w:tcBorders>
              <w:top w:val="single" w:sz="4" w:space="0" w:color="000000"/>
              <w:left w:val="single" w:sz="4" w:space="0" w:color="000000"/>
              <w:bottom w:val="single" w:sz="4" w:space="0" w:color="000000"/>
              <w:right w:val="single" w:sz="4" w:space="0" w:color="000000"/>
            </w:tcBorders>
          </w:tcPr>
          <w:p w14:paraId="4339D31E" w14:textId="77777777" w:rsidR="003A5B7E" w:rsidRPr="00770F9D" w:rsidRDefault="003A5B7E" w:rsidP="00856FA6">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r w:rsidR="003A5B7E" w:rsidRPr="00770F9D" w14:paraId="15CD463D" w14:textId="77777777" w:rsidTr="00A64222">
        <w:trPr>
          <w:trHeight w:val="20"/>
          <w:jc w:val="center"/>
        </w:trPr>
        <w:tc>
          <w:tcPr>
            <w:tcW w:w="425" w:type="pct"/>
            <w:vMerge w:val="restart"/>
            <w:tcBorders>
              <w:top w:val="single" w:sz="4" w:space="0" w:color="000000"/>
              <w:left w:val="single" w:sz="4" w:space="0" w:color="000000"/>
              <w:bottom w:val="single" w:sz="4" w:space="0" w:color="000000"/>
              <w:right w:val="single" w:sz="4" w:space="0" w:color="000000"/>
            </w:tcBorders>
          </w:tcPr>
          <w:p w14:paraId="683B3846" w14:textId="77777777" w:rsidR="003A5B7E" w:rsidRPr="00770F9D" w:rsidRDefault="003A5B7E" w:rsidP="00856FA6">
            <w:pPr>
              <w:jc w:val="both"/>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2025</w:t>
            </w:r>
          </w:p>
        </w:tc>
        <w:tc>
          <w:tcPr>
            <w:tcW w:w="3195" w:type="pct"/>
            <w:tcBorders>
              <w:top w:val="single" w:sz="4" w:space="0" w:color="000000"/>
              <w:left w:val="single" w:sz="4" w:space="0" w:color="000000"/>
              <w:bottom w:val="single" w:sz="4" w:space="0" w:color="000000"/>
              <w:right w:val="single" w:sz="4" w:space="0" w:color="000000"/>
            </w:tcBorders>
          </w:tcPr>
          <w:p w14:paraId="42EAB197" w14:textId="77777777" w:rsidR="003A5B7E" w:rsidRPr="00770F9D" w:rsidRDefault="003A5B7E" w:rsidP="00856FA6">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Përmirësimi i aftësive të studentëve në gjuhë dhe komunikim, matematikë dhe shkencë.</w:t>
            </w:r>
          </w:p>
        </w:tc>
        <w:tc>
          <w:tcPr>
            <w:tcW w:w="728" w:type="pct"/>
            <w:tcBorders>
              <w:top w:val="single" w:sz="4" w:space="0" w:color="000000"/>
              <w:left w:val="single" w:sz="4" w:space="0" w:color="000000"/>
              <w:bottom w:val="single" w:sz="4" w:space="0" w:color="000000"/>
              <w:right w:val="single" w:sz="4" w:space="0" w:color="000000"/>
            </w:tcBorders>
          </w:tcPr>
          <w:p w14:paraId="40ABD7BB" w14:textId="77777777" w:rsidR="003A5B7E" w:rsidRPr="00770F9D" w:rsidRDefault="003A5B7E" w:rsidP="00A64222">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5000 euro</w:t>
            </w:r>
          </w:p>
        </w:tc>
        <w:tc>
          <w:tcPr>
            <w:tcW w:w="652" w:type="pct"/>
            <w:tcBorders>
              <w:top w:val="single" w:sz="4" w:space="0" w:color="000000"/>
              <w:left w:val="single" w:sz="4" w:space="0" w:color="000000"/>
              <w:bottom w:val="single" w:sz="4" w:space="0" w:color="000000"/>
              <w:right w:val="single" w:sz="4" w:space="0" w:color="000000"/>
            </w:tcBorders>
          </w:tcPr>
          <w:p w14:paraId="1B7FEDAA" w14:textId="77777777" w:rsidR="003A5B7E" w:rsidRPr="00770F9D" w:rsidRDefault="003A5B7E" w:rsidP="00856FA6">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r w:rsidR="003A5B7E" w:rsidRPr="00770F9D" w14:paraId="33087471" w14:textId="77777777" w:rsidTr="00A64222">
        <w:trPr>
          <w:trHeight w:val="20"/>
          <w:jc w:val="center"/>
        </w:trPr>
        <w:tc>
          <w:tcPr>
            <w:tcW w:w="425" w:type="pct"/>
            <w:vMerge/>
            <w:tcBorders>
              <w:top w:val="single" w:sz="4" w:space="0" w:color="000000"/>
              <w:left w:val="single" w:sz="4" w:space="0" w:color="000000"/>
              <w:bottom w:val="single" w:sz="4" w:space="0" w:color="000000"/>
              <w:right w:val="single" w:sz="4" w:space="0" w:color="000000"/>
            </w:tcBorders>
          </w:tcPr>
          <w:p w14:paraId="7F0C3D77" w14:textId="77777777" w:rsidR="003A5B7E" w:rsidRPr="00770F9D" w:rsidRDefault="003A5B7E" w:rsidP="00856FA6">
            <w:pPr>
              <w:snapToGrid w:val="0"/>
              <w:jc w:val="both"/>
              <w:rPr>
                <w:rFonts w:ascii="Garamond" w:hAnsi="Garamond" w:cstheme="majorBidi"/>
                <w:b/>
                <w:bCs/>
                <w:color w:val="0D0D0D" w:themeColor="text1" w:themeTint="F2"/>
                <w:sz w:val="20"/>
                <w:szCs w:val="20"/>
              </w:rPr>
            </w:pPr>
          </w:p>
        </w:tc>
        <w:tc>
          <w:tcPr>
            <w:tcW w:w="3195" w:type="pct"/>
            <w:tcBorders>
              <w:top w:val="single" w:sz="4" w:space="0" w:color="000000"/>
              <w:left w:val="single" w:sz="4" w:space="0" w:color="000000"/>
              <w:bottom w:val="single" w:sz="4" w:space="0" w:color="000000"/>
              <w:right w:val="single" w:sz="4" w:space="0" w:color="000000"/>
            </w:tcBorders>
          </w:tcPr>
          <w:p w14:paraId="139EFDFC" w14:textId="77777777" w:rsidR="003A5B7E" w:rsidRPr="00770F9D" w:rsidRDefault="003A5B7E" w:rsidP="00856FA6">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Forcimi i kapaciteteve njerëzore në sektorët e kurrikulës në nivel të zyrave arsimore vendore.</w:t>
            </w:r>
          </w:p>
        </w:tc>
        <w:tc>
          <w:tcPr>
            <w:tcW w:w="728" w:type="pct"/>
            <w:tcBorders>
              <w:top w:val="single" w:sz="4" w:space="0" w:color="000000"/>
              <w:left w:val="single" w:sz="4" w:space="0" w:color="000000"/>
              <w:bottom w:val="single" w:sz="4" w:space="0" w:color="000000"/>
              <w:right w:val="single" w:sz="4" w:space="0" w:color="000000"/>
            </w:tcBorders>
          </w:tcPr>
          <w:p w14:paraId="55827AD9" w14:textId="77777777" w:rsidR="003A5B7E" w:rsidRPr="00770F9D" w:rsidRDefault="003A5B7E" w:rsidP="00A64222">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3600 euro</w:t>
            </w:r>
          </w:p>
        </w:tc>
        <w:tc>
          <w:tcPr>
            <w:tcW w:w="652" w:type="pct"/>
            <w:tcBorders>
              <w:top w:val="single" w:sz="4" w:space="0" w:color="000000"/>
              <w:left w:val="single" w:sz="4" w:space="0" w:color="000000"/>
              <w:bottom w:val="single" w:sz="4" w:space="0" w:color="000000"/>
              <w:right w:val="single" w:sz="4" w:space="0" w:color="000000"/>
            </w:tcBorders>
          </w:tcPr>
          <w:p w14:paraId="09AFA98E" w14:textId="77777777" w:rsidR="003A5B7E" w:rsidRPr="00770F9D" w:rsidRDefault="003A5B7E" w:rsidP="00856FA6">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r w:rsidR="003A5B7E" w:rsidRPr="00770F9D" w14:paraId="0A2FBA5F" w14:textId="77777777" w:rsidTr="00A64222">
        <w:trPr>
          <w:trHeight w:val="20"/>
          <w:jc w:val="center"/>
        </w:trPr>
        <w:tc>
          <w:tcPr>
            <w:tcW w:w="425" w:type="pct"/>
            <w:vMerge/>
            <w:tcBorders>
              <w:top w:val="single" w:sz="4" w:space="0" w:color="000000"/>
              <w:left w:val="single" w:sz="4" w:space="0" w:color="000000"/>
              <w:bottom w:val="single" w:sz="4" w:space="0" w:color="000000"/>
              <w:right w:val="single" w:sz="4" w:space="0" w:color="000000"/>
            </w:tcBorders>
          </w:tcPr>
          <w:p w14:paraId="6667F44E" w14:textId="77777777" w:rsidR="003A5B7E" w:rsidRPr="00770F9D" w:rsidRDefault="003A5B7E" w:rsidP="00856FA6">
            <w:pPr>
              <w:snapToGrid w:val="0"/>
              <w:jc w:val="both"/>
              <w:rPr>
                <w:rFonts w:ascii="Garamond" w:hAnsi="Garamond" w:cstheme="majorBidi"/>
                <w:b/>
                <w:bCs/>
                <w:color w:val="0D0D0D" w:themeColor="text1" w:themeTint="F2"/>
                <w:sz w:val="20"/>
                <w:szCs w:val="20"/>
              </w:rPr>
            </w:pPr>
          </w:p>
        </w:tc>
        <w:tc>
          <w:tcPr>
            <w:tcW w:w="3195" w:type="pct"/>
            <w:tcBorders>
              <w:top w:val="single" w:sz="4" w:space="0" w:color="000000"/>
              <w:left w:val="single" w:sz="4" w:space="0" w:color="000000"/>
              <w:bottom w:val="single" w:sz="4" w:space="0" w:color="000000"/>
              <w:right w:val="single" w:sz="4" w:space="0" w:color="000000"/>
            </w:tcBorders>
          </w:tcPr>
          <w:p w14:paraId="3D144BB2" w14:textId="744566FB" w:rsidR="003A5B7E" w:rsidRPr="00770F9D" w:rsidRDefault="003A5B7E" w:rsidP="00856FA6">
            <w:pPr>
              <w:snapToGrid w:val="0"/>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Trajnimi i 500 drejtuesve të rrjetit për drejtimin dhe zhvillimin e arsimit të Arteve dhe Artizanatit dhe</w:t>
            </w:r>
            <w:r w:rsidR="00F80A6F">
              <w:rPr>
                <w:rFonts w:ascii="Garamond" w:hAnsi="Garamond" w:cstheme="majorBidi"/>
                <w:color w:val="0D0D0D" w:themeColor="text1" w:themeTint="F2"/>
                <w:sz w:val="20"/>
                <w:szCs w:val="20"/>
              </w:rPr>
              <w:t xml:space="preserve"> </w:t>
            </w:r>
            <w:r w:rsidRPr="00770F9D">
              <w:rPr>
                <w:rFonts w:ascii="Garamond" w:hAnsi="Garamond" w:cstheme="majorBidi"/>
                <w:bCs/>
                <w:color w:val="0D0D0D" w:themeColor="text1" w:themeTint="F2"/>
                <w:sz w:val="20"/>
                <w:szCs w:val="20"/>
              </w:rPr>
              <w:t>orientimi në karrierë në arsimin bazë</w:t>
            </w:r>
            <w:r w:rsidRPr="00770F9D">
              <w:rPr>
                <w:rFonts w:ascii="Garamond" w:hAnsi="Garamond" w:cstheme="majorBidi"/>
                <w:color w:val="0D0D0D" w:themeColor="text1" w:themeTint="F2"/>
                <w:sz w:val="20"/>
                <w:szCs w:val="20"/>
              </w:rPr>
              <w:t>.</w:t>
            </w:r>
          </w:p>
        </w:tc>
        <w:tc>
          <w:tcPr>
            <w:tcW w:w="728" w:type="pct"/>
            <w:tcBorders>
              <w:top w:val="single" w:sz="4" w:space="0" w:color="000000"/>
              <w:left w:val="single" w:sz="4" w:space="0" w:color="000000"/>
              <w:bottom w:val="single" w:sz="4" w:space="0" w:color="000000"/>
              <w:right w:val="single" w:sz="4" w:space="0" w:color="000000"/>
            </w:tcBorders>
          </w:tcPr>
          <w:p w14:paraId="4EA8D311" w14:textId="77777777" w:rsidR="003A5B7E" w:rsidRPr="00770F9D" w:rsidRDefault="003A5B7E" w:rsidP="00A64222">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6000 euro</w:t>
            </w:r>
          </w:p>
        </w:tc>
        <w:tc>
          <w:tcPr>
            <w:tcW w:w="652" w:type="pct"/>
            <w:tcBorders>
              <w:top w:val="single" w:sz="4" w:space="0" w:color="000000"/>
              <w:left w:val="single" w:sz="4" w:space="0" w:color="000000"/>
              <w:bottom w:val="single" w:sz="4" w:space="0" w:color="000000"/>
              <w:right w:val="single" w:sz="4" w:space="0" w:color="000000"/>
            </w:tcBorders>
          </w:tcPr>
          <w:p w14:paraId="3DB60021" w14:textId="77777777" w:rsidR="003A5B7E" w:rsidRPr="00770F9D" w:rsidRDefault="003A5B7E" w:rsidP="00856FA6">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r w:rsidR="003A5B7E" w:rsidRPr="00770F9D" w14:paraId="5E5352F0" w14:textId="77777777" w:rsidTr="00A64222">
        <w:trPr>
          <w:trHeight w:val="20"/>
          <w:jc w:val="center"/>
        </w:trPr>
        <w:tc>
          <w:tcPr>
            <w:tcW w:w="425" w:type="pct"/>
            <w:vMerge/>
            <w:tcBorders>
              <w:top w:val="single" w:sz="4" w:space="0" w:color="000000"/>
              <w:left w:val="single" w:sz="4" w:space="0" w:color="000000"/>
              <w:bottom w:val="single" w:sz="4" w:space="0" w:color="000000"/>
              <w:right w:val="single" w:sz="4" w:space="0" w:color="000000"/>
            </w:tcBorders>
          </w:tcPr>
          <w:p w14:paraId="640D93D2" w14:textId="77777777" w:rsidR="003A5B7E" w:rsidRPr="00770F9D" w:rsidRDefault="003A5B7E" w:rsidP="00856FA6">
            <w:pPr>
              <w:snapToGrid w:val="0"/>
              <w:jc w:val="both"/>
              <w:rPr>
                <w:rFonts w:ascii="Garamond" w:hAnsi="Garamond" w:cstheme="majorBidi"/>
                <w:b/>
                <w:bCs/>
                <w:color w:val="0D0D0D" w:themeColor="text1" w:themeTint="F2"/>
                <w:sz w:val="20"/>
                <w:szCs w:val="20"/>
              </w:rPr>
            </w:pPr>
          </w:p>
        </w:tc>
        <w:tc>
          <w:tcPr>
            <w:tcW w:w="3195" w:type="pct"/>
            <w:tcBorders>
              <w:top w:val="single" w:sz="4" w:space="0" w:color="000000"/>
              <w:left w:val="single" w:sz="4" w:space="0" w:color="000000"/>
              <w:bottom w:val="single" w:sz="4" w:space="0" w:color="000000"/>
              <w:right w:val="single" w:sz="4" w:space="0" w:color="000000"/>
            </w:tcBorders>
          </w:tcPr>
          <w:p w14:paraId="77ECB9CD" w14:textId="77777777" w:rsidR="003A5B7E" w:rsidRPr="00770F9D" w:rsidRDefault="003A5B7E" w:rsidP="00856FA6">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Hartimi i programit të ri dhe trajnimi i 100 mësuesve në zbatimin e programit TIK për klasën e katërt.</w:t>
            </w:r>
          </w:p>
        </w:tc>
        <w:tc>
          <w:tcPr>
            <w:tcW w:w="728" w:type="pct"/>
            <w:tcBorders>
              <w:top w:val="single" w:sz="4" w:space="0" w:color="000000"/>
              <w:left w:val="single" w:sz="4" w:space="0" w:color="000000"/>
              <w:bottom w:val="single" w:sz="4" w:space="0" w:color="000000"/>
              <w:right w:val="single" w:sz="4" w:space="0" w:color="000000"/>
            </w:tcBorders>
          </w:tcPr>
          <w:p w14:paraId="4FA0D77F" w14:textId="77777777" w:rsidR="003A5B7E" w:rsidRPr="00770F9D" w:rsidRDefault="003A5B7E" w:rsidP="00A64222">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2000 euro</w:t>
            </w:r>
          </w:p>
        </w:tc>
        <w:tc>
          <w:tcPr>
            <w:tcW w:w="652" w:type="pct"/>
            <w:tcBorders>
              <w:top w:val="single" w:sz="4" w:space="0" w:color="000000"/>
              <w:left w:val="single" w:sz="4" w:space="0" w:color="000000"/>
              <w:bottom w:val="single" w:sz="4" w:space="0" w:color="000000"/>
              <w:right w:val="single" w:sz="4" w:space="0" w:color="000000"/>
            </w:tcBorders>
          </w:tcPr>
          <w:p w14:paraId="6877FDDF" w14:textId="77777777" w:rsidR="003A5B7E" w:rsidRPr="00770F9D" w:rsidRDefault="003A5B7E" w:rsidP="00856FA6">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r w:rsidR="003A5B7E" w:rsidRPr="00770F9D" w14:paraId="47F3BE62" w14:textId="77777777" w:rsidTr="00A64222">
        <w:trPr>
          <w:trHeight w:val="20"/>
          <w:jc w:val="center"/>
        </w:trPr>
        <w:tc>
          <w:tcPr>
            <w:tcW w:w="425" w:type="pct"/>
            <w:vMerge/>
            <w:tcBorders>
              <w:top w:val="single" w:sz="4" w:space="0" w:color="000000"/>
              <w:left w:val="single" w:sz="4" w:space="0" w:color="000000"/>
              <w:bottom w:val="single" w:sz="4" w:space="0" w:color="000000"/>
              <w:right w:val="single" w:sz="4" w:space="0" w:color="000000"/>
            </w:tcBorders>
          </w:tcPr>
          <w:p w14:paraId="3DA1B5DA" w14:textId="77777777" w:rsidR="003A5B7E" w:rsidRPr="00770F9D" w:rsidRDefault="003A5B7E" w:rsidP="00856FA6">
            <w:pPr>
              <w:snapToGrid w:val="0"/>
              <w:jc w:val="both"/>
              <w:rPr>
                <w:rFonts w:ascii="Garamond" w:hAnsi="Garamond" w:cstheme="majorBidi"/>
                <w:b/>
                <w:bCs/>
                <w:color w:val="0D0D0D" w:themeColor="text1" w:themeTint="F2"/>
                <w:sz w:val="20"/>
                <w:szCs w:val="20"/>
              </w:rPr>
            </w:pPr>
          </w:p>
        </w:tc>
        <w:tc>
          <w:tcPr>
            <w:tcW w:w="3195" w:type="pct"/>
            <w:tcBorders>
              <w:top w:val="single" w:sz="4" w:space="0" w:color="000000"/>
              <w:left w:val="single" w:sz="4" w:space="0" w:color="000000"/>
              <w:bottom w:val="single" w:sz="4" w:space="0" w:color="000000"/>
              <w:right w:val="single" w:sz="4" w:space="0" w:color="000000"/>
            </w:tcBorders>
          </w:tcPr>
          <w:p w14:paraId="7FCA3EEA" w14:textId="77777777" w:rsidR="003A5B7E" w:rsidRPr="00770F9D" w:rsidRDefault="003A5B7E" w:rsidP="00856FA6">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Përpunimi i të dhënave nga TALIS 2024 sipas rezultateve në Anketën Kryesore.</w:t>
            </w:r>
          </w:p>
        </w:tc>
        <w:tc>
          <w:tcPr>
            <w:tcW w:w="728" w:type="pct"/>
            <w:tcBorders>
              <w:top w:val="single" w:sz="4" w:space="0" w:color="000000"/>
              <w:left w:val="single" w:sz="4" w:space="0" w:color="000000"/>
              <w:bottom w:val="single" w:sz="4" w:space="0" w:color="000000"/>
              <w:right w:val="single" w:sz="4" w:space="0" w:color="000000"/>
            </w:tcBorders>
          </w:tcPr>
          <w:p w14:paraId="0CDC853B" w14:textId="77777777" w:rsidR="003A5B7E" w:rsidRPr="00770F9D" w:rsidRDefault="003A5B7E" w:rsidP="00A64222">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30 000 euro</w:t>
            </w:r>
          </w:p>
        </w:tc>
        <w:tc>
          <w:tcPr>
            <w:tcW w:w="652" w:type="pct"/>
            <w:tcBorders>
              <w:top w:val="single" w:sz="4" w:space="0" w:color="000000"/>
              <w:left w:val="single" w:sz="4" w:space="0" w:color="000000"/>
              <w:bottom w:val="single" w:sz="4" w:space="0" w:color="000000"/>
              <w:right w:val="single" w:sz="4" w:space="0" w:color="000000"/>
            </w:tcBorders>
          </w:tcPr>
          <w:p w14:paraId="02EFE368" w14:textId="77777777" w:rsidR="003A5B7E" w:rsidRPr="00770F9D" w:rsidRDefault="003A5B7E" w:rsidP="00856FA6">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bl>
    <w:p w14:paraId="6CDB98E2" w14:textId="77777777" w:rsidR="003A5B7E" w:rsidRPr="00770F9D" w:rsidRDefault="003A5B7E" w:rsidP="005674F2">
      <w:pPr>
        <w:snapToGrid w:val="0"/>
        <w:ind w:firstLine="284"/>
        <w:rPr>
          <w:rFonts w:ascii="Garamond" w:hAnsi="Garamond" w:cstheme="majorBidi"/>
          <w:color w:val="0D0D0D" w:themeColor="text1" w:themeTint="F2"/>
        </w:rPr>
      </w:pPr>
    </w:p>
    <w:p w14:paraId="3F84FA6E" w14:textId="560B12CA" w:rsidR="003A5B7E" w:rsidRPr="00770F9D" w:rsidRDefault="003A5B7E"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 Për ASCAP-in, për periudhën </w:t>
      </w:r>
      <w:r w:rsidR="003F4C96" w:rsidRPr="00770F9D">
        <w:rPr>
          <w:rFonts w:ascii="Garamond" w:hAnsi="Garamond" w:cstheme="majorBidi"/>
          <w:color w:val="0D0D0D" w:themeColor="text1" w:themeTint="F2"/>
        </w:rPr>
        <w:t>2023–2025</w:t>
      </w:r>
      <w:r w:rsidRPr="00770F9D">
        <w:rPr>
          <w:rFonts w:ascii="Garamond" w:hAnsi="Garamond" w:cstheme="majorBidi"/>
          <w:color w:val="0D0D0D" w:themeColor="text1" w:themeTint="F2"/>
        </w:rPr>
        <w:t>, në tabelë përfshihen fondet e planifikuara në aktivitetet e detajuara si më sipër: në vitin 2023 parashikohen 64 000 euro x 120 lekë = 7 680 000 lekë, në vitin 2024 janë parashikuar 96 000 euro x 1110 50 lekë = 1110 000 lekë, dhe në vitin 2025 janë parashikuar 46 000 euro x 120 lekë = 5 592 000 lekë.</w:t>
      </w:r>
    </w:p>
    <w:p w14:paraId="6B883031" w14:textId="258CB1D5" w:rsidR="003A5B7E" w:rsidRPr="00770F9D" w:rsidRDefault="003A5B7E"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Aktivitetet e parashikuara për Ministrinë e Arsimit dhe Sportit llogariten</w:t>
      </w:r>
      <w:r w:rsidR="00F80A6F">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më poshtë:</w:t>
      </w:r>
    </w:p>
    <w:p w14:paraId="62ADA6A9" w14:textId="48CDF539" w:rsidR="003A5B7E" w:rsidRPr="00770F9D" w:rsidRDefault="003A5B7E" w:rsidP="00530455">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Në vitin 2023, fondet e parashikuara për mbulimin e kostove të mësimdhënies, mësimdhënies së gjuhës angleze për nxënësit e klasave të para dhe të dyta për rreth 300</w:t>
      </w:r>
      <w:r w:rsidR="00530455">
        <w:rPr>
          <w:rFonts w:ascii="Garamond" w:hAnsi="Garamond"/>
          <w:color w:val="0D0D0D"/>
        </w:rPr>
        <w:t>–</w:t>
      </w:r>
      <w:r w:rsidRPr="00770F9D">
        <w:rPr>
          <w:rFonts w:ascii="Garamond" w:hAnsi="Garamond" w:cstheme="majorBidi"/>
          <w:color w:val="0D0D0D" w:themeColor="text1" w:themeTint="F2"/>
        </w:rPr>
        <w:t>320 staf pedagogjik, si dhe për mbulimin e kostove të teksteve shkollore, nga të cilat pritet të përfitojnë rreth 58</w:t>
      </w:r>
      <w:r w:rsidR="00530455">
        <w:rPr>
          <w:rFonts w:ascii="Garamond" w:hAnsi="Garamond"/>
          <w:color w:val="0D0D0D"/>
        </w:rPr>
        <w:t>–</w:t>
      </w:r>
      <w:r w:rsidRPr="00770F9D">
        <w:rPr>
          <w:rFonts w:ascii="Garamond" w:hAnsi="Garamond" w:cstheme="majorBidi"/>
          <w:color w:val="0D0D0D" w:themeColor="text1" w:themeTint="F2"/>
        </w:rPr>
        <w:t>60 mijë nxënës falas me rreth 60 milionë lekë.</w:t>
      </w:r>
    </w:p>
    <w:p w14:paraId="3ADF79BC" w14:textId="007791FA" w:rsidR="003A5B7E" w:rsidRPr="00770F9D" w:rsidRDefault="003A5B7E" w:rsidP="00530455">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Në vitin 2024, fondet e parashikuara për mbulimin e kostove të mësimdhënies, mësimit të anglishtes për nxënësit e klasës së parë, të dytë dhe të tretë për rreth 450</w:t>
      </w:r>
      <w:r w:rsidR="00530455">
        <w:rPr>
          <w:rFonts w:ascii="Garamond" w:hAnsi="Garamond"/>
          <w:color w:val="0D0D0D"/>
        </w:rPr>
        <w:t>–</w:t>
      </w:r>
      <w:r w:rsidRPr="00770F9D">
        <w:rPr>
          <w:rFonts w:ascii="Garamond" w:hAnsi="Garamond" w:cstheme="majorBidi"/>
          <w:color w:val="0D0D0D" w:themeColor="text1" w:themeTint="F2"/>
        </w:rPr>
        <w:t>480 staf mësimdhënës, si dhe për mbulimin e kostos së teksteve shkollore</w:t>
      </w:r>
      <w:r w:rsidR="00530455">
        <w:rPr>
          <w:rFonts w:ascii="Garamond" w:hAnsi="Garamond" w:cstheme="majorBidi"/>
          <w:color w:val="0D0D0D" w:themeColor="text1" w:themeTint="F2"/>
        </w:rPr>
        <w:t>,</w:t>
      </w:r>
      <w:r w:rsidRPr="00770F9D">
        <w:rPr>
          <w:rFonts w:ascii="Garamond" w:hAnsi="Garamond" w:cstheme="majorBidi"/>
          <w:color w:val="0D0D0D" w:themeColor="text1" w:themeTint="F2"/>
        </w:rPr>
        <w:t xml:space="preserve"> ku pritet që rreth 85</w:t>
      </w:r>
      <w:r w:rsidR="00530455">
        <w:rPr>
          <w:rFonts w:ascii="Garamond" w:hAnsi="Garamond"/>
          <w:color w:val="0D0D0D"/>
        </w:rPr>
        <w:t>–</w:t>
      </w:r>
      <w:r w:rsidRPr="00770F9D">
        <w:rPr>
          <w:rFonts w:ascii="Garamond" w:hAnsi="Garamond" w:cstheme="majorBidi"/>
          <w:color w:val="0D0D0D" w:themeColor="text1" w:themeTint="F2"/>
        </w:rPr>
        <w:t>90 mijë nxënës do të përfitojnë tekste falas me rreth 90 milionë lekë, nxënësit përfitues nga klasa e parë deri në klasën e tretë.</w:t>
      </w:r>
    </w:p>
    <w:p w14:paraId="2A4E010F" w14:textId="0D6041CB" w:rsidR="00E95E96" w:rsidRPr="00770F9D" w:rsidRDefault="003A5B7E" w:rsidP="00A542E7">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Në vitin 2025, fondet e parashikuara për mbulimin e kostove të mësimdhënies, mësimit të anglishtes për nxënësit e klasës së parë, të dytë dhe të tretë për rreth 480</w:t>
      </w:r>
      <w:r w:rsidR="00530455">
        <w:rPr>
          <w:rFonts w:ascii="Garamond" w:hAnsi="Garamond"/>
          <w:color w:val="0D0D0D"/>
        </w:rPr>
        <w:t>–</w:t>
      </w:r>
      <w:r w:rsidRPr="00770F9D">
        <w:rPr>
          <w:rFonts w:ascii="Garamond" w:hAnsi="Garamond" w:cstheme="majorBidi"/>
          <w:color w:val="0D0D0D" w:themeColor="text1" w:themeTint="F2"/>
        </w:rPr>
        <w:t>500 staf mësimdhënës, si dhe për të mbuluar koston e teksteve shkollore ku pritet të përfitojnë tekste falas për rreth 85</w:t>
      </w:r>
      <w:r w:rsidR="00A542E7">
        <w:rPr>
          <w:rFonts w:ascii="Garamond" w:hAnsi="Garamond"/>
          <w:color w:val="0D0D0D"/>
        </w:rPr>
        <w:t>–</w:t>
      </w:r>
      <w:r w:rsidRPr="00770F9D">
        <w:rPr>
          <w:rFonts w:ascii="Garamond" w:hAnsi="Garamond" w:cstheme="majorBidi"/>
          <w:color w:val="0D0D0D" w:themeColor="text1" w:themeTint="F2"/>
        </w:rPr>
        <w:t>90 mijë nxënës me rreth 96 milionë lekë, nxënës përfitues nga klasa e parë deri në klasën e tretë</w:t>
      </w:r>
      <w:r w:rsidR="00E95E96" w:rsidRPr="00770F9D">
        <w:rPr>
          <w:rFonts w:ascii="Garamond" w:hAnsi="Garamond" w:cstheme="majorBidi"/>
          <w:color w:val="0D0D0D" w:themeColor="text1" w:themeTint="F2"/>
        </w:rPr>
        <w:t>.</w:t>
      </w:r>
    </w:p>
    <w:p w14:paraId="354F3FB8" w14:textId="40C8D2C7" w:rsidR="0030742B" w:rsidRPr="00770F9D" w:rsidRDefault="00856FA6"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5</w:t>
      </w:r>
      <w:r w:rsidR="005674F2"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Ndikimi i pritshëm në përfundimet sociale</w:t>
      </w:r>
      <w:r w:rsidR="00A542E7">
        <w:rPr>
          <w:rFonts w:ascii="Garamond" w:hAnsi="Garamond" w:cstheme="majorBidi"/>
          <w:color w:val="0D0D0D" w:themeColor="text1" w:themeTint="F2"/>
          <w:u w:val="none"/>
        </w:rPr>
        <w:t>,</w:t>
      </w:r>
      <w:r w:rsidR="00B2062A" w:rsidRPr="00770F9D">
        <w:rPr>
          <w:rFonts w:ascii="Garamond" w:hAnsi="Garamond" w:cstheme="majorBidi"/>
          <w:color w:val="0D0D0D" w:themeColor="text1" w:themeTint="F2"/>
          <w:u w:val="none"/>
        </w:rPr>
        <w:t xml:space="preserve"> si punësimi, ulja e varfërisë, barazia gjinore dhe aksesi në kujdesin shëndetësor</w:t>
      </w:r>
    </w:p>
    <w:p w14:paraId="3C4C3B4E" w14:textId="77777777" w:rsidR="00E95E96" w:rsidRPr="00770F9D" w:rsidRDefault="003A5B7E"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Masa konsiderohet neutrale ndaj gjinisë. Barazia gjinore do të respektohet gjatë zbatimit të masës së reformës</w:t>
      </w:r>
      <w:r w:rsidR="00E95E96" w:rsidRPr="00770F9D">
        <w:rPr>
          <w:rFonts w:ascii="Garamond" w:hAnsi="Garamond" w:cstheme="majorBidi"/>
          <w:color w:val="0D0D0D" w:themeColor="text1" w:themeTint="F2"/>
        </w:rPr>
        <w:t>.</w:t>
      </w:r>
    </w:p>
    <w:p w14:paraId="3853CE04" w14:textId="67B89E5C" w:rsidR="0030742B" w:rsidRPr="00770F9D" w:rsidRDefault="00856FA6"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6</w:t>
      </w:r>
      <w:r w:rsidR="005674F2"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Ndikimi i pritshëm në mjedis dhe ndryshimi i klimës</w:t>
      </w:r>
    </w:p>
    <w:p w14:paraId="02134ADF" w14:textId="77777777" w:rsidR="00DB2D75" w:rsidRPr="00770F9D" w:rsidRDefault="00E95E96"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Masa e reformës është neutrale për sa i takon ndikimit n</w:t>
      </w:r>
      <w:r w:rsidR="00910474" w:rsidRPr="00770F9D">
        <w:rPr>
          <w:rFonts w:ascii="Garamond" w:hAnsi="Garamond" w:cstheme="majorBidi"/>
          <w:color w:val="0D0D0D" w:themeColor="text1" w:themeTint="F2"/>
        </w:rPr>
        <w:t>ë</w:t>
      </w:r>
      <w:r w:rsidRPr="00770F9D">
        <w:rPr>
          <w:rFonts w:ascii="Garamond" w:hAnsi="Garamond" w:cstheme="majorBidi"/>
          <w:color w:val="0D0D0D" w:themeColor="text1" w:themeTint="F2"/>
        </w:rPr>
        <w:t xml:space="preserve"> mjedis.</w:t>
      </w:r>
    </w:p>
    <w:p w14:paraId="65D12777" w14:textId="0B10CD28" w:rsidR="0030742B" w:rsidRPr="00770F9D" w:rsidRDefault="00856FA6"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7</w:t>
      </w:r>
      <w:r w:rsidR="005674F2"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Rreziqet e mundshme</w:t>
      </w:r>
    </w:p>
    <w:tbl>
      <w:tblPr>
        <w:tblW w:w="5000" w:type="pct"/>
        <w:tblLook w:val="04A0" w:firstRow="1" w:lastRow="0" w:firstColumn="1" w:lastColumn="0" w:noHBand="0" w:noVBand="1"/>
      </w:tblPr>
      <w:tblGrid>
        <w:gridCol w:w="3998"/>
        <w:gridCol w:w="1269"/>
        <w:gridCol w:w="4020"/>
      </w:tblGrid>
      <w:tr w:rsidR="003A5B7E" w:rsidRPr="00770F9D" w14:paraId="70711236" w14:textId="77777777" w:rsidTr="00CE73B9">
        <w:tc>
          <w:tcPr>
            <w:tcW w:w="2156" w:type="pct"/>
            <w:tcBorders>
              <w:top w:val="single" w:sz="4" w:space="0" w:color="000000"/>
              <w:left w:val="single" w:sz="4" w:space="0" w:color="000000"/>
              <w:bottom w:val="single" w:sz="4" w:space="0" w:color="000000"/>
              <w:right w:val="single" w:sz="4" w:space="0" w:color="000000"/>
            </w:tcBorders>
          </w:tcPr>
          <w:p w14:paraId="23E3ED54" w14:textId="77777777" w:rsidR="003A5B7E" w:rsidRPr="00A542E7" w:rsidRDefault="003A5B7E" w:rsidP="00856FA6">
            <w:pPr>
              <w:widowControl w:val="0"/>
              <w:snapToGrid w:val="0"/>
              <w:jc w:val="both"/>
              <w:rPr>
                <w:rFonts w:ascii="Garamond" w:hAnsi="Garamond" w:cstheme="majorBidi"/>
                <w:b/>
                <w:bCs/>
                <w:color w:val="0D0D0D" w:themeColor="text1" w:themeTint="F2"/>
                <w:sz w:val="20"/>
                <w:szCs w:val="20"/>
              </w:rPr>
            </w:pPr>
            <w:r w:rsidRPr="00A542E7">
              <w:rPr>
                <w:rFonts w:ascii="Garamond" w:hAnsi="Garamond" w:cstheme="majorBidi"/>
                <w:b/>
                <w:bCs/>
                <w:color w:val="0D0D0D" w:themeColor="text1" w:themeTint="F2"/>
                <w:sz w:val="20"/>
                <w:szCs w:val="20"/>
              </w:rPr>
              <w:t>Rreziku</w:t>
            </w:r>
          </w:p>
        </w:tc>
        <w:tc>
          <w:tcPr>
            <w:tcW w:w="676" w:type="pct"/>
            <w:tcBorders>
              <w:top w:val="single" w:sz="4" w:space="0" w:color="000000"/>
              <w:left w:val="single" w:sz="4" w:space="0" w:color="000000"/>
              <w:bottom w:val="single" w:sz="4" w:space="0" w:color="000000"/>
              <w:right w:val="single" w:sz="4" w:space="0" w:color="000000"/>
            </w:tcBorders>
          </w:tcPr>
          <w:p w14:paraId="7A1474F9" w14:textId="77777777" w:rsidR="003A5B7E" w:rsidRPr="00A542E7" w:rsidRDefault="003A5B7E" w:rsidP="00856FA6">
            <w:pPr>
              <w:widowControl w:val="0"/>
              <w:snapToGrid w:val="0"/>
              <w:jc w:val="both"/>
              <w:rPr>
                <w:rFonts w:ascii="Garamond" w:hAnsi="Garamond" w:cstheme="majorBidi"/>
                <w:b/>
                <w:bCs/>
                <w:color w:val="0D0D0D" w:themeColor="text1" w:themeTint="F2"/>
                <w:sz w:val="20"/>
                <w:szCs w:val="20"/>
              </w:rPr>
            </w:pPr>
            <w:r w:rsidRPr="00A542E7">
              <w:rPr>
                <w:rFonts w:ascii="Garamond" w:hAnsi="Garamond" w:cstheme="majorBidi"/>
                <w:b/>
                <w:bCs/>
                <w:color w:val="0D0D0D" w:themeColor="text1" w:themeTint="F2"/>
                <w:sz w:val="20"/>
                <w:szCs w:val="20"/>
              </w:rPr>
              <w:t>Probabiliteti</w:t>
            </w:r>
          </w:p>
        </w:tc>
        <w:tc>
          <w:tcPr>
            <w:tcW w:w="2168" w:type="pct"/>
            <w:tcBorders>
              <w:top w:val="single" w:sz="4" w:space="0" w:color="000000"/>
              <w:left w:val="single" w:sz="4" w:space="0" w:color="000000"/>
              <w:bottom w:val="single" w:sz="4" w:space="0" w:color="000000"/>
              <w:right w:val="single" w:sz="4" w:space="0" w:color="000000"/>
            </w:tcBorders>
          </w:tcPr>
          <w:p w14:paraId="7DD85CE7" w14:textId="77777777" w:rsidR="003A5B7E" w:rsidRPr="00A542E7" w:rsidRDefault="003A5B7E" w:rsidP="00856FA6">
            <w:pPr>
              <w:widowControl w:val="0"/>
              <w:snapToGrid w:val="0"/>
              <w:jc w:val="both"/>
              <w:rPr>
                <w:rFonts w:ascii="Garamond" w:hAnsi="Garamond" w:cstheme="majorBidi"/>
                <w:b/>
                <w:bCs/>
                <w:color w:val="0D0D0D" w:themeColor="text1" w:themeTint="F2"/>
                <w:sz w:val="20"/>
                <w:szCs w:val="20"/>
              </w:rPr>
            </w:pPr>
            <w:r w:rsidRPr="00A542E7">
              <w:rPr>
                <w:rFonts w:ascii="Garamond" w:hAnsi="Garamond" w:cstheme="majorBidi"/>
                <w:b/>
                <w:bCs/>
                <w:color w:val="0D0D0D" w:themeColor="text1" w:themeTint="F2"/>
                <w:sz w:val="20"/>
                <w:szCs w:val="20"/>
              </w:rPr>
              <w:t>Veprime zbutëse të planifikuara</w:t>
            </w:r>
          </w:p>
        </w:tc>
      </w:tr>
      <w:tr w:rsidR="003A5B7E" w:rsidRPr="00770F9D" w14:paraId="607DA0F3" w14:textId="77777777" w:rsidTr="00CE73B9">
        <w:tc>
          <w:tcPr>
            <w:tcW w:w="2156" w:type="pct"/>
            <w:tcBorders>
              <w:top w:val="single" w:sz="4" w:space="0" w:color="000000"/>
              <w:left w:val="single" w:sz="4" w:space="0" w:color="000000"/>
              <w:bottom w:val="single" w:sz="4" w:space="0" w:color="000000"/>
              <w:right w:val="single" w:sz="4" w:space="0" w:color="000000"/>
            </w:tcBorders>
          </w:tcPr>
          <w:p w14:paraId="3CD48B0B" w14:textId="77777777" w:rsidR="003A5B7E" w:rsidRPr="00770F9D" w:rsidRDefault="003A5B7E" w:rsidP="00856FA6">
            <w:pPr>
              <w:snapToGrid w:val="0"/>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Bashkëpunimi me institucionet e arsimit të lartë për harmonizimin e formimit fillestar.</w:t>
            </w:r>
          </w:p>
        </w:tc>
        <w:tc>
          <w:tcPr>
            <w:tcW w:w="676" w:type="pct"/>
            <w:tcBorders>
              <w:top w:val="single" w:sz="4" w:space="0" w:color="000000"/>
              <w:left w:val="single" w:sz="4" w:space="0" w:color="000000"/>
              <w:bottom w:val="single" w:sz="4" w:space="0" w:color="000000"/>
              <w:right w:val="single" w:sz="4" w:space="0" w:color="000000"/>
            </w:tcBorders>
          </w:tcPr>
          <w:p w14:paraId="40E6EE5A" w14:textId="77777777" w:rsidR="003A5B7E" w:rsidRPr="00770F9D" w:rsidRDefault="003A5B7E" w:rsidP="00856FA6">
            <w:pPr>
              <w:widowControl w:val="0"/>
              <w:snapToGrid w:val="0"/>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E ulët</w:t>
            </w:r>
          </w:p>
        </w:tc>
        <w:tc>
          <w:tcPr>
            <w:tcW w:w="2168" w:type="pct"/>
            <w:tcBorders>
              <w:top w:val="single" w:sz="4" w:space="0" w:color="000000"/>
              <w:left w:val="single" w:sz="4" w:space="0" w:color="000000"/>
              <w:bottom w:val="single" w:sz="4" w:space="0" w:color="000000"/>
              <w:right w:val="single" w:sz="4" w:space="0" w:color="000000"/>
            </w:tcBorders>
          </w:tcPr>
          <w:p w14:paraId="7652C5DD" w14:textId="17F0F33C" w:rsidR="003A5B7E" w:rsidRPr="00770F9D" w:rsidRDefault="003A5B7E" w:rsidP="00856FA6">
            <w:pPr>
              <w:widowControl w:val="0"/>
              <w:snapToGrid w:val="0"/>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Zbatimi i një plani specifik veprimi me institucionet e IAL</w:t>
            </w:r>
            <w:r w:rsidR="00A542E7">
              <w:rPr>
                <w:rFonts w:ascii="Garamond" w:hAnsi="Garamond" w:cstheme="majorBidi"/>
                <w:color w:val="0D0D0D" w:themeColor="text1" w:themeTint="F2"/>
                <w:sz w:val="20"/>
                <w:szCs w:val="20"/>
              </w:rPr>
              <w:t>-së</w:t>
            </w:r>
            <w:r w:rsidRPr="00770F9D">
              <w:rPr>
                <w:rFonts w:ascii="Garamond" w:hAnsi="Garamond" w:cstheme="majorBidi"/>
                <w:color w:val="0D0D0D" w:themeColor="text1" w:themeTint="F2"/>
                <w:sz w:val="20"/>
                <w:szCs w:val="20"/>
              </w:rPr>
              <w:t xml:space="preserve"> dhe MAS</w:t>
            </w:r>
            <w:r w:rsidR="00A542E7">
              <w:rPr>
                <w:rFonts w:ascii="Garamond" w:hAnsi="Garamond" w:cstheme="majorBidi"/>
                <w:color w:val="0D0D0D" w:themeColor="text1" w:themeTint="F2"/>
                <w:sz w:val="20"/>
                <w:szCs w:val="20"/>
              </w:rPr>
              <w:t>-it</w:t>
            </w:r>
            <w:r w:rsidRPr="00770F9D">
              <w:rPr>
                <w:rFonts w:ascii="Garamond" w:hAnsi="Garamond" w:cstheme="majorBidi"/>
                <w:color w:val="0D0D0D" w:themeColor="text1" w:themeTint="F2"/>
                <w:sz w:val="20"/>
                <w:szCs w:val="20"/>
              </w:rPr>
              <w:t xml:space="preserve"> që punojnë për harmonizimin e procesit të kur</w:t>
            </w:r>
            <w:r w:rsidR="00A542E7">
              <w:rPr>
                <w:rFonts w:ascii="Garamond" w:hAnsi="Garamond" w:cstheme="majorBidi"/>
                <w:color w:val="0D0D0D" w:themeColor="text1" w:themeTint="F2"/>
                <w:sz w:val="20"/>
                <w:szCs w:val="20"/>
              </w:rPr>
              <w:t>rikulave të trajnimit fillestar</w:t>
            </w:r>
          </w:p>
        </w:tc>
      </w:tr>
      <w:tr w:rsidR="003A5B7E" w:rsidRPr="00770F9D" w14:paraId="5C14F95D" w14:textId="77777777" w:rsidTr="00CE73B9">
        <w:tc>
          <w:tcPr>
            <w:tcW w:w="2156" w:type="pct"/>
            <w:tcBorders>
              <w:top w:val="single" w:sz="4" w:space="0" w:color="000000"/>
              <w:left w:val="single" w:sz="4" w:space="0" w:color="000000"/>
              <w:bottom w:val="single" w:sz="4" w:space="0" w:color="000000"/>
              <w:right w:val="single" w:sz="4" w:space="0" w:color="000000"/>
            </w:tcBorders>
          </w:tcPr>
          <w:p w14:paraId="4E94793F" w14:textId="77777777" w:rsidR="003A5B7E" w:rsidRPr="00770F9D" w:rsidRDefault="003A5B7E" w:rsidP="00856FA6">
            <w:pPr>
              <w:widowControl w:val="0"/>
              <w:snapToGrid w:val="0"/>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Përdorimi i vlerësimit të performancës së mësuesve të bazuar në karrierë nga drejtuesit e shkollave.</w:t>
            </w:r>
          </w:p>
        </w:tc>
        <w:tc>
          <w:tcPr>
            <w:tcW w:w="676" w:type="pct"/>
            <w:tcBorders>
              <w:top w:val="single" w:sz="4" w:space="0" w:color="000000"/>
              <w:left w:val="single" w:sz="4" w:space="0" w:color="000000"/>
              <w:bottom w:val="single" w:sz="4" w:space="0" w:color="000000"/>
              <w:right w:val="single" w:sz="4" w:space="0" w:color="000000"/>
            </w:tcBorders>
          </w:tcPr>
          <w:p w14:paraId="30FC401A" w14:textId="77777777" w:rsidR="003A5B7E" w:rsidRPr="00770F9D" w:rsidRDefault="003A5B7E" w:rsidP="00856FA6">
            <w:pPr>
              <w:widowControl w:val="0"/>
              <w:snapToGrid w:val="0"/>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E ulët</w:t>
            </w:r>
          </w:p>
        </w:tc>
        <w:tc>
          <w:tcPr>
            <w:tcW w:w="2168" w:type="pct"/>
            <w:tcBorders>
              <w:top w:val="single" w:sz="4" w:space="0" w:color="000000"/>
              <w:left w:val="single" w:sz="4" w:space="0" w:color="000000"/>
              <w:bottom w:val="single" w:sz="4" w:space="0" w:color="000000"/>
              <w:right w:val="single" w:sz="4" w:space="0" w:color="000000"/>
            </w:tcBorders>
          </w:tcPr>
          <w:p w14:paraId="5833F398" w14:textId="27F999E9" w:rsidR="003A5B7E" w:rsidRPr="00770F9D" w:rsidRDefault="003A5B7E" w:rsidP="00856FA6">
            <w:pPr>
              <w:widowControl w:val="0"/>
              <w:snapToGrid w:val="0"/>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Trajnimi i të gjithë drejtuesve të shkollave dhe t</w:t>
            </w:r>
            <w:r w:rsidR="00A542E7">
              <w:rPr>
                <w:rFonts w:ascii="Garamond" w:hAnsi="Garamond" w:cstheme="majorBidi"/>
                <w:color w:val="0D0D0D" w:themeColor="text1" w:themeTint="F2"/>
                <w:sz w:val="20"/>
                <w:szCs w:val="20"/>
              </w:rPr>
              <w:t>ë gjithë vlerësuesve të jashtëm</w:t>
            </w:r>
          </w:p>
        </w:tc>
      </w:tr>
      <w:tr w:rsidR="003A5B7E" w:rsidRPr="00770F9D" w14:paraId="2346222F" w14:textId="77777777" w:rsidTr="00CE73B9">
        <w:tc>
          <w:tcPr>
            <w:tcW w:w="2156" w:type="pct"/>
            <w:tcBorders>
              <w:top w:val="single" w:sz="4" w:space="0" w:color="000000"/>
              <w:left w:val="single" w:sz="4" w:space="0" w:color="000000"/>
              <w:bottom w:val="single" w:sz="4" w:space="0" w:color="000000"/>
              <w:right w:val="single" w:sz="4" w:space="0" w:color="000000"/>
            </w:tcBorders>
          </w:tcPr>
          <w:p w14:paraId="2BAF5B40" w14:textId="77777777" w:rsidR="003A5B7E" w:rsidRPr="00770F9D" w:rsidRDefault="003A5B7E" w:rsidP="00856FA6">
            <w:pPr>
              <w:widowControl w:val="0"/>
              <w:snapToGrid w:val="0"/>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Zbatimi i kurrikulës së unifikuar nga ASCAL në fakultetet e arsimit.</w:t>
            </w:r>
          </w:p>
        </w:tc>
        <w:tc>
          <w:tcPr>
            <w:tcW w:w="676" w:type="pct"/>
            <w:tcBorders>
              <w:top w:val="single" w:sz="4" w:space="0" w:color="000000"/>
              <w:left w:val="single" w:sz="4" w:space="0" w:color="000000"/>
              <w:bottom w:val="single" w:sz="4" w:space="0" w:color="000000"/>
              <w:right w:val="single" w:sz="4" w:space="0" w:color="000000"/>
            </w:tcBorders>
          </w:tcPr>
          <w:p w14:paraId="014C6066" w14:textId="77777777" w:rsidR="003A5B7E" w:rsidRPr="00770F9D" w:rsidRDefault="003A5B7E" w:rsidP="00856FA6">
            <w:pPr>
              <w:widowControl w:val="0"/>
              <w:snapToGrid w:val="0"/>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E ulët</w:t>
            </w:r>
          </w:p>
        </w:tc>
        <w:tc>
          <w:tcPr>
            <w:tcW w:w="2168" w:type="pct"/>
            <w:tcBorders>
              <w:top w:val="single" w:sz="4" w:space="0" w:color="000000"/>
              <w:left w:val="single" w:sz="4" w:space="0" w:color="000000"/>
              <w:bottom w:val="single" w:sz="4" w:space="0" w:color="000000"/>
              <w:right w:val="single" w:sz="4" w:space="0" w:color="000000"/>
            </w:tcBorders>
          </w:tcPr>
          <w:p w14:paraId="6A1ADABB" w14:textId="62ADB9A6" w:rsidR="003A5B7E" w:rsidRPr="00770F9D" w:rsidRDefault="003A5B7E" w:rsidP="00856FA6">
            <w:pPr>
              <w:widowControl w:val="0"/>
              <w:snapToGrid w:val="0"/>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Akreditimi i programev</w:t>
            </w:r>
            <w:r w:rsidR="00A542E7">
              <w:rPr>
                <w:rFonts w:ascii="Garamond" w:hAnsi="Garamond" w:cstheme="majorBidi"/>
                <w:color w:val="0D0D0D" w:themeColor="text1" w:themeTint="F2"/>
                <w:sz w:val="20"/>
                <w:szCs w:val="20"/>
              </w:rPr>
              <w:t>e të rishikuara të mësimdhënies</w:t>
            </w:r>
          </w:p>
        </w:tc>
      </w:tr>
      <w:tr w:rsidR="003A5B7E" w:rsidRPr="00770F9D" w14:paraId="6DA3A82D" w14:textId="77777777" w:rsidTr="00CE73B9">
        <w:tc>
          <w:tcPr>
            <w:tcW w:w="2156" w:type="pct"/>
            <w:tcBorders>
              <w:top w:val="single" w:sz="4" w:space="0" w:color="000000"/>
              <w:left w:val="single" w:sz="4" w:space="0" w:color="000000"/>
              <w:bottom w:val="single" w:sz="4" w:space="0" w:color="000000"/>
              <w:right w:val="single" w:sz="4" w:space="0" w:color="000000"/>
            </w:tcBorders>
          </w:tcPr>
          <w:p w14:paraId="549A39BE" w14:textId="0B89975A" w:rsidR="003A5B7E" w:rsidRPr="00770F9D" w:rsidRDefault="003A5B7E" w:rsidP="00856FA6">
            <w:pPr>
              <w:widowControl w:val="0"/>
              <w:snapToGrid w:val="0"/>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xml:space="preserve">Zonat e Studimit TALIS dhe </w:t>
            </w:r>
            <w:r w:rsidR="00A542E7" w:rsidRPr="00770F9D">
              <w:rPr>
                <w:rFonts w:ascii="Garamond" w:hAnsi="Garamond" w:cstheme="majorBidi"/>
                <w:color w:val="0D0D0D" w:themeColor="text1" w:themeTint="F2"/>
                <w:sz w:val="20"/>
                <w:szCs w:val="20"/>
              </w:rPr>
              <w:t xml:space="preserve">anketa </w:t>
            </w:r>
            <w:r w:rsidRPr="00770F9D">
              <w:rPr>
                <w:rFonts w:ascii="Garamond" w:hAnsi="Garamond" w:cstheme="majorBidi"/>
                <w:color w:val="0D0D0D" w:themeColor="text1" w:themeTint="F2"/>
                <w:sz w:val="20"/>
                <w:szCs w:val="20"/>
              </w:rPr>
              <w:t>kryesore do të jenë në internet.</w:t>
            </w:r>
          </w:p>
        </w:tc>
        <w:tc>
          <w:tcPr>
            <w:tcW w:w="676" w:type="pct"/>
            <w:tcBorders>
              <w:top w:val="single" w:sz="4" w:space="0" w:color="000000"/>
              <w:left w:val="single" w:sz="4" w:space="0" w:color="000000"/>
              <w:bottom w:val="single" w:sz="4" w:space="0" w:color="000000"/>
              <w:right w:val="single" w:sz="4" w:space="0" w:color="000000"/>
            </w:tcBorders>
          </w:tcPr>
          <w:p w14:paraId="3BA6119B" w14:textId="77777777" w:rsidR="003A5B7E" w:rsidRPr="00770F9D" w:rsidRDefault="003A5B7E" w:rsidP="00856FA6">
            <w:pPr>
              <w:widowControl w:val="0"/>
              <w:snapToGrid w:val="0"/>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E mesme</w:t>
            </w:r>
          </w:p>
        </w:tc>
        <w:tc>
          <w:tcPr>
            <w:tcW w:w="2168" w:type="pct"/>
            <w:tcBorders>
              <w:top w:val="single" w:sz="4" w:space="0" w:color="000000"/>
              <w:left w:val="single" w:sz="4" w:space="0" w:color="000000"/>
              <w:bottom w:val="single" w:sz="4" w:space="0" w:color="000000"/>
              <w:right w:val="single" w:sz="4" w:space="0" w:color="000000"/>
            </w:tcBorders>
          </w:tcPr>
          <w:p w14:paraId="6CFE2A24" w14:textId="55EADE44" w:rsidR="003A5B7E" w:rsidRPr="00770F9D" w:rsidRDefault="00A542E7" w:rsidP="00856FA6">
            <w:pPr>
              <w:widowControl w:val="0"/>
              <w:snapToGrid w:val="0"/>
              <w:jc w:val="both"/>
              <w:rPr>
                <w:rFonts w:ascii="Garamond" w:hAnsi="Garamond" w:cstheme="majorBidi"/>
                <w:color w:val="0D0D0D" w:themeColor="text1" w:themeTint="F2"/>
                <w:sz w:val="20"/>
                <w:szCs w:val="20"/>
              </w:rPr>
            </w:pPr>
            <w:r>
              <w:rPr>
                <w:rFonts w:ascii="Garamond" w:hAnsi="Garamond" w:cstheme="majorBidi"/>
                <w:color w:val="0D0D0D" w:themeColor="text1" w:themeTint="F2"/>
                <w:sz w:val="20"/>
                <w:szCs w:val="20"/>
              </w:rPr>
              <w:t>Akses në internet</w:t>
            </w:r>
          </w:p>
        </w:tc>
      </w:tr>
    </w:tbl>
    <w:p w14:paraId="3A77C55A" w14:textId="77777777" w:rsidR="003A5B7E" w:rsidRPr="00770F9D" w:rsidRDefault="003A5B7E" w:rsidP="005674F2">
      <w:pPr>
        <w:snapToGrid w:val="0"/>
        <w:ind w:firstLine="284"/>
        <w:rPr>
          <w:rFonts w:ascii="Garamond" w:hAnsi="Garamond" w:cstheme="majorBidi"/>
          <w:color w:val="0D0D0D" w:themeColor="text1" w:themeTint="F2"/>
        </w:rPr>
      </w:pPr>
    </w:p>
    <w:p w14:paraId="2B44CC34" w14:textId="317042CC" w:rsidR="0030742B" w:rsidRPr="00770F9D" w:rsidRDefault="00B2062A" w:rsidP="00400806">
      <w:pPr>
        <w:pStyle w:val="Heading5"/>
        <w:snapToGrid w:val="0"/>
        <w:ind w:left="0" w:firstLine="284"/>
        <w:jc w:val="both"/>
        <w:rPr>
          <w:rFonts w:ascii="Garamond" w:hAnsi="Garamond" w:cstheme="majorBidi"/>
          <w:i w:val="0"/>
          <w:color w:val="0D0D0D" w:themeColor="text1" w:themeTint="F2"/>
          <w:sz w:val="24"/>
          <w:szCs w:val="24"/>
        </w:rPr>
      </w:pPr>
      <w:r w:rsidRPr="00770F9D">
        <w:rPr>
          <w:rFonts w:ascii="Garamond" w:hAnsi="Garamond" w:cstheme="majorBidi"/>
          <w:i w:val="0"/>
          <w:color w:val="0D0D0D" w:themeColor="text1" w:themeTint="F2"/>
          <w:sz w:val="24"/>
          <w:szCs w:val="24"/>
        </w:rPr>
        <w:t>Masa e reformës</w:t>
      </w:r>
      <w:r w:rsidR="00A542E7">
        <w:rPr>
          <w:rFonts w:ascii="Garamond" w:hAnsi="Garamond" w:cstheme="majorBidi"/>
          <w:i w:val="0"/>
          <w:color w:val="0D0D0D" w:themeColor="text1" w:themeTint="F2"/>
          <w:sz w:val="24"/>
          <w:szCs w:val="24"/>
        </w:rPr>
        <w:t xml:space="preserve"> </w:t>
      </w:r>
      <w:r w:rsidR="005358F8" w:rsidRPr="00770F9D">
        <w:rPr>
          <w:rFonts w:ascii="Garamond" w:hAnsi="Garamond" w:cstheme="majorBidi"/>
          <w:i w:val="0"/>
          <w:color w:val="0D0D0D" w:themeColor="text1" w:themeTint="F2"/>
          <w:sz w:val="24"/>
          <w:szCs w:val="24"/>
        </w:rPr>
        <w:t>18</w:t>
      </w:r>
      <w:r w:rsidR="0030742B" w:rsidRPr="00770F9D">
        <w:rPr>
          <w:rFonts w:ascii="Garamond" w:hAnsi="Garamond" w:cstheme="majorBidi"/>
          <w:i w:val="0"/>
          <w:color w:val="0D0D0D" w:themeColor="text1" w:themeTint="F2"/>
          <w:sz w:val="24"/>
          <w:szCs w:val="24"/>
        </w:rPr>
        <w:t>:</w:t>
      </w:r>
      <w:r w:rsidR="002C2542" w:rsidRPr="00770F9D">
        <w:rPr>
          <w:rFonts w:ascii="Garamond" w:hAnsi="Garamond" w:cstheme="majorBidi"/>
          <w:i w:val="0"/>
          <w:color w:val="0D0D0D" w:themeColor="text1" w:themeTint="F2"/>
          <w:sz w:val="24"/>
          <w:szCs w:val="24"/>
        </w:rPr>
        <w:t xml:space="preserve"> </w:t>
      </w:r>
      <w:r w:rsidR="00A542E7">
        <w:rPr>
          <w:rFonts w:ascii="Garamond" w:hAnsi="Garamond" w:cstheme="majorBidi"/>
          <w:i w:val="0"/>
          <w:color w:val="0D0D0D" w:themeColor="text1" w:themeTint="F2"/>
          <w:sz w:val="24"/>
          <w:szCs w:val="24"/>
        </w:rPr>
        <w:t>Gjithë</w:t>
      </w:r>
      <w:r w:rsidR="00DB2D75" w:rsidRPr="00770F9D">
        <w:rPr>
          <w:rFonts w:ascii="Garamond" w:hAnsi="Garamond" w:cstheme="majorBidi"/>
          <w:i w:val="0"/>
          <w:color w:val="0D0D0D" w:themeColor="text1" w:themeTint="F2"/>
          <w:sz w:val="24"/>
          <w:szCs w:val="24"/>
        </w:rPr>
        <w:t>përfshirja dhe barazia në arsim</w:t>
      </w:r>
    </w:p>
    <w:p w14:paraId="095AAB01" w14:textId="10010734" w:rsidR="0030742B" w:rsidRPr="00770F9D" w:rsidRDefault="005674F2"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 xml:space="preserve">1. </w:t>
      </w:r>
      <w:r w:rsidR="00B2062A" w:rsidRPr="00770F9D">
        <w:rPr>
          <w:rFonts w:ascii="Garamond" w:hAnsi="Garamond" w:cstheme="majorBidi"/>
          <w:color w:val="0D0D0D" w:themeColor="text1" w:themeTint="F2"/>
          <w:u w:val="none"/>
        </w:rPr>
        <w:t>Përshkrimi i masës</w:t>
      </w:r>
    </w:p>
    <w:p w14:paraId="765EFD1B" w14:textId="6770A717" w:rsidR="003A5B7E" w:rsidRPr="00770F9D" w:rsidRDefault="003A5B7E"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Masa e reformës synon të sigurojë arsimin gjithëpërfshirës për të gjitha grupet vulnerabël</w:t>
      </w:r>
      <w:r w:rsidR="00075C05">
        <w:rPr>
          <w:rFonts w:ascii="Garamond" w:hAnsi="Garamond" w:cstheme="majorBidi"/>
          <w:color w:val="0D0D0D" w:themeColor="text1" w:themeTint="F2"/>
        </w:rPr>
        <w:t>,</w:t>
      </w:r>
      <w:r w:rsidRPr="00770F9D">
        <w:rPr>
          <w:rFonts w:ascii="Garamond" w:hAnsi="Garamond" w:cstheme="majorBidi"/>
          <w:color w:val="0D0D0D" w:themeColor="text1" w:themeTint="F2"/>
        </w:rPr>
        <w:t xml:space="preserve"> duke rritur më tej numrin e mësuesve ndihmës për fëmijët me aftësi të kufizuara në shkollat publike të zakonshme. Janë ngritur rrjetet profesionale të mësuesve ndihmës dhe janë kryer trajnimet e drejtuesve të rrjetit dhe më pas të mësuesve ndihmës.</w:t>
      </w:r>
    </w:p>
    <w:p w14:paraId="3520FA68" w14:textId="290EC4B7" w:rsidR="003A5B7E" w:rsidRPr="00770F9D" w:rsidRDefault="003A5B7E"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Gjithëpërfshirja ka qenë fokusi i politikave arsimore në Shqipëri në dekadën e fundit, duke synuar rritjen e pjesëmarrjes në edukimin e fëmijërisë së hershme, si dhe pjesëmarrjen në edukimin e fëmijëve nga grupet vulnerabël. MAS</w:t>
      </w:r>
      <w:r w:rsidR="00075C05">
        <w:rPr>
          <w:rFonts w:ascii="Garamond" w:hAnsi="Garamond" w:cstheme="majorBidi"/>
          <w:color w:val="0D0D0D" w:themeColor="text1" w:themeTint="F2"/>
        </w:rPr>
        <w:t>-i</w:t>
      </w:r>
      <w:r w:rsidRPr="00770F9D">
        <w:rPr>
          <w:rFonts w:ascii="Garamond" w:hAnsi="Garamond" w:cstheme="majorBidi"/>
          <w:color w:val="0D0D0D" w:themeColor="text1" w:themeTint="F2"/>
        </w:rPr>
        <w:t xml:space="preserve"> po planifikon transformimin e shkollave/instituteve speciale në qendra burimore që mbështesin edukimin e fëmijëve me aftësi të kufizuara dhe integrimin e tyre social. Shndërrimi i një shkolle/institucioni të arsimit special në qendër burimore është një proces që kalon në disa faza</w:t>
      </w:r>
      <w:r w:rsidR="00163AFF">
        <w:rPr>
          <w:rFonts w:ascii="Garamond" w:hAnsi="Garamond" w:cstheme="majorBidi"/>
          <w:color w:val="0D0D0D" w:themeColor="text1" w:themeTint="F2"/>
        </w:rPr>
        <w:t>,</w:t>
      </w:r>
      <w:r w:rsidRPr="00770F9D">
        <w:rPr>
          <w:rFonts w:ascii="Garamond" w:hAnsi="Garamond" w:cstheme="majorBidi"/>
          <w:color w:val="0D0D0D" w:themeColor="text1" w:themeTint="F2"/>
        </w:rPr>
        <w:t xml:space="preserve"> duke adresuar ndryshimet në strukturë, menaxhim, personel mësimor dhe të specializuar, kurrikul, infrastrukturë</w:t>
      </w:r>
      <w:r w:rsidR="003469F3" w:rsidRPr="00770F9D">
        <w:rPr>
          <w:rFonts w:ascii="Garamond" w:hAnsi="Garamond" w:cstheme="majorBidi"/>
          <w:color w:val="0D0D0D" w:themeColor="text1" w:themeTint="F2"/>
        </w:rPr>
        <w:t xml:space="preserve"> etj</w:t>
      </w:r>
      <w:r w:rsidRPr="00770F9D">
        <w:rPr>
          <w:rFonts w:ascii="Garamond" w:hAnsi="Garamond" w:cstheme="majorBidi"/>
          <w:color w:val="0D0D0D" w:themeColor="text1" w:themeTint="F2"/>
        </w:rPr>
        <w:t>. Qendrat burimore do të ofrojnë shërbime shtesë për nxënësit me aftësi të kufizuara në shkollat e arsimit parauniversitar (shkollat e zakonshme), trajnime për mësuesit ndihmës dhe stafin e shkollave të zakonshme</w:t>
      </w:r>
      <w:r w:rsidR="00163AFF">
        <w:rPr>
          <w:rFonts w:ascii="Garamond" w:hAnsi="Garamond" w:cstheme="majorBidi"/>
          <w:color w:val="0D0D0D" w:themeColor="text1" w:themeTint="F2"/>
        </w:rPr>
        <w:t>,</w:t>
      </w:r>
      <w:r w:rsidRPr="00770F9D">
        <w:rPr>
          <w:rFonts w:ascii="Garamond" w:hAnsi="Garamond" w:cstheme="majorBidi"/>
          <w:color w:val="0D0D0D" w:themeColor="text1" w:themeTint="F2"/>
        </w:rPr>
        <w:t xml:space="preserve"> me qëllim rritjen e numrit të nxënësve me aftësi të kufizuara në arsimin gjithëpërfshirës.</w:t>
      </w:r>
    </w:p>
    <w:p w14:paraId="4D333C86" w14:textId="63AEA516" w:rsidR="003A5B7E" w:rsidRPr="00770F9D" w:rsidRDefault="003A5B7E" w:rsidP="00E612D1">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Mësimi në klasa të përbashkëta zhvillohet në zonat rurale dhe zonat e thella. Prej vitesh MAS</w:t>
      </w:r>
      <w:r w:rsidR="00163AFF">
        <w:rPr>
          <w:rFonts w:ascii="Garamond" w:hAnsi="Garamond" w:cstheme="majorBidi"/>
          <w:color w:val="0D0D0D" w:themeColor="text1" w:themeTint="F2"/>
        </w:rPr>
        <w:t>-i</w:t>
      </w:r>
      <w:r w:rsidRPr="00770F9D">
        <w:rPr>
          <w:rFonts w:ascii="Garamond" w:hAnsi="Garamond" w:cstheme="majorBidi"/>
          <w:color w:val="0D0D0D" w:themeColor="text1" w:themeTint="F2"/>
        </w:rPr>
        <w:t xml:space="preserve"> ka ndjekur një politikë të mbylljes së klasave kolektive, duke bashkuar shkollat e vogla për të zhvendosur nxënësit nga ato klasa në shkollat ku mësimi zhvillohet në klasa të veçanta, më të mëdha dhe duke siguruar transport për këta nxënës. Kjo ndërhyrje ka siguruar ofrimin e një arsimi më cilësor për nxënësit e zonave rurale. Aktualisht, çdo fëmijë që jeton mbi 2 km nga shkolla më e afërt ka transport falas. Një rritje prej +50% e shumës së rimbursimit të transportit parashikohet të ndodhë gjatë vitit 2022. Nga viti në vit është rritur numri i fëmijëve që kanë përfituar programin e teksteve falas. Për vitin shkollor 2021</w:t>
      </w:r>
      <w:r w:rsidR="00163AFF">
        <w:rPr>
          <w:rFonts w:ascii="Garamond" w:hAnsi="Garamond"/>
          <w:color w:val="0D0D0D"/>
        </w:rPr>
        <w:t>–</w:t>
      </w:r>
      <w:r w:rsidRPr="00770F9D">
        <w:rPr>
          <w:rFonts w:ascii="Garamond" w:hAnsi="Garamond" w:cstheme="majorBidi"/>
          <w:color w:val="0D0D0D" w:themeColor="text1" w:themeTint="F2"/>
        </w:rPr>
        <w:t>2022, përfitues të skemës së teksteve falas ishin 280 mijë fëmijë nga klasa I deri në IX dhe 16 kategori nxënësish përfitues të teksteve falas për klasat X</w:t>
      </w:r>
      <w:r w:rsidR="00E612D1">
        <w:rPr>
          <w:rFonts w:ascii="Garamond" w:hAnsi="Garamond"/>
          <w:color w:val="0D0D0D"/>
        </w:rPr>
        <w:t>–</w:t>
      </w:r>
      <w:r w:rsidRPr="00770F9D">
        <w:rPr>
          <w:rFonts w:ascii="Garamond" w:hAnsi="Garamond" w:cstheme="majorBidi"/>
          <w:color w:val="0D0D0D" w:themeColor="text1" w:themeTint="F2"/>
        </w:rPr>
        <w:t>XII, përfshirë nxënës romë dhe egjiptianë. S</w:t>
      </w:r>
      <w:r w:rsidR="00E612D1">
        <w:rPr>
          <w:rFonts w:ascii="Garamond" w:hAnsi="Garamond" w:cstheme="majorBidi"/>
          <w:color w:val="0D0D0D" w:themeColor="text1" w:themeTint="F2"/>
        </w:rPr>
        <w:t>ipas vendimit nr. 486, datë 17.</w:t>
      </w:r>
      <w:r w:rsidRPr="00770F9D">
        <w:rPr>
          <w:rFonts w:ascii="Garamond" w:hAnsi="Garamond" w:cstheme="majorBidi"/>
          <w:color w:val="0D0D0D" w:themeColor="text1" w:themeTint="F2"/>
        </w:rPr>
        <w:t xml:space="preserve">6.2020 janë 16 kategori që përfitojnë tekste falas në shkollat e mesme: nxënës që në arsimin bazë i përkasin kategorisë së pakicave kombëtare, ata që kanë marrë statusin e jetimit, nxënësit që vijnë nga familje që trajtohen me ndihmë ekonomike, asistencë dhe përfitime papunësie nga zyrat e punësimit, studentët me aftësi të kufizuara, studentët e pranuar në </w:t>
      </w:r>
      <w:r w:rsidR="00E612D1" w:rsidRPr="00770F9D">
        <w:rPr>
          <w:rFonts w:ascii="Garamond" w:hAnsi="Garamond" w:cstheme="majorBidi"/>
          <w:color w:val="0D0D0D" w:themeColor="text1" w:themeTint="F2"/>
        </w:rPr>
        <w:t>shërbimin onkologjik</w:t>
      </w:r>
      <w:r w:rsidRPr="00770F9D">
        <w:rPr>
          <w:rFonts w:ascii="Garamond" w:hAnsi="Garamond" w:cstheme="majorBidi"/>
          <w:color w:val="0D0D0D" w:themeColor="text1" w:themeTint="F2"/>
        </w:rPr>
        <w:t xml:space="preserve">, studentët që </w:t>
      </w:r>
      <w:r w:rsidR="00E612D1">
        <w:rPr>
          <w:rFonts w:ascii="Garamond" w:hAnsi="Garamond" w:cstheme="majorBidi"/>
          <w:color w:val="0D0D0D" w:themeColor="text1" w:themeTint="F2"/>
        </w:rPr>
        <w:t>u</w:t>
      </w:r>
      <w:r w:rsidRPr="00770F9D">
        <w:rPr>
          <w:rFonts w:ascii="Garamond" w:hAnsi="Garamond" w:cstheme="majorBidi"/>
          <w:color w:val="0D0D0D" w:themeColor="text1" w:themeTint="F2"/>
        </w:rPr>
        <w:t xml:space="preserve"> përkasin minoriteteve rome dhe egjiptiane etj.</w:t>
      </w:r>
    </w:p>
    <w:p w14:paraId="41A5CB3A" w14:textId="660FAC81" w:rsidR="00E95E96" w:rsidRPr="00770F9D" w:rsidRDefault="003A5B7E"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Kjo masë lidhet me </w:t>
      </w:r>
      <w:r w:rsidR="00E612D1" w:rsidRPr="00770F9D">
        <w:rPr>
          <w:rFonts w:ascii="Garamond" w:hAnsi="Garamond" w:cstheme="majorBidi"/>
          <w:color w:val="0D0D0D" w:themeColor="text1" w:themeTint="F2"/>
        </w:rPr>
        <w:t>kriteret ekonomike</w:t>
      </w:r>
      <w:r w:rsidRPr="00770F9D">
        <w:rPr>
          <w:rFonts w:ascii="Garamond" w:hAnsi="Garamond" w:cstheme="majorBidi"/>
          <w:color w:val="0D0D0D" w:themeColor="text1" w:themeTint="F2"/>
        </w:rPr>
        <w:t>, për të qenë konkurrues në BE, gjë që kërkon një sasi të mjaftueshme kapitali njerëzor, arsim, kërkim, inovacion dhe zhvillime të ardhshme në këtë fushë</w:t>
      </w:r>
      <w:r w:rsidR="00E95E96" w:rsidRPr="00770F9D">
        <w:rPr>
          <w:rFonts w:ascii="Garamond" w:hAnsi="Garamond" w:cstheme="majorBidi"/>
          <w:color w:val="0D0D0D" w:themeColor="text1" w:themeTint="F2"/>
        </w:rPr>
        <w:t>.</w:t>
      </w:r>
    </w:p>
    <w:p w14:paraId="2475D4D1" w14:textId="4FCFDCA8" w:rsidR="005674F2" w:rsidRPr="00770F9D" w:rsidRDefault="005674F2" w:rsidP="000F6F7A">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a</w:t>
      </w:r>
      <w:r w:rsidR="00E612D1">
        <w:rPr>
          <w:rFonts w:ascii="Garamond" w:hAnsi="Garamond"/>
          <w:b/>
          <w:bCs/>
          <w:color w:val="0D0D0D"/>
          <w:sz w:val="24"/>
          <w:szCs w:val="24"/>
          <w:lang w:val="sq-AL"/>
        </w:rPr>
        <w:t xml:space="preserve">) </w:t>
      </w:r>
      <w:r w:rsidRPr="00770F9D">
        <w:rPr>
          <w:rFonts w:ascii="Garamond" w:hAnsi="Garamond"/>
          <w:b/>
          <w:bCs/>
          <w:color w:val="0D0D0D"/>
          <w:sz w:val="24"/>
          <w:szCs w:val="24"/>
          <w:lang w:val="sq-AL"/>
        </w:rPr>
        <w:t xml:space="preserve">Aktivitete të planifikuara </w:t>
      </w:r>
      <w:r w:rsidR="000F6F7A">
        <w:rPr>
          <w:rFonts w:ascii="Garamond" w:hAnsi="Garamond"/>
          <w:b/>
          <w:bCs/>
          <w:color w:val="0D0D0D"/>
          <w:sz w:val="24"/>
          <w:szCs w:val="24"/>
          <w:lang w:val="sq-AL"/>
        </w:rPr>
        <w:t>m</w:t>
      </w:r>
      <w:r w:rsidRPr="00770F9D">
        <w:rPr>
          <w:rFonts w:ascii="Garamond" w:hAnsi="Garamond"/>
          <w:b/>
          <w:bCs/>
          <w:color w:val="0D0D0D"/>
          <w:sz w:val="24"/>
          <w:szCs w:val="24"/>
          <w:lang w:val="sq-AL"/>
        </w:rPr>
        <w:t>ë 2023</w:t>
      </w:r>
      <w:r w:rsidR="00E612D1">
        <w:rPr>
          <w:rFonts w:ascii="Garamond" w:hAnsi="Garamond"/>
          <w:b/>
          <w:bCs/>
          <w:color w:val="0D0D0D"/>
          <w:sz w:val="24"/>
          <w:szCs w:val="24"/>
          <w:lang w:val="sq-AL"/>
        </w:rPr>
        <w:t>-shin</w:t>
      </w:r>
    </w:p>
    <w:p w14:paraId="5772243A" w14:textId="4ACC40EB" w:rsidR="005674F2" w:rsidRPr="00770F9D" w:rsidRDefault="005674F2" w:rsidP="00E612D1">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a</w:t>
      </w:r>
      <w:r w:rsidR="00E612D1">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Transformimi i shkollave speciale në qendra burimore</w:t>
      </w:r>
      <w:r w:rsidR="00E612D1">
        <w:rPr>
          <w:rFonts w:ascii="Garamond" w:hAnsi="Garamond"/>
          <w:color w:val="0D0D0D"/>
          <w:sz w:val="24"/>
          <w:szCs w:val="24"/>
          <w:lang w:val="sq-AL"/>
        </w:rPr>
        <w:t>;</w:t>
      </w:r>
    </w:p>
    <w:p w14:paraId="50E497CA" w14:textId="65FF7BA5" w:rsidR="005674F2" w:rsidRPr="00770F9D" w:rsidRDefault="005674F2" w:rsidP="00E612D1">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b</w:t>
      </w:r>
      <w:r w:rsidR="00E612D1">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Ofrimi i mësuesve ndihmës shtesë për nxënësit me aftësi të kufizuara dhe mësuesit që njohin gjuhën shqipe të shenjave për nxënësit që nuk dëgjojnë</w:t>
      </w:r>
      <w:r w:rsidR="00E612D1">
        <w:rPr>
          <w:rFonts w:ascii="Garamond" w:hAnsi="Garamond"/>
          <w:color w:val="0D0D0D"/>
          <w:sz w:val="24"/>
          <w:szCs w:val="24"/>
          <w:lang w:val="sq-AL"/>
        </w:rPr>
        <w:t>;</w:t>
      </w:r>
    </w:p>
    <w:p w14:paraId="6CA00E9A" w14:textId="08FA8B6E" w:rsidR="005674F2" w:rsidRPr="00770F9D" w:rsidRDefault="005674F2" w:rsidP="00E612D1">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c</w:t>
      </w:r>
      <w:r w:rsidR="00E612D1">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Trajnimi i 61 ToT (drejtues të rrjeteve profesionale të mësuesve ndihmës) dhe mësues ndihmës</w:t>
      </w:r>
      <w:r w:rsidR="00E612D1">
        <w:rPr>
          <w:rFonts w:ascii="Garamond" w:hAnsi="Garamond"/>
          <w:color w:val="0D0D0D"/>
          <w:sz w:val="24"/>
          <w:szCs w:val="24"/>
          <w:lang w:val="sq-AL"/>
        </w:rPr>
        <w:t>;</w:t>
      </w:r>
    </w:p>
    <w:p w14:paraId="535D0B34" w14:textId="0FC27657" w:rsidR="005674F2" w:rsidRPr="00770F9D" w:rsidRDefault="005674F2" w:rsidP="00E612D1">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d</w:t>
      </w:r>
      <w:r w:rsidR="00E612D1">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Trajnimi i rrjeteve profesionale të punonjësve të shërbimit psikosocial</w:t>
      </w:r>
      <w:r w:rsidR="00E612D1">
        <w:rPr>
          <w:rFonts w:ascii="Garamond" w:hAnsi="Garamond"/>
          <w:color w:val="0D0D0D"/>
          <w:sz w:val="24"/>
          <w:szCs w:val="24"/>
          <w:lang w:val="sq-AL"/>
        </w:rPr>
        <w:t>;</w:t>
      </w:r>
    </w:p>
    <w:p w14:paraId="33839B0A" w14:textId="2F04F731" w:rsidR="005674F2" w:rsidRPr="00770F9D" w:rsidRDefault="005674F2" w:rsidP="00E612D1">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e</w:t>
      </w:r>
      <w:r w:rsidR="00E612D1">
        <w:rPr>
          <w:rFonts w:ascii="Garamond" w:hAnsi="Garamond"/>
          <w:color w:val="0D0D0D"/>
          <w:sz w:val="24"/>
          <w:szCs w:val="24"/>
          <w:lang w:val="sq-AL"/>
        </w:rPr>
        <w:t xml:space="preserve">) </w:t>
      </w:r>
      <w:r w:rsidRPr="00770F9D">
        <w:rPr>
          <w:rFonts w:ascii="Garamond" w:hAnsi="Garamond"/>
          <w:color w:val="0D0D0D"/>
          <w:sz w:val="24"/>
          <w:szCs w:val="24"/>
          <w:lang w:val="sq-AL"/>
        </w:rPr>
        <w:t>Racionalizimi i rrjetit shkollor.</w:t>
      </w:r>
    </w:p>
    <w:p w14:paraId="5ADF9D9B" w14:textId="5F79B294" w:rsidR="005674F2" w:rsidRPr="00770F9D" w:rsidRDefault="005674F2" w:rsidP="000F6F7A">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b</w:t>
      </w:r>
      <w:r w:rsidR="00E612D1">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 xml:space="preserve">Aktivitete të planifikuara </w:t>
      </w:r>
      <w:r w:rsidR="000F6F7A">
        <w:rPr>
          <w:rFonts w:ascii="Garamond" w:hAnsi="Garamond"/>
          <w:b/>
          <w:bCs/>
          <w:color w:val="0D0D0D"/>
          <w:sz w:val="24"/>
          <w:szCs w:val="24"/>
          <w:lang w:val="sq-AL"/>
        </w:rPr>
        <w:t>m</w:t>
      </w:r>
      <w:r w:rsidRPr="00770F9D">
        <w:rPr>
          <w:rFonts w:ascii="Garamond" w:hAnsi="Garamond"/>
          <w:b/>
          <w:bCs/>
          <w:color w:val="0D0D0D"/>
          <w:sz w:val="24"/>
          <w:szCs w:val="24"/>
          <w:lang w:val="sq-AL"/>
        </w:rPr>
        <w:t>ë 2024</w:t>
      </w:r>
      <w:r w:rsidR="00E612D1">
        <w:rPr>
          <w:rFonts w:ascii="Garamond" w:hAnsi="Garamond"/>
          <w:b/>
          <w:bCs/>
          <w:color w:val="0D0D0D"/>
          <w:sz w:val="24"/>
          <w:szCs w:val="24"/>
          <w:lang w:val="sq-AL"/>
        </w:rPr>
        <w:t>-n</w:t>
      </w:r>
    </w:p>
    <w:p w14:paraId="4FAE2E61" w14:textId="7694C7EC" w:rsidR="005674F2" w:rsidRPr="00770F9D" w:rsidRDefault="005674F2" w:rsidP="00E612D1">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a</w:t>
      </w:r>
      <w:r w:rsidR="00E612D1">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Funksionimi i plotë i qendrave burimore</w:t>
      </w:r>
      <w:r w:rsidR="00E612D1">
        <w:rPr>
          <w:rFonts w:ascii="Garamond" w:hAnsi="Garamond"/>
          <w:color w:val="0D0D0D"/>
          <w:sz w:val="24"/>
          <w:szCs w:val="24"/>
          <w:lang w:val="sq-AL"/>
        </w:rPr>
        <w:t>;</w:t>
      </w:r>
    </w:p>
    <w:p w14:paraId="68362EBB" w14:textId="15AA8129" w:rsidR="005674F2" w:rsidRPr="00770F9D" w:rsidRDefault="005674F2" w:rsidP="00E612D1">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b</w:t>
      </w:r>
      <w:r w:rsidR="00E612D1">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Sigurimi i mësuesve ndihmës për nxënësit me aftësi të kufizuara dhe mësuesit që punojnë me nxënësit me dëmtim të dëgjimit dhe shikimit</w:t>
      </w:r>
      <w:r w:rsidR="00E612D1">
        <w:rPr>
          <w:rFonts w:ascii="Garamond" w:hAnsi="Garamond"/>
          <w:color w:val="0D0D0D"/>
          <w:sz w:val="24"/>
          <w:szCs w:val="24"/>
          <w:lang w:val="sq-AL"/>
        </w:rPr>
        <w:t>;</w:t>
      </w:r>
    </w:p>
    <w:p w14:paraId="01ABA091" w14:textId="1666DDAA" w:rsidR="005674F2" w:rsidRPr="00770F9D" w:rsidRDefault="005674F2" w:rsidP="00E612D1">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c</w:t>
      </w:r>
      <w:r w:rsidR="00E612D1">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Rritja e kapaciteteve të mësuesve ndihmës dhe mësuesve që punojnë me nxënësit me dëmtim të dëgjimit dhe shikimit.</w:t>
      </w:r>
    </w:p>
    <w:p w14:paraId="303B8BFB" w14:textId="4BE61F0B" w:rsidR="005674F2" w:rsidRPr="00770F9D" w:rsidRDefault="005674F2" w:rsidP="000F6F7A">
      <w:pPr>
        <w:pStyle w:val="ListParagraph"/>
        <w:ind w:left="0" w:firstLine="284"/>
        <w:jc w:val="both"/>
        <w:rPr>
          <w:rFonts w:ascii="Garamond" w:hAnsi="Garamond"/>
          <w:b/>
          <w:bCs/>
          <w:color w:val="0D0D0D"/>
          <w:sz w:val="24"/>
          <w:szCs w:val="24"/>
          <w:lang w:val="sq-AL"/>
        </w:rPr>
      </w:pPr>
      <w:r w:rsidRPr="00770F9D">
        <w:rPr>
          <w:rFonts w:ascii="Garamond" w:hAnsi="Garamond"/>
          <w:b/>
          <w:bCs/>
          <w:color w:val="0D0D0D"/>
          <w:sz w:val="24"/>
          <w:szCs w:val="24"/>
          <w:lang w:val="sq-AL"/>
        </w:rPr>
        <w:t>c</w:t>
      </w:r>
      <w:r w:rsidR="00E612D1">
        <w:rPr>
          <w:rFonts w:ascii="Garamond" w:hAnsi="Garamond"/>
          <w:b/>
          <w:bCs/>
          <w:color w:val="0D0D0D"/>
          <w:sz w:val="24"/>
          <w:szCs w:val="24"/>
          <w:lang w:val="sq-AL"/>
        </w:rPr>
        <w:t>)</w:t>
      </w:r>
      <w:r w:rsidR="00BA4F1A" w:rsidRPr="00770F9D">
        <w:rPr>
          <w:rFonts w:ascii="Garamond" w:hAnsi="Garamond"/>
          <w:b/>
          <w:bCs/>
          <w:color w:val="0D0D0D"/>
          <w:sz w:val="24"/>
          <w:szCs w:val="24"/>
          <w:lang w:val="sq-AL"/>
        </w:rPr>
        <w:t xml:space="preserve"> </w:t>
      </w:r>
      <w:r w:rsidRPr="00770F9D">
        <w:rPr>
          <w:rFonts w:ascii="Garamond" w:hAnsi="Garamond"/>
          <w:b/>
          <w:bCs/>
          <w:color w:val="0D0D0D"/>
          <w:sz w:val="24"/>
          <w:szCs w:val="24"/>
          <w:lang w:val="sq-AL"/>
        </w:rPr>
        <w:t xml:space="preserve">Aktivitete të planifikuara </w:t>
      </w:r>
      <w:r w:rsidR="000F6F7A">
        <w:rPr>
          <w:rFonts w:ascii="Garamond" w:hAnsi="Garamond"/>
          <w:b/>
          <w:bCs/>
          <w:color w:val="0D0D0D"/>
          <w:sz w:val="24"/>
          <w:szCs w:val="24"/>
          <w:lang w:val="sq-AL"/>
        </w:rPr>
        <w:t>m</w:t>
      </w:r>
      <w:r w:rsidRPr="00770F9D">
        <w:rPr>
          <w:rFonts w:ascii="Garamond" w:hAnsi="Garamond"/>
          <w:b/>
          <w:bCs/>
          <w:color w:val="0D0D0D"/>
          <w:sz w:val="24"/>
          <w:szCs w:val="24"/>
          <w:lang w:val="sq-AL"/>
        </w:rPr>
        <w:t>ë 2025</w:t>
      </w:r>
      <w:r w:rsidR="00E612D1">
        <w:rPr>
          <w:rFonts w:ascii="Garamond" w:hAnsi="Garamond"/>
          <w:b/>
          <w:bCs/>
          <w:color w:val="0D0D0D"/>
          <w:sz w:val="24"/>
          <w:szCs w:val="24"/>
          <w:lang w:val="sq-AL"/>
        </w:rPr>
        <w:t>-n</w:t>
      </w:r>
    </w:p>
    <w:p w14:paraId="7775E397" w14:textId="766FBDDA" w:rsidR="005674F2" w:rsidRPr="00770F9D" w:rsidRDefault="005674F2" w:rsidP="00E612D1">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a</w:t>
      </w:r>
      <w:r w:rsidR="00E612D1">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Duke përfshirë të gjithë fëmijët e moshës 5</w:t>
      </w:r>
      <w:r w:rsidR="00E612D1">
        <w:rPr>
          <w:rFonts w:ascii="Garamond" w:hAnsi="Garamond"/>
          <w:color w:val="0D0D0D"/>
          <w:sz w:val="24"/>
          <w:szCs w:val="24"/>
          <w:lang w:val="sq-AL"/>
        </w:rPr>
        <w:t>–</w:t>
      </w:r>
      <w:r w:rsidRPr="00770F9D">
        <w:rPr>
          <w:rFonts w:ascii="Garamond" w:hAnsi="Garamond"/>
          <w:color w:val="0D0D0D"/>
          <w:sz w:val="24"/>
          <w:szCs w:val="24"/>
          <w:lang w:val="sq-AL"/>
        </w:rPr>
        <w:t>6 vjeç në grupet e treta në kopshte apo klasa përgatitore.</w:t>
      </w:r>
    </w:p>
    <w:p w14:paraId="00A90CAC" w14:textId="6978E24E" w:rsidR="005674F2" w:rsidRPr="00770F9D" w:rsidRDefault="005674F2" w:rsidP="00E612D1">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b</w:t>
      </w:r>
      <w:r w:rsidR="00E612D1">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Pajisja e shkollave me softuer dhe mjete teknologjike për të ndihmuar fëmijët me aftësi të kufizuara.</w:t>
      </w:r>
    </w:p>
    <w:p w14:paraId="7057DCDA" w14:textId="6E911D82" w:rsidR="005674F2" w:rsidRPr="00770F9D" w:rsidRDefault="005674F2" w:rsidP="00E612D1">
      <w:pPr>
        <w:pStyle w:val="ListParagraph"/>
        <w:ind w:left="0" w:firstLine="284"/>
        <w:jc w:val="both"/>
        <w:rPr>
          <w:rFonts w:ascii="Garamond" w:hAnsi="Garamond"/>
          <w:color w:val="0D0D0D"/>
          <w:sz w:val="24"/>
          <w:szCs w:val="24"/>
          <w:lang w:val="sq-AL"/>
        </w:rPr>
      </w:pPr>
      <w:r w:rsidRPr="00770F9D">
        <w:rPr>
          <w:rFonts w:ascii="Garamond" w:hAnsi="Garamond"/>
          <w:color w:val="0D0D0D"/>
          <w:sz w:val="24"/>
          <w:szCs w:val="24"/>
          <w:lang w:val="sq-AL"/>
        </w:rPr>
        <w:t>c</w:t>
      </w:r>
      <w:r w:rsidR="00E612D1">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olor w:val="0D0D0D"/>
          <w:sz w:val="24"/>
          <w:szCs w:val="24"/>
          <w:lang w:val="sq-AL"/>
        </w:rPr>
        <w:t>Krijimi i sistemit për parandalimin d</w:t>
      </w:r>
      <w:r w:rsidR="00E612D1">
        <w:rPr>
          <w:rFonts w:ascii="Garamond" w:hAnsi="Garamond"/>
          <w:color w:val="0D0D0D"/>
          <w:sz w:val="24"/>
          <w:szCs w:val="24"/>
          <w:lang w:val="sq-AL"/>
        </w:rPr>
        <w:t>he reagimin ndaj mos</w:t>
      </w:r>
      <w:r w:rsidRPr="00770F9D">
        <w:rPr>
          <w:rFonts w:ascii="Garamond" w:hAnsi="Garamond"/>
          <w:color w:val="0D0D0D"/>
          <w:sz w:val="24"/>
          <w:szCs w:val="24"/>
          <w:lang w:val="sq-AL"/>
        </w:rPr>
        <w:t>regjistrimit dhe braktisjes në shkollë të nxënësve në arsimin fillor, të mesëm të ulët dhe të lartë.</w:t>
      </w:r>
    </w:p>
    <w:p w14:paraId="759A4280" w14:textId="6DE6FA3B" w:rsidR="005674F2" w:rsidRPr="00770F9D" w:rsidRDefault="005E279E" w:rsidP="00400806">
      <w:pPr>
        <w:pStyle w:val="Heading6"/>
        <w:numPr>
          <w:ilvl w:val="0"/>
          <w:numId w:val="0"/>
        </w:numPr>
        <w:ind w:firstLine="284"/>
        <w:rPr>
          <w:rFonts w:ascii="Garamond" w:hAnsi="Garamond"/>
          <w:color w:val="0D0D0D"/>
          <w:u w:val="none"/>
        </w:rPr>
      </w:pPr>
      <w:r w:rsidRPr="00770F9D">
        <w:rPr>
          <w:rFonts w:ascii="Garamond" w:hAnsi="Garamond"/>
          <w:color w:val="0D0D0D"/>
          <w:u w:val="none"/>
        </w:rPr>
        <w:t>2.</w:t>
      </w:r>
      <w:r w:rsidR="00BA4F1A" w:rsidRPr="00770F9D">
        <w:rPr>
          <w:rFonts w:ascii="Garamond" w:hAnsi="Garamond"/>
          <w:color w:val="0D0D0D"/>
          <w:u w:val="none"/>
        </w:rPr>
        <w:t xml:space="preserve"> </w:t>
      </w:r>
      <w:r w:rsidR="005674F2" w:rsidRPr="00770F9D">
        <w:rPr>
          <w:rFonts w:ascii="Garamond" w:hAnsi="Garamond"/>
          <w:color w:val="0D0D0D"/>
          <w:u w:val="none"/>
        </w:rPr>
        <w:t>Treguesit e rezultateve</w:t>
      </w:r>
    </w:p>
    <w:tbl>
      <w:tblPr>
        <w:tblW w:w="0" w:type="auto"/>
        <w:jc w:val="center"/>
        <w:tblLook w:val="04A0" w:firstRow="1" w:lastRow="0" w:firstColumn="1" w:lastColumn="0" w:noHBand="0" w:noVBand="1"/>
      </w:tblPr>
      <w:tblGrid>
        <w:gridCol w:w="5688"/>
        <w:gridCol w:w="1057"/>
        <w:gridCol w:w="1440"/>
        <w:gridCol w:w="876"/>
      </w:tblGrid>
      <w:tr w:rsidR="00CE73B9" w:rsidRPr="00770F9D" w14:paraId="47B954C4" w14:textId="77777777" w:rsidTr="00CE73B9">
        <w:trPr>
          <w:trHeight w:val="681"/>
          <w:jc w:val="center"/>
        </w:trPr>
        <w:tc>
          <w:tcPr>
            <w:tcW w:w="56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432EF5" w14:textId="77777777" w:rsidR="004F59F4" w:rsidRPr="00770F9D" w:rsidRDefault="00B2062A" w:rsidP="00CE73B9">
            <w:pPr>
              <w:jc w:val="center"/>
              <w:rPr>
                <w:rFonts w:ascii="Garamond" w:eastAsia="Times New Roman" w:hAnsi="Garamond" w:cstheme="majorBidi"/>
                <w:b/>
                <w:color w:val="0D0D0D" w:themeColor="text1" w:themeTint="F2"/>
                <w:sz w:val="20"/>
                <w:szCs w:val="20"/>
              </w:rPr>
            </w:pPr>
            <w:r w:rsidRPr="00770F9D">
              <w:rPr>
                <w:rFonts w:ascii="Garamond" w:eastAsia="Times New Roman" w:hAnsi="Garamond" w:cstheme="majorBidi"/>
                <w:b/>
                <w:color w:val="0D0D0D" w:themeColor="text1" w:themeTint="F2"/>
                <w:sz w:val="20"/>
                <w:szCs w:val="20"/>
              </w:rPr>
              <w:t>Tregues</w:t>
            </w:r>
          </w:p>
        </w:tc>
        <w:tc>
          <w:tcPr>
            <w:tcW w:w="1057" w:type="dxa"/>
            <w:tcBorders>
              <w:top w:val="single" w:sz="4" w:space="0" w:color="auto"/>
              <w:left w:val="nil"/>
              <w:bottom w:val="single" w:sz="4" w:space="0" w:color="auto"/>
              <w:right w:val="single" w:sz="4" w:space="0" w:color="auto"/>
            </w:tcBorders>
            <w:shd w:val="clear" w:color="auto" w:fill="auto"/>
            <w:vAlign w:val="center"/>
            <w:hideMark/>
          </w:tcPr>
          <w:p w14:paraId="596D1A1C" w14:textId="77777777" w:rsidR="004F59F4" w:rsidRPr="00770F9D" w:rsidRDefault="00B2062A" w:rsidP="00CE73B9">
            <w:pPr>
              <w:jc w:val="center"/>
              <w:rPr>
                <w:rFonts w:ascii="Garamond" w:eastAsia="Times New Roman" w:hAnsi="Garamond" w:cstheme="majorBidi"/>
                <w:b/>
                <w:color w:val="0D0D0D" w:themeColor="text1" w:themeTint="F2"/>
                <w:sz w:val="20"/>
                <w:szCs w:val="20"/>
              </w:rPr>
            </w:pPr>
            <w:r w:rsidRPr="00770F9D">
              <w:rPr>
                <w:rFonts w:ascii="Garamond" w:hAnsi="Garamond" w:cstheme="majorBidi"/>
                <w:b/>
                <w:color w:val="0D0D0D" w:themeColor="text1" w:themeTint="F2"/>
                <w:sz w:val="20"/>
                <w:szCs w:val="20"/>
              </w:rPr>
              <w:t>Bazë</w:t>
            </w:r>
            <w:r w:rsidR="004F59F4" w:rsidRPr="00770F9D">
              <w:rPr>
                <w:rFonts w:ascii="Garamond" w:hAnsi="Garamond" w:cstheme="majorBidi"/>
                <w:b/>
                <w:color w:val="0D0D0D" w:themeColor="text1" w:themeTint="F2"/>
                <w:sz w:val="20"/>
                <w:szCs w:val="20"/>
              </w:rPr>
              <w:t xml:space="preserve"> (202</w:t>
            </w:r>
            <w:r w:rsidR="00E825A5" w:rsidRPr="00770F9D">
              <w:rPr>
                <w:rFonts w:ascii="Garamond" w:hAnsi="Garamond" w:cstheme="majorBidi"/>
                <w:b/>
                <w:color w:val="0D0D0D" w:themeColor="text1" w:themeTint="F2"/>
                <w:sz w:val="20"/>
                <w:szCs w:val="20"/>
              </w:rPr>
              <w:t>2</w:t>
            </w:r>
            <w:r w:rsidR="004F59F4" w:rsidRPr="00770F9D">
              <w:rPr>
                <w:rFonts w:ascii="Garamond" w:hAnsi="Garamond" w:cstheme="majorBidi"/>
                <w:b/>
                <w:color w:val="0D0D0D" w:themeColor="text1" w:themeTint="F2"/>
                <w:sz w:val="20"/>
                <w:szCs w:val="20"/>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498F8B59" w14:textId="77777777" w:rsidR="004F59F4" w:rsidRPr="00770F9D" w:rsidRDefault="00B2062A" w:rsidP="00CE73B9">
            <w:pPr>
              <w:jc w:val="center"/>
              <w:rPr>
                <w:rFonts w:ascii="Garamond" w:eastAsia="Times New Roman" w:hAnsi="Garamond" w:cstheme="majorBidi"/>
                <w:b/>
                <w:color w:val="0D0D0D" w:themeColor="text1" w:themeTint="F2"/>
                <w:sz w:val="20"/>
                <w:szCs w:val="20"/>
              </w:rPr>
            </w:pPr>
            <w:r w:rsidRPr="00770F9D">
              <w:rPr>
                <w:rFonts w:ascii="Garamond" w:hAnsi="Garamond" w:cstheme="majorBidi"/>
                <w:b/>
                <w:color w:val="0D0D0D" w:themeColor="text1" w:themeTint="F2"/>
                <w:sz w:val="20"/>
                <w:szCs w:val="20"/>
              </w:rPr>
              <w:t>I ndërmjetëm</w:t>
            </w:r>
            <w:r w:rsidR="004F59F4" w:rsidRPr="00770F9D">
              <w:rPr>
                <w:rFonts w:ascii="Garamond" w:hAnsi="Garamond" w:cstheme="majorBidi"/>
                <w:b/>
                <w:color w:val="0D0D0D" w:themeColor="text1" w:themeTint="F2"/>
                <w:sz w:val="20"/>
                <w:szCs w:val="20"/>
              </w:rPr>
              <w:t xml:space="preserve"> (</w:t>
            </w:r>
            <w:r w:rsidR="00DB3786" w:rsidRPr="00770F9D">
              <w:rPr>
                <w:rFonts w:ascii="Garamond" w:hAnsi="Garamond" w:cstheme="majorBidi"/>
                <w:b/>
                <w:color w:val="0D0D0D" w:themeColor="text1" w:themeTint="F2"/>
                <w:sz w:val="20"/>
                <w:szCs w:val="20"/>
              </w:rPr>
              <w:t>2023</w:t>
            </w:r>
            <w:r w:rsidR="004F59F4" w:rsidRPr="00770F9D">
              <w:rPr>
                <w:rFonts w:ascii="Garamond" w:hAnsi="Garamond" w:cstheme="majorBidi"/>
                <w:b/>
                <w:color w:val="0D0D0D" w:themeColor="text1" w:themeTint="F2"/>
                <w:sz w:val="20"/>
                <w:szCs w:val="20"/>
              </w:rPr>
              <w:t>)</w:t>
            </w:r>
          </w:p>
        </w:tc>
        <w:tc>
          <w:tcPr>
            <w:tcW w:w="876" w:type="dxa"/>
            <w:tcBorders>
              <w:top w:val="single" w:sz="4" w:space="0" w:color="auto"/>
              <w:left w:val="nil"/>
              <w:bottom w:val="single" w:sz="4" w:space="0" w:color="auto"/>
              <w:right w:val="single" w:sz="4" w:space="0" w:color="auto"/>
            </w:tcBorders>
            <w:shd w:val="clear" w:color="auto" w:fill="auto"/>
            <w:vAlign w:val="center"/>
            <w:hideMark/>
          </w:tcPr>
          <w:p w14:paraId="22E1B3BE" w14:textId="30B9AAFD" w:rsidR="004F59F4" w:rsidRPr="00770F9D" w:rsidRDefault="00DB3786" w:rsidP="00CE73B9">
            <w:pPr>
              <w:jc w:val="center"/>
              <w:rPr>
                <w:rFonts w:ascii="Garamond" w:eastAsia="Times New Roman" w:hAnsi="Garamond" w:cstheme="majorBidi"/>
                <w:b/>
                <w:color w:val="0D0D0D" w:themeColor="text1" w:themeTint="F2"/>
                <w:sz w:val="20"/>
                <w:szCs w:val="20"/>
              </w:rPr>
            </w:pPr>
            <w:r w:rsidRPr="00770F9D">
              <w:rPr>
                <w:rFonts w:ascii="Garamond" w:hAnsi="Garamond" w:cstheme="majorBidi"/>
                <w:b/>
                <w:color w:val="0D0D0D" w:themeColor="text1" w:themeTint="F2"/>
                <w:sz w:val="20"/>
                <w:szCs w:val="20"/>
              </w:rPr>
              <w:t>Final</w:t>
            </w:r>
            <w:r w:rsidR="004F59F4" w:rsidRPr="00770F9D">
              <w:rPr>
                <w:rFonts w:ascii="Garamond" w:hAnsi="Garamond" w:cstheme="majorBidi"/>
                <w:b/>
                <w:color w:val="0D0D0D" w:themeColor="text1" w:themeTint="F2"/>
                <w:sz w:val="20"/>
                <w:szCs w:val="20"/>
              </w:rPr>
              <w:t xml:space="preserve"> (</w:t>
            </w:r>
            <w:r w:rsidRPr="00770F9D">
              <w:rPr>
                <w:rFonts w:ascii="Garamond" w:hAnsi="Garamond" w:cstheme="majorBidi"/>
                <w:b/>
                <w:color w:val="0D0D0D" w:themeColor="text1" w:themeTint="F2"/>
                <w:sz w:val="20"/>
                <w:szCs w:val="20"/>
              </w:rPr>
              <w:t>2025</w:t>
            </w:r>
            <w:r w:rsidR="00CE73B9" w:rsidRPr="00770F9D">
              <w:rPr>
                <w:rFonts w:ascii="Garamond" w:hAnsi="Garamond" w:cstheme="majorBidi"/>
                <w:b/>
                <w:color w:val="0D0D0D" w:themeColor="text1" w:themeTint="F2"/>
                <w:sz w:val="20"/>
                <w:szCs w:val="20"/>
              </w:rPr>
              <w:t>)</w:t>
            </w:r>
          </w:p>
        </w:tc>
      </w:tr>
      <w:tr w:rsidR="00CE73B9" w:rsidRPr="00770F9D" w14:paraId="57FEACF7" w14:textId="77777777" w:rsidTr="00CE73B9">
        <w:trPr>
          <w:trHeight w:val="281"/>
          <w:jc w:val="center"/>
        </w:trPr>
        <w:tc>
          <w:tcPr>
            <w:tcW w:w="5688" w:type="dxa"/>
            <w:tcBorders>
              <w:top w:val="single" w:sz="4" w:space="0" w:color="auto"/>
              <w:left w:val="single" w:sz="4" w:space="0" w:color="auto"/>
              <w:bottom w:val="single" w:sz="4" w:space="0" w:color="auto"/>
              <w:right w:val="single" w:sz="4" w:space="0" w:color="auto"/>
            </w:tcBorders>
            <w:shd w:val="clear" w:color="auto" w:fill="auto"/>
            <w:noWrap/>
          </w:tcPr>
          <w:p w14:paraId="2BF5CDC1" w14:textId="3F9C6E29" w:rsidR="003A5B7E" w:rsidRPr="00770F9D" w:rsidRDefault="003A5B7E" w:rsidP="00850995">
            <w:pPr>
              <w:rPr>
                <w:rFonts w:ascii="Garamond" w:eastAsia="Times New Roman" w:hAnsi="Garamond" w:cstheme="majorBidi"/>
                <w:bCs/>
                <w:color w:val="0D0D0D" w:themeColor="text1" w:themeTint="F2"/>
                <w:sz w:val="20"/>
                <w:szCs w:val="20"/>
              </w:rPr>
            </w:pPr>
            <w:r w:rsidRPr="00770F9D">
              <w:rPr>
                <w:rFonts w:ascii="Garamond" w:eastAsia="Times New Roman" w:hAnsi="Garamond" w:cstheme="majorBidi"/>
                <w:bCs/>
                <w:color w:val="0D0D0D" w:themeColor="text1" w:themeTint="F2"/>
                <w:sz w:val="20"/>
                <w:szCs w:val="20"/>
              </w:rPr>
              <w:t>Nr</w:t>
            </w:r>
            <w:r w:rsidR="00850995">
              <w:rPr>
                <w:rFonts w:ascii="Garamond" w:eastAsia="Times New Roman" w:hAnsi="Garamond" w:cstheme="majorBidi"/>
                <w:bCs/>
                <w:color w:val="0D0D0D" w:themeColor="text1" w:themeTint="F2"/>
                <w:sz w:val="20"/>
                <w:szCs w:val="20"/>
              </w:rPr>
              <w:t xml:space="preserve">. i </w:t>
            </w:r>
            <w:r w:rsidRPr="00770F9D">
              <w:rPr>
                <w:rFonts w:ascii="Garamond" w:eastAsia="Times New Roman" w:hAnsi="Garamond" w:cstheme="majorBidi"/>
                <w:bCs/>
                <w:color w:val="0D0D0D" w:themeColor="text1" w:themeTint="F2"/>
                <w:sz w:val="20"/>
                <w:szCs w:val="20"/>
              </w:rPr>
              <w:t>shkollave speciale që funksionojnë si qendra burimore</w:t>
            </w:r>
          </w:p>
        </w:tc>
        <w:tc>
          <w:tcPr>
            <w:tcW w:w="1057" w:type="dxa"/>
            <w:tcBorders>
              <w:top w:val="single" w:sz="4" w:space="0" w:color="auto"/>
              <w:left w:val="nil"/>
              <w:bottom w:val="single" w:sz="4" w:space="0" w:color="auto"/>
              <w:right w:val="single" w:sz="4" w:space="0" w:color="auto"/>
            </w:tcBorders>
            <w:shd w:val="clear" w:color="auto" w:fill="auto"/>
            <w:noWrap/>
          </w:tcPr>
          <w:p w14:paraId="0FE323D5" w14:textId="77777777" w:rsidR="003A5B7E" w:rsidRPr="00770F9D" w:rsidRDefault="003A5B7E" w:rsidP="00CE73B9">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0</w:t>
            </w:r>
          </w:p>
        </w:tc>
        <w:tc>
          <w:tcPr>
            <w:tcW w:w="1440" w:type="dxa"/>
            <w:tcBorders>
              <w:top w:val="single" w:sz="4" w:space="0" w:color="auto"/>
              <w:left w:val="nil"/>
              <w:bottom w:val="single" w:sz="4" w:space="0" w:color="auto"/>
              <w:right w:val="single" w:sz="4" w:space="0" w:color="auto"/>
            </w:tcBorders>
            <w:shd w:val="clear" w:color="auto" w:fill="auto"/>
            <w:noWrap/>
          </w:tcPr>
          <w:p w14:paraId="17E25722" w14:textId="77777777" w:rsidR="003A5B7E" w:rsidRPr="00770F9D" w:rsidRDefault="003A5B7E" w:rsidP="00CE73B9">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w:t>
            </w:r>
          </w:p>
        </w:tc>
        <w:tc>
          <w:tcPr>
            <w:tcW w:w="876" w:type="dxa"/>
            <w:tcBorders>
              <w:top w:val="single" w:sz="4" w:space="0" w:color="auto"/>
              <w:left w:val="nil"/>
              <w:bottom w:val="single" w:sz="4" w:space="0" w:color="auto"/>
              <w:right w:val="single" w:sz="4" w:space="0" w:color="auto"/>
            </w:tcBorders>
            <w:shd w:val="clear" w:color="auto" w:fill="auto"/>
            <w:noWrap/>
          </w:tcPr>
          <w:p w14:paraId="61356208" w14:textId="77777777" w:rsidR="003A5B7E" w:rsidRPr="00770F9D" w:rsidRDefault="003A5B7E" w:rsidP="00CE73B9">
            <w:pPr>
              <w:jc w:val="right"/>
              <w:rPr>
                <w:rFonts w:ascii="Garamond" w:eastAsia="Times New Roman" w:hAnsi="Garamond" w:cstheme="majorBidi"/>
                <w:bCs/>
                <w:color w:val="0D0D0D" w:themeColor="text1" w:themeTint="F2"/>
                <w:sz w:val="20"/>
                <w:szCs w:val="20"/>
              </w:rPr>
            </w:pPr>
            <w:r w:rsidRPr="00770F9D">
              <w:rPr>
                <w:rFonts w:ascii="Garamond" w:hAnsi="Garamond" w:cstheme="majorBidi"/>
                <w:color w:val="0D0D0D" w:themeColor="text1" w:themeTint="F2"/>
                <w:sz w:val="20"/>
                <w:szCs w:val="20"/>
              </w:rPr>
              <w:t>9</w:t>
            </w:r>
          </w:p>
        </w:tc>
      </w:tr>
      <w:tr w:rsidR="00CE73B9" w:rsidRPr="00770F9D" w14:paraId="248A4937" w14:textId="77777777" w:rsidTr="00CE73B9">
        <w:trPr>
          <w:trHeight w:val="281"/>
          <w:jc w:val="center"/>
        </w:trPr>
        <w:tc>
          <w:tcPr>
            <w:tcW w:w="5688" w:type="dxa"/>
            <w:tcBorders>
              <w:top w:val="single" w:sz="4" w:space="0" w:color="auto"/>
              <w:left w:val="single" w:sz="4" w:space="0" w:color="auto"/>
              <w:bottom w:val="single" w:sz="4" w:space="0" w:color="auto"/>
              <w:right w:val="single" w:sz="4" w:space="0" w:color="auto"/>
            </w:tcBorders>
            <w:shd w:val="clear" w:color="auto" w:fill="auto"/>
            <w:noWrap/>
          </w:tcPr>
          <w:p w14:paraId="603E5453" w14:textId="77777777" w:rsidR="003A5B7E" w:rsidRPr="00770F9D" w:rsidRDefault="003A5B7E" w:rsidP="005E279E">
            <w:pPr>
              <w:rPr>
                <w:rFonts w:ascii="Garamond" w:eastAsia="Times New Roman" w:hAnsi="Garamond" w:cstheme="majorBidi"/>
                <w:bCs/>
                <w:color w:val="0D0D0D" w:themeColor="text1" w:themeTint="F2"/>
                <w:sz w:val="20"/>
                <w:szCs w:val="20"/>
              </w:rPr>
            </w:pPr>
            <w:r w:rsidRPr="00770F9D">
              <w:rPr>
                <w:rFonts w:ascii="Garamond" w:eastAsia="Times New Roman" w:hAnsi="Garamond" w:cstheme="majorBidi"/>
                <w:bCs/>
                <w:color w:val="0D0D0D" w:themeColor="text1" w:themeTint="F2"/>
                <w:sz w:val="20"/>
                <w:szCs w:val="20"/>
              </w:rPr>
              <w:t>Numri i mësuesve ndihmës që punojnë me nxënësit me aftësi të kufizuara, përfshirë nxënësit me dëmtim të dëgjimit dhe shikimit</w:t>
            </w:r>
          </w:p>
        </w:tc>
        <w:tc>
          <w:tcPr>
            <w:tcW w:w="1057" w:type="dxa"/>
            <w:tcBorders>
              <w:top w:val="single" w:sz="4" w:space="0" w:color="auto"/>
              <w:left w:val="nil"/>
              <w:bottom w:val="single" w:sz="4" w:space="0" w:color="auto"/>
              <w:right w:val="single" w:sz="4" w:space="0" w:color="auto"/>
            </w:tcBorders>
            <w:shd w:val="clear" w:color="auto" w:fill="auto"/>
            <w:noWrap/>
          </w:tcPr>
          <w:p w14:paraId="5235D0C3" w14:textId="77777777" w:rsidR="003A5B7E" w:rsidRPr="00770F9D" w:rsidRDefault="003A5B7E" w:rsidP="00CE73B9">
            <w:pPr>
              <w:jc w:val="right"/>
              <w:rPr>
                <w:rFonts w:ascii="Garamond" w:hAnsi="Garamond" w:cstheme="majorBidi"/>
                <w:color w:val="0D0D0D" w:themeColor="text1" w:themeTint="F2"/>
                <w:sz w:val="20"/>
                <w:szCs w:val="20"/>
              </w:rPr>
            </w:pPr>
            <w:r w:rsidRPr="00770F9D">
              <w:rPr>
                <w:rFonts w:ascii="Garamond" w:eastAsia="Arial Narrow" w:hAnsi="Garamond" w:cstheme="majorBidi"/>
                <w:color w:val="0D0D0D" w:themeColor="text1" w:themeTint="F2"/>
                <w:sz w:val="20"/>
                <w:szCs w:val="20"/>
              </w:rPr>
              <w:t>1515</w:t>
            </w:r>
          </w:p>
        </w:tc>
        <w:tc>
          <w:tcPr>
            <w:tcW w:w="1440" w:type="dxa"/>
            <w:tcBorders>
              <w:top w:val="single" w:sz="4" w:space="0" w:color="auto"/>
              <w:left w:val="nil"/>
              <w:bottom w:val="single" w:sz="4" w:space="0" w:color="auto"/>
              <w:right w:val="single" w:sz="4" w:space="0" w:color="auto"/>
            </w:tcBorders>
            <w:shd w:val="clear" w:color="auto" w:fill="auto"/>
            <w:noWrap/>
          </w:tcPr>
          <w:p w14:paraId="7596B628" w14:textId="77777777" w:rsidR="003A5B7E" w:rsidRPr="00770F9D" w:rsidRDefault="003A5B7E" w:rsidP="00CE73B9">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1765</w:t>
            </w:r>
          </w:p>
        </w:tc>
        <w:tc>
          <w:tcPr>
            <w:tcW w:w="876" w:type="dxa"/>
            <w:tcBorders>
              <w:top w:val="single" w:sz="4" w:space="0" w:color="auto"/>
              <w:left w:val="nil"/>
              <w:bottom w:val="single" w:sz="4" w:space="0" w:color="auto"/>
              <w:right w:val="single" w:sz="4" w:space="0" w:color="auto"/>
            </w:tcBorders>
            <w:shd w:val="clear" w:color="auto" w:fill="auto"/>
            <w:noWrap/>
          </w:tcPr>
          <w:p w14:paraId="31D71D42" w14:textId="77777777" w:rsidR="003A5B7E" w:rsidRPr="00770F9D" w:rsidRDefault="003A5B7E" w:rsidP="00CE73B9">
            <w:pPr>
              <w:jc w:val="right"/>
              <w:rPr>
                <w:rFonts w:ascii="Garamond" w:eastAsia="Times New Roman" w:hAnsi="Garamond" w:cstheme="majorBidi"/>
                <w:bCs/>
                <w:color w:val="0D0D0D" w:themeColor="text1" w:themeTint="F2"/>
                <w:sz w:val="20"/>
                <w:szCs w:val="20"/>
              </w:rPr>
            </w:pPr>
            <w:r w:rsidRPr="00770F9D">
              <w:rPr>
                <w:rFonts w:ascii="Garamond" w:hAnsi="Garamond" w:cstheme="majorBidi"/>
                <w:color w:val="0D0D0D" w:themeColor="text1" w:themeTint="F2"/>
                <w:sz w:val="20"/>
                <w:szCs w:val="20"/>
              </w:rPr>
              <w:t>1800</w:t>
            </w:r>
          </w:p>
        </w:tc>
      </w:tr>
      <w:tr w:rsidR="00CE73B9" w:rsidRPr="00770F9D" w14:paraId="7D375D7F" w14:textId="77777777" w:rsidTr="00CE73B9">
        <w:trPr>
          <w:trHeight w:val="281"/>
          <w:jc w:val="center"/>
        </w:trPr>
        <w:tc>
          <w:tcPr>
            <w:tcW w:w="5688" w:type="dxa"/>
            <w:tcBorders>
              <w:top w:val="single" w:sz="4" w:space="0" w:color="auto"/>
              <w:left w:val="single" w:sz="4" w:space="0" w:color="auto"/>
              <w:bottom w:val="single" w:sz="4" w:space="0" w:color="auto"/>
              <w:right w:val="single" w:sz="4" w:space="0" w:color="auto"/>
            </w:tcBorders>
            <w:shd w:val="clear" w:color="auto" w:fill="auto"/>
            <w:noWrap/>
          </w:tcPr>
          <w:p w14:paraId="68278D75" w14:textId="7618AFBD" w:rsidR="003A5B7E" w:rsidRPr="00770F9D" w:rsidRDefault="003A5B7E" w:rsidP="005E279E">
            <w:pPr>
              <w:rPr>
                <w:rFonts w:ascii="Garamond" w:eastAsia="Times New Roman" w:hAnsi="Garamond" w:cstheme="majorBidi"/>
                <w:bCs/>
                <w:color w:val="0D0D0D" w:themeColor="text1" w:themeTint="F2"/>
                <w:sz w:val="20"/>
                <w:szCs w:val="20"/>
              </w:rPr>
            </w:pPr>
            <w:r w:rsidRPr="00770F9D">
              <w:rPr>
                <w:rStyle w:val="y2iqfc"/>
                <w:rFonts w:ascii="Garamond" w:hAnsi="Garamond" w:cstheme="majorBidi"/>
                <w:color w:val="0D0D0D" w:themeColor="text1" w:themeTint="F2"/>
                <w:sz w:val="20"/>
                <w:szCs w:val="20"/>
              </w:rPr>
              <w:t xml:space="preserve">Numri </w:t>
            </w:r>
            <w:r w:rsidR="0018449D">
              <w:rPr>
                <w:rStyle w:val="y2iqfc"/>
                <w:rFonts w:ascii="Garamond" w:hAnsi="Garamond" w:cstheme="majorBidi"/>
                <w:color w:val="0D0D0D" w:themeColor="text1" w:themeTint="F2"/>
                <w:sz w:val="20"/>
                <w:szCs w:val="20"/>
              </w:rPr>
              <w:t>i personelit në shërbimin psiko</w:t>
            </w:r>
            <w:r w:rsidRPr="00770F9D">
              <w:rPr>
                <w:rStyle w:val="y2iqfc"/>
                <w:rFonts w:ascii="Garamond" w:hAnsi="Garamond" w:cstheme="majorBidi"/>
                <w:color w:val="0D0D0D" w:themeColor="text1" w:themeTint="F2"/>
                <w:sz w:val="20"/>
                <w:szCs w:val="20"/>
              </w:rPr>
              <w:t>social në shkolla</w:t>
            </w:r>
          </w:p>
        </w:tc>
        <w:tc>
          <w:tcPr>
            <w:tcW w:w="1057" w:type="dxa"/>
            <w:tcBorders>
              <w:top w:val="single" w:sz="4" w:space="0" w:color="auto"/>
              <w:left w:val="nil"/>
              <w:bottom w:val="single" w:sz="4" w:space="0" w:color="auto"/>
              <w:right w:val="single" w:sz="4" w:space="0" w:color="auto"/>
            </w:tcBorders>
            <w:shd w:val="clear" w:color="auto" w:fill="auto"/>
            <w:noWrap/>
            <w:vAlign w:val="center"/>
          </w:tcPr>
          <w:p w14:paraId="506AB079" w14:textId="77777777" w:rsidR="003A5B7E" w:rsidRPr="00770F9D" w:rsidRDefault="003A5B7E" w:rsidP="00CE73B9">
            <w:pPr>
              <w:jc w:val="right"/>
              <w:rPr>
                <w:rFonts w:ascii="Garamond" w:hAnsi="Garamond" w:cstheme="majorBidi"/>
                <w:color w:val="0D0D0D" w:themeColor="text1" w:themeTint="F2"/>
                <w:sz w:val="20"/>
                <w:szCs w:val="20"/>
              </w:rPr>
            </w:pPr>
            <w:r w:rsidRPr="00770F9D">
              <w:rPr>
                <w:rFonts w:ascii="Garamond" w:eastAsia="Arial Narrow" w:hAnsi="Garamond" w:cstheme="majorBidi"/>
                <w:color w:val="0D0D0D" w:themeColor="text1" w:themeTint="F2"/>
                <w:sz w:val="20"/>
                <w:szCs w:val="20"/>
              </w:rPr>
              <w:t>628</w:t>
            </w:r>
          </w:p>
        </w:tc>
        <w:tc>
          <w:tcPr>
            <w:tcW w:w="1440" w:type="dxa"/>
            <w:tcBorders>
              <w:top w:val="single" w:sz="4" w:space="0" w:color="auto"/>
              <w:left w:val="nil"/>
              <w:bottom w:val="single" w:sz="4" w:space="0" w:color="auto"/>
              <w:right w:val="single" w:sz="4" w:space="0" w:color="auto"/>
            </w:tcBorders>
            <w:shd w:val="clear" w:color="auto" w:fill="auto"/>
            <w:noWrap/>
          </w:tcPr>
          <w:p w14:paraId="2800EC2C" w14:textId="77777777" w:rsidR="003A5B7E" w:rsidRPr="00770F9D" w:rsidRDefault="003A5B7E" w:rsidP="00CE73B9">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700</w:t>
            </w:r>
          </w:p>
        </w:tc>
        <w:tc>
          <w:tcPr>
            <w:tcW w:w="876" w:type="dxa"/>
            <w:tcBorders>
              <w:top w:val="single" w:sz="4" w:space="0" w:color="auto"/>
              <w:left w:val="nil"/>
              <w:bottom w:val="single" w:sz="4" w:space="0" w:color="auto"/>
              <w:right w:val="single" w:sz="4" w:space="0" w:color="auto"/>
            </w:tcBorders>
            <w:shd w:val="clear" w:color="auto" w:fill="auto"/>
            <w:noWrap/>
          </w:tcPr>
          <w:p w14:paraId="46712222" w14:textId="77777777" w:rsidR="003A5B7E" w:rsidRPr="00770F9D" w:rsidRDefault="003A5B7E" w:rsidP="00CE73B9">
            <w:pPr>
              <w:jc w:val="right"/>
              <w:rPr>
                <w:rFonts w:ascii="Garamond" w:eastAsia="Times New Roman" w:hAnsi="Garamond" w:cstheme="majorBidi"/>
                <w:bCs/>
                <w:color w:val="0D0D0D" w:themeColor="text1" w:themeTint="F2"/>
                <w:sz w:val="20"/>
                <w:szCs w:val="20"/>
              </w:rPr>
            </w:pPr>
            <w:r w:rsidRPr="00770F9D">
              <w:rPr>
                <w:rFonts w:ascii="Garamond" w:hAnsi="Garamond" w:cstheme="majorBidi"/>
                <w:color w:val="0D0D0D" w:themeColor="text1" w:themeTint="F2"/>
                <w:sz w:val="20"/>
                <w:szCs w:val="20"/>
              </w:rPr>
              <w:t>700</w:t>
            </w:r>
          </w:p>
        </w:tc>
      </w:tr>
      <w:tr w:rsidR="00CE73B9" w:rsidRPr="00770F9D" w14:paraId="776229F5" w14:textId="77777777" w:rsidTr="00CE73B9">
        <w:trPr>
          <w:trHeight w:val="281"/>
          <w:jc w:val="center"/>
        </w:trPr>
        <w:tc>
          <w:tcPr>
            <w:tcW w:w="5688" w:type="dxa"/>
            <w:tcBorders>
              <w:top w:val="single" w:sz="4" w:space="0" w:color="auto"/>
              <w:left w:val="single" w:sz="4" w:space="0" w:color="auto"/>
              <w:bottom w:val="single" w:sz="4" w:space="0" w:color="auto"/>
              <w:right w:val="single" w:sz="4" w:space="0" w:color="auto"/>
            </w:tcBorders>
            <w:shd w:val="clear" w:color="auto" w:fill="auto"/>
            <w:noWrap/>
          </w:tcPr>
          <w:p w14:paraId="500AC799" w14:textId="77777777" w:rsidR="003A5B7E" w:rsidRPr="00770F9D" w:rsidRDefault="003A5B7E" w:rsidP="005E279E">
            <w:pPr>
              <w:rPr>
                <w:rFonts w:ascii="Garamond" w:eastAsia="Times New Roman" w:hAnsi="Garamond" w:cstheme="majorBidi"/>
                <w:bCs/>
                <w:color w:val="0D0D0D" w:themeColor="text1" w:themeTint="F2"/>
                <w:sz w:val="20"/>
                <w:szCs w:val="20"/>
              </w:rPr>
            </w:pPr>
            <w:r w:rsidRPr="00770F9D">
              <w:rPr>
                <w:rStyle w:val="y2iqfc"/>
                <w:rFonts w:ascii="Garamond" w:hAnsi="Garamond" w:cstheme="majorBidi"/>
                <w:color w:val="0D0D0D" w:themeColor="text1" w:themeTint="F2"/>
                <w:sz w:val="20"/>
                <w:szCs w:val="20"/>
              </w:rPr>
              <w:t>Numri i fëmijëve në klasa kolektive të transferuar në shkolla më cilësore aty pranë</w:t>
            </w:r>
          </w:p>
        </w:tc>
        <w:tc>
          <w:tcPr>
            <w:tcW w:w="1057" w:type="dxa"/>
            <w:tcBorders>
              <w:top w:val="single" w:sz="4" w:space="0" w:color="auto"/>
              <w:left w:val="nil"/>
              <w:bottom w:val="single" w:sz="4" w:space="0" w:color="auto"/>
              <w:right w:val="single" w:sz="4" w:space="0" w:color="auto"/>
            </w:tcBorders>
            <w:shd w:val="clear" w:color="auto" w:fill="auto"/>
            <w:noWrap/>
          </w:tcPr>
          <w:p w14:paraId="4898192A" w14:textId="77777777" w:rsidR="003A5B7E" w:rsidRPr="00770F9D" w:rsidRDefault="003A5B7E" w:rsidP="00CE73B9">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2829</w:t>
            </w:r>
          </w:p>
        </w:tc>
        <w:tc>
          <w:tcPr>
            <w:tcW w:w="1440" w:type="dxa"/>
            <w:tcBorders>
              <w:top w:val="single" w:sz="4" w:space="0" w:color="auto"/>
              <w:left w:val="nil"/>
              <w:bottom w:val="single" w:sz="4" w:space="0" w:color="auto"/>
              <w:right w:val="single" w:sz="4" w:space="0" w:color="auto"/>
            </w:tcBorders>
            <w:shd w:val="clear" w:color="auto" w:fill="auto"/>
            <w:noWrap/>
          </w:tcPr>
          <w:p w14:paraId="0E0A3F45" w14:textId="77777777" w:rsidR="003A5B7E" w:rsidRPr="00770F9D" w:rsidRDefault="003A5B7E" w:rsidP="00CE73B9">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3070</w:t>
            </w:r>
          </w:p>
        </w:tc>
        <w:tc>
          <w:tcPr>
            <w:tcW w:w="876" w:type="dxa"/>
            <w:tcBorders>
              <w:top w:val="single" w:sz="4" w:space="0" w:color="auto"/>
              <w:left w:val="nil"/>
              <w:bottom w:val="single" w:sz="4" w:space="0" w:color="auto"/>
              <w:right w:val="single" w:sz="4" w:space="0" w:color="auto"/>
            </w:tcBorders>
            <w:shd w:val="clear" w:color="auto" w:fill="auto"/>
            <w:noWrap/>
          </w:tcPr>
          <w:p w14:paraId="3A29F9D5" w14:textId="77777777" w:rsidR="003A5B7E" w:rsidRPr="00770F9D" w:rsidRDefault="003A5B7E" w:rsidP="00CE73B9">
            <w:pPr>
              <w:jc w:val="right"/>
              <w:rPr>
                <w:rFonts w:ascii="Garamond" w:eastAsia="Times New Roman" w:hAnsi="Garamond" w:cstheme="majorBidi"/>
                <w:bCs/>
                <w:color w:val="0D0D0D" w:themeColor="text1" w:themeTint="F2"/>
                <w:sz w:val="20"/>
                <w:szCs w:val="20"/>
              </w:rPr>
            </w:pPr>
            <w:r w:rsidRPr="00770F9D">
              <w:rPr>
                <w:rFonts w:ascii="Garamond" w:hAnsi="Garamond" w:cstheme="majorBidi"/>
                <w:color w:val="0D0D0D" w:themeColor="text1" w:themeTint="F2"/>
                <w:sz w:val="20"/>
                <w:szCs w:val="20"/>
              </w:rPr>
              <w:t>3570</w:t>
            </w:r>
          </w:p>
        </w:tc>
      </w:tr>
      <w:tr w:rsidR="00CE73B9" w:rsidRPr="00770F9D" w14:paraId="74BA945A" w14:textId="77777777" w:rsidTr="00CE73B9">
        <w:trPr>
          <w:trHeight w:val="281"/>
          <w:jc w:val="center"/>
        </w:trPr>
        <w:tc>
          <w:tcPr>
            <w:tcW w:w="5688" w:type="dxa"/>
            <w:tcBorders>
              <w:top w:val="single" w:sz="4" w:space="0" w:color="auto"/>
              <w:left w:val="single" w:sz="4" w:space="0" w:color="auto"/>
              <w:bottom w:val="single" w:sz="4" w:space="0" w:color="auto"/>
              <w:right w:val="single" w:sz="4" w:space="0" w:color="auto"/>
            </w:tcBorders>
            <w:shd w:val="clear" w:color="auto" w:fill="auto"/>
            <w:noWrap/>
          </w:tcPr>
          <w:p w14:paraId="0BF08415" w14:textId="1C44FFD0" w:rsidR="003A5B7E" w:rsidRPr="00770F9D" w:rsidRDefault="003A5B7E" w:rsidP="005E279E">
            <w:pPr>
              <w:rPr>
                <w:rFonts w:ascii="Garamond" w:eastAsia="Times New Roman" w:hAnsi="Garamond" w:cstheme="majorBidi"/>
                <w:bCs/>
                <w:color w:val="0D0D0D" w:themeColor="text1" w:themeTint="F2"/>
                <w:sz w:val="20"/>
                <w:szCs w:val="20"/>
              </w:rPr>
            </w:pPr>
            <w:r w:rsidRPr="00770F9D">
              <w:rPr>
                <w:rFonts w:ascii="Garamond" w:eastAsia="Times New Roman" w:hAnsi="Garamond" w:cstheme="majorBidi"/>
                <w:bCs/>
                <w:color w:val="0D0D0D" w:themeColor="text1" w:themeTint="F2"/>
                <w:sz w:val="20"/>
                <w:szCs w:val="20"/>
              </w:rPr>
              <w:t>% e fëmijëve 5</w:t>
            </w:r>
            <w:r w:rsidR="0018449D">
              <w:rPr>
                <w:rFonts w:ascii="Garamond" w:hAnsi="Garamond"/>
                <w:color w:val="0D0D0D"/>
              </w:rPr>
              <w:t>–</w:t>
            </w:r>
            <w:r w:rsidRPr="00770F9D">
              <w:rPr>
                <w:rFonts w:ascii="Garamond" w:eastAsia="Times New Roman" w:hAnsi="Garamond" w:cstheme="majorBidi"/>
                <w:bCs/>
                <w:color w:val="0D0D0D" w:themeColor="text1" w:themeTint="F2"/>
                <w:sz w:val="20"/>
                <w:szCs w:val="20"/>
              </w:rPr>
              <w:t>6 vjeç që ndjekin arsimin parashkollor</w:t>
            </w:r>
          </w:p>
        </w:tc>
        <w:tc>
          <w:tcPr>
            <w:tcW w:w="1057" w:type="dxa"/>
            <w:tcBorders>
              <w:top w:val="single" w:sz="4" w:space="0" w:color="auto"/>
              <w:left w:val="nil"/>
              <w:bottom w:val="single" w:sz="4" w:space="0" w:color="auto"/>
              <w:right w:val="single" w:sz="4" w:space="0" w:color="auto"/>
            </w:tcBorders>
            <w:shd w:val="clear" w:color="auto" w:fill="auto"/>
            <w:noWrap/>
          </w:tcPr>
          <w:p w14:paraId="2507D8A5" w14:textId="77777777" w:rsidR="003A5B7E" w:rsidRPr="00770F9D" w:rsidRDefault="003A5B7E" w:rsidP="00CE73B9">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84%</w:t>
            </w:r>
          </w:p>
        </w:tc>
        <w:tc>
          <w:tcPr>
            <w:tcW w:w="1440" w:type="dxa"/>
            <w:tcBorders>
              <w:top w:val="single" w:sz="4" w:space="0" w:color="auto"/>
              <w:left w:val="nil"/>
              <w:bottom w:val="single" w:sz="4" w:space="0" w:color="auto"/>
              <w:right w:val="single" w:sz="4" w:space="0" w:color="auto"/>
            </w:tcBorders>
            <w:shd w:val="clear" w:color="auto" w:fill="auto"/>
            <w:noWrap/>
          </w:tcPr>
          <w:p w14:paraId="390F0291" w14:textId="77777777" w:rsidR="003A5B7E" w:rsidRPr="00770F9D" w:rsidRDefault="003A5B7E" w:rsidP="00CE73B9">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88%</w:t>
            </w:r>
          </w:p>
        </w:tc>
        <w:tc>
          <w:tcPr>
            <w:tcW w:w="876" w:type="dxa"/>
            <w:tcBorders>
              <w:top w:val="single" w:sz="4" w:space="0" w:color="auto"/>
              <w:left w:val="nil"/>
              <w:bottom w:val="single" w:sz="4" w:space="0" w:color="auto"/>
              <w:right w:val="single" w:sz="4" w:space="0" w:color="auto"/>
            </w:tcBorders>
            <w:shd w:val="clear" w:color="auto" w:fill="auto"/>
            <w:noWrap/>
          </w:tcPr>
          <w:p w14:paraId="0FE2393D" w14:textId="77777777" w:rsidR="003A5B7E" w:rsidRPr="00770F9D" w:rsidRDefault="003A5B7E" w:rsidP="00CE73B9">
            <w:pPr>
              <w:jc w:val="right"/>
              <w:rPr>
                <w:rFonts w:ascii="Garamond" w:eastAsia="Times New Roman" w:hAnsi="Garamond" w:cstheme="majorBidi"/>
                <w:bCs/>
                <w:color w:val="0D0D0D" w:themeColor="text1" w:themeTint="F2"/>
                <w:sz w:val="20"/>
                <w:szCs w:val="20"/>
              </w:rPr>
            </w:pPr>
            <w:r w:rsidRPr="00770F9D">
              <w:rPr>
                <w:rFonts w:ascii="Garamond" w:hAnsi="Garamond" w:cstheme="majorBidi"/>
                <w:color w:val="0D0D0D" w:themeColor="text1" w:themeTint="F2"/>
                <w:sz w:val="20"/>
                <w:szCs w:val="20"/>
              </w:rPr>
              <w:t>92%</w:t>
            </w:r>
          </w:p>
        </w:tc>
      </w:tr>
      <w:tr w:rsidR="00CE73B9" w:rsidRPr="00770F9D" w14:paraId="0B93177A" w14:textId="77777777" w:rsidTr="00CE73B9">
        <w:trPr>
          <w:trHeight w:val="281"/>
          <w:jc w:val="center"/>
        </w:trPr>
        <w:tc>
          <w:tcPr>
            <w:tcW w:w="5688" w:type="dxa"/>
            <w:tcBorders>
              <w:top w:val="single" w:sz="4" w:space="0" w:color="auto"/>
              <w:left w:val="single" w:sz="4" w:space="0" w:color="auto"/>
              <w:bottom w:val="single" w:sz="4" w:space="0" w:color="auto"/>
              <w:right w:val="single" w:sz="4" w:space="0" w:color="auto"/>
            </w:tcBorders>
            <w:shd w:val="clear" w:color="auto" w:fill="auto"/>
            <w:noWrap/>
          </w:tcPr>
          <w:p w14:paraId="34DA2D91" w14:textId="77777777" w:rsidR="003A5B7E" w:rsidRPr="00770F9D" w:rsidRDefault="003A5B7E" w:rsidP="005E279E">
            <w:pPr>
              <w:rPr>
                <w:rFonts w:ascii="Garamond" w:eastAsia="Times New Roman" w:hAnsi="Garamond" w:cstheme="majorBidi"/>
                <w:bCs/>
                <w:color w:val="0D0D0D" w:themeColor="text1" w:themeTint="F2"/>
                <w:sz w:val="20"/>
                <w:szCs w:val="20"/>
              </w:rPr>
            </w:pPr>
            <w:r w:rsidRPr="00770F9D">
              <w:rPr>
                <w:rFonts w:ascii="Garamond" w:eastAsia="Times New Roman" w:hAnsi="Garamond" w:cstheme="majorBidi"/>
                <w:bCs/>
                <w:color w:val="0D0D0D" w:themeColor="text1" w:themeTint="F2"/>
                <w:sz w:val="20"/>
                <w:szCs w:val="20"/>
              </w:rPr>
              <w:t>Numri i studentëve nga komuniteti egjiptian/rom</w:t>
            </w:r>
          </w:p>
        </w:tc>
        <w:tc>
          <w:tcPr>
            <w:tcW w:w="1057" w:type="dxa"/>
            <w:tcBorders>
              <w:top w:val="single" w:sz="4" w:space="0" w:color="auto"/>
              <w:left w:val="nil"/>
              <w:bottom w:val="single" w:sz="4" w:space="0" w:color="auto"/>
              <w:right w:val="single" w:sz="4" w:space="0" w:color="auto"/>
            </w:tcBorders>
            <w:shd w:val="clear" w:color="auto" w:fill="auto"/>
            <w:noWrap/>
          </w:tcPr>
          <w:p w14:paraId="3112EAAB" w14:textId="77777777" w:rsidR="003A5B7E" w:rsidRPr="00770F9D" w:rsidRDefault="003A5B7E" w:rsidP="00CE73B9">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14,335</w:t>
            </w:r>
          </w:p>
        </w:tc>
        <w:tc>
          <w:tcPr>
            <w:tcW w:w="1440" w:type="dxa"/>
            <w:tcBorders>
              <w:top w:val="single" w:sz="4" w:space="0" w:color="auto"/>
              <w:left w:val="nil"/>
              <w:bottom w:val="single" w:sz="4" w:space="0" w:color="auto"/>
              <w:right w:val="single" w:sz="4" w:space="0" w:color="auto"/>
            </w:tcBorders>
            <w:shd w:val="clear" w:color="auto" w:fill="auto"/>
            <w:noWrap/>
          </w:tcPr>
          <w:p w14:paraId="3DC1778A" w14:textId="77777777" w:rsidR="003A5B7E" w:rsidRPr="00770F9D" w:rsidRDefault="003A5B7E" w:rsidP="00CE73B9">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14,500</w:t>
            </w:r>
          </w:p>
        </w:tc>
        <w:tc>
          <w:tcPr>
            <w:tcW w:w="876" w:type="dxa"/>
            <w:tcBorders>
              <w:top w:val="single" w:sz="4" w:space="0" w:color="auto"/>
              <w:left w:val="nil"/>
              <w:bottom w:val="single" w:sz="4" w:space="0" w:color="auto"/>
              <w:right w:val="single" w:sz="4" w:space="0" w:color="auto"/>
            </w:tcBorders>
            <w:shd w:val="clear" w:color="auto" w:fill="auto"/>
            <w:noWrap/>
          </w:tcPr>
          <w:p w14:paraId="4213C5AB" w14:textId="77777777" w:rsidR="003A5B7E" w:rsidRPr="00770F9D" w:rsidRDefault="003A5B7E" w:rsidP="00CE73B9">
            <w:pPr>
              <w:jc w:val="right"/>
              <w:rPr>
                <w:rFonts w:ascii="Garamond" w:eastAsia="Times New Roman" w:hAnsi="Garamond" w:cstheme="majorBidi"/>
                <w:bCs/>
                <w:color w:val="0D0D0D" w:themeColor="text1" w:themeTint="F2"/>
                <w:sz w:val="20"/>
                <w:szCs w:val="20"/>
              </w:rPr>
            </w:pPr>
            <w:r w:rsidRPr="00770F9D">
              <w:rPr>
                <w:rFonts w:ascii="Garamond" w:hAnsi="Garamond" w:cstheme="majorBidi"/>
                <w:color w:val="0D0D0D" w:themeColor="text1" w:themeTint="F2"/>
                <w:sz w:val="20"/>
                <w:szCs w:val="20"/>
              </w:rPr>
              <w:t>14,700</w:t>
            </w:r>
          </w:p>
        </w:tc>
      </w:tr>
      <w:tr w:rsidR="00CE73B9" w:rsidRPr="00770F9D" w14:paraId="34736820" w14:textId="77777777" w:rsidTr="00CE73B9">
        <w:trPr>
          <w:trHeight w:val="272"/>
          <w:jc w:val="center"/>
        </w:trPr>
        <w:tc>
          <w:tcPr>
            <w:tcW w:w="5688" w:type="dxa"/>
            <w:tcBorders>
              <w:top w:val="single" w:sz="4" w:space="0" w:color="auto"/>
              <w:left w:val="single" w:sz="4" w:space="0" w:color="auto"/>
              <w:bottom w:val="single" w:sz="4" w:space="0" w:color="auto"/>
              <w:right w:val="single" w:sz="4" w:space="0" w:color="auto"/>
            </w:tcBorders>
            <w:shd w:val="clear" w:color="auto" w:fill="auto"/>
            <w:noWrap/>
          </w:tcPr>
          <w:p w14:paraId="24F85B72" w14:textId="77777777" w:rsidR="003A5B7E" w:rsidRPr="00770F9D" w:rsidRDefault="003A5B7E" w:rsidP="005E279E">
            <w:pPr>
              <w:rPr>
                <w:rFonts w:ascii="Garamond" w:eastAsia="Times New Roman" w:hAnsi="Garamond" w:cstheme="majorBidi"/>
                <w:bCs/>
                <w:color w:val="0D0D0D" w:themeColor="text1" w:themeTint="F2"/>
                <w:sz w:val="20"/>
                <w:szCs w:val="20"/>
              </w:rPr>
            </w:pPr>
            <w:r w:rsidRPr="00770F9D">
              <w:rPr>
                <w:rFonts w:ascii="Garamond" w:eastAsia="Times New Roman" w:hAnsi="Garamond" w:cstheme="majorBidi"/>
                <w:bCs/>
                <w:color w:val="0D0D0D" w:themeColor="text1" w:themeTint="F2"/>
                <w:sz w:val="20"/>
                <w:szCs w:val="20"/>
              </w:rPr>
              <w:t>Numri i mësuesve ndihmës të trajnuar që punojnë me nxënës me aftësi të kufizuara, duke përfshirë studentët me dëmtim të dëgjimit dhe shikimit</w:t>
            </w:r>
          </w:p>
        </w:tc>
        <w:tc>
          <w:tcPr>
            <w:tcW w:w="1057" w:type="dxa"/>
            <w:tcBorders>
              <w:top w:val="single" w:sz="4" w:space="0" w:color="auto"/>
              <w:left w:val="nil"/>
              <w:bottom w:val="single" w:sz="4" w:space="0" w:color="auto"/>
              <w:right w:val="single" w:sz="4" w:space="0" w:color="auto"/>
            </w:tcBorders>
            <w:shd w:val="clear" w:color="auto" w:fill="auto"/>
            <w:noWrap/>
          </w:tcPr>
          <w:p w14:paraId="66D8D9C3" w14:textId="77777777" w:rsidR="003A5B7E" w:rsidRPr="00770F9D" w:rsidRDefault="003A5B7E" w:rsidP="00CE73B9">
            <w:pPr>
              <w:jc w:val="right"/>
              <w:rPr>
                <w:rFonts w:ascii="Garamond" w:eastAsia="Times New Roman" w:hAnsi="Garamond" w:cstheme="majorBidi"/>
                <w:bCs/>
                <w:color w:val="0D0D0D" w:themeColor="text1" w:themeTint="F2"/>
                <w:sz w:val="20"/>
                <w:szCs w:val="20"/>
              </w:rPr>
            </w:pPr>
            <w:r w:rsidRPr="00770F9D">
              <w:rPr>
                <w:rFonts w:ascii="Garamond" w:eastAsia="Arial Narrow" w:hAnsi="Garamond" w:cstheme="majorBidi"/>
                <w:color w:val="0D0D0D" w:themeColor="text1" w:themeTint="F2"/>
                <w:sz w:val="20"/>
                <w:szCs w:val="20"/>
              </w:rPr>
              <w:t>1515</w:t>
            </w:r>
          </w:p>
        </w:tc>
        <w:tc>
          <w:tcPr>
            <w:tcW w:w="1440" w:type="dxa"/>
            <w:tcBorders>
              <w:top w:val="single" w:sz="4" w:space="0" w:color="auto"/>
              <w:left w:val="nil"/>
              <w:bottom w:val="single" w:sz="4" w:space="0" w:color="auto"/>
              <w:right w:val="single" w:sz="4" w:space="0" w:color="auto"/>
            </w:tcBorders>
            <w:shd w:val="clear" w:color="auto" w:fill="auto"/>
            <w:noWrap/>
          </w:tcPr>
          <w:p w14:paraId="2826F445" w14:textId="77777777" w:rsidR="003A5B7E" w:rsidRPr="00770F9D" w:rsidRDefault="003A5B7E" w:rsidP="00CE73B9">
            <w:pPr>
              <w:jc w:val="right"/>
              <w:rPr>
                <w:rFonts w:ascii="Garamond" w:eastAsia="Times New Roman" w:hAnsi="Garamond" w:cstheme="majorBidi"/>
                <w:bCs/>
                <w:color w:val="0D0D0D" w:themeColor="text1" w:themeTint="F2"/>
                <w:sz w:val="20"/>
                <w:szCs w:val="20"/>
              </w:rPr>
            </w:pPr>
            <w:r w:rsidRPr="00770F9D">
              <w:rPr>
                <w:rFonts w:ascii="Garamond" w:hAnsi="Garamond" w:cstheme="majorBidi"/>
                <w:color w:val="0D0D0D" w:themeColor="text1" w:themeTint="F2"/>
                <w:sz w:val="20"/>
                <w:szCs w:val="20"/>
              </w:rPr>
              <w:t>1765</w:t>
            </w:r>
          </w:p>
        </w:tc>
        <w:tc>
          <w:tcPr>
            <w:tcW w:w="876" w:type="dxa"/>
            <w:tcBorders>
              <w:top w:val="single" w:sz="4" w:space="0" w:color="auto"/>
              <w:left w:val="nil"/>
              <w:bottom w:val="single" w:sz="4" w:space="0" w:color="auto"/>
              <w:right w:val="single" w:sz="4" w:space="0" w:color="auto"/>
            </w:tcBorders>
            <w:shd w:val="clear" w:color="auto" w:fill="auto"/>
            <w:noWrap/>
          </w:tcPr>
          <w:p w14:paraId="7975BA27" w14:textId="77777777" w:rsidR="003A5B7E" w:rsidRPr="00770F9D" w:rsidRDefault="003A5B7E" w:rsidP="00CE73B9">
            <w:pPr>
              <w:jc w:val="right"/>
              <w:rPr>
                <w:rFonts w:ascii="Garamond" w:eastAsia="Times New Roman" w:hAnsi="Garamond" w:cstheme="majorBidi"/>
                <w:bCs/>
                <w:color w:val="0D0D0D" w:themeColor="text1" w:themeTint="F2"/>
                <w:sz w:val="20"/>
                <w:szCs w:val="20"/>
              </w:rPr>
            </w:pPr>
            <w:r w:rsidRPr="00770F9D">
              <w:rPr>
                <w:rFonts w:ascii="Garamond" w:hAnsi="Garamond" w:cstheme="majorBidi"/>
                <w:color w:val="0D0D0D" w:themeColor="text1" w:themeTint="F2"/>
                <w:sz w:val="20"/>
                <w:szCs w:val="20"/>
              </w:rPr>
              <w:t>1800</w:t>
            </w:r>
          </w:p>
        </w:tc>
      </w:tr>
      <w:tr w:rsidR="00CE73B9" w:rsidRPr="00770F9D" w14:paraId="248A3322" w14:textId="77777777" w:rsidTr="00CE73B9">
        <w:trPr>
          <w:trHeight w:val="272"/>
          <w:jc w:val="center"/>
        </w:trPr>
        <w:tc>
          <w:tcPr>
            <w:tcW w:w="5688" w:type="dxa"/>
            <w:tcBorders>
              <w:top w:val="single" w:sz="4" w:space="0" w:color="auto"/>
              <w:left w:val="single" w:sz="4" w:space="0" w:color="auto"/>
              <w:bottom w:val="single" w:sz="4" w:space="0" w:color="auto"/>
              <w:right w:val="single" w:sz="4" w:space="0" w:color="auto"/>
            </w:tcBorders>
            <w:shd w:val="clear" w:color="auto" w:fill="auto"/>
            <w:noWrap/>
          </w:tcPr>
          <w:p w14:paraId="4A6E5423" w14:textId="77777777" w:rsidR="003A5B7E" w:rsidRPr="00770F9D" w:rsidRDefault="003A5B7E" w:rsidP="005E279E">
            <w:pPr>
              <w:rPr>
                <w:rFonts w:ascii="Garamond" w:eastAsia="Times New Roman" w:hAnsi="Garamond" w:cstheme="majorBidi"/>
                <w:bCs/>
                <w:color w:val="0D0D0D" w:themeColor="text1" w:themeTint="F2"/>
                <w:sz w:val="20"/>
                <w:szCs w:val="20"/>
              </w:rPr>
            </w:pPr>
            <w:r w:rsidRPr="00770F9D">
              <w:rPr>
                <w:rFonts w:ascii="Garamond" w:eastAsia="Times New Roman" w:hAnsi="Garamond" w:cstheme="majorBidi"/>
                <w:bCs/>
                <w:color w:val="0D0D0D" w:themeColor="text1" w:themeTint="F2"/>
                <w:sz w:val="20"/>
                <w:szCs w:val="20"/>
              </w:rPr>
              <w:t>Numri i shkollave me akses të plotë për fëmijët me aftësi të kufizuara</w:t>
            </w:r>
          </w:p>
        </w:tc>
        <w:tc>
          <w:tcPr>
            <w:tcW w:w="1057" w:type="dxa"/>
            <w:tcBorders>
              <w:top w:val="single" w:sz="4" w:space="0" w:color="auto"/>
              <w:left w:val="nil"/>
              <w:bottom w:val="single" w:sz="4" w:space="0" w:color="auto"/>
              <w:right w:val="single" w:sz="4" w:space="0" w:color="auto"/>
            </w:tcBorders>
            <w:shd w:val="clear" w:color="auto" w:fill="auto"/>
            <w:noWrap/>
          </w:tcPr>
          <w:p w14:paraId="059EAB9E" w14:textId="77777777" w:rsidR="003A5B7E" w:rsidRPr="00770F9D" w:rsidRDefault="003A5B7E" w:rsidP="00CE73B9">
            <w:pPr>
              <w:jc w:val="right"/>
              <w:rPr>
                <w:rFonts w:ascii="Garamond" w:eastAsia="Times New Roman" w:hAnsi="Garamond" w:cstheme="majorBidi"/>
                <w:bCs/>
                <w:color w:val="0D0D0D" w:themeColor="text1" w:themeTint="F2"/>
                <w:sz w:val="20"/>
                <w:szCs w:val="20"/>
              </w:rPr>
            </w:pPr>
            <w:r w:rsidRPr="00770F9D">
              <w:rPr>
                <w:rFonts w:ascii="Garamond" w:hAnsi="Garamond" w:cstheme="majorBidi"/>
                <w:color w:val="0D0D0D" w:themeColor="text1" w:themeTint="F2"/>
                <w:sz w:val="20"/>
                <w:szCs w:val="20"/>
              </w:rPr>
              <w:t>70%</w:t>
            </w:r>
          </w:p>
        </w:tc>
        <w:tc>
          <w:tcPr>
            <w:tcW w:w="1440" w:type="dxa"/>
            <w:tcBorders>
              <w:top w:val="single" w:sz="4" w:space="0" w:color="auto"/>
              <w:left w:val="nil"/>
              <w:bottom w:val="single" w:sz="4" w:space="0" w:color="auto"/>
              <w:right w:val="single" w:sz="4" w:space="0" w:color="auto"/>
            </w:tcBorders>
            <w:shd w:val="clear" w:color="auto" w:fill="auto"/>
            <w:noWrap/>
          </w:tcPr>
          <w:p w14:paraId="332A8B44" w14:textId="77777777" w:rsidR="003A5B7E" w:rsidRPr="00770F9D" w:rsidRDefault="003A5B7E" w:rsidP="00CE73B9">
            <w:pPr>
              <w:jc w:val="right"/>
              <w:rPr>
                <w:rFonts w:ascii="Garamond" w:eastAsia="Times New Roman" w:hAnsi="Garamond" w:cstheme="majorBidi"/>
                <w:bCs/>
                <w:color w:val="0D0D0D" w:themeColor="text1" w:themeTint="F2"/>
                <w:sz w:val="20"/>
                <w:szCs w:val="20"/>
              </w:rPr>
            </w:pPr>
            <w:r w:rsidRPr="00770F9D">
              <w:rPr>
                <w:rFonts w:ascii="Garamond" w:hAnsi="Garamond" w:cstheme="majorBidi"/>
                <w:color w:val="0D0D0D" w:themeColor="text1" w:themeTint="F2"/>
                <w:sz w:val="20"/>
                <w:szCs w:val="20"/>
              </w:rPr>
              <w:t>75%</w:t>
            </w:r>
          </w:p>
        </w:tc>
        <w:tc>
          <w:tcPr>
            <w:tcW w:w="876" w:type="dxa"/>
            <w:tcBorders>
              <w:top w:val="single" w:sz="4" w:space="0" w:color="auto"/>
              <w:left w:val="nil"/>
              <w:bottom w:val="single" w:sz="4" w:space="0" w:color="auto"/>
              <w:right w:val="single" w:sz="4" w:space="0" w:color="auto"/>
            </w:tcBorders>
            <w:shd w:val="clear" w:color="auto" w:fill="auto"/>
            <w:noWrap/>
          </w:tcPr>
          <w:p w14:paraId="022D7265" w14:textId="77777777" w:rsidR="003A5B7E" w:rsidRPr="00770F9D" w:rsidRDefault="003A5B7E" w:rsidP="00CE73B9">
            <w:pPr>
              <w:jc w:val="right"/>
              <w:rPr>
                <w:rFonts w:ascii="Garamond" w:eastAsia="Times New Roman" w:hAnsi="Garamond" w:cstheme="majorBidi"/>
                <w:bCs/>
                <w:color w:val="0D0D0D" w:themeColor="text1" w:themeTint="F2"/>
                <w:sz w:val="20"/>
                <w:szCs w:val="20"/>
              </w:rPr>
            </w:pPr>
            <w:r w:rsidRPr="00770F9D">
              <w:rPr>
                <w:rFonts w:ascii="Garamond" w:hAnsi="Garamond" w:cstheme="majorBidi"/>
                <w:color w:val="0D0D0D" w:themeColor="text1" w:themeTint="F2"/>
                <w:sz w:val="20"/>
                <w:szCs w:val="20"/>
              </w:rPr>
              <w:t>78%</w:t>
            </w:r>
          </w:p>
        </w:tc>
      </w:tr>
    </w:tbl>
    <w:p w14:paraId="5AF9CBA9" w14:textId="42F5F59C" w:rsidR="0030742B" w:rsidRPr="00770F9D" w:rsidRDefault="005E279E"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3</w:t>
      </w:r>
      <w:r w:rsidR="005674F2"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Ndikimi i pritshëm në konkurrueshmëri</w:t>
      </w:r>
    </w:p>
    <w:p w14:paraId="3C070975" w14:textId="6CFF963C" w:rsidR="00E825A5" w:rsidRPr="00770F9D" w:rsidRDefault="003A5B7E" w:rsidP="00A903D5">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Në planin afatgjatë, duke ofruar mundësi më të mira arsimore klasa shumëklasëshe dhe fëmijët me aftësi të kufizuara do të rrisin shanset e tyre për të arritur aftësitë e nevojshme për t</w:t>
      </w:r>
      <w:r w:rsidR="00A903D5">
        <w:rPr>
          <w:rFonts w:ascii="Garamond" w:hAnsi="Garamond" w:cstheme="majorBidi"/>
          <w:color w:val="0D0D0D" w:themeColor="text1" w:themeTint="F2"/>
        </w:rPr>
        <w:t>’</w:t>
      </w:r>
      <w:r w:rsidRPr="00770F9D">
        <w:rPr>
          <w:rFonts w:ascii="Garamond" w:hAnsi="Garamond" w:cstheme="majorBidi"/>
          <w:color w:val="0D0D0D" w:themeColor="text1" w:themeTint="F2"/>
        </w:rPr>
        <w:t>u bashkuar me tregun e punës dhe për të bërë jetë të pavarur, si dhe për të rriturit</w:t>
      </w:r>
      <w:r w:rsidR="00E825A5" w:rsidRPr="00770F9D">
        <w:rPr>
          <w:rFonts w:ascii="Garamond" w:hAnsi="Garamond" w:cstheme="majorBidi"/>
          <w:color w:val="0D0D0D" w:themeColor="text1" w:themeTint="F2"/>
        </w:rPr>
        <w:t>.</w:t>
      </w:r>
    </w:p>
    <w:p w14:paraId="7FB5A557" w14:textId="2433667F" w:rsidR="0030742B" w:rsidRPr="00770F9D" w:rsidRDefault="005E279E"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4</w:t>
      </w:r>
      <w:r w:rsidR="005674F2"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Kosto</w:t>
      </w:r>
      <w:r w:rsidR="00A903D5">
        <w:rPr>
          <w:rFonts w:ascii="Garamond" w:hAnsi="Garamond" w:cstheme="majorBidi"/>
          <w:color w:val="0D0D0D" w:themeColor="text1" w:themeTint="F2"/>
          <w:u w:val="none"/>
        </w:rPr>
        <w:t>ja</w:t>
      </w:r>
      <w:r w:rsidR="00B2062A" w:rsidRPr="00770F9D">
        <w:rPr>
          <w:rFonts w:ascii="Garamond" w:hAnsi="Garamond" w:cstheme="majorBidi"/>
          <w:color w:val="0D0D0D" w:themeColor="text1" w:themeTint="F2"/>
          <w:u w:val="none"/>
        </w:rPr>
        <w:t xml:space="preserve"> e parashikuar e aktiviteteve dhe burimi i financimit</w:t>
      </w:r>
    </w:p>
    <w:p w14:paraId="7694E7EC" w14:textId="77777777" w:rsidR="003A5B7E" w:rsidRPr="00770F9D" w:rsidRDefault="003A5B7E"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Trajnimi i 61 ToT (drejtuesve të rrjeteve profesionale të mësuesve ndihmës) dhe mësuesve ndihmës janë parashikuar 2 000 euro në vit.</w:t>
      </w:r>
    </w:p>
    <w:p w14:paraId="49924989" w14:textId="76EF17CB" w:rsidR="003A5B7E" w:rsidRPr="00770F9D" w:rsidRDefault="003A5B7E"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Forcimi i rrjeteve profesionale t</w:t>
      </w:r>
      <w:r w:rsidR="00A903D5">
        <w:rPr>
          <w:rFonts w:ascii="Garamond" w:hAnsi="Garamond" w:cstheme="majorBidi"/>
          <w:color w:val="0D0D0D" w:themeColor="text1" w:themeTint="F2"/>
        </w:rPr>
        <w:t>ë punonjësve të shërbimit psiko</w:t>
      </w:r>
      <w:r w:rsidRPr="00770F9D">
        <w:rPr>
          <w:rFonts w:ascii="Garamond" w:hAnsi="Garamond" w:cstheme="majorBidi"/>
          <w:color w:val="0D0D0D" w:themeColor="text1" w:themeTint="F2"/>
        </w:rPr>
        <w:t>soci</w:t>
      </w:r>
      <w:r w:rsidR="00A903D5">
        <w:rPr>
          <w:rFonts w:ascii="Garamond" w:hAnsi="Garamond" w:cstheme="majorBidi"/>
          <w:color w:val="0D0D0D" w:themeColor="text1" w:themeTint="F2"/>
        </w:rPr>
        <w:t>al për rreth 600 punonjës psiko</w:t>
      </w:r>
      <w:r w:rsidRPr="00770F9D">
        <w:rPr>
          <w:rFonts w:ascii="Garamond" w:hAnsi="Garamond" w:cstheme="majorBidi"/>
          <w:color w:val="0D0D0D" w:themeColor="text1" w:themeTint="F2"/>
        </w:rPr>
        <w:t>socialë që pritet të trajnohe</w:t>
      </w:r>
      <w:r w:rsidR="0035245C" w:rsidRPr="00770F9D">
        <w:rPr>
          <w:rFonts w:ascii="Garamond" w:hAnsi="Garamond" w:cstheme="majorBidi"/>
          <w:color w:val="0D0D0D" w:themeColor="text1" w:themeTint="F2"/>
        </w:rPr>
        <w:t>n, parashikohet një fond prej 9,</w:t>
      </w:r>
      <w:r w:rsidRPr="00770F9D">
        <w:rPr>
          <w:rFonts w:ascii="Garamond" w:hAnsi="Garamond" w:cstheme="majorBidi"/>
          <w:color w:val="0D0D0D" w:themeColor="text1" w:themeTint="F2"/>
        </w:rPr>
        <w:t>000 euro në vit.</w:t>
      </w:r>
    </w:p>
    <w:p w14:paraId="0C1BEFE7" w14:textId="3FF8B89B" w:rsidR="003A5B7E" w:rsidRPr="00770F9D" w:rsidRDefault="003A5B7E"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Përmirësimi i shërbimit të transportit falas për nxënësit dhe mësuesit, duke rishikuar çmimet, kri</w:t>
      </w:r>
      <w:r w:rsidR="00A903D5">
        <w:rPr>
          <w:rFonts w:ascii="Garamond" w:hAnsi="Garamond" w:cstheme="majorBidi"/>
          <w:color w:val="0D0D0D" w:themeColor="text1" w:themeTint="F2"/>
        </w:rPr>
        <w:t xml:space="preserve">teret dhe kategoritë në nevojë </w:t>
      </w:r>
      <w:r w:rsidRPr="00770F9D">
        <w:rPr>
          <w:rFonts w:ascii="Garamond" w:hAnsi="Garamond" w:cstheme="majorBidi"/>
          <w:color w:val="0D0D0D" w:themeColor="text1" w:themeTint="F2"/>
        </w:rPr>
        <w:t>(parashikohet një rritje + 50% e çmimit të transportit të studentëve ku përfitues janë rreth 38,658 mijë fëmijë/nxënës me një kosto vjetore të vlerësuar prej 665.6 milionë lekësh n</w:t>
      </w:r>
      <w:r w:rsidR="00A903D5">
        <w:rPr>
          <w:rFonts w:ascii="Garamond" w:hAnsi="Garamond" w:cstheme="majorBidi"/>
          <w:color w:val="0D0D0D" w:themeColor="text1" w:themeTint="F2"/>
        </w:rPr>
        <w:t>ë vit, kosto e cila indeksohet/</w:t>
      </w:r>
      <w:r w:rsidRPr="00770F9D">
        <w:rPr>
          <w:rFonts w:ascii="Garamond" w:hAnsi="Garamond" w:cstheme="majorBidi"/>
          <w:color w:val="0D0D0D" w:themeColor="text1" w:themeTint="F2"/>
        </w:rPr>
        <w:t>rritet çdo vit). Ky aktivitet lidhet me përllogaritjen e kostove të shërbimit të transportit për nxënësit e arsimit bazë që pritet të përballohen nga fondi i buxhetit të shtetit dhe do të vijojnë edhe pas përfundimit të reformës.</w:t>
      </w:r>
    </w:p>
    <w:p w14:paraId="26CF304F" w14:textId="64FDC027" w:rsidR="003A5B7E" w:rsidRPr="00770F9D" w:rsidRDefault="003A5B7E" w:rsidP="000C4ECA">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Efektet financiare për mbulimin e shpenzimeve të personelit, që rrjedhin nga zbatimi i vendimit nr. 175, datë 8.3.2017</w:t>
      </w:r>
      <w:r w:rsidR="00A903D5">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 trajtimin e personelit mësimor në arsimin parauniversitar me pagë dhe shtesa në pagë”, </w:t>
      </w:r>
      <w:r w:rsidR="00A903D5">
        <w:rPr>
          <w:rFonts w:ascii="Garamond" w:hAnsi="Garamond" w:cstheme="majorBidi"/>
          <w:color w:val="0D0D0D" w:themeColor="text1" w:themeTint="F2"/>
        </w:rPr>
        <w:t>të</w:t>
      </w:r>
      <w:r w:rsidRPr="00770F9D">
        <w:rPr>
          <w:rFonts w:ascii="Garamond" w:hAnsi="Garamond" w:cstheme="majorBidi"/>
          <w:color w:val="0D0D0D" w:themeColor="text1" w:themeTint="F2"/>
        </w:rPr>
        <w:t xml:space="preserve"> ndryshuar. Për pagesën e 1765</w:t>
      </w:r>
      <w:r w:rsidR="00A903D5">
        <w:rPr>
          <w:rFonts w:ascii="Garamond" w:hAnsi="Garamond"/>
          <w:color w:val="0D0D0D"/>
        </w:rPr>
        <w:t>–</w:t>
      </w:r>
      <w:r w:rsidRPr="00770F9D">
        <w:rPr>
          <w:rFonts w:ascii="Garamond" w:hAnsi="Garamond" w:cstheme="majorBidi"/>
          <w:color w:val="0D0D0D" w:themeColor="text1" w:themeTint="F2"/>
        </w:rPr>
        <w:t>1800 mësuesve ndihmës që punojnë me nxënësit me aftësi të kufizuara dhe me dëmtime dëgjimi e shikimi, si dhe 630</w:t>
      </w:r>
      <w:r w:rsidR="000C4ECA">
        <w:rPr>
          <w:rFonts w:ascii="Garamond" w:hAnsi="Garamond"/>
          <w:color w:val="0D0D0D"/>
        </w:rPr>
        <w:t>–</w:t>
      </w:r>
      <w:r w:rsidR="000C4ECA">
        <w:rPr>
          <w:rFonts w:ascii="Garamond" w:hAnsi="Garamond" w:cstheme="majorBidi"/>
          <w:color w:val="0D0D0D" w:themeColor="text1" w:themeTint="F2"/>
        </w:rPr>
        <w:t>700 personel në shërbimin psiko</w:t>
      </w:r>
      <w:r w:rsidRPr="00770F9D">
        <w:rPr>
          <w:rFonts w:ascii="Garamond" w:hAnsi="Garamond" w:cstheme="majorBidi"/>
          <w:color w:val="0D0D0D" w:themeColor="text1" w:themeTint="F2"/>
        </w:rPr>
        <w:t>social në shkolla.</w:t>
      </w:r>
    </w:p>
    <w:p w14:paraId="757D13CC" w14:textId="670FF608" w:rsidR="003A5B7E" w:rsidRPr="00770F9D" w:rsidRDefault="003A5B7E" w:rsidP="000C4ECA">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Efektet financiare të mbulimit të teksteve shkollore falas për ata që ndjekin arsimin bazë në institucionet arsimore publike nga klasa e parë deri në klasën e 9-të përfshihen në politikën e “teksteve falas”. Në zbati</w:t>
      </w:r>
      <w:r w:rsidR="000C4ECA">
        <w:rPr>
          <w:rFonts w:ascii="Garamond" w:hAnsi="Garamond" w:cstheme="majorBidi"/>
          <w:color w:val="0D0D0D" w:themeColor="text1" w:themeTint="F2"/>
        </w:rPr>
        <w:t>m të vendimit nr. 486, datë 17.</w:t>
      </w:r>
      <w:r w:rsidRPr="00770F9D">
        <w:rPr>
          <w:rFonts w:ascii="Garamond" w:hAnsi="Garamond" w:cstheme="majorBidi"/>
          <w:color w:val="0D0D0D" w:themeColor="text1" w:themeTint="F2"/>
        </w:rPr>
        <w:t>6.2020, janë edhe 16 kategori që përfitojnë tekste falas në shkollat e mesme: nxënës që në arsimin e mesëm të lartë i përkasin kategorisë së pakicave kombëtare, ata që kanë marrë statusin e jetimit, nxënësit që vijnë nga familje që trajtohen me ndihmë ekonomike, asistencë dhe përfitime papunësie nga zyrat e punësimit, studentë me aftësi të kufizuara, studentë të pranuar në shërbimin onkologjik, studentë të minoritetit rom dhe egjiptian etj. Nga kjo masë përfitojnë 240</w:t>
      </w:r>
      <w:r w:rsidR="000C4ECA">
        <w:rPr>
          <w:rFonts w:ascii="Garamond" w:hAnsi="Garamond"/>
          <w:color w:val="0D0D0D"/>
        </w:rPr>
        <w:t>–</w:t>
      </w:r>
      <w:r w:rsidRPr="00770F9D">
        <w:rPr>
          <w:rFonts w:ascii="Garamond" w:hAnsi="Garamond" w:cstheme="majorBidi"/>
          <w:color w:val="0D0D0D" w:themeColor="text1" w:themeTint="F2"/>
        </w:rPr>
        <w:t>260 mijë fëmijë me një kosto mesatare vjetore 850</w:t>
      </w:r>
      <w:r w:rsidR="000C4ECA">
        <w:rPr>
          <w:rFonts w:ascii="Garamond" w:hAnsi="Garamond"/>
          <w:color w:val="0D0D0D"/>
        </w:rPr>
        <w:t>–</w:t>
      </w:r>
      <w:r w:rsidRPr="00770F9D">
        <w:rPr>
          <w:rFonts w:ascii="Garamond" w:hAnsi="Garamond" w:cstheme="majorBidi"/>
          <w:color w:val="0D0D0D" w:themeColor="text1" w:themeTint="F2"/>
        </w:rPr>
        <w:t>920 milionë lekë</w:t>
      </w:r>
      <w:r w:rsidR="0035245C" w:rsidRPr="00770F9D">
        <w:rPr>
          <w:rFonts w:ascii="Garamond" w:hAnsi="Garamond" w:cstheme="majorBidi"/>
          <w:color w:val="0D0D0D" w:themeColor="text1" w:themeTint="F2"/>
        </w:rPr>
        <w:t>.</w:t>
      </w:r>
    </w:p>
    <w:p w14:paraId="344CA9D0" w14:textId="1809CA9E" w:rsidR="0030742B" w:rsidRPr="00770F9D" w:rsidRDefault="005E279E"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5</w:t>
      </w:r>
      <w:r w:rsidR="005674F2"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Ndikimi i pritshëm në përfundimet sociale si punësimi, ulja e varfërisë, barazia gjinore dhe aksesi në kujdesin shëndetësor</w:t>
      </w:r>
    </w:p>
    <w:p w14:paraId="7C1B6BD2" w14:textId="77777777" w:rsidR="00E825A5" w:rsidRPr="00770F9D" w:rsidRDefault="00E825A5"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Ndikimi kryesor i pritshëm i aktiviteteve të mësipërme do të jetë në rritjen e punësimit dhe uljen e varfërisë, si dhe në barazinë gjinore në kujdesin shëndetësor.</w:t>
      </w:r>
    </w:p>
    <w:p w14:paraId="430460A2" w14:textId="77777777" w:rsidR="00E825A5" w:rsidRPr="00770F9D" w:rsidRDefault="00E825A5"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Masa synon të krijojë mundësi më të mira, përfshirje më të mirë dhe mundësi më të mira për fëmijët. Barazia gjinore do të respektohet gjatë gjithë zbatimit të masës.</w:t>
      </w:r>
    </w:p>
    <w:p w14:paraId="73689B55" w14:textId="2E8510E4" w:rsidR="0030742B" w:rsidRPr="00770F9D" w:rsidRDefault="005E279E"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6</w:t>
      </w:r>
      <w:r w:rsidR="005674F2"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Ndikimi i pritshëm në mjedis dhe ndryshimi i klimës</w:t>
      </w:r>
    </w:p>
    <w:p w14:paraId="0F1C03B1" w14:textId="77777777" w:rsidR="00E825A5" w:rsidRPr="00770F9D" w:rsidRDefault="00E825A5"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Masa e reformës nuk pritet të ketë ndikim në mjedis.</w:t>
      </w:r>
    </w:p>
    <w:p w14:paraId="15A5167B" w14:textId="287B7D09" w:rsidR="0030742B" w:rsidRPr="00770F9D" w:rsidRDefault="005E279E"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7</w:t>
      </w:r>
      <w:r w:rsidR="005674F2"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Rreziqet e mundshme</w:t>
      </w:r>
    </w:p>
    <w:tbl>
      <w:tblPr>
        <w:tblStyle w:val="TableGrid"/>
        <w:tblW w:w="0" w:type="auto"/>
        <w:jc w:val="center"/>
        <w:tblLook w:val="04A0" w:firstRow="1" w:lastRow="0" w:firstColumn="1" w:lastColumn="0" w:noHBand="0" w:noVBand="1"/>
      </w:tblPr>
      <w:tblGrid>
        <w:gridCol w:w="4090"/>
        <w:gridCol w:w="1396"/>
        <w:gridCol w:w="3801"/>
      </w:tblGrid>
      <w:tr w:rsidR="00FA29AB" w:rsidRPr="00770F9D" w14:paraId="619C77E7" w14:textId="77777777" w:rsidTr="000C4ECA">
        <w:trPr>
          <w:jc w:val="center"/>
        </w:trPr>
        <w:tc>
          <w:tcPr>
            <w:tcW w:w="4248" w:type="dxa"/>
            <w:vAlign w:val="center"/>
          </w:tcPr>
          <w:p w14:paraId="795C3330" w14:textId="77777777" w:rsidR="004F59F4" w:rsidRPr="000C4ECA" w:rsidRDefault="00B2062A" w:rsidP="000C4ECA">
            <w:pPr>
              <w:snapToGrid w:val="0"/>
              <w:jc w:val="center"/>
              <w:rPr>
                <w:rFonts w:ascii="Garamond" w:hAnsi="Garamond" w:cstheme="majorBidi"/>
                <w:b/>
                <w:bCs/>
                <w:color w:val="0D0D0D" w:themeColor="text1" w:themeTint="F2"/>
                <w:sz w:val="20"/>
                <w:szCs w:val="20"/>
              </w:rPr>
            </w:pPr>
            <w:r w:rsidRPr="000C4ECA">
              <w:rPr>
                <w:rFonts w:ascii="Garamond" w:hAnsi="Garamond" w:cstheme="majorBidi"/>
                <w:b/>
                <w:bCs/>
                <w:color w:val="0D0D0D" w:themeColor="text1" w:themeTint="F2"/>
                <w:sz w:val="20"/>
                <w:szCs w:val="20"/>
              </w:rPr>
              <w:t>Rreziku</w:t>
            </w:r>
          </w:p>
        </w:tc>
        <w:tc>
          <w:tcPr>
            <w:tcW w:w="1417" w:type="dxa"/>
            <w:vAlign w:val="center"/>
          </w:tcPr>
          <w:p w14:paraId="6124B5B7" w14:textId="77777777" w:rsidR="004F59F4" w:rsidRPr="000C4ECA" w:rsidRDefault="00B2062A" w:rsidP="000C4ECA">
            <w:pPr>
              <w:snapToGrid w:val="0"/>
              <w:jc w:val="center"/>
              <w:rPr>
                <w:rFonts w:ascii="Garamond" w:hAnsi="Garamond" w:cstheme="majorBidi"/>
                <w:b/>
                <w:bCs/>
                <w:color w:val="0D0D0D" w:themeColor="text1" w:themeTint="F2"/>
                <w:sz w:val="20"/>
                <w:szCs w:val="20"/>
              </w:rPr>
            </w:pPr>
            <w:r w:rsidRPr="000C4ECA">
              <w:rPr>
                <w:rFonts w:ascii="Garamond" w:hAnsi="Garamond" w:cstheme="majorBidi"/>
                <w:b/>
                <w:bCs/>
                <w:color w:val="0D0D0D" w:themeColor="text1" w:themeTint="F2"/>
                <w:sz w:val="20"/>
                <w:szCs w:val="20"/>
              </w:rPr>
              <w:t>Mundësia</w:t>
            </w:r>
            <w:r w:rsidR="004F59F4" w:rsidRPr="000C4ECA">
              <w:rPr>
                <w:rFonts w:ascii="Garamond" w:hAnsi="Garamond" w:cstheme="majorBidi"/>
                <w:b/>
                <w:bCs/>
                <w:color w:val="0D0D0D" w:themeColor="text1" w:themeTint="F2"/>
                <w:sz w:val="20"/>
                <w:szCs w:val="20"/>
              </w:rPr>
              <w:t xml:space="preserve"> (</w:t>
            </w:r>
            <w:r w:rsidRPr="000C4ECA">
              <w:rPr>
                <w:rFonts w:ascii="Garamond" w:hAnsi="Garamond" w:cstheme="majorBidi"/>
                <w:b/>
                <w:bCs/>
                <w:color w:val="0D0D0D" w:themeColor="text1" w:themeTint="F2"/>
                <w:sz w:val="20"/>
                <w:szCs w:val="20"/>
              </w:rPr>
              <w:t>e ulët, e lartë</w:t>
            </w:r>
            <w:r w:rsidR="004F59F4" w:rsidRPr="000C4ECA">
              <w:rPr>
                <w:rFonts w:ascii="Garamond" w:hAnsi="Garamond" w:cstheme="majorBidi"/>
                <w:b/>
                <w:bCs/>
                <w:color w:val="0D0D0D" w:themeColor="text1" w:themeTint="F2"/>
                <w:sz w:val="20"/>
                <w:szCs w:val="20"/>
              </w:rPr>
              <w:t>)</w:t>
            </w:r>
          </w:p>
        </w:tc>
        <w:tc>
          <w:tcPr>
            <w:tcW w:w="3957" w:type="dxa"/>
            <w:vAlign w:val="center"/>
          </w:tcPr>
          <w:p w14:paraId="585C224B" w14:textId="77777777" w:rsidR="004F59F4" w:rsidRPr="000C4ECA" w:rsidRDefault="00B2062A" w:rsidP="000C4ECA">
            <w:pPr>
              <w:snapToGrid w:val="0"/>
              <w:jc w:val="center"/>
              <w:rPr>
                <w:rFonts w:ascii="Garamond" w:hAnsi="Garamond" w:cstheme="majorBidi"/>
                <w:b/>
                <w:bCs/>
                <w:color w:val="0D0D0D" w:themeColor="text1" w:themeTint="F2"/>
                <w:sz w:val="20"/>
                <w:szCs w:val="20"/>
              </w:rPr>
            </w:pPr>
            <w:r w:rsidRPr="000C4ECA">
              <w:rPr>
                <w:rFonts w:ascii="Garamond" w:hAnsi="Garamond" w:cstheme="majorBidi"/>
                <w:b/>
                <w:bCs/>
                <w:color w:val="0D0D0D" w:themeColor="text1" w:themeTint="F2"/>
                <w:sz w:val="20"/>
                <w:szCs w:val="20"/>
              </w:rPr>
              <w:t>Veprimi zbutës i parashikuar</w:t>
            </w:r>
          </w:p>
        </w:tc>
      </w:tr>
      <w:tr w:rsidR="00E825A5" w:rsidRPr="00770F9D" w14:paraId="5B790A50" w14:textId="77777777" w:rsidTr="000C4ECA">
        <w:trPr>
          <w:jc w:val="center"/>
        </w:trPr>
        <w:tc>
          <w:tcPr>
            <w:tcW w:w="4248" w:type="dxa"/>
          </w:tcPr>
          <w:p w14:paraId="4AB0BEE5" w14:textId="2302CFF5" w:rsidR="00E825A5" w:rsidRPr="00770F9D" w:rsidRDefault="00E825A5" w:rsidP="00882BE3">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Ngurrimi nga ana e familjeve për t</w:t>
            </w:r>
            <w:r w:rsidR="00882BE3">
              <w:rPr>
                <w:rFonts w:ascii="Garamond" w:hAnsi="Garamond" w:cstheme="majorBidi"/>
                <w:color w:val="0D0D0D" w:themeColor="text1" w:themeTint="F2"/>
                <w:sz w:val="20"/>
                <w:szCs w:val="20"/>
              </w:rPr>
              <w:t>’</w:t>
            </w:r>
            <w:r w:rsidRPr="00770F9D">
              <w:rPr>
                <w:rFonts w:ascii="Garamond" w:hAnsi="Garamond" w:cstheme="majorBidi"/>
                <w:color w:val="0D0D0D" w:themeColor="text1" w:themeTint="F2"/>
                <w:sz w:val="20"/>
                <w:szCs w:val="20"/>
              </w:rPr>
              <w:t>i lejuar fëmijët e tyre të tr</w:t>
            </w:r>
            <w:r w:rsidR="00882BE3">
              <w:rPr>
                <w:rFonts w:ascii="Garamond" w:hAnsi="Garamond" w:cstheme="majorBidi"/>
                <w:color w:val="0D0D0D" w:themeColor="text1" w:themeTint="F2"/>
                <w:sz w:val="20"/>
                <w:szCs w:val="20"/>
              </w:rPr>
              <w:t>ansferohen në shkollat e afërta</w:t>
            </w:r>
          </w:p>
        </w:tc>
        <w:tc>
          <w:tcPr>
            <w:tcW w:w="1417" w:type="dxa"/>
          </w:tcPr>
          <w:p w14:paraId="79983932" w14:textId="09382D82" w:rsidR="00E825A5" w:rsidRPr="00770F9D" w:rsidRDefault="000C4ECA" w:rsidP="000C4ECA">
            <w:pPr>
              <w:snapToGrid w:val="0"/>
              <w:rPr>
                <w:rFonts w:ascii="Garamond" w:hAnsi="Garamond" w:cstheme="majorBidi"/>
                <w:color w:val="0D0D0D" w:themeColor="text1" w:themeTint="F2"/>
                <w:sz w:val="20"/>
                <w:szCs w:val="20"/>
              </w:rPr>
            </w:pPr>
            <w:r>
              <w:rPr>
                <w:rFonts w:ascii="Garamond" w:hAnsi="Garamond" w:cstheme="majorBidi"/>
                <w:color w:val="0D0D0D" w:themeColor="text1" w:themeTint="F2"/>
                <w:sz w:val="20"/>
                <w:szCs w:val="20"/>
              </w:rPr>
              <w:t xml:space="preserve">I </w:t>
            </w:r>
            <w:r w:rsidRPr="00770F9D">
              <w:rPr>
                <w:rFonts w:ascii="Garamond" w:hAnsi="Garamond" w:cstheme="majorBidi"/>
                <w:color w:val="0D0D0D" w:themeColor="text1" w:themeTint="F2"/>
                <w:sz w:val="20"/>
                <w:szCs w:val="20"/>
              </w:rPr>
              <w:t>ul</w:t>
            </w:r>
            <w:r>
              <w:rPr>
                <w:rFonts w:ascii="Garamond" w:hAnsi="Garamond" w:cstheme="majorBidi"/>
                <w:color w:val="0D0D0D" w:themeColor="text1" w:themeTint="F2"/>
                <w:sz w:val="20"/>
                <w:szCs w:val="20"/>
              </w:rPr>
              <w:t>ë</w:t>
            </w:r>
            <w:r w:rsidRPr="00770F9D">
              <w:rPr>
                <w:rFonts w:ascii="Garamond" w:hAnsi="Garamond" w:cstheme="majorBidi"/>
                <w:color w:val="0D0D0D" w:themeColor="text1" w:themeTint="F2"/>
                <w:sz w:val="20"/>
                <w:szCs w:val="20"/>
              </w:rPr>
              <w:t>t</w:t>
            </w:r>
          </w:p>
        </w:tc>
        <w:tc>
          <w:tcPr>
            <w:tcW w:w="3957" w:type="dxa"/>
          </w:tcPr>
          <w:p w14:paraId="5FD7237B" w14:textId="65C957CE" w:rsidR="00E825A5" w:rsidRPr="00770F9D" w:rsidRDefault="00E825A5" w:rsidP="00882BE3">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Masat mbështetëse për fëmijët dhe prindërit Bashkëpunimi me komunitetin në këtë proces</w:t>
            </w:r>
          </w:p>
        </w:tc>
      </w:tr>
      <w:tr w:rsidR="00E825A5" w:rsidRPr="00770F9D" w14:paraId="7B24FA3A" w14:textId="77777777" w:rsidTr="000C4ECA">
        <w:trPr>
          <w:jc w:val="center"/>
        </w:trPr>
        <w:tc>
          <w:tcPr>
            <w:tcW w:w="4248" w:type="dxa"/>
          </w:tcPr>
          <w:p w14:paraId="4D8D76BA" w14:textId="4DC9AF38" w:rsidR="00E825A5" w:rsidRPr="00770F9D" w:rsidRDefault="00E825A5" w:rsidP="005E279E">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Mungesa e fondeve të mjaftueshme për të</w:t>
            </w:r>
            <w:r w:rsidR="00882BE3">
              <w:rPr>
                <w:rFonts w:ascii="Garamond" w:hAnsi="Garamond" w:cstheme="majorBidi"/>
                <w:color w:val="0D0D0D" w:themeColor="text1" w:themeTint="F2"/>
                <w:sz w:val="20"/>
                <w:szCs w:val="20"/>
              </w:rPr>
              <w:t xml:space="preserve"> punësuar/punuar mësues ndihmës</w:t>
            </w:r>
          </w:p>
        </w:tc>
        <w:tc>
          <w:tcPr>
            <w:tcW w:w="1417" w:type="dxa"/>
          </w:tcPr>
          <w:p w14:paraId="4710AB57" w14:textId="4B368EF8" w:rsidR="00E825A5" w:rsidRPr="00770F9D" w:rsidRDefault="000C4ECA" w:rsidP="000C4ECA">
            <w:pPr>
              <w:snapToGrid w:val="0"/>
              <w:rPr>
                <w:rFonts w:ascii="Garamond" w:hAnsi="Garamond" w:cstheme="majorBidi"/>
                <w:color w:val="0D0D0D" w:themeColor="text1" w:themeTint="F2"/>
                <w:sz w:val="20"/>
                <w:szCs w:val="20"/>
              </w:rPr>
            </w:pPr>
            <w:r>
              <w:rPr>
                <w:rFonts w:ascii="Garamond" w:hAnsi="Garamond" w:cstheme="majorBidi"/>
                <w:color w:val="0D0D0D" w:themeColor="text1" w:themeTint="F2"/>
                <w:sz w:val="20"/>
                <w:szCs w:val="20"/>
              </w:rPr>
              <w:t xml:space="preserve">I </w:t>
            </w:r>
            <w:r w:rsidRPr="00770F9D">
              <w:rPr>
                <w:rFonts w:ascii="Garamond" w:hAnsi="Garamond" w:cstheme="majorBidi"/>
                <w:color w:val="0D0D0D" w:themeColor="text1" w:themeTint="F2"/>
                <w:sz w:val="20"/>
                <w:szCs w:val="20"/>
              </w:rPr>
              <w:t>ul</w:t>
            </w:r>
            <w:r>
              <w:rPr>
                <w:rFonts w:ascii="Garamond" w:hAnsi="Garamond" w:cstheme="majorBidi"/>
                <w:color w:val="0D0D0D" w:themeColor="text1" w:themeTint="F2"/>
                <w:sz w:val="20"/>
                <w:szCs w:val="20"/>
              </w:rPr>
              <w:t>ë</w:t>
            </w:r>
            <w:r w:rsidRPr="00770F9D">
              <w:rPr>
                <w:rFonts w:ascii="Garamond" w:hAnsi="Garamond" w:cstheme="majorBidi"/>
                <w:color w:val="0D0D0D" w:themeColor="text1" w:themeTint="F2"/>
                <w:sz w:val="20"/>
                <w:szCs w:val="20"/>
              </w:rPr>
              <w:t>t</w:t>
            </w:r>
          </w:p>
        </w:tc>
        <w:tc>
          <w:tcPr>
            <w:tcW w:w="3957" w:type="dxa"/>
          </w:tcPr>
          <w:p w14:paraId="658A066A" w14:textId="783A60B6" w:rsidR="00E825A5" w:rsidRPr="00770F9D" w:rsidRDefault="00E825A5" w:rsidP="00882BE3">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Planifikimi vjetor i buxhetit</w:t>
            </w:r>
          </w:p>
        </w:tc>
      </w:tr>
    </w:tbl>
    <w:p w14:paraId="54A08E96" w14:textId="77777777" w:rsidR="004F59F4" w:rsidRPr="00770F9D" w:rsidRDefault="004F59F4" w:rsidP="00400806">
      <w:pPr>
        <w:snapToGrid w:val="0"/>
        <w:ind w:firstLine="284"/>
        <w:jc w:val="both"/>
        <w:rPr>
          <w:rFonts w:ascii="Garamond" w:hAnsi="Garamond" w:cstheme="majorBidi"/>
          <w:color w:val="0D0D0D" w:themeColor="text1" w:themeTint="F2"/>
        </w:rPr>
      </w:pPr>
    </w:p>
    <w:p w14:paraId="238E8211" w14:textId="3DF0A306" w:rsidR="00F30712" w:rsidRPr="00770F9D" w:rsidRDefault="00B2062A" w:rsidP="00400806">
      <w:pPr>
        <w:pStyle w:val="Heading5"/>
        <w:snapToGrid w:val="0"/>
        <w:ind w:left="0" w:firstLine="284"/>
        <w:jc w:val="both"/>
        <w:rPr>
          <w:rFonts w:ascii="Garamond" w:hAnsi="Garamond" w:cstheme="majorBidi"/>
          <w:i w:val="0"/>
          <w:color w:val="0D0D0D" w:themeColor="text1" w:themeTint="F2"/>
          <w:sz w:val="24"/>
          <w:szCs w:val="24"/>
        </w:rPr>
      </w:pPr>
      <w:r w:rsidRPr="00770F9D">
        <w:rPr>
          <w:rFonts w:ascii="Garamond" w:hAnsi="Garamond" w:cstheme="majorBidi"/>
          <w:i w:val="0"/>
          <w:color w:val="0D0D0D" w:themeColor="text1" w:themeTint="F2"/>
          <w:sz w:val="24"/>
          <w:szCs w:val="24"/>
        </w:rPr>
        <w:t>Masa e reformës</w:t>
      </w:r>
      <w:r w:rsidR="00882BE3">
        <w:rPr>
          <w:rFonts w:ascii="Garamond" w:hAnsi="Garamond" w:cstheme="majorBidi"/>
          <w:i w:val="0"/>
          <w:color w:val="0D0D0D" w:themeColor="text1" w:themeTint="F2"/>
          <w:sz w:val="24"/>
          <w:szCs w:val="24"/>
        </w:rPr>
        <w:t xml:space="preserve"> </w:t>
      </w:r>
      <w:r w:rsidR="005358F8" w:rsidRPr="00770F9D">
        <w:rPr>
          <w:rFonts w:ascii="Garamond" w:hAnsi="Garamond" w:cstheme="majorBidi"/>
          <w:i w:val="0"/>
          <w:color w:val="0D0D0D" w:themeColor="text1" w:themeTint="F2"/>
          <w:sz w:val="24"/>
          <w:szCs w:val="24"/>
        </w:rPr>
        <w:t>19</w:t>
      </w:r>
      <w:r w:rsidR="00F30712" w:rsidRPr="00770F9D">
        <w:rPr>
          <w:rFonts w:ascii="Garamond" w:hAnsi="Garamond" w:cstheme="majorBidi"/>
          <w:i w:val="0"/>
          <w:color w:val="0D0D0D" w:themeColor="text1" w:themeTint="F2"/>
          <w:sz w:val="24"/>
          <w:szCs w:val="24"/>
        </w:rPr>
        <w:t>:</w:t>
      </w:r>
      <w:r w:rsidR="005E279E" w:rsidRPr="00770F9D">
        <w:rPr>
          <w:rFonts w:ascii="Garamond" w:hAnsi="Garamond" w:cstheme="majorBidi"/>
          <w:i w:val="0"/>
          <w:color w:val="0D0D0D" w:themeColor="text1" w:themeTint="F2"/>
          <w:sz w:val="24"/>
          <w:szCs w:val="24"/>
        </w:rPr>
        <w:t xml:space="preserve"> </w:t>
      </w:r>
      <w:r w:rsidR="002C526F" w:rsidRPr="00770F9D">
        <w:rPr>
          <w:rFonts w:ascii="Garamond" w:hAnsi="Garamond" w:cstheme="majorBidi"/>
          <w:i w:val="0"/>
          <w:color w:val="0D0D0D" w:themeColor="text1" w:themeTint="F2"/>
          <w:sz w:val="24"/>
          <w:szCs w:val="24"/>
        </w:rPr>
        <w:t>Zhv</w:t>
      </w:r>
      <w:r w:rsidR="002470D6" w:rsidRPr="00770F9D">
        <w:rPr>
          <w:rFonts w:ascii="Garamond" w:hAnsi="Garamond" w:cstheme="majorBidi"/>
          <w:i w:val="0"/>
          <w:color w:val="0D0D0D" w:themeColor="text1" w:themeTint="F2"/>
          <w:sz w:val="24"/>
          <w:szCs w:val="24"/>
        </w:rPr>
        <w:t>illimi dhe fuqizimi i kompetencave</w:t>
      </w:r>
      <w:r w:rsidR="002C526F" w:rsidRPr="00770F9D">
        <w:rPr>
          <w:rFonts w:ascii="Garamond" w:hAnsi="Garamond" w:cstheme="majorBidi"/>
          <w:i w:val="0"/>
          <w:color w:val="0D0D0D" w:themeColor="text1" w:themeTint="F2"/>
          <w:sz w:val="24"/>
          <w:szCs w:val="24"/>
        </w:rPr>
        <w:t xml:space="preserve"> digjitale</w:t>
      </w:r>
      <w:r w:rsidR="002470D6" w:rsidRPr="00770F9D">
        <w:rPr>
          <w:rFonts w:ascii="Garamond" w:hAnsi="Garamond" w:cstheme="majorBidi"/>
          <w:i w:val="0"/>
          <w:color w:val="0D0D0D" w:themeColor="text1" w:themeTint="F2"/>
          <w:sz w:val="24"/>
          <w:szCs w:val="24"/>
        </w:rPr>
        <w:t xml:space="preserve"> të mësuesve</w:t>
      </w:r>
    </w:p>
    <w:p w14:paraId="2D209E5E" w14:textId="793B2B98" w:rsidR="00F30712" w:rsidRPr="00770F9D" w:rsidRDefault="005674F2"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 xml:space="preserve">1. </w:t>
      </w:r>
      <w:r w:rsidR="00B2062A" w:rsidRPr="00770F9D">
        <w:rPr>
          <w:rFonts w:ascii="Garamond" w:hAnsi="Garamond" w:cstheme="majorBidi"/>
          <w:color w:val="0D0D0D" w:themeColor="text1" w:themeTint="F2"/>
          <w:u w:val="none"/>
        </w:rPr>
        <w:t>Përshkrimi i masës</w:t>
      </w:r>
    </w:p>
    <w:p w14:paraId="57684DF8" w14:textId="77777777" w:rsidR="003A5B7E" w:rsidRPr="00770F9D" w:rsidRDefault="003A5B7E"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TIK-u ka ndikuar shumë në mënyrën e ofrimit të shërbimeve arsimore, pasi ka potencialin për t'u ofruar studentëve mësim gjatë gjithë jetës, pjesëmarrje të plotë në shoqëri dhe sukses në jetën profesionale. Arritja e këtij qëllimi dikton zhvillimin e njohurive dhe aftësive digjitale të nxënësve dhe mësuesve. Studentët sot jetojnë dhe rriten në një botë digjitale, por edhe ata kanë nevojë për mbështetje në zhvillimin e kompetencës digjitale. Sfida më e madhe është për mësuesit. Përveç kompetencave digjitale të nevojshme për jetën e përditshme, mësuesit kanë nevojë për kompetenca specifike digjitale që u mundësojnë përdorimin e teknologjisë për të mbështetur, përmirësuar dhe transformuar procesin e mësimdhënies, si dhe për përgjegjësi të tjera në shkollë.</w:t>
      </w:r>
    </w:p>
    <w:p w14:paraId="57840A6B" w14:textId="39925D3F" w:rsidR="003A5B7E" w:rsidRPr="00770F9D" w:rsidRDefault="003A5B7E"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Në nivel evropian, këto kompetenca janë të përfshira në një kornizë kompetencash për mësuesit </w:t>
      </w:r>
      <w:r w:rsidRPr="0058607E">
        <w:rPr>
          <w:rFonts w:ascii="Garamond" w:hAnsi="Garamond" w:cstheme="majorBidi"/>
          <w:i/>
          <w:iCs/>
          <w:color w:val="0D0D0D" w:themeColor="text1" w:themeTint="F2"/>
        </w:rPr>
        <w:t>(European Framework for Digital Teacher Competence, DigComEdu).</w:t>
      </w:r>
      <w:r w:rsidRPr="00770F9D">
        <w:rPr>
          <w:rFonts w:ascii="Garamond" w:hAnsi="Garamond" w:cstheme="majorBidi"/>
          <w:color w:val="0D0D0D" w:themeColor="text1" w:themeTint="F2"/>
        </w:rPr>
        <w:t xml:space="preserve"> UNESCO ka zhvilluar</w:t>
      </w:r>
      <w:r w:rsidR="004D16DA">
        <w:rPr>
          <w:rFonts w:ascii="Garamond" w:hAnsi="Garamond" w:cstheme="majorBidi"/>
          <w:color w:val="0D0D0D" w:themeColor="text1" w:themeTint="F2"/>
        </w:rPr>
        <w:t>,</w:t>
      </w:r>
      <w:r w:rsidRPr="00770F9D">
        <w:rPr>
          <w:rFonts w:ascii="Garamond" w:hAnsi="Garamond" w:cstheme="majorBidi"/>
          <w:color w:val="0D0D0D" w:themeColor="text1" w:themeTint="F2"/>
        </w:rPr>
        <w:t xml:space="preserve"> gjithashtu</w:t>
      </w:r>
      <w:r w:rsidR="004D16DA">
        <w:rPr>
          <w:rFonts w:ascii="Garamond" w:hAnsi="Garamond" w:cstheme="majorBidi"/>
          <w:color w:val="0D0D0D" w:themeColor="text1" w:themeTint="F2"/>
        </w:rPr>
        <w:t>,</w:t>
      </w:r>
      <w:r w:rsidRPr="00770F9D">
        <w:rPr>
          <w:rFonts w:ascii="Garamond" w:hAnsi="Garamond" w:cstheme="majorBidi"/>
          <w:color w:val="0D0D0D" w:themeColor="text1" w:themeTint="F2"/>
        </w:rPr>
        <w:t xml:space="preserve"> </w:t>
      </w:r>
      <w:r w:rsidR="004D16DA" w:rsidRPr="00770F9D">
        <w:rPr>
          <w:rFonts w:ascii="Garamond" w:hAnsi="Garamond" w:cstheme="majorBidi"/>
          <w:color w:val="0D0D0D" w:themeColor="text1" w:themeTint="F2"/>
        </w:rPr>
        <w:t xml:space="preserve">kornizën e kompetencave </w:t>
      </w:r>
      <w:r w:rsidRPr="00770F9D">
        <w:rPr>
          <w:rFonts w:ascii="Garamond" w:hAnsi="Garamond" w:cstheme="majorBidi"/>
          <w:color w:val="0D0D0D" w:themeColor="text1" w:themeTint="F2"/>
        </w:rPr>
        <w:t xml:space="preserve">të TIK-ut për </w:t>
      </w:r>
      <w:r w:rsidR="004D16DA" w:rsidRPr="00770F9D">
        <w:rPr>
          <w:rFonts w:ascii="Garamond" w:hAnsi="Garamond" w:cstheme="majorBidi"/>
          <w:color w:val="0D0D0D" w:themeColor="text1" w:themeTint="F2"/>
        </w:rPr>
        <w:t xml:space="preserve">mësuesit </w:t>
      </w:r>
      <w:r w:rsidRPr="00770F9D">
        <w:rPr>
          <w:rFonts w:ascii="Garamond" w:hAnsi="Garamond" w:cstheme="majorBidi"/>
          <w:color w:val="0D0D0D" w:themeColor="text1" w:themeTint="F2"/>
        </w:rPr>
        <w:t>(ICT CFT, versioni 3), si një dokument për të udhëhequr zhvillimin e mësuesve në përdorimin e TIK-ut.</w:t>
      </w:r>
    </w:p>
    <w:p w14:paraId="7F909737" w14:textId="519562A9" w:rsidR="003A5B7E" w:rsidRPr="00770F9D" w:rsidRDefault="003A5B7E" w:rsidP="0008725F">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Ministria e Arsimit dhe Sportit, duke u mbështetur në trendet botërore të arsimit sot, ka vendosur si prioritet integrimin e TIK-ut dhe digjitalizimin e arsimit në Strategjinë Kombëtare të Arsimit, 2021</w:t>
      </w:r>
      <w:r w:rsidR="0008725F">
        <w:rPr>
          <w:rFonts w:ascii="Garamond" w:hAnsi="Garamond"/>
          <w:color w:val="0D0D0D"/>
        </w:rPr>
        <w:t>–</w:t>
      </w:r>
      <w:r w:rsidRPr="00770F9D">
        <w:rPr>
          <w:rFonts w:ascii="Garamond" w:hAnsi="Garamond" w:cstheme="majorBidi"/>
          <w:color w:val="0D0D0D" w:themeColor="text1" w:themeTint="F2"/>
        </w:rPr>
        <w:t>2026. MAS</w:t>
      </w:r>
      <w:r w:rsidR="0008725F">
        <w:rPr>
          <w:rFonts w:ascii="Garamond" w:hAnsi="Garamond" w:cstheme="majorBidi"/>
          <w:color w:val="0D0D0D" w:themeColor="text1" w:themeTint="F2"/>
        </w:rPr>
        <w:t>-i</w:t>
      </w:r>
      <w:r w:rsidRPr="00770F9D">
        <w:rPr>
          <w:rFonts w:ascii="Garamond" w:hAnsi="Garamond" w:cstheme="majorBidi"/>
          <w:color w:val="0D0D0D" w:themeColor="text1" w:themeTint="F2"/>
        </w:rPr>
        <w:t xml:space="preserve"> ka planifikuar hartimin dhe zbatimin e programeve të TIK-ut për herë të parë vit pas viti</w:t>
      </w:r>
      <w:r w:rsidR="0008725F">
        <w:rPr>
          <w:rFonts w:ascii="Garamond" w:hAnsi="Garamond" w:cstheme="majorBidi"/>
          <w:color w:val="0D0D0D" w:themeColor="text1" w:themeTint="F2"/>
        </w:rPr>
        <w:t>,</w:t>
      </w:r>
      <w:r w:rsidRPr="00770F9D">
        <w:rPr>
          <w:rFonts w:ascii="Garamond" w:hAnsi="Garamond" w:cstheme="majorBidi"/>
          <w:color w:val="0D0D0D" w:themeColor="text1" w:themeTint="F2"/>
        </w:rPr>
        <w:t xml:space="preserve"> duke filluar nga klasa I </w:t>
      </w:r>
      <w:r w:rsidR="0008725F">
        <w:rPr>
          <w:rFonts w:ascii="Garamond" w:hAnsi="Garamond" w:cstheme="majorBidi"/>
          <w:color w:val="0D0D0D" w:themeColor="text1" w:themeTint="F2"/>
        </w:rPr>
        <w:t>m</w:t>
      </w:r>
      <w:r w:rsidRPr="00770F9D">
        <w:rPr>
          <w:rFonts w:ascii="Garamond" w:hAnsi="Garamond" w:cstheme="majorBidi"/>
          <w:color w:val="0D0D0D" w:themeColor="text1" w:themeTint="F2"/>
        </w:rPr>
        <w:t>ë 2022</w:t>
      </w:r>
      <w:r w:rsidR="0008725F">
        <w:rPr>
          <w:rFonts w:ascii="Garamond" w:hAnsi="Garamond" w:cstheme="majorBidi"/>
          <w:color w:val="0D0D0D" w:themeColor="text1" w:themeTint="F2"/>
        </w:rPr>
        <w:t>-shin</w:t>
      </w:r>
      <w:r w:rsidRPr="00770F9D">
        <w:rPr>
          <w:rFonts w:ascii="Garamond" w:hAnsi="Garamond" w:cstheme="majorBidi"/>
          <w:color w:val="0D0D0D" w:themeColor="text1" w:themeTint="F2"/>
        </w:rPr>
        <w:t xml:space="preserve">, klasa II </w:t>
      </w:r>
      <w:r w:rsidR="0008725F">
        <w:rPr>
          <w:rFonts w:ascii="Garamond" w:hAnsi="Garamond" w:cstheme="majorBidi"/>
          <w:color w:val="0D0D0D" w:themeColor="text1" w:themeTint="F2"/>
        </w:rPr>
        <w:t>m</w:t>
      </w:r>
      <w:r w:rsidRPr="00770F9D">
        <w:rPr>
          <w:rFonts w:ascii="Garamond" w:hAnsi="Garamond" w:cstheme="majorBidi"/>
          <w:color w:val="0D0D0D" w:themeColor="text1" w:themeTint="F2"/>
        </w:rPr>
        <w:t>ë 2023</w:t>
      </w:r>
      <w:r w:rsidR="0008725F">
        <w:rPr>
          <w:rFonts w:ascii="Garamond" w:hAnsi="Garamond" w:cstheme="majorBidi"/>
          <w:color w:val="0D0D0D" w:themeColor="text1" w:themeTint="F2"/>
        </w:rPr>
        <w:t>-shin</w:t>
      </w:r>
      <w:r w:rsidRPr="00770F9D">
        <w:rPr>
          <w:rFonts w:ascii="Garamond" w:hAnsi="Garamond" w:cstheme="majorBidi"/>
          <w:color w:val="0D0D0D" w:themeColor="text1" w:themeTint="F2"/>
        </w:rPr>
        <w:t xml:space="preserve"> dhe klasa III në 2024</w:t>
      </w:r>
      <w:r w:rsidR="0008725F">
        <w:rPr>
          <w:rFonts w:ascii="Garamond" w:hAnsi="Garamond" w:cstheme="majorBidi"/>
          <w:color w:val="0D0D0D" w:themeColor="text1" w:themeTint="F2"/>
        </w:rPr>
        <w:t>-n</w:t>
      </w:r>
      <w:r w:rsidRPr="00770F9D">
        <w:rPr>
          <w:rFonts w:ascii="Garamond" w:hAnsi="Garamond" w:cstheme="majorBidi"/>
          <w:color w:val="0D0D0D" w:themeColor="text1" w:themeTint="F2"/>
        </w:rPr>
        <w:t>.</w:t>
      </w:r>
    </w:p>
    <w:p w14:paraId="69060BD8" w14:textId="0A1A9577" w:rsidR="003A5B7E" w:rsidRPr="00770F9D" w:rsidRDefault="003A5B7E"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Përmirësimi i infrastrukturës digjitale, zhvillimi i vazhdueshëm profesional i mësuesve dhe </w:t>
      </w:r>
      <w:r w:rsidR="002933F7">
        <w:rPr>
          <w:rFonts w:ascii="Garamond" w:hAnsi="Garamond" w:cstheme="majorBidi"/>
          <w:color w:val="0D0D0D" w:themeColor="text1" w:themeTint="F2"/>
        </w:rPr>
        <w:t xml:space="preserve">i </w:t>
      </w:r>
      <w:r w:rsidRPr="00770F9D">
        <w:rPr>
          <w:rFonts w:ascii="Garamond" w:hAnsi="Garamond" w:cstheme="majorBidi"/>
          <w:color w:val="0D0D0D" w:themeColor="text1" w:themeTint="F2"/>
        </w:rPr>
        <w:t>drejtorëve të shkollav</w:t>
      </w:r>
      <w:r w:rsidR="002933F7">
        <w:rPr>
          <w:rFonts w:ascii="Garamond" w:hAnsi="Garamond" w:cstheme="majorBidi"/>
          <w:color w:val="0D0D0D" w:themeColor="text1" w:themeTint="F2"/>
        </w:rPr>
        <w:t>e, mirëmbajtja e pajisjeve etj.</w:t>
      </w:r>
      <w:r w:rsidRPr="00770F9D">
        <w:rPr>
          <w:rFonts w:ascii="Garamond" w:hAnsi="Garamond" w:cstheme="majorBidi"/>
          <w:color w:val="0D0D0D" w:themeColor="text1" w:themeTint="F2"/>
        </w:rPr>
        <w:t xml:space="preserve"> vazhdojnë të mbeten prioritete për të ardhmen. Deri më tani, për zhvillimin e aftësive digjitale janë arritur:</w:t>
      </w:r>
    </w:p>
    <w:p w14:paraId="0D0A4696" w14:textId="4B4311CC" w:rsidR="005674F2" w:rsidRPr="00770F9D" w:rsidRDefault="005674F2" w:rsidP="002933F7">
      <w:pPr>
        <w:tabs>
          <w:tab w:val="left" w:pos="0"/>
        </w:tabs>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a</w:t>
      </w:r>
      <w:r w:rsidR="002933F7">
        <w:rPr>
          <w:rFonts w:ascii="Garamond" w:hAnsi="Garamond" w:cs="Garamond"/>
          <w:color w:val="0D0D0D"/>
          <w:lang w:eastAsia="sq-AL"/>
        </w:rPr>
        <w:t>)</w:t>
      </w:r>
      <w:r w:rsidR="00BA4F1A" w:rsidRPr="00770F9D">
        <w:rPr>
          <w:rFonts w:ascii="Garamond" w:hAnsi="Garamond" w:cs="Garamond"/>
          <w:color w:val="0D0D0D"/>
          <w:lang w:eastAsia="sq-AL"/>
        </w:rPr>
        <w:t xml:space="preserve"> </w:t>
      </w:r>
      <w:r w:rsidRPr="00770F9D">
        <w:rPr>
          <w:rFonts w:ascii="Garamond" w:hAnsi="Garamond" w:cs="Garamond"/>
          <w:color w:val="0D0D0D"/>
          <w:lang w:eastAsia="sq-AL"/>
        </w:rPr>
        <w:t>Miratimi i standardeve profesionale të mësuesve për përdorimin e TIK-ut në procesin mësimor</w:t>
      </w:r>
      <w:r w:rsidR="002933F7">
        <w:rPr>
          <w:rFonts w:ascii="Garamond" w:hAnsi="Garamond" w:cs="Garamond"/>
          <w:color w:val="0D0D0D"/>
          <w:lang w:eastAsia="sq-AL"/>
        </w:rPr>
        <w:t>;</w:t>
      </w:r>
    </w:p>
    <w:p w14:paraId="5E4292E6" w14:textId="381F5C27" w:rsidR="005674F2" w:rsidRPr="00770F9D" w:rsidRDefault="005674F2" w:rsidP="002933F7">
      <w:pPr>
        <w:tabs>
          <w:tab w:val="left" w:pos="0"/>
        </w:tabs>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b</w:t>
      </w:r>
      <w:r w:rsidR="002933F7">
        <w:rPr>
          <w:rFonts w:ascii="Garamond" w:hAnsi="Garamond" w:cs="Garamond"/>
          <w:color w:val="0D0D0D"/>
          <w:lang w:eastAsia="sq-AL"/>
        </w:rPr>
        <w:t>)</w:t>
      </w:r>
      <w:r w:rsidR="00BA4F1A" w:rsidRPr="00770F9D">
        <w:rPr>
          <w:rFonts w:ascii="Garamond" w:hAnsi="Garamond" w:cs="Garamond"/>
          <w:color w:val="0D0D0D"/>
          <w:lang w:eastAsia="sq-AL"/>
        </w:rPr>
        <w:t xml:space="preserve"> </w:t>
      </w:r>
      <w:r w:rsidRPr="00770F9D">
        <w:rPr>
          <w:rFonts w:ascii="Garamond" w:hAnsi="Garamond" w:cs="Garamond"/>
          <w:color w:val="0D0D0D"/>
          <w:lang w:eastAsia="sq-AL"/>
        </w:rPr>
        <w:t>Hartimi i udhëzimeve për përdorimin e TIK-ut në procesin mësimor</w:t>
      </w:r>
      <w:r w:rsidR="002933F7">
        <w:rPr>
          <w:rFonts w:ascii="Garamond" w:hAnsi="Garamond" w:cs="Garamond"/>
          <w:color w:val="0D0D0D"/>
          <w:lang w:eastAsia="sq-AL"/>
        </w:rPr>
        <w:t>;</w:t>
      </w:r>
    </w:p>
    <w:p w14:paraId="3B0A7A6A" w14:textId="29AE8466" w:rsidR="005674F2" w:rsidRPr="00770F9D" w:rsidRDefault="005674F2" w:rsidP="002933F7">
      <w:pPr>
        <w:tabs>
          <w:tab w:val="left" w:pos="0"/>
        </w:tabs>
        <w:autoSpaceDE w:val="0"/>
        <w:autoSpaceDN w:val="0"/>
        <w:adjustRightInd w:val="0"/>
        <w:ind w:firstLine="284"/>
        <w:jc w:val="both"/>
        <w:rPr>
          <w:rFonts w:ascii="Garamond" w:hAnsi="Garamond" w:cs="Garamond"/>
          <w:color w:val="0D0D0D"/>
          <w:lang w:eastAsia="sq-AL"/>
        </w:rPr>
      </w:pPr>
      <w:r w:rsidRPr="00770F9D">
        <w:rPr>
          <w:rFonts w:ascii="Garamond" w:hAnsi="Garamond" w:cs="Garamond"/>
          <w:color w:val="0D0D0D"/>
          <w:lang w:eastAsia="sq-AL"/>
        </w:rPr>
        <w:t>c</w:t>
      </w:r>
      <w:r w:rsidR="002933F7">
        <w:rPr>
          <w:rFonts w:ascii="Garamond" w:hAnsi="Garamond" w:cs="Garamond"/>
          <w:color w:val="0D0D0D"/>
          <w:lang w:eastAsia="sq-AL"/>
        </w:rPr>
        <w:t>)</w:t>
      </w:r>
      <w:r w:rsidR="00BA4F1A" w:rsidRPr="00770F9D">
        <w:rPr>
          <w:rFonts w:ascii="Garamond" w:hAnsi="Garamond" w:cs="Garamond"/>
          <w:color w:val="0D0D0D"/>
          <w:lang w:eastAsia="sq-AL"/>
        </w:rPr>
        <w:t xml:space="preserve"> </w:t>
      </w:r>
      <w:r w:rsidRPr="00770F9D">
        <w:rPr>
          <w:rFonts w:ascii="Garamond" w:hAnsi="Garamond" w:cs="Garamond"/>
          <w:color w:val="0D0D0D"/>
          <w:lang w:eastAsia="sq-AL"/>
        </w:rPr>
        <w:t xml:space="preserve">Miratimi i moduleve dhe </w:t>
      </w:r>
      <w:r w:rsidR="00432FDB">
        <w:rPr>
          <w:rFonts w:ascii="Garamond" w:hAnsi="Garamond" w:cs="Garamond"/>
          <w:color w:val="0D0D0D"/>
          <w:lang w:eastAsia="sq-AL"/>
        </w:rPr>
        <w:t xml:space="preserve">i </w:t>
      </w:r>
      <w:r w:rsidRPr="00770F9D">
        <w:rPr>
          <w:rFonts w:ascii="Garamond" w:hAnsi="Garamond" w:cs="Garamond"/>
          <w:color w:val="0D0D0D"/>
          <w:lang w:eastAsia="sq-AL"/>
        </w:rPr>
        <w:t>materialeve për trajnimin e mësuesve.</w:t>
      </w:r>
    </w:p>
    <w:p w14:paraId="5F475797" w14:textId="7A9839D9" w:rsidR="003A5B7E" w:rsidRPr="00770F9D" w:rsidRDefault="003A5B7E"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Rreth 1200 mësues të TIK-ut janë trajnuar për përdorimin e platformës akademi.al</w:t>
      </w:r>
      <w:r w:rsidR="00BA2EFE">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dhe 5508 mësues për përdorimin e platformave </w:t>
      </w:r>
      <w:r w:rsidRPr="00BA2EFE">
        <w:rPr>
          <w:rFonts w:ascii="Garamond" w:hAnsi="Garamond" w:cstheme="majorBidi"/>
          <w:i/>
          <w:iCs/>
          <w:color w:val="0D0D0D" w:themeColor="text1" w:themeTint="F2"/>
        </w:rPr>
        <w:t>online</w:t>
      </w:r>
      <w:r w:rsidRPr="00770F9D">
        <w:rPr>
          <w:rFonts w:ascii="Garamond" w:hAnsi="Garamond" w:cstheme="majorBidi"/>
          <w:color w:val="0D0D0D" w:themeColor="text1" w:themeTint="F2"/>
        </w:rPr>
        <w:t xml:space="preserve"> në procesin mësimor, 724 drejtues të rrjeteve profesionale në përdorimin e TIK-ut në vlerësimin e nxënësve në bazë të kompetencave.</w:t>
      </w:r>
    </w:p>
    <w:p w14:paraId="4EF81B8A" w14:textId="77777777" w:rsidR="003A5B7E" w:rsidRPr="00770F9D" w:rsidRDefault="003A5B7E"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Shqipëria do të vazhdojë të investojë në pajisjet digjitale dhe aksesin në internet në shkolla. Në funksion të kësaj, duhet të sigurohet një ekuilibër midis investimeve që lidhen me kostot e pajisjeve dhe aksesit në internet dhe kostot e mirëmbajtjes teknike. Kjo përpjekje duhet të shoqërohet me sigurimin e pajisjeve në klasa, duke rritur ndjeshëm numrin e kompjuterëve që janë plotësisht funksionalë dhe të përdorshëm nga nxënësit në shkolla.</w:t>
      </w:r>
    </w:p>
    <w:p w14:paraId="1F455540" w14:textId="77777777" w:rsidR="003A5B7E" w:rsidRPr="00770F9D" w:rsidRDefault="003A5B7E"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Mirëmbajtja teknike e pajisjeve të TIK-ut përmes klubeve të studentëve dhe strukturës lokale arsimore është gjithashtu thelbësore. Në shkolla do të ngrihen klubet e nxënësve, të cilët së bashku me mësuesit e IT-së do të sigurojnë mirëmbajtjen teknike bazë të pajisjeve të TIK-ut, duke përfshirë instalimin dhe përditësimin e softuerit, konfigurimin e pajisjeve dhe parandalimin e defekteve të vogla. Për këto klube do të hartohen udhëzime të veçanta dhe do të sigurohen trajnime për mësuesit që drejtojnë klubet.</w:t>
      </w:r>
    </w:p>
    <w:p w14:paraId="41E4431B" w14:textId="40951A50" w:rsidR="003A5B7E" w:rsidRPr="00770F9D" w:rsidRDefault="003A5B7E"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Me </w:t>
      </w:r>
      <w:r w:rsidR="00BA2EFE" w:rsidRPr="00770F9D">
        <w:rPr>
          <w:rFonts w:ascii="Garamond" w:hAnsi="Garamond" w:cstheme="majorBidi"/>
          <w:color w:val="0D0D0D" w:themeColor="text1" w:themeTint="F2"/>
        </w:rPr>
        <w:t xml:space="preserve">vendimin </w:t>
      </w:r>
      <w:r w:rsidRPr="00770F9D">
        <w:rPr>
          <w:rFonts w:ascii="Garamond" w:hAnsi="Garamond" w:cstheme="majorBidi"/>
          <w:color w:val="0D0D0D" w:themeColor="text1" w:themeTint="F2"/>
        </w:rPr>
        <w:t>e Këshillit të Ministrave nr. 594, datë 7.9.2022</w:t>
      </w:r>
      <w:r w:rsidR="00BA2EFE">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 miratimin e </w:t>
      </w:r>
      <w:r w:rsidR="00BA2EFE" w:rsidRPr="00770F9D">
        <w:rPr>
          <w:rFonts w:ascii="Garamond" w:hAnsi="Garamond" w:cstheme="majorBidi"/>
          <w:color w:val="0D0D0D" w:themeColor="text1" w:themeTint="F2"/>
        </w:rPr>
        <w:t xml:space="preserve">memorandumit </w:t>
      </w:r>
      <w:r w:rsidRPr="00770F9D">
        <w:rPr>
          <w:rFonts w:ascii="Garamond" w:hAnsi="Garamond" w:cstheme="majorBidi"/>
          <w:color w:val="0D0D0D" w:themeColor="text1" w:themeTint="F2"/>
        </w:rPr>
        <w:t xml:space="preserve">të </w:t>
      </w:r>
      <w:r w:rsidR="00BA2EFE" w:rsidRPr="00770F9D">
        <w:rPr>
          <w:rFonts w:ascii="Garamond" w:hAnsi="Garamond" w:cstheme="majorBidi"/>
          <w:color w:val="0D0D0D" w:themeColor="text1" w:themeTint="F2"/>
        </w:rPr>
        <w:t xml:space="preserve">mirëkuptimit </w:t>
      </w:r>
      <w:r w:rsidRPr="00770F9D">
        <w:rPr>
          <w:rFonts w:ascii="Garamond" w:hAnsi="Garamond" w:cstheme="majorBidi"/>
          <w:color w:val="0D0D0D" w:themeColor="text1" w:themeTint="F2"/>
        </w:rPr>
        <w:t>ndërmjet Këshillit të Ministrave të Republikës së Shqipërisë dhe Fondacionit Shqiptaro-Amerikan për Zhvillim, për Zbatimin e projektit “</w:t>
      </w:r>
      <w:r w:rsidR="00BA2EFE" w:rsidRPr="00770F9D">
        <w:rPr>
          <w:rFonts w:ascii="Garamond" w:hAnsi="Garamond" w:cstheme="majorBidi"/>
          <w:color w:val="0D0D0D" w:themeColor="text1" w:themeTint="F2"/>
        </w:rPr>
        <w:t xml:space="preserve">Element </w:t>
      </w:r>
      <w:r w:rsidRPr="00770F9D">
        <w:rPr>
          <w:rFonts w:ascii="Garamond" w:hAnsi="Garamond" w:cstheme="majorBidi"/>
          <w:color w:val="0D0D0D" w:themeColor="text1" w:themeTint="F2"/>
        </w:rPr>
        <w:t xml:space="preserve">IT”. </w:t>
      </w:r>
      <w:r w:rsidRPr="00770F9D">
        <w:rPr>
          <w:rFonts w:ascii="Garamond" w:hAnsi="Garamond" w:cstheme="majorBidi"/>
          <w:iCs/>
          <w:color w:val="0D0D0D" w:themeColor="text1" w:themeTint="F2"/>
        </w:rPr>
        <w:t xml:space="preserve">Projekti </w:t>
      </w:r>
      <w:r w:rsidRPr="00770F9D">
        <w:rPr>
          <w:rFonts w:ascii="Garamond" w:hAnsi="Garamond" w:cstheme="majorBidi"/>
          <w:color w:val="0D0D0D" w:themeColor="text1" w:themeTint="F2"/>
        </w:rPr>
        <w:t>zbatohet në fazat e mëposhtme:</w:t>
      </w:r>
    </w:p>
    <w:p w14:paraId="482BF6FC" w14:textId="2899201E" w:rsidR="005674F2" w:rsidRPr="00770F9D" w:rsidRDefault="005674F2" w:rsidP="00400806">
      <w:pPr>
        <w:pStyle w:val="ListParagraph"/>
        <w:tabs>
          <w:tab w:val="left" w:pos="0"/>
        </w:tabs>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 xml:space="preserve">Viti 2022 – Zbatimi i kurrikulës TIK në klasat e para, në të paktën 100 shkolla publike të arsimit bazë në vend të pajisura me një laborator të teknologjisë së informacionit dhe komunikimit të quajtur </w:t>
      </w:r>
      <w:r w:rsidRPr="00BA2EFE">
        <w:rPr>
          <w:rFonts w:ascii="Garamond" w:hAnsi="Garamond" w:cs="Garamond"/>
          <w:i/>
          <w:iCs/>
          <w:color w:val="0D0D0D"/>
          <w:sz w:val="24"/>
          <w:szCs w:val="24"/>
          <w:lang w:val="sq-AL"/>
        </w:rPr>
        <w:t>Laborator Smart</w:t>
      </w:r>
      <w:r w:rsidRPr="00770F9D">
        <w:rPr>
          <w:rFonts w:ascii="Garamond" w:hAnsi="Garamond" w:cs="Garamond"/>
          <w:color w:val="0D0D0D"/>
          <w:sz w:val="24"/>
          <w:szCs w:val="24"/>
          <w:lang w:val="sq-AL"/>
        </w:rPr>
        <w:t xml:space="preserve"> (në vijim </w:t>
      </w:r>
      <w:r w:rsidRPr="00BA2EFE">
        <w:rPr>
          <w:rFonts w:ascii="Garamond" w:hAnsi="Garamond" w:cs="Garamond"/>
          <w:i/>
          <w:iCs/>
          <w:color w:val="0D0D0D"/>
          <w:sz w:val="24"/>
          <w:szCs w:val="24"/>
          <w:lang w:val="sq-AL"/>
        </w:rPr>
        <w:t>“Laborator Smart”);</w:t>
      </w:r>
      <w:r w:rsidRPr="00770F9D">
        <w:rPr>
          <w:rFonts w:ascii="Garamond" w:hAnsi="Garamond" w:cs="Garamond"/>
          <w:color w:val="0D0D0D"/>
          <w:sz w:val="24"/>
          <w:szCs w:val="24"/>
          <w:lang w:val="sq-AL"/>
        </w:rPr>
        <w:t xml:space="preserve"> Aktualisht janë trajnuar 100 mësues;</w:t>
      </w:r>
    </w:p>
    <w:p w14:paraId="59AEFD8F" w14:textId="4C5B2AA1" w:rsidR="005674F2" w:rsidRPr="00770F9D" w:rsidRDefault="005674F2" w:rsidP="00400806">
      <w:pPr>
        <w:pStyle w:val="ListParagraph"/>
        <w:tabs>
          <w:tab w:val="left" w:pos="0"/>
        </w:tabs>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 xml:space="preserve">Viti 2023 – Masa e zbatimit të kurrikulës TIK në klasat e para, në të gjitha shkollat e arsimit bazë publike të vendit të pajisura me </w:t>
      </w:r>
      <w:r w:rsidRPr="00BA2EFE">
        <w:rPr>
          <w:rFonts w:ascii="Garamond" w:hAnsi="Garamond" w:cs="Garamond"/>
          <w:i/>
          <w:iCs/>
          <w:color w:val="0D0D0D"/>
          <w:sz w:val="24"/>
          <w:szCs w:val="24"/>
          <w:lang w:val="sq-AL"/>
        </w:rPr>
        <w:t>Laborator Smart.</w:t>
      </w:r>
      <w:r w:rsidRPr="00770F9D">
        <w:rPr>
          <w:rFonts w:ascii="Garamond" w:hAnsi="Garamond" w:cs="Garamond"/>
          <w:color w:val="0D0D0D"/>
          <w:sz w:val="24"/>
          <w:szCs w:val="24"/>
          <w:lang w:val="sq-AL"/>
        </w:rPr>
        <w:t xml:space="preserve"> Hartimi, miratimi dhe zbatimi i kurrikulës TIK në klasat e dyta, në të paktën 100 shkolla publike të arsimit bazë të vendit;</w:t>
      </w:r>
    </w:p>
    <w:p w14:paraId="294232E3" w14:textId="0EC996B4" w:rsidR="005674F2" w:rsidRPr="00770F9D" w:rsidRDefault="005674F2" w:rsidP="00400806">
      <w:pPr>
        <w:pStyle w:val="ListParagraph"/>
        <w:tabs>
          <w:tab w:val="left" w:pos="0"/>
        </w:tabs>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 xml:space="preserve">Viti 2024 – Shtrirja e zbatimit të kurrikulës së TIK në klasat e dyta, në të gjitha shkollat publike të arsimit bazë të pajisura me </w:t>
      </w:r>
      <w:r w:rsidRPr="00BA2EFE">
        <w:rPr>
          <w:rFonts w:ascii="Garamond" w:hAnsi="Garamond" w:cs="Garamond"/>
          <w:i/>
          <w:iCs/>
          <w:color w:val="0D0D0D"/>
          <w:sz w:val="24"/>
          <w:szCs w:val="24"/>
          <w:lang w:val="sq-AL"/>
        </w:rPr>
        <w:t xml:space="preserve">Laborator Smart. </w:t>
      </w:r>
      <w:r w:rsidRPr="00770F9D">
        <w:rPr>
          <w:rFonts w:ascii="Garamond" w:hAnsi="Garamond" w:cs="Garamond"/>
          <w:color w:val="0D0D0D"/>
          <w:sz w:val="24"/>
          <w:szCs w:val="24"/>
          <w:lang w:val="sq-AL"/>
        </w:rPr>
        <w:t>Hartimi, miratimi dhe zbatimi i kurrikulës së TIK-ut në klasat e treta në të paktën 100 shkolla publike të arsimit bazë të vendit;</w:t>
      </w:r>
    </w:p>
    <w:p w14:paraId="6BA7036E" w14:textId="38FE7779" w:rsidR="005674F2" w:rsidRPr="00BA2EFE" w:rsidRDefault="005674F2" w:rsidP="00400806">
      <w:pPr>
        <w:pStyle w:val="ListParagraph"/>
        <w:tabs>
          <w:tab w:val="left" w:pos="0"/>
        </w:tabs>
        <w:ind w:left="0" w:firstLine="284"/>
        <w:jc w:val="both"/>
        <w:rPr>
          <w:rFonts w:ascii="Garamond" w:hAnsi="Garamond" w:cs="Garamond"/>
          <w:i/>
          <w:iCs/>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 xml:space="preserve">Viti 2025 – Masa e zbatimit të kurrikulës së TIK në klasat e treta, në të gjitha shkollat publike të arsimit bazë në vend të pajisura me </w:t>
      </w:r>
      <w:r w:rsidRPr="00BA2EFE">
        <w:rPr>
          <w:rFonts w:ascii="Garamond" w:hAnsi="Garamond" w:cs="Garamond"/>
          <w:i/>
          <w:iCs/>
          <w:color w:val="0D0D0D"/>
          <w:sz w:val="24"/>
          <w:szCs w:val="24"/>
          <w:lang w:val="sq-AL"/>
        </w:rPr>
        <w:t>Laborator Smart;</w:t>
      </w:r>
    </w:p>
    <w:p w14:paraId="013B926B" w14:textId="73A01570" w:rsidR="005674F2" w:rsidRPr="00770F9D" w:rsidRDefault="005674F2" w:rsidP="00400806">
      <w:pPr>
        <w:pStyle w:val="ListParagraph"/>
        <w:tabs>
          <w:tab w:val="left" w:pos="0"/>
        </w:tabs>
        <w:ind w:left="0" w:firstLine="284"/>
        <w:jc w:val="both"/>
        <w:rPr>
          <w:rFonts w:ascii="Garamond" w:hAnsi="Garamond" w:cs="Garamond"/>
          <w:color w:val="0D0D0D"/>
          <w:sz w:val="24"/>
          <w:szCs w:val="24"/>
          <w:lang w:val="sq-AL"/>
        </w:rPr>
      </w:pPr>
      <w:r w:rsidRPr="00770F9D">
        <w:rPr>
          <w:rFonts w:ascii="Garamond" w:hAnsi="Garamond"/>
          <w:color w:val="0D0D0D"/>
          <w:sz w:val="24"/>
          <w:szCs w:val="24"/>
          <w:lang w:val="sq-AL"/>
        </w:rPr>
        <w:t>-</w:t>
      </w:r>
      <w:r w:rsidR="00BA4F1A" w:rsidRPr="00770F9D">
        <w:rPr>
          <w:rFonts w:ascii="Garamond" w:hAnsi="Garamond"/>
          <w:color w:val="0D0D0D"/>
          <w:sz w:val="24"/>
          <w:szCs w:val="24"/>
          <w:lang w:val="sq-AL"/>
        </w:rPr>
        <w:t xml:space="preserve"> </w:t>
      </w:r>
      <w:r w:rsidRPr="00770F9D">
        <w:rPr>
          <w:rFonts w:ascii="Garamond" w:hAnsi="Garamond" w:cs="Garamond"/>
          <w:color w:val="0D0D0D"/>
          <w:sz w:val="24"/>
          <w:szCs w:val="24"/>
          <w:lang w:val="sq-AL"/>
        </w:rPr>
        <w:t>Viti 2026 – Vlerësimi i zbatimit dhe ndikimit të Projektit.</w:t>
      </w:r>
    </w:p>
    <w:p w14:paraId="656CC54C" w14:textId="25B08EB4" w:rsidR="005674F2" w:rsidRPr="00770F9D" w:rsidRDefault="005674F2" w:rsidP="00400806">
      <w:pPr>
        <w:ind w:firstLine="284"/>
        <w:jc w:val="both"/>
        <w:rPr>
          <w:rFonts w:ascii="Garamond" w:hAnsi="Garamond" w:cs="Garamond"/>
          <w:color w:val="0D0D0D"/>
        </w:rPr>
      </w:pPr>
      <w:r w:rsidRPr="00770F9D">
        <w:rPr>
          <w:rFonts w:ascii="Garamond" w:hAnsi="Garamond" w:cs="Garamond"/>
          <w:color w:val="0D0D0D"/>
        </w:rPr>
        <w:t xml:space="preserve">Me </w:t>
      </w:r>
      <w:r w:rsidR="00BA2EFE" w:rsidRPr="00770F9D">
        <w:rPr>
          <w:rFonts w:ascii="Garamond" w:hAnsi="Garamond" w:cs="Garamond"/>
          <w:color w:val="0D0D0D"/>
        </w:rPr>
        <w:t xml:space="preserve">vendimin </w:t>
      </w:r>
      <w:r w:rsidRPr="00770F9D">
        <w:rPr>
          <w:rFonts w:ascii="Garamond" w:hAnsi="Garamond" w:cs="Garamond"/>
          <w:color w:val="0D0D0D"/>
        </w:rPr>
        <w:t>e Këshillit të Ministrave nr. 742, datë 3.12.2021</w:t>
      </w:r>
      <w:r w:rsidR="00BA2EFE">
        <w:rPr>
          <w:rFonts w:ascii="Garamond" w:hAnsi="Garamond" w:cs="Garamond"/>
          <w:color w:val="0D0D0D"/>
        </w:rPr>
        <w:t>,</w:t>
      </w:r>
      <w:r w:rsidRPr="00770F9D">
        <w:rPr>
          <w:rFonts w:ascii="Garamond" w:hAnsi="Garamond" w:cs="Garamond"/>
          <w:color w:val="0D0D0D"/>
        </w:rPr>
        <w:t xml:space="preserve"> “Për krijimin e bazës së të dhënave shtetërore të sistemit të menaxhimit të informacionit parauniversitar (SMIP)”, është në zbatim SMIP.</w:t>
      </w:r>
    </w:p>
    <w:p w14:paraId="18D9D7D1" w14:textId="77777777" w:rsidR="005674F2" w:rsidRPr="00770F9D" w:rsidRDefault="005674F2" w:rsidP="00400806">
      <w:pPr>
        <w:ind w:firstLine="284"/>
        <w:jc w:val="both"/>
        <w:rPr>
          <w:rFonts w:ascii="Garamond" w:hAnsi="Garamond" w:cs="Garamond"/>
          <w:color w:val="0D0D0D"/>
        </w:rPr>
      </w:pPr>
      <w:r w:rsidRPr="00770F9D">
        <w:rPr>
          <w:rFonts w:ascii="Garamond" w:hAnsi="Garamond" w:cs="Garamond"/>
          <w:color w:val="0D0D0D"/>
        </w:rPr>
        <w:t>Kjo masë lidhet me Kriteret Ekonomike, për të qenë konkurrues në BE, gjë që kërkon një sasi të mjaftueshme kapitali njerëzor, arsim, kërkim, inovacion dhe zhvillime të ardhshme në këtë fushë.</w:t>
      </w:r>
    </w:p>
    <w:p w14:paraId="47290CB6" w14:textId="6775F652" w:rsidR="005674F2" w:rsidRPr="00770F9D" w:rsidRDefault="005674F2" w:rsidP="00BA2EFE">
      <w:pPr>
        <w:pStyle w:val="ListParagraph"/>
        <w:ind w:left="0" w:firstLine="284"/>
        <w:jc w:val="both"/>
        <w:rPr>
          <w:rFonts w:ascii="Garamond" w:hAnsi="Garamond" w:cs="Garamond"/>
          <w:b/>
          <w:bCs/>
          <w:color w:val="0D0D0D"/>
          <w:sz w:val="24"/>
          <w:szCs w:val="24"/>
          <w:lang w:val="sq-AL"/>
        </w:rPr>
      </w:pPr>
      <w:r w:rsidRPr="00770F9D">
        <w:rPr>
          <w:rFonts w:ascii="Garamond" w:hAnsi="Garamond" w:cs="Garamond"/>
          <w:b/>
          <w:bCs/>
          <w:color w:val="0D0D0D"/>
          <w:sz w:val="24"/>
          <w:szCs w:val="24"/>
          <w:lang w:val="sq-AL"/>
        </w:rPr>
        <w:t>a</w:t>
      </w:r>
      <w:r w:rsidR="00BA2EFE">
        <w:rPr>
          <w:rFonts w:ascii="Garamond" w:hAnsi="Garamond" w:cs="Garamond"/>
          <w:b/>
          <w:bCs/>
          <w:color w:val="0D0D0D"/>
          <w:sz w:val="24"/>
          <w:szCs w:val="24"/>
          <w:lang w:val="sq-AL"/>
        </w:rPr>
        <w:t>)</w:t>
      </w:r>
      <w:r w:rsidR="00BA4F1A" w:rsidRPr="00770F9D">
        <w:rPr>
          <w:rFonts w:ascii="Garamond" w:hAnsi="Garamond" w:cs="Garamond"/>
          <w:b/>
          <w:bCs/>
          <w:color w:val="0D0D0D"/>
          <w:sz w:val="24"/>
          <w:szCs w:val="24"/>
          <w:lang w:val="sq-AL"/>
        </w:rPr>
        <w:t xml:space="preserve"> </w:t>
      </w:r>
      <w:r w:rsidRPr="00770F9D">
        <w:rPr>
          <w:rFonts w:ascii="Garamond" w:hAnsi="Garamond" w:cs="Garamond"/>
          <w:b/>
          <w:bCs/>
          <w:color w:val="0D0D0D"/>
          <w:sz w:val="24"/>
          <w:szCs w:val="24"/>
          <w:lang w:val="sq-AL"/>
        </w:rPr>
        <w:t xml:space="preserve">Aktivitete të planifikuara </w:t>
      </w:r>
      <w:r w:rsidR="00BA2EFE">
        <w:rPr>
          <w:rFonts w:ascii="Garamond" w:hAnsi="Garamond" w:cs="Garamond"/>
          <w:b/>
          <w:bCs/>
          <w:color w:val="0D0D0D"/>
          <w:sz w:val="24"/>
          <w:szCs w:val="24"/>
          <w:lang w:val="sq-AL"/>
        </w:rPr>
        <w:t>m</w:t>
      </w:r>
      <w:r w:rsidRPr="00770F9D">
        <w:rPr>
          <w:rFonts w:ascii="Garamond" w:hAnsi="Garamond" w:cs="Garamond"/>
          <w:b/>
          <w:bCs/>
          <w:color w:val="0D0D0D"/>
          <w:sz w:val="24"/>
          <w:szCs w:val="24"/>
          <w:lang w:val="sq-AL"/>
        </w:rPr>
        <w:t>ë</w:t>
      </w:r>
      <w:r w:rsidR="00BA2EFE">
        <w:rPr>
          <w:rFonts w:ascii="Garamond" w:hAnsi="Garamond" w:cs="Garamond"/>
          <w:b/>
          <w:bCs/>
          <w:color w:val="0D0D0D"/>
          <w:sz w:val="24"/>
          <w:szCs w:val="24"/>
          <w:lang w:val="sq-AL"/>
        </w:rPr>
        <w:t xml:space="preserve"> </w:t>
      </w:r>
      <w:r w:rsidRPr="00770F9D">
        <w:rPr>
          <w:rFonts w:ascii="Garamond" w:hAnsi="Garamond" w:cs="Garamond"/>
          <w:b/>
          <w:bCs/>
          <w:color w:val="0D0D0D"/>
          <w:sz w:val="24"/>
          <w:szCs w:val="24"/>
          <w:lang w:val="sq-AL"/>
        </w:rPr>
        <w:t>2023</w:t>
      </w:r>
      <w:r w:rsidR="00BA2EFE">
        <w:rPr>
          <w:rFonts w:ascii="Garamond" w:hAnsi="Garamond" w:cs="Garamond"/>
          <w:b/>
          <w:bCs/>
          <w:color w:val="0D0D0D"/>
          <w:sz w:val="24"/>
          <w:szCs w:val="24"/>
          <w:lang w:val="sq-AL"/>
        </w:rPr>
        <w:t>-shin</w:t>
      </w:r>
    </w:p>
    <w:p w14:paraId="0CD98E8B" w14:textId="44850E15" w:rsidR="005674F2" w:rsidRPr="00770F9D" w:rsidRDefault="005674F2" w:rsidP="00567C97">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a</w:t>
      </w:r>
      <w:r w:rsidR="00BA2EFE">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 xml:space="preserve">Hartimi dhe miratimi i programit të teknologjisë së informacionit dhe </w:t>
      </w:r>
      <w:r w:rsidR="00354F66">
        <w:rPr>
          <w:rFonts w:ascii="Garamond" w:hAnsi="Garamond" w:cs="Garamond"/>
          <w:color w:val="0D0D0D"/>
          <w:sz w:val="24"/>
          <w:szCs w:val="24"/>
          <w:lang w:val="sq-AL"/>
        </w:rPr>
        <w:t xml:space="preserve">të </w:t>
      </w:r>
      <w:r w:rsidRPr="00770F9D">
        <w:rPr>
          <w:rFonts w:ascii="Garamond" w:hAnsi="Garamond" w:cs="Garamond"/>
          <w:color w:val="0D0D0D"/>
          <w:sz w:val="24"/>
          <w:szCs w:val="24"/>
          <w:lang w:val="sq-AL"/>
        </w:rPr>
        <w:t>komunikimit dhe zbatimi i tij në klasën e dytë</w:t>
      </w:r>
      <w:r w:rsidR="00567C97">
        <w:rPr>
          <w:rFonts w:ascii="Garamond" w:hAnsi="Garamond" w:cs="Garamond"/>
          <w:color w:val="0D0D0D"/>
          <w:sz w:val="24"/>
          <w:szCs w:val="24"/>
          <w:lang w:val="sq-AL"/>
        </w:rPr>
        <w:t>;</w:t>
      </w:r>
    </w:p>
    <w:p w14:paraId="113E179B" w14:textId="23FF4CAA" w:rsidR="005674F2" w:rsidRPr="00770F9D" w:rsidRDefault="005674F2" w:rsidP="00BA2EFE">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b</w:t>
      </w:r>
      <w:r w:rsidR="00BA2EFE">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Trajnimi i mësuesve të TIK-ut për zbatimin e programit në klasën e dytë.</w:t>
      </w:r>
    </w:p>
    <w:p w14:paraId="161C5620" w14:textId="00D59950" w:rsidR="005674F2" w:rsidRPr="00770F9D" w:rsidRDefault="005674F2" w:rsidP="00567C97">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c</w:t>
      </w:r>
      <w:r w:rsidR="00BA2EFE">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Hartimi i materialit mbështetës për mësuesit për të përfshirë aftësitë e kodimit dhe zbatimin e tij në vitin 2023 në klasën e dytë</w:t>
      </w:r>
      <w:r w:rsidR="00567C97">
        <w:rPr>
          <w:rFonts w:ascii="Garamond" w:hAnsi="Garamond" w:cs="Garamond"/>
          <w:color w:val="0D0D0D"/>
          <w:sz w:val="24"/>
          <w:szCs w:val="24"/>
          <w:lang w:val="sq-AL"/>
        </w:rPr>
        <w:t>;</w:t>
      </w:r>
    </w:p>
    <w:p w14:paraId="5820C1AC" w14:textId="1F1722F8" w:rsidR="005674F2" w:rsidRPr="00770F9D" w:rsidRDefault="005674F2" w:rsidP="00567C97">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d</w:t>
      </w:r>
      <w:r w:rsidR="00BA2EFE">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Hartimi i materialit mbështetës për nxënësit për të përfshirë aftësitë e kodimit dhe zbatimin e tij në vitin 2023 në klasën e dytë</w:t>
      </w:r>
      <w:r w:rsidR="00567C97">
        <w:rPr>
          <w:rFonts w:ascii="Garamond" w:hAnsi="Garamond" w:cs="Garamond"/>
          <w:color w:val="0D0D0D"/>
          <w:sz w:val="24"/>
          <w:szCs w:val="24"/>
          <w:lang w:val="sq-AL"/>
        </w:rPr>
        <w:t>;</w:t>
      </w:r>
    </w:p>
    <w:p w14:paraId="7BB2B83A" w14:textId="42E22924" w:rsidR="005674F2" w:rsidRPr="00770F9D" w:rsidRDefault="005674F2" w:rsidP="00567C97">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e</w:t>
      </w:r>
      <w:r w:rsidR="00BA2EFE">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Trajnimi i 1200 profesionistëve të rrjetit me temë “Siguria e studentëve në internet”</w:t>
      </w:r>
      <w:r w:rsidR="00567C97">
        <w:rPr>
          <w:rFonts w:ascii="Garamond" w:hAnsi="Garamond" w:cs="Garamond"/>
          <w:color w:val="0D0D0D"/>
          <w:sz w:val="24"/>
          <w:szCs w:val="24"/>
          <w:lang w:val="sq-AL"/>
        </w:rPr>
        <w:t>;</w:t>
      </w:r>
    </w:p>
    <w:p w14:paraId="1252739F" w14:textId="37D62BD0" w:rsidR="005674F2" w:rsidRPr="00770F9D" w:rsidRDefault="005674F2" w:rsidP="00567C97">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f</w:t>
      </w:r>
      <w:r w:rsidR="00BA2EFE">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Trajnimi i 1200 drejtuesve të rrjeteve profesionale për zbatimin e standardeve profesionale të mësuesve si dhe për përdorimin e TIK-ut në procesin mësimor si pjesë e arsimit të kombinuar</w:t>
      </w:r>
      <w:r w:rsidR="00567C97">
        <w:rPr>
          <w:rFonts w:ascii="Garamond" w:hAnsi="Garamond" w:cs="Garamond"/>
          <w:color w:val="0D0D0D"/>
          <w:sz w:val="24"/>
          <w:szCs w:val="24"/>
          <w:lang w:val="sq-AL"/>
        </w:rPr>
        <w:t>;</w:t>
      </w:r>
    </w:p>
    <w:p w14:paraId="002A59A1" w14:textId="1C0531ED" w:rsidR="005674F2" w:rsidRPr="00770F9D" w:rsidRDefault="005674F2" w:rsidP="00BA2EFE">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g</w:t>
      </w:r>
      <w:r w:rsidR="00BA2EFE">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Investim në rritjen e numrit të pajisjeve digjitale në shkolla.</w:t>
      </w:r>
    </w:p>
    <w:p w14:paraId="73BD382C" w14:textId="0CB47825" w:rsidR="005674F2" w:rsidRPr="00770F9D" w:rsidRDefault="005674F2" w:rsidP="00BA2EFE">
      <w:pPr>
        <w:pStyle w:val="ListParagraph"/>
        <w:ind w:left="0" w:firstLine="284"/>
        <w:jc w:val="both"/>
        <w:rPr>
          <w:rFonts w:ascii="Garamond" w:hAnsi="Garamond" w:cs="Garamond"/>
          <w:b/>
          <w:bCs/>
          <w:color w:val="0D0D0D"/>
          <w:sz w:val="24"/>
          <w:szCs w:val="24"/>
          <w:lang w:val="sq-AL"/>
        </w:rPr>
      </w:pPr>
      <w:r w:rsidRPr="00770F9D">
        <w:rPr>
          <w:rFonts w:ascii="Garamond" w:hAnsi="Garamond" w:cs="Garamond"/>
          <w:b/>
          <w:bCs/>
          <w:color w:val="0D0D0D"/>
          <w:sz w:val="24"/>
          <w:szCs w:val="24"/>
          <w:lang w:val="sq-AL"/>
        </w:rPr>
        <w:t>b</w:t>
      </w:r>
      <w:r w:rsidR="00BA2EFE" w:rsidRPr="00BA2EFE">
        <w:rPr>
          <w:rFonts w:ascii="Garamond" w:hAnsi="Garamond" w:cs="Garamond"/>
          <w:b/>
          <w:bCs/>
          <w:color w:val="0D0D0D"/>
          <w:sz w:val="24"/>
          <w:szCs w:val="24"/>
          <w:lang w:val="sq-AL"/>
        </w:rPr>
        <w:t>)</w:t>
      </w:r>
      <w:r w:rsidR="00BA4F1A" w:rsidRPr="00770F9D">
        <w:rPr>
          <w:rFonts w:ascii="Garamond" w:hAnsi="Garamond" w:cs="Garamond"/>
          <w:b/>
          <w:bCs/>
          <w:color w:val="0D0D0D"/>
          <w:sz w:val="24"/>
          <w:szCs w:val="24"/>
          <w:lang w:val="sq-AL"/>
        </w:rPr>
        <w:t xml:space="preserve"> </w:t>
      </w:r>
      <w:r w:rsidRPr="00770F9D">
        <w:rPr>
          <w:rFonts w:ascii="Garamond" w:hAnsi="Garamond" w:cs="Garamond"/>
          <w:b/>
          <w:bCs/>
          <w:color w:val="0D0D0D"/>
          <w:sz w:val="24"/>
          <w:szCs w:val="24"/>
          <w:lang w:val="sq-AL"/>
        </w:rPr>
        <w:t xml:space="preserve">Aktivitete të planifikuara </w:t>
      </w:r>
      <w:r w:rsidR="00BA2EFE">
        <w:rPr>
          <w:rFonts w:ascii="Garamond" w:hAnsi="Garamond" w:cs="Garamond"/>
          <w:b/>
          <w:bCs/>
          <w:color w:val="0D0D0D"/>
          <w:sz w:val="24"/>
          <w:szCs w:val="24"/>
          <w:lang w:val="sq-AL"/>
        </w:rPr>
        <w:t>m</w:t>
      </w:r>
      <w:r w:rsidRPr="00770F9D">
        <w:rPr>
          <w:rFonts w:ascii="Garamond" w:hAnsi="Garamond" w:cs="Garamond"/>
          <w:b/>
          <w:bCs/>
          <w:color w:val="0D0D0D"/>
          <w:sz w:val="24"/>
          <w:szCs w:val="24"/>
          <w:lang w:val="sq-AL"/>
        </w:rPr>
        <w:t>ë 2024</w:t>
      </w:r>
      <w:r w:rsidR="00BA2EFE">
        <w:rPr>
          <w:rFonts w:ascii="Garamond" w:hAnsi="Garamond" w:cs="Garamond"/>
          <w:b/>
          <w:bCs/>
          <w:color w:val="0D0D0D"/>
          <w:sz w:val="24"/>
          <w:szCs w:val="24"/>
          <w:lang w:val="sq-AL"/>
        </w:rPr>
        <w:t>-n</w:t>
      </w:r>
    </w:p>
    <w:p w14:paraId="3D20E327" w14:textId="4989B725" w:rsidR="005674F2" w:rsidRPr="00770F9D" w:rsidRDefault="005674F2" w:rsidP="00567C97">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a</w:t>
      </w:r>
      <w:r w:rsidR="00BA2EFE">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 xml:space="preserve">Hartimi dhe miratimi i programit të teknologjisë së informacionit dhe </w:t>
      </w:r>
      <w:r w:rsidR="00354F66">
        <w:rPr>
          <w:rFonts w:ascii="Garamond" w:hAnsi="Garamond" w:cs="Garamond"/>
          <w:color w:val="0D0D0D"/>
          <w:sz w:val="24"/>
          <w:szCs w:val="24"/>
          <w:lang w:val="sq-AL"/>
        </w:rPr>
        <w:t xml:space="preserve">të </w:t>
      </w:r>
      <w:r w:rsidRPr="00770F9D">
        <w:rPr>
          <w:rFonts w:ascii="Garamond" w:hAnsi="Garamond" w:cs="Garamond"/>
          <w:color w:val="0D0D0D"/>
          <w:sz w:val="24"/>
          <w:szCs w:val="24"/>
          <w:lang w:val="sq-AL"/>
        </w:rPr>
        <w:t>komunikimit dhe zbatimi i tij në klasën e tretë</w:t>
      </w:r>
      <w:r w:rsidR="00567C97">
        <w:rPr>
          <w:rFonts w:ascii="Garamond" w:hAnsi="Garamond" w:cs="Garamond"/>
          <w:color w:val="0D0D0D"/>
          <w:sz w:val="24"/>
          <w:szCs w:val="24"/>
          <w:lang w:val="sq-AL"/>
        </w:rPr>
        <w:t>;</w:t>
      </w:r>
    </w:p>
    <w:p w14:paraId="31B71813" w14:textId="1F875148" w:rsidR="005674F2" w:rsidRPr="00770F9D" w:rsidRDefault="005674F2" w:rsidP="00567C97">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b</w:t>
      </w:r>
      <w:r w:rsidR="00BA2EFE">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Trajnimi i mësuesve TIK për zbatimin e programit në klasën e tretë</w:t>
      </w:r>
      <w:r w:rsidR="00567C97">
        <w:rPr>
          <w:rFonts w:ascii="Garamond" w:hAnsi="Garamond" w:cs="Garamond"/>
          <w:color w:val="0D0D0D"/>
          <w:sz w:val="24"/>
          <w:szCs w:val="24"/>
          <w:lang w:val="sq-AL"/>
        </w:rPr>
        <w:t>;</w:t>
      </w:r>
    </w:p>
    <w:p w14:paraId="582360A0" w14:textId="0A016F97" w:rsidR="005674F2" w:rsidRPr="00770F9D" w:rsidRDefault="005674F2" w:rsidP="00567C97">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c</w:t>
      </w:r>
      <w:r w:rsidR="00BA2EFE">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Hartimi i materialit mbështetës për mësuesit për të përfshirë aftësitë e kodimit dhe zbatimin e tij në vitin 2024 në klasën e tretë</w:t>
      </w:r>
      <w:r w:rsidR="00567C97">
        <w:rPr>
          <w:rFonts w:ascii="Garamond" w:hAnsi="Garamond" w:cs="Garamond"/>
          <w:color w:val="0D0D0D"/>
          <w:sz w:val="24"/>
          <w:szCs w:val="24"/>
          <w:lang w:val="sq-AL"/>
        </w:rPr>
        <w:t>;</w:t>
      </w:r>
    </w:p>
    <w:p w14:paraId="603EBE27" w14:textId="72576414" w:rsidR="005674F2" w:rsidRPr="00770F9D" w:rsidRDefault="005674F2" w:rsidP="00567C97">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d</w:t>
      </w:r>
      <w:r w:rsidR="00BA2EFE">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Hartimi i materialit mbështetës për nxënësit për të përfshirë aftësitë e kodimit dhe zbatimin e tij në vitin 2024 në klasën e tretë</w:t>
      </w:r>
      <w:r w:rsidR="00567C97">
        <w:rPr>
          <w:rFonts w:ascii="Garamond" w:hAnsi="Garamond" w:cs="Garamond"/>
          <w:color w:val="0D0D0D"/>
          <w:sz w:val="24"/>
          <w:szCs w:val="24"/>
          <w:lang w:val="sq-AL"/>
        </w:rPr>
        <w:t>;</w:t>
      </w:r>
    </w:p>
    <w:p w14:paraId="6211CAD0" w14:textId="381FE9FF" w:rsidR="005674F2" w:rsidRPr="00770F9D" w:rsidRDefault="005674F2" w:rsidP="00567C97">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e</w:t>
      </w:r>
      <w:r w:rsidR="00BA2EFE">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Trajnim për mësuesit dhe drejtuesit e shkollave mbi standardet e mësuesve për përdorimin e TIK-ut në sistemin arsimor parauniversitar nëpërmjet rrjeteve profesionale</w:t>
      </w:r>
      <w:r w:rsidR="00567C97">
        <w:rPr>
          <w:rFonts w:ascii="Garamond" w:hAnsi="Garamond" w:cs="Garamond"/>
          <w:color w:val="0D0D0D"/>
          <w:sz w:val="24"/>
          <w:szCs w:val="24"/>
          <w:lang w:val="sq-AL"/>
        </w:rPr>
        <w:t>;</w:t>
      </w:r>
    </w:p>
    <w:p w14:paraId="5F9E75F0" w14:textId="05AF170F" w:rsidR="005674F2" w:rsidRPr="00770F9D" w:rsidRDefault="005674F2" w:rsidP="00567C97">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f</w:t>
      </w:r>
      <w:r w:rsidR="00BA2EFE">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Investim në rritjen e numrit të pajisjeve digjitale në shkolla</w:t>
      </w:r>
      <w:r w:rsidR="00567C97">
        <w:rPr>
          <w:rFonts w:ascii="Garamond" w:hAnsi="Garamond" w:cs="Garamond"/>
          <w:color w:val="0D0D0D"/>
          <w:sz w:val="24"/>
          <w:szCs w:val="24"/>
          <w:lang w:val="sq-AL"/>
        </w:rPr>
        <w:t>;</w:t>
      </w:r>
    </w:p>
    <w:p w14:paraId="5D1F5300" w14:textId="614E5ACB" w:rsidR="005674F2" w:rsidRPr="00770F9D" w:rsidRDefault="005674F2" w:rsidP="00BA2EFE">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g</w:t>
      </w:r>
      <w:r w:rsidR="00BA2EFE">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Mirëmbajtja teknike e pajisjeve TIK përmes klubeve studentore dhe strukturës arsimore lokale.</w:t>
      </w:r>
    </w:p>
    <w:p w14:paraId="15C00689" w14:textId="638B4FD6" w:rsidR="005674F2" w:rsidRPr="00770F9D" w:rsidRDefault="005674F2" w:rsidP="00BA2EFE">
      <w:pPr>
        <w:pStyle w:val="ListParagraph"/>
        <w:ind w:left="0" w:firstLine="284"/>
        <w:jc w:val="both"/>
        <w:rPr>
          <w:rFonts w:ascii="Garamond" w:hAnsi="Garamond" w:cs="Garamond"/>
          <w:b/>
          <w:bCs/>
          <w:color w:val="0D0D0D"/>
          <w:sz w:val="24"/>
          <w:szCs w:val="24"/>
          <w:lang w:val="sq-AL"/>
        </w:rPr>
      </w:pPr>
      <w:r w:rsidRPr="00770F9D">
        <w:rPr>
          <w:rFonts w:ascii="Garamond" w:hAnsi="Garamond" w:cs="Garamond"/>
          <w:b/>
          <w:bCs/>
          <w:color w:val="0D0D0D"/>
          <w:sz w:val="24"/>
          <w:szCs w:val="24"/>
          <w:lang w:val="sq-AL"/>
        </w:rPr>
        <w:t>c</w:t>
      </w:r>
      <w:r w:rsidR="00BA2EFE" w:rsidRPr="00BA2EFE">
        <w:rPr>
          <w:rFonts w:ascii="Garamond" w:hAnsi="Garamond" w:cs="Garamond"/>
          <w:b/>
          <w:bCs/>
          <w:color w:val="0D0D0D"/>
          <w:sz w:val="24"/>
          <w:szCs w:val="24"/>
          <w:lang w:val="sq-AL"/>
        </w:rPr>
        <w:t>)</w:t>
      </w:r>
      <w:r w:rsidR="00BA4F1A" w:rsidRPr="00770F9D">
        <w:rPr>
          <w:rFonts w:ascii="Garamond" w:hAnsi="Garamond" w:cs="Garamond"/>
          <w:b/>
          <w:bCs/>
          <w:color w:val="0D0D0D"/>
          <w:sz w:val="24"/>
          <w:szCs w:val="24"/>
          <w:lang w:val="sq-AL"/>
        </w:rPr>
        <w:t xml:space="preserve"> </w:t>
      </w:r>
      <w:r w:rsidRPr="00770F9D">
        <w:rPr>
          <w:rFonts w:ascii="Garamond" w:hAnsi="Garamond" w:cs="Garamond"/>
          <w:b/>
          <w:bCs/>
          <w:color w:val="0D0D0D"/>
          <w:sz w:val="24"/>
          <w:szCs w:val="24"/>
          <w:lang w:val="sq-AL"/>
        </w:rPr>
        <w:t xml:space="preserve">Aktivitete të planifikuara </w:t>
      </w:r>
      <w:r w:rsidR="00BA2EFE">
        <w:rPr>
          <w:rFonts w:ascii="Garamond" w:hAnsi="Garamond" w:cs="Garamond"/>
          <w:b/>
          <w:bCs/>
          <w:color w:val="0D0D0D"/>
          <w:sz w:val="24"/>
          <w:szCs w:val="24"/>
          <w:lang w:val="sq-AL"/>
        </w:rPr>
        <w:t>m</w:t>
      </w:r>
      <w:r w:rsidRPr="00770F9D">
        <w:rPr>
          <w:rFonts w:ascii="Garamond" w:hAnsi="Garamond" w:cs="Garamond"/>
          <w:b/>
          <w:bCs/>
          <w:color w:val="0D0D0D"/>
          <w:sz w:val="24"/>
          <w:szCs w:val="24"/>
          <w:lang w:val="sq-AL"/>
        </w:rPr>
        <w:t>ë 2025</w:t>
      </w:r>
      <w:r w:rsidR="00BA2EFE">
        <w:rPr>
          <w:rFonts w:ascii="Garamond" w:hAnsi="Garamond" w:cs="Garamond"/>
          <w:b/>
          <w:bCs/>
          <w:color w:val="0D0D0D"/>
          <w:sz w:val="24"/>
          <w:szCs w:val="24"/>
          <w:lang w:val="sq-AL"/>
        </w:rPr>
        <w:t>-n</w:t>
      </w:r>
    </w:p>
    <w:p w14:paraId="02C77FF4" w14:textId="041C4AA9" w:rsidR="005674F2" w:rsidRPr="00770F9D" w:rsidRDefault="005674F2" w:rsidP="00BA2EFE">
      <w:pPr>
        <w:pStyle w:val="ListParagraph"/>
        <w:ind w:left="0" w:firstLine="284"/>
        <w:jc w:val="both"/>
        <w:rPr>
          <w:rFonts w:ascii="Garamond" w:hAnsi="Garamond" w:cs="Garamond"/>
          <w:color w:val="0D0D0D"/>
          <w:sz w:val="24"/>
          <w:szCs w:val="24"/>
          <w:lang w:val="sq-AL"/>
        </w:rPr>
      </w:pPr>
      <w:r w:rsidRPr="00770F9D">
        <w:rPr>
          <w:rFonts w:ascii="Garamond" w:hAnsi="Garamond" w:cs="Garamond"/>
          <w:color w:val="0D0D0D"/>
          <w:sz w:val="24"/>
          <w:szCs w:val="24"/>
          <w:lang w:val="sq-AL"/>
        </w:rPr>
        <w:t>a</w:t>
      </w:r>
      <w:r w:rsidR="00BA2EFE">
        <w:rPr>
          <w:rFonts w:ascii="Garamond" w:hAnsi="Garamond" w:cs="Garamond"/>
          <w:color w:val="0D0D0D"/>
          <w:sz w:val="24"/>
          <w:szCs w:val="24"/>
          <w:lang w:val="sq-AL"/>
        </w:rPr>
        <w:t>)</w:t>
      </w:r>
      <w:r w:rsidR="00BA4F1A" w:rsidRPr="00770F9D">
        <w:rPr>
          <w:rFonts w:ascii="Garamond" w:hAnsi="Garamond" w:cs="Garamond"/>
          <w:color w:val="0D0D0D"/>
          <w:sz w:val="24"/>
          <w:szCs w:val="24"/>
          <w:lang w:val="sq-AL"/>
        </w:rPr>
        <w:t xml:space="preserve"> </w:t>
      </w:r>
      <w:r w:rsidRPr="00770F9D">
        <w:rPr>
          <w:rFonts w:ascii="Garamond" w:hAnsi="Garamond" w:cs="Garamond"/>
          <w:color w:val="0D0D0D"/>
          <w:sz w:val="24"/>
          <w:szCs w:val="24"/>
          <w:lang w:val="sq-AL"/>
        </w:rPr>
        <w:t xml:space="preserve">Masa e zbatimit të kurrikulës së TIK-ut nga klasa e parë deri në klasën e tretë, në të gjitha shkollat e arsimit publik bazë, të vendit të pajisura me </w:t>
      </w:r>
      <w:r w:rsidRPr="00354F66">
        <w:rPr>
          <w:rFonts w:ascii="Garamond" w:hAnsi="Garamond" w:cs="Garamond"/>
          <w:i/>
          <w:iCs/>
          <w:color w:val="0D0D0D"/>
          <w:sz w:val="24"/>
          <w:szCs w:val="24"/>
          <w:lang w:val="sq-AL"/>
        </w:rPr>
        <w:t>Laborator Smart.</w:t>
      </w:r>
    </w:p>
    <w:p w14:paraId="03720737" w14:textId="1B26874B" w:rsidR="005674F2" w:rsidRPr="00770F9D" w:rsidRDefault="005E279E" w:rsidP="00400806">
      <w:pPr>
        <w:pStyle w:val="Heading6"/>
        <w:numPr>
          <w:ilvl w:val="0"/>
          <w:numId w:val="0"/>
        </w:numPr>
        <w:ind w:firstLine="284"/>
        <w:rPr>
          <w:rFonts w:ascii="Garamond" w:hAnsi="Garamond" w:cs="Garamond"/>
          <w:color w:val="0D0D0D"/>
          <w:u w:val="none"/>
        </w:rPr>
      </w:pPr>
      <w:r w:rsidRPr="00770F9D">
        <w:rPr>
          <w:rFonts w:ascii="Garamond" w:hAnsi="Garamond" w:cs="Garamond"/>
          <w:color w:val="0D0D0D"/>
          <w:u w:val="none"/>
        </w:rPr>
        <w:t>2</w:t>
      </w:r>
      <w:r w:rsidR="005674F2" w:rsidRPr="00770F9D">
        <w:rPr>
          <w:rFonts w:ascii="Garamond" w:hAnsi="Garamond" w:cs="Garamond"/>
          <w:color w:val="0D0D0D"/>
          <w:u w:val="none"/>
        </w:rPr>
        <w:t>.</w:t>
      </w:r>
      <w:r w:rsidR="00BA4F1A" w:rsidRPr="00770F9D">
        <w:rPr>
          <w:rFonts w:ascii="Garamond" w:hAnsi="Garamond" w:cs="Garamond"/>
          <w:color w:val="0D0D0D"/>
          <w:u w:val="none"/>
        </w:rPr>
        <w:t xml:space="preserve"> </w:t>
      </w:r>
      <w:r w:rsidR="005674F2" w:rsidRPr="00770F9D">
        <w:rPr>
          <w:rFonts w:ascii="Garamond" w:hAnsi="Garamond" w:cs="Garamond"/>
          <w:color w:val="0D0D0D"/>
          <w:u w:val="none"/>
        </w:rPr>
        <w:t>Treguesit e rezultateve</w:t>
      </w:r>
    </w:p>
    <w:tbl>
      <w:tblPr>
        <w:tblW w:w="5000" w:type="pct"/>
        <w:jc w:val="center"/>
        <w:tblLook w:val="04A0" w:firstRow="1" w:lastRow="0" w:firstColumn="1" w:lastColumn="0" w:noHBand="0" w:noVBand="1"/>
      </w:tblPr>
      <w:tblGrid>
        <w:gridCol w:w="6062"/>
        <w:gridCol w:w="903"/>
        <w:gridCol w:w="1419"/>
        <w:gridCol w:w="903"/>
      </w:tblGrid>
      <w:tr w:rsidR="00FA29AB" w:rsidRPr="00770F9D" w14:paraId="4BC76491" w14:textId="77777777" w:rsidTr="00BA2EFE">
        <w:trPr>
          <w:trHeight w:val="681"/>
          <w:jc w:val="center"/>
        </w:trPr>
        <w:tc>
          <w:tcPr>
            <w:tcW w:w="32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A18BFB" w14:textId="77777777" w:rsidR="004F59F4" w:rsidRPr="00BA2EFE" w:rsidRDefault="00B2062A" w:rsidP="00BA2EFE">
            <w:pPr>
              <w:jc w:val="center"/>
              <w:rPr>
                <w:rFonts w:ascii="Garamond" w:eastAsia="Times New Roman" w:hAnsi="Garamond" w:cstheme="majorBidi"/>
                <w:b/>
                <w:color w:val="0D0D0D" w:themeColor="text1" w:themeTint="F2"/>
                <w:sz w:val="20"/>
                <w:szCs w:val="20"/>
              </w:rPr>
            </w:pPr>
            <w:r w:rsidRPr="00BA2EFE">
              <w:rPr>
                <w:rFonts w:ascii="Garamond" w:eastAsia="Times New Roman" w:hAnsi="Garamond" w:cstheme="majorBidi"/>
                <w:b/>
                <w:color w:val="0D0D0D" w:themeColor="text1" w:themeTint="F2"/>
                <w:sz w:val="20"/>
                <w:szCs w:val="20"/>
              </w:rPr>
              <w:t>Tregues</w:t>
            </w:r>
          </w:p>
        </w:tc>
        <w:tc>
          <w:tcPr>
            <w:tcW w:w="486" w:type="pct"/>
            <w:tcBorders>
              <w:top w:val="single" w:sz="4" w:space="0" w:color="auto"/>
              <w:left w:val="nil"/>
              <w:bottom w:val="single" w:sz="4" w:space="0" w:color="auto"/>
              <w:right w:val="single" w:sz="4" w:space="0" w:color="auto"/>
            </w:tcBorders>
            <w:shd w:val="clear" w:color="auto" w:fill="auto"/>
            <w:vAlign w:val="center"/>
            <w:hideMark/>
          </w:tcPr>
          <w:p w14:paraId="0083FDF8" w14:textId="77777777" w:rsidR="004F59F4" w:rsidRPr="00BA2EFE" w:rsidRDefault="00B2062A" w:rsidP="00BA2EFE">
            <w:pPr>
              <w:jc w:val="center"/>
              <w:rPr>
                <w:rFonts w:ascii="Garamond" w:eastAsia="Times New Roman" w:hAnsi="Garamond" w:cstheme="majorBidi"/>
                <w:b/>
                <w:color w:val="0D0D0D" w:themeColor="text1" w:themeTint="F2"/>
                <w:sz w:val="20"/>
                <w:szCs w:val="20"/>
              </w:rPr>
            </w:pPr>
            <w:r w:rsidRPr="00BA2EFE">
              <w:rPr>
                <w:rFonts w:ascii="Garamond" w:hAnsi="Garamond" w:cstheme="majorBidi"/>
                <w:b/>
                <w:color w:val="0D0D0D" w:themeColor="text1" w:themeTint="F2"/>
                <w:sz w:val="20"/>
                <w:szCs w:val="20"/>
              </w:rPr>
              <w:t>Bazë</w:t>
            </w:r>
            <w:r w:rsidR="004F59F4" w:rsidRPr="00BA2EFE">
              <w:rPr>
                <w:rFonts w:ascii="Garamond" w:hAnsi="Garamond" w:cstheme="majorBidi"/>
                <w:b/>
                <w:color w:val="0D0D0D" w:themeColor="text1" w:themeTint="F2"/>
                <w:sz w:val="20"/>
                <w:szCs w:val="20"/>
              </w:rPr>
              <w:t xml:space="preserve"> (</w:t>
            </w:r>
            <w:r w:rsidR="00DB3786" w:rsidRPr="00BA2EFE">
              <w:rPr>
                <w:rFonts w:ascii="Garamond" w:hAnsi="Garamond" w:cstheme="majorBidi"/>
                <w:b/>
                <w:color w:val="0D0D0D" w:themeColor="text1" w:themeTint="F2"/>
                <w:sz w:val="20"/>
                <w:szCs w:val="20"/>
              </w:rPr>
              <w:t>202</w:t>
            </w:r>
            <w:r w:rsidR="005129F3" w:rsidRPr="00BA2EFE">
              <w:rPr>
                <w:rFonts w:ascii="Garamond" w:hAnsi="Garamond" w:cstheme="majorBidi"/>
                <w:b/>
                <w:color w:val="0D0D0D" w:themeColor="text1" w:themeTint="F2"/>
                <w:sz w:val="20"/>
                <w:szCs w:val="20"/>
              </w:rPr>
              <w:t>2</w:t>
            </w:r>
            <w:r w:rsidR="004F59F4" w:rsidRPr="00BA2EFE">
              <w:rPr>
                <w:rFonts w:ascii="Garamond" w:hAnsi="Garamond" w:cstheme="majorBidi"/>
                <w:b/>
                <w:color w:val="0D0D0D" w:themeColor="text1" w:themeTint="F2"/>
                <w:sz w:val="20"/>
                <w:szCs w:val="20"/>
              </w:rPr>
              <w:t>)</w:t>
            </w:r>
          </w:p>
        </w:tc>
        <w:tc>
          <w:tcPr>
            <w:tcW w:w="764" w:type="pct"/>
            <w:tcBorders>
              <w:top w:val="single" w:sz="4" w:space="0" w:color="auto"/>
              <w:left w:val="nil"/>
              <w:bottom w:val="single" w:sz="4" w:space="0" w:color="auto"/>
              <w:right w:val="single" w:sz="4" w:space="0" w:color="auto"/>
            </w:tcBorders>
            <w:shd w:val="clear" w:color="auto" w:fill="auto"/>
            <w:vAlign w:val="center"/>
            <w:hideMark/>
          </w:tcPr>
          <w:p w14:paraId="62B2C837" w14:textId="77777777" w:rsidR="004F59F4" w:rsidRPr="00BA2EFE" w:rsidRDefault="00B2062A" w:rsidP="00BA2EFE">
            <w:pPr>
              <w:jc w:val="center"/>
              <w:rPr>
                <w:rFonts w:ascii="Garamond" w:eastAsia="Times New Roman" w:hAnsi="Garamond" w:cstheme="majorBidi"/>
                <w:b/>
                <w:color w:val="0D0D0D" w:themeColor="text1" w:themeTint="F2"/>
                <w:sz w:val="20"/>
                <w:szCs w:val="20"/>
              </w:rPr>
            </w:pPr>
            <w:r w:rsidRPr="00BA2EFE">
              <w:rPr>
                <w:rFonts w:ascii="Garamond" w:hAnsi="Garamond" w:cstheme="majorBidi"/>
                <w:b/>
                <w:color w:val="0D0D0D" w:themeColor="text1" w:themeTint="F2"/>
                <w:sz w:val="20"/>
                <w:szCs w:val="20"/>
              </w:rPr>
              <w:t>I ndërmjetëm</w:t>
            </w:r>
            <w:r w:rsidR="004F59F4" w:rsidRPr="00BA2EFE">
              <w:rPr>
                <w:rFonts w:ascii="Garamond" w:hAnsi="Garamond" w:cstheme="majorBidi"/>
                <w:b/>
                <w:color w:val="0D0D0D" w:themeColor="text1" w:themeTint="F2"/>
                <w:sz w:val="20"/>
                <w:szCs w:val="20"/>
              </w:rPr>
              <w:t xml:space="preserve"> (</w:t>
            </w:r>
            <w:r w:rsidR="00DB3786" w:rsidRPr="00BA2EFE">
              <w:rPr>
                <w:rFonts w:ascii="Garamond" w:hAnsi="Garamond" w:cstheme="majorBidi"/>
                <w:b/>
                <w:color w:val="0D0D0D" w:themeColor="text1" w:themeTint="F2"/>
                <w:sz w:val="20"/>
                <w:szCs w:val="20"/>
              </w:rPr>
              <w:t>202</w:t>
            </w:r>
            <w:r w:rsidR="005129F3" w:rsidRPr="00BA2EFE">
              <w:rPr>
                <w:rFonts w:ascii="Garamond" w:hAnsi="Garamond" w:cstheme="majorBidi"/>
                <w:b/>
                <w:color w:val="0D0D0D" w:themeColor="text1" w:themeTint="F2"/>
                <w:sz w:val="20"/>
                <w:szCs w:val="20"/>
              </w:rPr>
              <w:t>3</w:t>
            </w:r>
            <w:r w:rsidR="004F59F4" w:rsidRPr="00BA2EFE">
              <w:rPr>
                <w:rFonts w:ascii="Garamond" w:hAnsi="Garamond" w:cstheme="majorBidi"/>
                <w:b/>
                <w:color w:val="0D0D0D" w:themeColor="text1" w:themeTint="F2"/>
                <w:sz w:val="20"/>
                <w:szCs w:val="20"/>
              </w:rPr>
              <w:t>)</w:t>
            </w:r>
          </w:p>
        </w:tc>
        <w:tc>
          <w:tcPr>
            <w:tcW w:w="486" w:type="pct"/>
            <w:tcBorders>
              <w:top w:val="single" w:sz="4" w:space="0" w:color="auto"/>
              <w:left w:val="nil"/>
              <w:bottom w:val="single" w:sz="4" w:space="0" w:color="auto"/>
              <w:right w:val="single" w:sz="4" w:space="0" w:color="auto"/>
            </w:tcBorders>
            <w:shd w:val="clear" w:color="auto" w:fill="auto"/>
            <w:vAlign w:val="center"/>
            <w:hideMark/>
          </w:tcPr>
          <w:p w14:paraId="7FB7DDDD" w14:textId="77777777" w:rsidR="004F59F4" w:rsidRPr="00BA2EFE" w:rsidRDefault="00DB3786" w:rsidP="00BA2EFE">
            <w:pPr>
              <w:jc w:val="center"/>
              <w:rPr>
                <w:rFonts w:ascii="Garamond" w:eastAsia="Times New Roman" w:hAnsi="Garamond" w:cstheme="majorBidi"/>
                <w:b/>
                <w:color w:val="0D0D0D" w:themeColor="text1" w:themeTint="F2"/>
                <w:sz w:val="20"/>
                <w:szCs w:val="20"/>
              </w:rPr>
            </w:pPr>
            <w:r w:rsidRPr="00BA2EFE">
              <w:rPr>
                <w:rFonts w:ascii="Garamond" w:hAnsi="Garamond" w:cstheme="majorBidi"/>
                <w:b/>
                <w:color w:val="0D0D0D" w:themeColor="text1" w:themeTint="F2"/>
                <w:sz w:val="20"/>
                <w:szCs w:val="20"/>
              </w:rPr>
              <w:t>Final</w:t>
            </w:r>
            <w:r w:rsidR="004F59F4" w:rsidRPr="00BA2EFE">
              <w:rPr>
                <w:rFonts w:ascii="Garamond" w:hAnsi="Garamond" w:cstheme="majorBidi"/>
                <w:b/>
                <w:color w:val="0D0D0D" w:themeColor="text1" w:themeTint="F2"/>
                <w:sz w:val="20"/>
                <w:szCs w:val="20"/>
              </w:rPr>
              <w:t xml:space="preserve"> (</w:t>
            </w:r>
            <w:r w:rsidRPr="00BA2EFE">
              <w:rPr>
                <w:rFonts w:ascii="Garamond" w:hAnsi="Garamond" w:cstheme="majorBidi"/>
                <w:b/>
                <w:color w:val="0D0D0D" w:themeColor="text1" w:themeTint="F2"/>
                <w:sz w:val="20"/>
                <w:szCs w:val="20"/>
              </w:rPr>
              <w:t>202</w:t>
            </w:r>
            <w:r w:rsidR="005129F3" w:rsidRPr="00BA2EFE">
              <w:rPr>
                <w:rFonts w:ascii="Garamond" w:hAnsi="Garamond" w:cstheme="majorBidi"/>
                <w:b/>
                <w:color w:val="0D0D0D" w:themeColor="text1" w:themeTint="F2"/>
                <w:sz w:val="20"/>
                <w:szCs w:val="20"/>
              </w:rPr>
              <w:t>4</w:t>
            </w:r>
            <w:r w:rsidR="004F59F4" w:rsidRPr="00BA2EFE">
              <w:rPr>
                <w:rFonts w:ascii="Garamond" w:hAnsi="Garamond" w:cstheme="majorBidi"/>
                <w:b/>
                <w:color w:val="0D0D0D" w:themeColor="text1" w:themeTint="F2"/>
                <w:sz w:val="20"/>
                <w:szCs w:val="20"/>
              </w:rPr>
              <w:t>)</w:t>
            </w:r>
          </w:p>
        </w:tc>
      </w:tr>
      <w:tr w:rsidR="005129F3" w:rsidRPr="00770F9D" w14:paraId="01585E61" w14:textId="77777777" w:rsidTr="00BA2EFE">
        <w:trPr>
          <w:trHeight w:val="333"/>
          <w:jc w:val="center"/>
        </w:trPr>
        <w:tc>
          <w:tcPr>
            <w:tcW w:w="3263" w:type="pct"/>
            <w:tcBorders>
              <w:top w:val="single" w:sz="4" w:space="0" w:color="auto"/>
              <w:left w:val="single" w:sz="4" w:space="0" w:color="auto"/>
              <w:bottom w:val="single" w:sz="4" w:space="0" w:color="auto"/>
              <w:right w:val="single" w:sz="4" w:space="0" w:color="auto"/>
            </w:tcBorders>
            <w:shd w:val="clear" w:color="auto" w:fill="auto"/>
          </w:tcPr>
          <w:p w14:paraId="3B69DD20" w14:textId="51DB9A5E" w:rsidR="005129F3" w:rsidRPr="00770F9D" w:rsidRDefault="005129F3" w:rsidP="005E279E">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Numri i mësuesve të trajnuar (TI</w:t>
            </w:r>
            <w:r w:rsidR="00B6148E" w:rsidRPr="00770F9D">
              <w:rPr>
                <w:rFonts w:ascii="Garamond" w:hAnsi="Garamond" w:cstheme="majorBidi"/>
                <w:color w:val="0D0D0D" w:themeColor="text1" w:themeTint="F2"/>
                <w:sz w:val="20"/>
                <w:szCs w:val="20"/>
              </w:rPr>
              <w:t>K</w:t>
            </w:r>
            <w:r w:rsidRPr="00770F9D">
              <w:rPr>
                <w:rFonts w:ascii="Garamond" w:hAnsi="Garamond" w:cstheme="majorBidi"/>
                <w:color w:val="0D0D0D" w:themeColor="text1" w:themeTint="F2"/>
                <w:sz w:val="20"/>
                <w:szCs w:val="20"/>
              </w:rPr>
              <w:t xml:space="preserve"> në klasë</w:t>
            </w:r>
            <w:r w:rsidR="00B07CC9">
              <w:rPr>
                <w:rFonts w:ascii="Garamond" w:hAnsi="Garamond" w:cstheme="majorBidi"/>
                <w:color w:val="0D0D0D" w:themeColor="text1" w:themeTint="F2"/>
                <w:sz w:val="20"/>
                <w:szCs w:val="20"/>
              </w:rPr>
              <w:t>n e parë, të dytë dhe të tretë)</w:t>
            </w:r>
          </w:p>
        </w:tc>
        <w:tc>
          <w:tcPr>
            <w:tcW w:w="486" w:type="pct"/>
            <w:tcBorders>
              <w:top w:val="single" w:sz="4" w:space="0" w:color="auto"/>
              <w:left w:val="nil"/>
              <w:bottom w:val="single" w:sz="4" w:space="0" w:color="auto"/>
              <w:right w:val="single" w:sz="4" w:space="0" w:color="auto"/>
            </w:tcBorders>
            <w:shd w:val="clear" w:color="auto" w:fill="auto"/>
            <w:vAlign w:val="center"/>
          </w:tcPr>
          <w:p w14:paraId="6754F548" w14:textId="77777777" w:rsidR="005129F3" w:rsidRPr="00770F9D" w:rsidRDefault="005129F3" w:rsidP="00BA2EFE">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500</w:t>
            </w:r>
          </w:p>
        </w:tc>
        <w:tc>
          <w:tcPr>
            <w:tcW w:w="764" w:type="pct"/>
            <w:tcBorders>
              <w:top w:val="single" w:sz="4" w:space="0" w:color="auto"/>
              <w:left w:val="nil"/>
              <w:bottom w:val="single" w:sz="4" w:space="0" w:color="auto"/>
              <w:right w:val="single" w:sz="4" w:space="0" w:color="auto"/>
            </w:tcBorders>
            <w:shd w:val="clear" w:color="auto" w:fill="auto"/>
          </w:tcPr>
          <w:p w14:paraId="4152B122" w14:textId="77777777" w:rsidR="005129F3" w:rsidRPr="00770F9D" w:rsidRDefault="005129F3" w:rsidP="00BA2EFE">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1000</w:t>
            </w:r>
          </w:p>
        </w:tc>
        <w:tc>
          <w:tcPr>
            <w:tcW w:w="486" w:type="pct"/>
            <w:tcBorders>
              <w:top w:val="single" w:sz="4" w:space="0" w:color="auto"/>
              <w:left w:val="nil"/>
              <w:bottom w:val="single" w:sz="4" w:space="0" w:color="auto"/>
              <w:right w:val="single" w:sz="4" w:space="0" w:color="auto"/>
            </w:tcBorders>
            <w:shd w:val="clear" w:color="auto" w:fill="auto"/>
          </w:tcPr>
          <w:p w14:paraId="1C62475C" w14:textId="77777777" w:rsidR="005129F3" w:rsidRPr="00770F9D" w:rsidRDefault="005129F3" w:rsidP="00BA2EFE">
            <w:pPr>
              <w:jc w:val="right"/>
              <w:rPr>
                <w:rFonts w:ascii="Garamond" w:eastAsia="Times New Roman" w:hAnsi="Garamond" w:cstheme="majorBidi"/>
                <w:bCs/>
                <w:color w:val="0D0D0D" w:themeColor="text1" w:themeTint="F2"/>
                <w:sz w:val="20"/>
                <w:szCs w:val="20"/>
              </w:rPr>
            </w:pPr>
            <w:r w:rsidRPr="00770F9D">
              <w:rPr>
                <w:rFonts w:ascii="Garamond" w:hAnsi="Garamond" w:cstheme="majorBidi"/>
                <w:color w:val="0D0D0D" w:themeColor="text1" w:themeTint="F2"/>
                <w:sz w:val="20"/>
                <w:szCs w:val="20"/>
              </w:rPr>
              <w:t xml:space="preserve">1000 </w:t>
            </w:r>
          </w:p>
        </w:tc>
      </w:tr>
      <w:tr w:rsidR="005129F3" w:rsidRPr="00770F9D" w14:paraId="7525FE01" w14:textId="77777777" w:rsidTr="00BA2EFE">
        <w:trPr>
          <w:trHeight w:val="333"/>
          <w:jc w:val="center"/>
        </w:trPr>
        <w:tc>
          <w:tcPr>
            <w:tcW w:w="3263" w:type="pct"/>
            <w:tcBorders>
              <w:top w:val="single" w:sz="4" w:space="0" w:color="auto"/>
              <w:left w:val="single" w:sz="4" w:space="0" w:color="auto"/>
              <w:bottom w:val="single" w:sz="4" w:space="0" w:color="auto"/>
              <w:right w:val="single" w:sz="4" w:space="0" w:color="auto"/>
            </w:tcBorders>
            <w:shd w:val="clear" w:color="auto" w:fill="auto"/>
          </w:tcPr>
          <w:p w14:paraId="36296D6E" w14:textId="42877692" w:rsidR="005129F3" w:rsidRPr="00770F9D" w:rsidRDefault="005129F3" w:rsidP="005E279E">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Numri i mësuesve të trajnuar (TI</w:t>
            </w:r>
            <w:r w:rsidR="00B6148E" w:rsidRPr="00770F9D">
              <w:rPr>
                <w:rFonts w:ascii="Garamond" w:hAnsi="Garamond" w:cstheme="majorBidi"/>
                <w:color w:val="0D0D0D" w:themeColor="text1" w:themeTint="F2"/>
                <w:sz w:val="20"/>
                <w:szCs w:val="20"/>
              </w:rPr>
              <w:t>K</w:t>
            </w:r>
            <w:r w:rsidRPr="00770F9D">
              <w:rPr>
                <w:rFonts w:ascii="Garamond" w:hAnsi="Garamond" w:cstheme="majorBidi"/>
                <w:color w:val="0D0D0D" w:themeColor="text1" w:themeTint="F2"/>
                <w:sz w:val="20"/>
                <w:szCs w:val="20"/>
              </w:rPr>
              <w:t xml:space="preserve"> në klasën e k</w:t>
            </w:r>
            <w:r w:rsidR="00B07CC9">
              <w:rPr>
                <w:rFonts w:ascii="Garamond" w:hAnsi="Garamond" w:cstheme="majorBidi"/>
                <w:color w:val="0D0D0D" w:themeColor="text1" w:themeTint="F2"/>
                <w:sz w:val="20"/>
                <w:szCs w:val="20"/>
              </w:rPr>
              <w:t>atërt, të pestë dhe të gjashtë)</w:t>
            </w:r>
          </w:p>
        </w:tc>
        <w:tc>
          <w:tcPr>
            <w:tcW w:w="486" w:type="pct"/>
            <w:tcBorders>
              <w:top w:val="single" w:sz="4" w:space="0" w:color="auto"/>
              <w:left w:val="nil"/>
              <w:bottom w:val="single" w:sz="4" w:space="0" w:color="auto"/>
              <w:right w:val="single" w:sz="4" w:space="0" w:color="auto"/>
            </w:tcBorders>
            <w:shd w:val="clear" w:color="auto" w:fill="auto"/>
            <w:vAlign w:val="center"/>
          </w:tcPr>
          <w:p w14:paraId="6E57E5A8" w14:textId="77777777" w:rsidR="005129F3" w:rsidRPr="00770F9D" w:rsidRDefault="005129F3" w:rsidP="00BA2EFE">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0</w:t>
            </w:r>
          </w:p>
        </w:tc>
        <w:tc>
          <w:tcPr>
            <w:tcW w:w="764" w:type="pct"/>
            <w:tcBorders>
              <w:top w:val="single" w:sz="4" w:space="0" w:color="auto"/>
              <w:left w:val="nil"/>
              <w:bottom w:val="single" w:sz="4" w:space="0" w:color="auto"/>
              <w:right w:val="single" w:sz="4" w:space="0" w:color="auto"/>
            </w:tcBorders>
            <w:shd w:val="clear" w:color="auto" w:fill="auto"/>
          </w:tcPr>
          <w:p w14:paraId="3D125B63" w14:textId="77777777" w:rsidR="005129F3" w:rsidRPr="00770F9D" w:rsidRDefault="005129F3" w:rsidP="00BA2EFE">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500</w:t>
            </w:r>
          </w:p>
        </w:tc>
        <w:tc>
          <w:tcPr>
            <w:tcW w:w="486" w:type="pct"/>
            <w:tcBorders>
              <w:top w:val="single" w:sz="4" w:space="0" w:color="auto"/>
              <w:left w:val="nil"/>
              <w:bottom w:val="single" w:sz="4" w:space="0" w:color="auto"/>
              <w:right w:val="single" w:sz="4" w:space="0" w:color="auto"/>
            </w:tcBorders>
            <w:shd w:val="clear" w:color="auto" w:fill="auto"/>
          </w:tcPr>
          <w:p w14:paraId="0448BA76" w14:textId="77777777" w:rsidR="005129F3" w:rsidRPr="00770F9D" w:rsidRDefault="005129F3" w:rsidP="00BA2EFE">
            <w:pPr>
              <w:jc w:val="right"/>
              <w:rPr>
                <w:rFonts w:ascii="Garamond" w:eastAsia="Times New Roman" w:hAnsi="Garamond" w:cstheme="majorBidi"/>
                <w:bCs/>
                <w:color w:val="0D0D0D" w:themeColor="text1" w:themeTint="F2"/>
                <w:sz w:val="20"/>
                <w:szCs w:val="20"/>
              </w:rPr>
            </w:pPr>
            <w:r w:rsidRPr="00770F9D">
              <w:rPr>
                <w:rFonts w:ascii="Garamond" w:hAnsi="Garamond" w:cstheme="majorBidi"/>
                <w:color w:val="0D0D0D" w:themeColor="text1" w:themeTint="F2"/>
                <w:sz w:val="20"/>
                <w:szCs w:val="20"/>
              </w:rPr>
              <w:t>1000</w:t>
            </w:r>
          </w:p>
        </w:tc>
      </w:tr>
      <w:tr w:rsidR="005129F3" w:rsidRPr="00770F9D" w14:paraId="1B99916D" w14:textId="77777777" w:rsidTr="00BA2EFE">
        <w:trPr>
          <w:trHeight w:val="333"/>
          <w:jc w:val="center"/>
        </w:trPr>
        <w:tc>
          <w:tcPr>
            <w:tcW w:w="3263" w:type="pct"/>
            <w:tcBorders>
              <w:top w:val="single" w:sz="4" w:space="0" w:color="auto"/>
              <w:left w:val="single" w:sz="4" w:space="0" w:color="auto"/>
              <w:bottom w:val="single" w:sz="4" w:space="0" w:color="auto"/>
              <w:right w:val="single" w:sz="4" w:space="0" w:color="auto"/>
            </w:tcBorders>
            <w:shd w:val="clear" w:color="auto" w:fill="auto"/>
          </w:tcPr>
          <w:p w14:paraId="4D8E74F5" w14:textId="61DC8ED6" w:rsidR="005129F3" w:rsidRPr="00770F9D" w:rsidRDefault="005129F3" w:rsidP="005E279E">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xml:space="preserve">Trajnimi i </w:t>
            </w:r>
            <w:r w:rsidR="00B6148E" w:rsidRPr="00770F9D">
              <w:rPr>
                <w:rFonts w:ascii="Garamond" w:hAnsi="Garamond" w:cstheme="majorBidi"/>
                <w:color w:val="0D0D0D" w:themeColor="text1" w:themeTint="F2"/>
                <w:sz w:val="20"/>
                <w:szCs w:val="20"/>
              </w:rPr>
              <w:t>drejtuesve të rrjeteve profesionale për TIK</w:t>
            </w:r>
            <w:r w:rsidR="00B07CC9">
              <w:rPr>
                <w:rFonts w:ascii="Garamond" w:hAnsi="Garamond" w:cstheme="majorBidi"/>
                <w:color w:val="0D0D0D" w:themeColor="text1" w:themeTint="F2"/>
                <w:sz w:val="20"/>
                <w:szCs w:val="20"/>
              </w:rPr>
              <w:t>-un</w:t>
            </w:r>
          </w:p>
        </w:tc>
        <w:tc>
          <w:tcPr>
            <w:tcW w:w="486" w:type="pct"/>
            <w:tcBorders>
              <w:top w:val="single" w:sz="4" w:space="0" w:color="auto"/>
              <w:left w:val="nil"/>
              <w:bottom w:val="single" w:sz="4" w:space="0" w:color="auto"/>
              <w:right w:val="single" w:sz="4" w:space="0" w:color="auto"/>
            </w:tcBorders>
            <w:shd w:val="clear" w:color="auto" w:fill="auto"/>
            <w:vAlign w:val="center"/>
          </w:tcPr>
          <w:p w14:paraId="6D29B9F0" w14:textId="77777777" w:rsidR="005129F3" w:rsidRPr="00770F9D" w:rsidRDefault="005129F3" w:rsidP="00BA2EFE">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0</w:t>
            </w:r>
          </w:p>
        </w:tc>
        <w:tc>
          <w:tcPr>
            <w:tcW w:w="764" w:type="pct"/>
            <w:tcBorders>
              <w:top w:val="single" w:sz="4" w:space="0" w:color="auto"/>
              <w:left w:val="nil"/>
              <w:bottom w:val="single" w:sz="4" w:space="0" w:color="auto"/>
              <w:right w:val="single" w:sz="4" w:space="0" w:color="auto"/>
            </w:tcBorders>
            <w:shd w:val="clear" w:color="auto" w:fill="auto"/>
          </w:tcPr>
          <w:p w14:paraId="74CF0B58" w14:textId="77777777" w:rsidR="005129F3" w:rsidRPr="00770F9D" w:rsidRDefault="005129F3" w:rsidP="00BA2EFE">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700</w:t>
            </w:r>
          </w:p>
        </w:tc>
        <w:tc>
          <w:tcPr>
            <w:tcW w:w="486" w:type="pct"/>
            <w:tcBorders>
              <w:top w:val="single" w:sz="4" w:space="0" w:color="auto"/>
              <w:left w:val="nil"/>
              <w:bottom w:val="single" w:sz="4" w:space="0" w:color="auto"/>
              <w:right w:val="single" w:sz="4" w:space="0" w:color="auto"/>
            </w:tcBorders>
            <w:shd w:val="clear" w:color="auto" w:fill="auto"/>
          </w:tcPr>
          <w:p w14:paraId="45F3232F" w14:textId="77777777" w:rsidR="005129F3" w:rsidRPr="00770F9D" w:rsidRDefault="005129F3" w:rsidP="00BA2EFE">
            <w:pPr>
              <w:jc w:val="right"/>
              <w:rPr>
                <w:rFonts w:ascii="Garamond" w:eastAsia="Times New Roman" w:hAnsi="Garamond" w:cstheme="majorBidi"/>
                <w:bCs/>
                <w:color w:val="0D0D0D" w:themeColor="text1" w:themeTint="F2"/>
                <w:sz w:val="20"/>
                <w:szCs w:val="20"/>
              </w:rPr>
            </w:pPr>
            <w:r w:rsidRPr="00770F9D">
              <w:rPr>
                <w:rFonts w:ascii="Garamond" w:hAnsi="Garamond" w:cstheme="majorBidi"/>
                <w:color w:val="0D0D0D" w:themeColor="text1" w:themeTint="F2"/>
                <w:sz w:val="20"/>
                <w:szCs w:val="20"/>
              </w:rPr>
              <w:t>1200</w:t>
            </w:r>
          </w:p>
        </w:tc>
      </w:tr>
    </w:tbl>
    <w:p w14:paraId="009FD0E9" w14:textId="3895F3C9" w:rsidR="00F30712" w:rsidRPr="00770F9D" w:rsidRDefault="005E279E"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3</w:t>
      </w:r>
      <w:r w:rsidR="005674F2"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Ndikimi i pritshëm në konkurrueshmëri</w:t>
      </w:r>
    </w:p>
    <w:p w14:paraId="0E1E3ADD" w14:textId="7AA3A52B" w:rsidR="005129F3" w:rsidRPr="00770F9D" w:rsidRDefault="00B6148E" w:rsidP="00354F6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Teknologjia e informacionit dhe komunikimit (TIK), e cila përfshin kompjuterë, tabletë, telefona inteligjentë, tavolina ndërvepruese dhe aksesorë të tjerë, mund të ketë një ndikim pozitiv në përmirësimin e cilësisë së mësimdhënies, rritjen e motivimit dhe përmirësimin e performancës së studentëve, duke siguruar që të gjithë studentët të jenë në gjendje të përvetësojnë disa nivele të kompetencës digjitale për të përmbushur kërkesat e njohurive të shoqërive të shekullit të 21-të dhe për t</w:t>
      </w:r>
      <w:r w:rsidR="00354F66">
        <w:rPr>
          <w:rFonts w:ascii="Garamond" w:hAnsi="Garamond" w:cstheme="majorBidi"/>
          <w:color w:val="0D0D0D" w:themeColor="text1" w:themeTint="F2"/>
        </w:rPr>
        <w:t>’</w:t>
      </w:r>
      <w:r w:rsidRPr="00770F9D">
        <w:rPr>
          <w:rFonts w:ascii="Garamond" w:hAnsi="Garamond" w:cstheme="majorBidi"/>
          <w:color w:val="0D0D0D" w:themeColor="text1" w:themeTint="F2"/>
        </w:rPr>
        <w:t>i mundësuar këtij brezi studentësh, në planin afatgjatë, të përgatiten më mirë për tregun e punës: qoftë si punonjës ose si krijues pune</w:t>
      </w:r>
      <w:r w:rsidR="005129F3" w:rsidRPr="00770F9D">
        <w:rPr>
          <w:rFonts w:ascii="Garamond" w:hAnsi="Garamond" w:cstheme="majorBidi"/>
          <w:color w:val="0D0D0D" w:themeColor="text1" w:themeTint="F2"/>
        </w:rPr>
        <w:t>.</w:t>
      </w:r>
    </w:p>
    <w:p w14:paraId="72770320" w14:textId="768A5A22" w:rsidR="00F30712" w:rsidRPr="00770F9D" w:rsidRDefault="005E279E"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4</w:t>
      </w:r>
      <w:r w:rsidR="005674F2" w:rsidRPr="00770F9D">
        <w:rPr>
          <w:rFonts w:ascii="Garamond" w:hAnsi="Garamond" w:cstheme="majorBidi"/>
          <w:color w:val="0D0D0D" w:themeColor="text1" w:themeTint="F2"/>
          <w:u w:val="none"/>
        </w:rPr>
        <w:t xml:space="preserve">. </w:t>
      </w:r>
      <w:r w:rsidR="00354F66">
        <w:rPr>
          <w:rFonts w:ascii="Garamond" w:hAnsi="Garamond" w:cstheme="majorBidi"/>
          <w:color w:val="0D0D0D" w:themeColor="text1" w:themeTint="F2"/>
          <w:u w:val="none"/>
        </w:rPr>
        <w:t xml:space="preserve">Kostoja </w:t>
      </w:r>
      <w:r w:rsidR="00B2062A" w:rsidRPr="00770F9D">
        <w:rPr>
          <w:rFonts w:ascii="Garamond" w:hAnsi="Garamond" w:cstheme="majorBidi"/>
          <w:color w:val="0D0D0D" w:themeColor="text1" w:themeTint="F2"/>
          <w:u w:val="none"/>
        </w:rPr>
        <w:t>e parashikuar e aktiviteteve dhe burimi i financimit</w:t>
      </w:r>
    </w:p>
    <w:tbl>
      <w:tblPr>
        <w:tblW w:w="5000" w:type="pct"/>
        <w:jc w:val="center"/>
        <w:tblLook w:val="04A0" w:firstRow="1" w:lastRow="0" w:firstColumn="1" w:lastColumn="0" w:noHBand="0" w:noVBand="1"/>
      </w:tblPr>
      <w:tblGrid>
        <w:gridCol w:w="878"/>
        <w:gridCol w:w="5606"/>
        <w:gridCol w:w="1521"/>
        <w:gridCol w:w="1282"/>
      </w:tblGrid>
      <w:tr w:rsidR="00821FA5" w:rsidRPr="00770F9D" w14:paraId="24C8861B" w14:textId="77777777" w:rsidTr="00813F5C">
        <w:trPr>
          <w:trHeight w:val="20"/>
          <w:jc w:val="center"/>
        </w:trPr>
        <w:tc>
          <w:tcPr>
            <w:tcW w:w="473" w:type="pct"/>
            <w:tcBorders>
              <w:top w:val="single" w:sz="4" w:space="0" w:color="000000"/>
              <w:left w:val="single" w:sz="4" w:space="0" w:color="000000"/>
              <w:bottom w:val="single" w:sz="4" w:space="0" w:color="000000"/>
              <w:right w:val="single" w:sz="4" w:space="0" w:color="000000"/>
            </w:tcBorders>
            <w:vAlign w:val="center"/>
          </w:tcPr>
          <w:p w14:paraId="5ABFD8DC" w14:textId="77777777" w:rsidR="00B6148E" w:rsidRPr="00770F9D" w:rsidRDefault="00B6148E" w:rsidP="006C735E">
            <w:pPr>
              <w:jc w:val="center"/>
              <w:rPr>
                <w:rFonts w:ascii="Garamond" w:hAnsi="Garamond" w:cstheme="majorBidi"/>
                <w:b/>
                <w:bCs/>
                <w:color w:val="0D0D0D" w:themeColor="text1" w:themeTint="F2"/>
                <w:sz w:val="20"/>
                <w:szCs w:val="20"/>
              </w:rPr>
            </w:pPr>
            <w:r w:rsidRPr="00770F9D">
              <w:rPr>
                <w:rFonts w:ascii="Garamond" w:hAnsi="Garamond" w:cstheme="majorBidi"/>
                <w:b/>
                <w:color w:val="0D0D0D" w:themeColor="text1" w:themeTint="F2"/>
                <w:sz w:val="20"/>
                <w:szCs w:val="20"/>
              </w:rPr>
              <w:t>Viti</w:t>
            </w:r>
          </w:p>
        </w:tc>
        <w:tc>
          <w:tcPr>
            <w:tcW w:w="3017" w:type="pct"/>
            <w:tcBorders>
              <w:top w:val="single" w:sz="4" w:space="0" w:color="000000"/>
              <w:left w:val="single" w:sz="4" w:space="0" w:color="000000"/>
              <w:bottom w:val="single" w:sz="4" w:space="0" w:color="000000"/>
              <w:right w:val="single" w:sz="4" w:space="0" w:color="000000"/>
            </w:tcBorders>
            <w:vAlign w:val="center"/>
          </w:tcPr>
          <w:p w14:paraId="0CEF620B" w14:textId="77777777" w:rsidR="00B6148E" w:rsidRPr="00770F9D" w:rsidRDefault="00B6148E" w:rsidP="006C735E">
            <w:pPr>
              <w:jc w:val="center"/>
              <w:rPr>
                <w:rFonts w:ascii="Garamond" w:hAnsi="Garamond" w:cstheme="majorBidi"/>
                <w:b/>
                <w:bCs/>
                <w:color w:val="0D0D0D" w:themeColor="text1" w:themeTint="F2"/>
                <w:sz w:val="20"/>
                <w:szCs w:val="20"/>
              </w:rPr>
            </w:pPr>
            <w:r w:rsidRPr="00770F9D">
              <w:rPr>
                <w:rFonts w:ascii="Garamond" w:hAnsi="Garamond" w:cstheme="majorBidi"/>
                <w:b/>
                <w:color w:val="0D0D0D" w:themeColor="text1" w:themeTint="F2"/>
                <w:sz w:val="20"/>
                <w:szCs w:val="20"/>
              </w:rPr>
              <w:t>Aktiviteti</w:t>
            </w:r>
          </w:p>
        </w:tc>
        <w:tc>
          <w:tcPr>
            <w:tcW w:w="819" w:type="pct"/>
            <w:tcBorders>
              <w:top w:val="single" w:sz="4" w:space="0" w:color="000000"/>
              <w:left w:val="single" w:sz="4" w:space="0" w:color="000000"/>
              <w:bottom w:val="single" w:sz="4" w:space="0" w:color="000000"/>
              <w:right w:val="single" w:sz="4" w:space="0" w:color="000000"/>
            </w:tcBorders>
            <w:vAlign w:val="center"/>
          </w:tcPr>
          <w:p w14:paraId="5690E59C" w14:textId="77777777" w:rsidR="00B6148E" w:rsidRPr="00770F9D" w:rsidRDefault="00B6148E" w:rsidP="006C735E">
            <w:pPr>
              <w:jc w:val="center"/>
              <w:rPr>
                <w:rFonts w:ascii="Garamond" w:hAnsi="Garamond" w:cstheme="majorBidi"/>
                <w:b/>
                <w:bCs/>
                <w:color w:val="0D0D0D" w:themeColor="text1" w:themeTint="F2"/>
                <w:sz w:val="20"/>
                <w:szCs w:val="20"/>
              </w:rPr>
            </w:pPr>
            <w:r w:rsidRPr="00770F9D">
              <w:rPr>
                <w:rFonts w:ascii="Garamond" w:hAnsi="Garamond" w:cstheme="majorBidi"/>
                <w:b/>
                <w:color w:val="0D0D0D" w:themeColor="text1" w:themeTint="F2"/>
                <w:sz w:val="20"/>
                <w:szCs w:val="20"/>
              </w:rPr>
              <w:t>Kostoja e parashikuar në lekë</w:t>
            </w:r>
          </w:p>
        </w:tc>
        <w:tc>
          <w:tcPr>
            <w:tcW w:w="690" w:type="pct"/>
            <w:tcBorders>
              <w:top w:val="single" w:sz="4" w:space="0" w:color="000000"/>
              <w:left w:val="single" w:sz="4" w:space="0" w:color="000000"/>
              <w:bottom w:val="single" w:sz="4" w:space="0" w:color="000000"/>
              <w:right w:val="single" w:sz="4" w:space="0" w:color="000000"/>
            </w:tcBorders>
            <w:vAlign w:val="center"/>
          </w:tcPr>
          <w:p w14:paraId="0FC5728F" w14:textId="77777777" w:rsidR="00B6148E" w:rsidRPr="00770F9D" w:rsidRDefault="00B6148E" w:rsidP="006C735E">
            <w:pPr>
              <w:jc w:val="center"/>
              <w:rPr>
                <w:rFonts w:ascii="Garamond" w:hAnsi="Garamond" w:cstheme="majorBidi"/>
                <w:b/>
                <w:bCs/>
                <w:color w:val="0D0D0D" w:themeColor="text1" w:themeTint="F2"/>
                <w:sz w:val="20"/>
                <w:szCs w:val="20"/>
              </w:rPr>
            </w:pPr>
            <w:r w:rsidRPr="00770F9D">
              <w:rPr>
                <w:rFonts w:ascii="Garamond" w:hAnsi="Garamond" w:cstheme="majorBidi"/>
                <w:b/>
                <w:color w:val="0D0D0D" w:themeColor="text1" w:themeTint="F2"/>
                <w:sz w:val="20"/>
                <w:szCs w:val="20"/>
              </w:rPr>
              <w:t>Burimi i financimit</w:t>
            </w:r>
          </w:p>
        </w:tc>
      </w:tr>
      <w:tr w:rsidR="00821FA5" w:rsidRPr="00770F9D" w14:paraId="0E228690" w14:textId="77777777" w:rsidTr="00813F5C">
        <w:trPr>
          <w:trHeight w:val="20"/>
          <w:jc w:val="center"/>
        </w:trPr>
        <w:tc>
          <w:tcPr>
            <w:tcW w:w="473" w:type="pct"/>
            <w:vMerge w:val="restart"/>
            <w:tcBorders>
              <w:top w:val="single" w:sz="4" w:space="0" w:color="000000"/>
              <w:left w:val="single" w:sz="4" w:space="0" w:color="000000"/>
              <w:bottom w:val="single" w:sz="4" w:space="0" w:color="000000"/>
              <w:right w:val="single" w:sz="4" w:space="0" w:color="000000"/>
            </w:tcBorders>
          </w:tcPr>
          <w:p w14:paraId="3BCD8F74" w14:textId="77777777" w:rsidR="00B6148E" w:rsidRPr="00770F9D" w:rsidRDefault="00B6148E" w:rsidP="005E279E">
            <w:pPr>
              <w:jc w:val="both"/>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2023</w:t>
            </w:r>
          </w:p>
        </w:tc>
        <w:tc>
          <w:tcPr>
            <w:tcW w:w="3017" w:type="pct"/>
            <w:tcBorders>
              <w:top w:val="single" w:sz="4" w:space="0" w:color="000000"/>
              <w:left w:val="single" w:sz="4" w:space="0" w:color="000000"/>
              <w:bottom w:val="single" w:sz="4" w:space="0" w:color="000000"/>
              <w:right w:val="single" w:sz="4" w:space="0" w:color="000000"/>
            </w:tcBorders>
          </w:tcPr>
          <w:p w14:paraId="58052038" w14:textId="77777777" w:rsidR="00B6148E" w:rsidRPr="00770F9D" w:rsidRDefault="00B6148E" w:rsidP="005E279E">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Hartimi dhe miratimi i programit të teknologjisë së informacionit dhe komunikimit dhe zbatimi i tij në klasën e dytë</w:t>
            </w:r>
          </w:p>
        </w:tc>
        <w:tc>
          <w:tcPr>
            <w:tcW w:w="819" w:type="pct"/>
            <w:tcBorders>
              <w:top w:val="single" w:sz="4" w:space="0" w:color="000000"/>
              <w:left w:val="single" w:sz="4" w:space="0" w:color="000000"/>
              <w:bottom w:val="single" w:sz="4" w:space="0" w:color="000000"/>
              <w:right w:val="single" w:sz="4" w:space="0" w:color="000000"/>
            </w:tcBorders>
            <w:vAlign w:val="center"/>
          </w:tcPr>
          <w:p w14:paraId="57B1DE55" w14:textId="77777777" w:rsidR="00B6148E" w:rsidRPr="00770F9D" w:rsidRDefault="00B6148E" w:rsidP="00813F5C">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700</w:t>
            </w:r>
          </w:p>
        </w:tc>
        <w:tc>
          <w:tcPr>
            <w:tcW w:w="690" w:type="pct"/>
            <w:tcBorders>
              <w:top w:val="single" w:sz="4" w:space="0" w:color="000000"/>
              <w:left w:val="single" w:sz="4" w:space="0" w:color="000000"/>
              <w:bottom w:val="single" w:sz="4" w:space="0" w:color="000000"/>
              <w:right w:val="single" w:sz="4" w:space="0" w:color="000000"/>
            </w:tcBorders>
            <w:vAlign w:val="center"/>
          </w:tcPr>
          <w:p w14:paraId="5DAB427C" w14:textId="77777777" w:rsidR="00B6148E" w:rsidRPr="00770F9D" w:rsidRDefault="00B6148E" w:rsidP="00813F5C">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r w:rsidR="00821FA5" w:rsidRPr="00770F9D" w14:paraId="23B7421C" w14:textId="77777777" w:rsidTr="00813F5C">
        <w:trPr>
          <w:trHeight w:val="20"/>
          <w:jc w:val="center"/>
        </w:trPr>
        <w:tc>
          <w:tcPr>
            <w:tcW w:w="473" w:type="pct"/>
            <w:vMerge/>
            <w:tcBorders>
              <w:top w:val="single" w:sz="4" w:space="0" w:color="000000"/>
              <w:left w:val="single" w:sz="4" w:space="0" w:color="000000"/>
              <w:bottom w:val="single" w:sz="4" w:space="0" w:color="000000"/>
              <w:right w:val="single" w:sz="4" w:space="0" w:color="000000"/>
            </w:tcBorders>
          </w:tcPr>
          <w:p w14:paraId="5D90EAEC" w14:textId="77777777" w:rsidR="00B6148E" w:rsidRPr="00770F9D" w:rsidRDefault="00B6148E" w:rsidP="005E279E">
            <w:pPr>
              <w:snapToGrid w:val="0"/>
              <w:jc w:val="both"/>
              <w:rPr>
                <w:rFonts w:ascii="Garamond" w:hAnsi="Garamond" w:cstheme="majorBidi"/>
                <w:b/>
                <w:bCs/>
                <w:color w:val="0D0D0D" w:themeColor="text1" w:themeTint="F2"/>
                <w:sz w:val="20"/>
                <w:szCs w:val="20"/>
              </w:rPr>
            </w:pPr>
          </w:p>
        </w:tc>
        <w:tc>
          <w:tcPr>
            <w:tcW w:w="3017" w:type="pct"/>
            <w:tcBorders>
              <w:top w:val="single" w:sz="4" w:space="0" w:color="000000"/>
              <w:left w:val="single" w:sz="4" w:space="0" w:color="000000"/>
              <w:bottom w:val="single" w:sz="4" w:space="0" w:color="000000"/>
              <w:right w:val="single" w:sz="4" w:space="0" w:color="000000"/>
            </w:tcBorders>
          </w:tcPr>
          <w:p w14:paraId="1B914ACF" w14:textId="77777777" w:rsidR="00B6148E" w:rsidRPr="00770F9D" w:rsidRDefault="00B6148E" w:rsidP="005E279E">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Trajnimi i mësuesve TIK për zbatimin e programit në klasën e dytë</w:t>
            </w:r>
          </w:p>
        </w:tc>
        <w:tc>
          <w:tcPr>
            <w:tcW w:w="819" w:type="pct"/>
            <w:tcBorders>
              <w:top w:val="single" w:sz="4" w:space="0" w:color="000000"/>
              <w:left w:val="single" w:sz="4" w:space="0" w:color="000000"/>
              <w:bottom w:val="single" w:sz="4" w:space="0" w:color="000000"/>
              <w:right w:val="single" w:sz="4" w:space="0" w:color="000000"/>
            </w:tcBorders>
            <w:vAlign w:val="center"/>
          </w:tcPr>
          <w:p w14:paraId="2FEFB055" w14:textId="77777777" w:rsidR="00B6148E" w:rsidRPr="00770F9D" w:rsidRDefault="00B6148E" w:rsidP="00813F5C">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12,000</w:t>
            </w:r>
          </w:p>
        </w:tc>
        <w:tc>
          <w:tcPr>
            <w:tcW w:w="690" w:type="pct"/>
            <w:tcBorders>
              <w:top w:val="single" w:sz="4" w:space="0" w:color="000000"/>
              <w:left w:val="single" w:sz="4" w:space="0" w:color="000000"/>
              <w:bottom w:val="single" w:sz="4" w:space="0" w:color="000000"/>
              <w:right w:val="single" w:sz="4" w:space="0" w:color="000000"/>
            </w:tcBorders>
            <w:vAlign w:val="center"/>
          </w:tcPr>
          <w:p w14:paraId="194C6B26" w14:textId="77777777" w:rsidR="00B6148E" w:rsidRPr="00770F9D" w:rsidRDefault="00B6148E" w:rsidP="00813F5C">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r w:rsidR="00821FA5" w:rsidRPr="00770F9D" w14:paraId="01857787" w14:textId="77777777" w:rsidTr="00813F5C">
        <w:trPr>
          <w:trHeight w:val="20"/>
          <w:jc w:val="center"/>
        </w:trPr>
        <w:tc>
          <w:tcPr>
            <w:tcW w:w="473" w:type="pct"/>
            <w:vMerge/>
            <w:tcBorders>
              <w:top w:val="single" w:sz="4" w:space="0" w:color="000000"/>
              <w:left w:val="single" w:sz="4" w:space="0" w:color="000000"/>
              <w:bottom w:val="single" w:sz="4" w:space="0" w:color="000000"/>
              <w:right w:val="single" w:sz="4" w:space="0" w:color="000000"/>
            </w:tcBorders>
          </w:tcPr>
          <w:p w14:paraId="486FF394" w14:textId="77777777" w:rsidR="00B6148E" w:rsidRPr="00770F9D" w:rsidRDefault="00B6148E" w:rsidP="005E279E">
            <w:pPr>
              <w:snapToGrid w:val="0"/>
              <w:jc w:val="both"/>
              <w:rPr>
                <w:rFonts w:ascii="Garamond" w:hAnsi="Garamond" w:cstheme="majorBidi"/>
                <w:b/>
                <w:bCs/>
                <w:color w:val="0D0D0D" w:themeColor="text1" w:themeTint="F2"/>
                <w:sz w:val="20"/>
                <w:szCs w:val="20"/>
              </w:rPr>
            </w:pPr>
          </w:p>
        </w:tc>
        <w:tc>
          <w:tcPr>
            <w:tcW w:w="3017" w:type="pct"/>
            <w:tcBorders>
              <w:top w:val="single" w:sz="4" w:space="0" w:color="000000"/>
              <w:left w:val="single" w:sz="4" w:space="0" w:color="000000"/>
              <w:bottom w:val="single" w:sz="4" w:space="0" w:color="000000"/>
              <w:right w:val="single" w:sz="4" w:space="0" w:color="000000"/>
            </w:tcBorders>
          </w:tcPr>
          <w:p w14:paraId="09E05294" w14:textId="77777777" w:rsidR="00B6148E" w:rsidRPr="00770F9D" w:rsidRDefault="00B6148E" w:rsidP="005E279E">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Hartimi i materialit mbështetës për mësuesit për të përfshirë aftësitë e kodimit dhe zbatimin e tij në vitin 2023 në klasën e dytë</w:t>
            </w:r>
          </w:p>
        </w:tc>
        <w:tc>
          <w:tcPr>
            <w:tcW w:w="819" w:type="pct"/>
            <w:tcBorders>
              <w:top w:val="single" w:sz="4" w:space="0" w:color="000000"/>
              <w:left w:val="single" w:sz="4" w:space="0" w:color="000000"/>
              <w:bottom w:val="single" w:sz="4" w:space="0" w:color="000000"/>
              <w:right w:val="single" w:sz="4" w:space="0" w:color="000000"/>
            </w:tcBorders>
            <w:vAlign w:val="center"/>
          </w:tcPr>
          <w:p w14:paraId="7DCCBB1F" w14:textId="77777777" w:rsidR="00B6148E" w:rsidRPr="00770F9D" w:rsidRDefault="00B6148E" w:rsidP="00813F5C">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700</w:t>
            </w:r>
          </w:p>
        </w:tc>
        <w:tc>
          <w:tcPr>
            <w:tcW w:w="690" w:type="pct"/>
            <w:tcBorders>
              <w:top w:val="single" w:sz="4" w:space="0" w:color="000000"/>
              <w:left w:val="single" w:sz="4" w:space="0" w:color="000000"/>
              <w:bottom w:val="single" w:sz="4" w:space="0" w:color="000000"/>
              <w:right w:val="single" w:sz="4" w:space="0" w:color="000000"/>
            </w:tcBorders>
            <w:vAlign w:val="center"/>
          </w:tcPr>
          <w:p w14:paraId="32339FC8" w14:textId="77777777" w:rsidR="00B6148E" w:rsidRPr="00770F9D" w:rsidRDefault="00B6148E" w:rsidP="00813F5C">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r w:rsidR="00821FA5" w:rsidRPr="00770F9D" w14:paraId="5FFC320E" w14:textId="77777777" w:rsidTr="00813F5C">
        <w:trPr>
          <w:trHeight w:val="20"/>
          <w:jc w:val="center"/>
        </w:trPr>
        <w:tc>
          <w:tcPr>
            <w:tcW w:w="473" w:type="pct"/>
            <w:vMerge/>
            <w:tcBorders>
              <w:top w:val="single" w:sz="4" w:space="0" w:color="000000"/>
              <w:left w:val="single" w:sz="4" w:space="0" w:color="000000"/>
              <w:bottom w:val="single" w:sz="4" w:space="0" w:color="000000"/>
              <w:right w:val="single" w:sz="4" w:space="0" w:color="000000"/>
            </w:tcBorders>
          </w:tcPr>
          <w:p w14:paraId="78472E89" w14:textId="77777777" w:rsidR="00B6148E" w:rsidRPr="00770F9D" w:rsidRDefault="00B6148E" w:rsidP="005E279E">
            <w:pPr>
              <w:snapToGrid w:val="0"/>
              <w:jc w:val="both"/>
              <w:rPr>
                <w:rFonts w:ascii="Garamond" w:hAnsi="Garamond" w:cstheme="majorBidi"/>
                <w:b/>
                <w:bCs/>
                <w:color w:val="0D0D0D" w:themeColor="text1" w:themeTint="F2"/>
                <w:sz w:val="20"/>
                <w:szCs w:val="20"/>
              </w:rPr>
            </w:pPr>
          </w:p>
        </w:tc>
        <w:tc>
          <w:tcPr>
            <w:tcW w:w="3017" w:type="pct"/>
            <w:tcBorders>
              <w:top w:val="single" w:sz="4" w:space="0" w:color="000000"/>
              <w:left w:val="single" w:sz="4" w:space="0" w:color="000000"/>
              <w:bottom w:val="single" w:sz="4" w:space="0" w:color="000000"/>
              <w:right w:val="single" w:sz="4" w:space="0" w:color="000000"/>
            </w:tcBorders>
          </w:tcPr>
          <w:p w14:paraId="5DD13C53" w14:textId="77777777" w:rsidR="00B6148E" w:rsidRPr="00770F9D" w:rsidRDefault="00B6148E" w:rsidP="005E279E">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Hartimi i materialit mbështetës për nxënësit për të përfshirë aftësitë e kodimit dhe zbatimin e tij në vitin 2023 në klasën e dytë</w:t>
            </w:r>
          </w:p>
        </w:tc>
        <w:tc>
          <w:tcPr>
            <w:tcW w:w="819" w:type="pct"/>
            <w:tcBorders>
              <w:top w:val="single" w:sz="4" w:space="0" w:color="000000"/>
              <w:left w:val="single" w:sz="4" w:space="0" w:color="000000"/>
              <w:bottom w:val="single" w:sz="4" w:space="0" w:color="000000"/>
              <w:right w:val="single" w:sz="4" w:space="0" w:color="000000"/>
            </w:tcBorders>
            <w:vAlign w:val="center"/>
          </w:tcPr>
          <w:p w14:paraId="3F041997" w14:textId="77777777" w:rsidR="00B6148E" w:rsidRPr="00770F9D" w:rsidRDefault="00B6148E" w:rsidP="00813F5C">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12,000</w:t>
            </w:r>
          </w:p>
        </w:tc>
        <w:tc>
          <w:tcPr>
            <w:tcW w:w="690" w:type="pct"/>
            <w:tcBorders>
              <w:top w:val="single" w:sz="4" w:space="0" w:color="000000"/>
              <w:left w:val="single" w:sz="4" w:space="0" w:color="000000"/>
              <w:bottom w:val="single" w:sz="4" w:space="0" w:color="000000"/>
              <w:right w:val="single" w:sz="4" w:space="0" w:color="000000"/>
            </w:tcBorders>
            <w:vAlign w:val="center"/>
          </w:tcPr>
          <w:p w14:paraId="1B567CBD" w14:textId="77777777" w:rsidR="00B6148E" w:rsidRPr="00770F9D" w:rsidRDefault="00B6148E" w:rsidP="00813F5C">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r w:rsidR="00821FA5" w:rsidRPr="00770F9D" w14:paraId="07FFC98E" w14:textId="77777777" w:rsidTr="00813F5C">
        <w:trPr>
          <w:trHeight w:val="20"/>
          <w:jc w:val="center"/>
        </w:trPr>
        <w:tc>
          <w:tcPr>
            <w:tcW w:w="473" w:type="pct"/>
            <w:vMerge/>
            <w:tcBorders>
              <w:top w:val="single" w:sz="4" w:space="0" w:color="000000"/>
              <w:left w:val="single" w:sz="4" w:space="0" w:color="000000"/>
              <w:bottom w:val="single" w:sz="4" w:space="0" w:color="000000"/>
              <w:right w:val="single" w:sz="4" w:space="0" w:color="000000"/>
            </w:tcBorders>
          </w:tcPr>
          <w:p w14:paraId="6919234B" w14:textId="77777777" w:rsidR="00B6148E" w:rsidRPr="00770F9D" w:rsidRDefault="00B6148E" w:rsidP="005E279E">
            <w:pPr>
              <w:snapToGrid w:val="0"/>
              <w:jc w:val="both"/>
              <w:rPr>
                <w:rFonts w:ascii="Garamond" w:hAnsi="Garamond" w:cstheme="majorBidi"/>
                <w:b/>
                <w:bCs/>
                <w:color w:val="0D0D0D" w:themeColor="text1" w:themeTint="F2"/>
                <w:sz w:val="20"/>
                <w:szCs w:val="20"/>
              </w:rPr>
            </w:pPr>
          </w:p>
        </w:tc>
        <w:tc>
          <w:tcPr>
            <w:tcW w:w="3017" w:type="pct"/>
            <w:tcBorders>
              <w:top w:val="single" w:sz="4" w:space="0" w:color="000000"/>
              <w:left w:val="single" w:sz="4" w:space="0" w:color="000000"/>
              <w:bottom w:val="single" w:sz="4" w:space="0" w:color="000000"/>
              <w:right w:val="single" w:sz="4" w:space="0" w:color="000000"/>
            </w:tcBorders>
          </w:tcPr>
          <w:p w14:paraId="046BD6C8" w14:textId="77777777" w:rsidR="00B6148E" w:rsidRPr="00770F9D" w:rsidRDefault="00B6148E" w:rsidP="005E279E">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Trajnimi i 1200 drejtuesve profesionistë të rrjetit mbi “Siguria e studentëve në internet”</w:t>
            </w:r>
          </w:p>
        </w:tc>
        <w:tc>
          <w:tcPr>
            <w:tcW w:w="819" w:type="pct"/>
            <w:tcBorders>
              <w:top w:val="single" w:sz="4" w:space="0" w:color="000000"/>
              <w:left w:val="single" w:sz="4" w:space="0" w:color="000000"/>
              <w:bottom w:val="single" w:sz="4" w:space="0" w:color="000000"/>
              <w:right w:val="single" w:sz="4" w:space="0" w:color="000000"/>
            </w:tcBorders>
            <w:vAlign w:val="center"/>
          </w:tcPr>
          <w:p w14:paraId="381B64AA" w14:textId="77777777" w:rsidR="00B6148E" w:rsidRPr="00770F9D" w:rsidRDefault="00B6148E" w:rsidP="00813F5C">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15,000</w:t>
            </w:r>
          </w:p>
        </w:tc>
        <w:tc>
          <w:tcPr>
            <w:tcW w:w="690" w:type="pct"/>
            <w:tcBorders>
              <w:top w:val="single" w:sz="4" w:space="0" w:color="000000"/>
              <w:left w:val="single" w:sz="4" w:space="0" w:color="000000"/>
              <w:bottom w:val="single" w:sz="4" w:space="0" w:color="000000"/>
              <w:right w:val="single" w:sz="4" w:space="0" w:color="000000"/>
            </w:tcBorders>
            <w:vAlign w:val="center"/>
          </w:tcPr>
          <w:p w14:paraId="0DF19578" w14:textId="77777777" w:rsidR="00B6148E" w:rsidRPr="00770F9D" w:rsidRDefault="00B6148E" w:rsidP="00813F5C">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r w:rsidR="00821FA5" w:rsidRPr="00770F9D" w14:paraId="6204E497" w14:textId="77777777" w:rsidTr="00813F5C">
        <w:trPr>
          <w:trHeight w:val="20"/>
          <w:jc w:val="center"/>
        </w:trPr>
        <w:tc>
          <w:tcPr>
            <w:tcW w:w="473" w:type="pct"/>
            <w:vMerge/>
            <w:tcBorders>
              <w:top w:val="single" w:sz="4" w:space="0" w:color="000000"/>
              <w:left w:val="single" w:sz="4" w:space="0" w:color="000000"/>
              <w:bottom w:val="single" w:sz="4" w:space="0" w:color="000000"/>
              <w:right w:val="single" w:sz="4" w:space="0" w:color="000000"/>
            </w:tcBorders>
          </w:tcPr>
          <w:p w14:paraId="7AE3FF75" w14:textId="77777777" w:rsidR="00B6148E" w:rsidRPr="00770F9D" w:rsidRDefault="00B6148E" w:rsidP="005E279E">
            <w:pPr>
              <w:snapToGrid w:val="0"/>
              <w:jc w:val="both"/>
              <w:rPr>
                <w:rFonts w:ascii="Garamond" w:hAnsi="Garamond" w:cstheme="majorBidi"/>
                <w:b/>
                <w:bCs/>
                <w:color w:val="0D0D0D" w:themeColor="text1" w:themeTint="F2"/>
                <w:sz w:val="20"/>
                <w:szCs w:val="20"/>
              </w:rPr>
            </w:pPr>
          </w:p>
        </w:tc>
        <w:tc>
          <w:tcPr>
            <w:tcW w:w="3017" w:type="pct"/>
            <w:tcBorders>
              <w:top w:val="single" w:sz="4" w:space="0" w:color="000000"/>
              <w:left w:val="single" w:sz="4" w:space="0" w:color="000000"/>
              <w:bottom w:val="single" w:sz="4" w:space="0" w:color="000000"/>
              <w:right w:val="single" w:sz="4" w:space="0" w:color="000000"/>
            </w:tcBorders>
          </w:tcPr>
          <w:p w14:paraId="17CC3886" w14:textId="77777777" w:rsidR="00B6148E" w:rsidRPr="00770F9D" w:rsidRDefault="00B6148E" w:rsidP="005E279E">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Përcaktimi i</w:t>
            </w:r>
            <w:r w:rsidRPr="00770F9D">
              <w:rPr>
                <w:rStyle w:val="y2iqfc"/>
                <w:rFonts w:ascii="Garamond" w:hAnsi="Garamond" w:cstheme="majorBidi"/>
                <w:color w:val="0D0D0D" w:themeColor="text1" w:themeTint="F2"/>
                <w:sz w:val="20"/>
                <w:szCs w:val="20"/>
              </w:rPr>
              <w:t xml:space="preserve"> standardeve për pajisjet TIK në shkolla</w:t>
            </w:r>
          </w:p>
        </w:tc>
        <w:tc>
          <w:tcPr>
            <w:tcW w:w="819" w:type="pct"/>
            <w:tcBorders>
              <w:top w:val="single" w:sz="4" w:space="0" w:color="000000"/>
              <w:left w:val="single" w:sz="4" w:space="0" w:color="000000"/>
              <w:bottom w:val="single" w:sz="4" w:space="0" w:color="000000"/>
              <w:right w:val="single" w:sz="4" w:space="0" w:color="000000"/>
            </w:tcBorders>
            <w:vAlign w:val="center"/>
          </w:tcPr>
          <w:p w14:paraId="10A11A77" w14:textId="77777777" w:rsidR="00B6148E" w:rsidRPr="00770F9D" w:rsidRDefault="00B6148E" w:rsidP="00813F5C">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12,000</w:t>
            </w:r>
          </w:p>
        </w:tc>
        <w:tc>
          <w:tcPr>
            <w:tcW w:w="690" w:type="pct"/>
            <w:tcBorders>
              <w:top w:val="single" w:sz="4" w:space="0" w:color="000000"/>
              <w:left w:val="single" w:sz="4" w:space="0" w:color="000000"/>
              <w:bottom w:val="single" w:sz="4" w:space="0" w:color="000000"/>
              <w:right w:val="single" w:sz="4" w:space="0" w:color="000000"/>
            </w:tcBorders>
            <w:vAlign w:val="center"/>
          </w:tcPr>
          <w:p w14:paraId="0F80FA09" w14:textId="77777777" w:rsidR="00B6148E" w:rsidRPr="00770F9D" w:rsidRDefault="00B6148E" w:rsidP="00813F5C">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r w:rsidR="00821FA5" w:rsidRPr="00770F9D" w14:paraId="11B33C6D" w14:textId="77777777" w:rsidTr="00813F5C">
        <w:trPr>
          <w:trHeight w:val="20"/>
          <w:jc w:val="center"/>
        </w:trPr>
        <w:tc>
          <w:tcPr>
            <w:tcW w:w="473" w:type="pct"/>
            <w:vMerge/>
            <w:tcBorders>
              <w:top w:val="single" w:sz="4" w:space="0" w:color="000000"/>
              <w:left w:val="single" w:sz="4" w:space="0" w:color="000000"/>
              <w:bottom w:val="single" w:sz="4" w:space="0" w:color="000000"/>
              <w:right w:val="single" w:sz="4" w:space="0" w:color="000000"/>
            </w:tcBorders>
          </w:tcPr>
          <w:p w14:paraId="70C24CF8" w14:textId="77777777" w:rsidR="00B6148E" w:rsidRPr="00770F9D" w:rsidRDefault="00B6148E" w:rsidP="005E279E">
            <w:pPr>
              <w:snapToGrid w:val="0"/>
              <w:jc w:val="both"/>
              <w:rPr>
                <w:rFonts w:ascii="Garamond" w:hAnsi="Garamond" w:cstheme="majorBidi"/>
                <w:b/>
                <w:bCs/>
                <w:color w:val="0D0D0D" w:themeColor="text1" w:themeTint="F2"/>
                <w:sz w:val="20"/>
                <w:szCs w:val="20"/>
              </w:rPr>
            </w:pPr>
          </w:p>
        </w:tc>
        <w:tc>
          <w:tcPr>
            <w:tcW w:w="3017" w:type="pct"/>
            <w:tcBorders>
              <w:top w:val="single" w:sz="4" w:space="0" w:color="000000"/>
              <w:left w:val="single" w:sz="4" w:space="0" w:color="000000"/>
              <w:bottom w:val="single" w:sz="4" w:space="0" w:color="000000"/>
              <w:right w:val="single" w:sz="4" w:space="0" w:color="000000"/>
            </w:tcBorders>
          </w:tcPr>
          <w:p w14:paraId="690FB74F" w14:textId="77777777" w:rsidR="00B6148E" w:rsidRPr="00770F9D" w:rsidRDefault="00B6148E" w:rsidP="005E279E">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Trajnimi i 1200 drejtuesve të rrjeteve profesionale për zbatimin e standardeve profesionale të mësuesve si dhe për përdorimin e TIK-ut në procesin mësimor si pjesë e arsimit të kombinuar.</w:t>
            </w:r>
          </w:p>
        </w:tc>
        <w:tc>
          <w:tcPr>
            <w:tcW w:w="819" w:type="pct"/>
            <w:tcBorders>
              <w:top w:val="single" w:sz="4" w:space="0" w:color="000000"/>
              <w:left w:val="single" w:sz="4" w:space="0" w:color="000000"/>
              <w:bottom w:val="single" w:sz="4" w:space="0" w:color="000000"/>
              <w:right w:val="single" w:sz="4" w:space="0" w:color="000000"/>
            </w:tcBorders>
            <w:vAlign w:val="center"/>
          </w:tcPr>
          <w:p w14:paraId="1AF83D39" w14:textId="77777777" w:rsidR="00B6148E" w:rsidRPr="00770F9D" w:rsidRDefault="00B6148E" w:rsidP="00813F5C">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15,000</w:t>
            </w:r>
          </w:p>
        </w:tc>
        <w:tc>
          <w:tcPr>
            <w:tcW w:w="690" w:type="pct"/>
            <w:tcBorders>
              <w:top w:val="single" w:sz="4" w:space="0" w:color="000000"/>
              <w:left w:val="single" w:sz="4" w:space="0" w:color="000000"/>
              <w:bottom w:val="single" w:sz="4" w:space="0" w:color="000000"/>
              <w:right w:val="single" w:sz="4" w:space="0" w:color="000000"/>
            </w:tcBorders>
            <w:vAlign w:val="center"/>
          </w:tcPr>
          <w:p w14:paraId="40518049" w14:textId="77777777" w:rsidR="00B6148E" w:rsidRPr="00770F9D" w:rsidRDefault="00B6148E" w:rsidP="00813F5C">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r w:rsidR="00821FA5" w:rsidRPr="00770F9D" w14:paraId="372EBFA8" w14:textId="77777777" w:rsidTr="00813F5C">
        <w:trPr>
          <w:trHeight w:val="20"/>
          <w:jc w:val="center"/>
        </w:trPr>
        <w:tc>
          <w:tcPr>
            <w:tcW w:w="473" w:type="pct"/>
            <w:vMerge w:val="restart"/>
            <w:tcBorders>
              <w:top w:val="single" w:sz="4" w:space="0" w:color="000000"/>
              <w:left w:val="single" w:sz="4" w:space="0" w:color="000000"/>
              <w:bottom w:val="single" w:sz="4" w:space="0" w:color="000000"/>
              <w:right w:val="single" w:sz="4" w:space="0" w:color="000000"/>
            </w:tcBorders>
          </w:tcPr>
          <w:p w14:paraId="2421D526" w14:textId="77777777" w:rsidR="00B6148E" w:rsidRPr="00770F9D" w:rsidRDefault="00B6148E" w:rsidP="005E279E">
            <w:pPr>
              <w:jc w:val="both"/>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2024</w:t>
            </w:r>
          </w:p>
        </w:tc>
        <w:tc>
          <w:tcPr>
            <w:tcW w:w="3017" w:type="pct"/>
            <w:tcBorders>
              <w:top w:val="single" w:sz="4" w:space="0" w:color="000000"/>
              <w:left w:val="single" w:sz="4" w:space="0" w:color="000000"/>
              <w:bottom w:val="single" w:sz="4" w:space="0" w:color="000000"/>
              <w:right w:val="single" w:sz="4" w:space="0" w:color="000000"/>
            </w:tcBorders>
          </w:tcPr>
          <w:p w14:paraId="40FAEB72" w14:textId="77777777" w:rsidR="00B6148E" w:rsidRPr="00770F9D" w:rsidRDefault="00B6148E" w:rsidP="005E279E">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Hartimi dhe miratimi i programit të teknologjisë së informacionit dhe komunikimit dhe zbatimi i tij në klasën e tretë</w:t>
            </w:r>
          </w:p>
        </w:tc>
        <w:tc>
          <w:tcPr>
            <w:tcW w:w="819" w:type="pct"/>
            <w:tcBorders>
              <w:top w:val="single" w:sz="4" w:space="0" w:color="000000"/>
              <w:left w:val="single" w:sz="4" w:space="0" w:color="000000"/>
              <w:bottom w:val="single" w:sz="4" w:space="0" w:color="000000"/>
              <w:right w:val="single" w:sz="4" w:space="0" w:color="000000"/>
            </w:tcBorders>
            <w:vAlign w:val="center"/>
          </w:tcPr>
          <w:p w14:paraId="752749AE" w14:textId="77777777" w:rsidR="00B6148E" w:rsidRPr="00770F9D" w:rsidRDefault="00B6148E" w:rsidP="00813F5C">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700</w:t>
            </w:r>
          </w:p>
        </w:tc>
        <w:tc>
          <w:tcPr>
            <w:tcW w:w="690" w:type="pct"/>
            <w:tcBorders>
              <w:top w:val="single" w:sz="4" w:space="0" w:color="000000"/>
              <w:left w:val="single" w:sz="4" w:space="0" w:color="000000"/>
              <w:bottom w:val="single" w:sz="4" w:space="0" w:color="000000"/>
              <w:right w:val="single" w:sz="4" w:space="0" w:color="000000"/>
            </w:tcBorders>
            <w:vAlign w:val="center"/>
          </w:tcPr>
          <w:p w14:paraId="7F428D2C" w14:textId="77777777" w:rsidR="00B6148E" w:rsidRPr="00770F9D" w:rsidRDefault="00B6148E" w:rsidP="00813F5C">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r w:rsidR="00821FA5" w:rsidRPr="00770F9D" w14:paraId="0D1D6D94" w14:textId="77777777" w:rsidTr="00813F5C">
        <w:trPr>
          <w:trHeight w:val="20"/>
          <w:jc w:val="center"/>
        </w:trPr>
        <w:tc>
          <w:tcPr>
            <w:tcW w:w="473" w:type="pct"/>
            <w:vMerge/>
            <w:tcBorders>
              <w:top w:val="single" w:sz="4" w:space="0" w:color="000000"/>
              <w:left w:val="single" w:sz="4" w:space="0" w:color="000000"/>
              <w:bottom w:val="single" w:sz="4" w:space="0" w:color="000000"/>
              <w:right w:val="single" w:sz="4" w:space="0" w:color="000000"/>
            </w:tcBorders>
          </w:tcPr>
          <w:p w14:paraId="177B4E73" w14:textId="77777777" w:rsidR="00B6148E" w:rsidRPr="00770F9D" w:rsidRDefault="00B6148E" w:rsidP="005E279E">
            <w:pPr>
              <w:snapToGrid w:val="0"/>
              <w:jc w:val="both"/>
              <w:rPr>
                <w:rFonts w:ascii="Garamond" w:hAnsi="Garamond" w:cstheme="majorBidi"/>
                <w:b/>
                <w:bCs/>
                <w:color w:val="0D0D0D" w:themeColor="text1" w:themeTint="F2"/>
                <w:sz w:val="20"/>
                <w:szCs w:val="20"/>
              </w:rPr>
            </w:pPr>
          </w:p>
        </w:tc>
        <w:tc>
          <w:tcPr>
            <w:tcW w:w="3017" w:type="pct"/>
            <w:tcBorders>
              <w:top w:val="single" w:sz="4" w:space="0" w:color="000000"/>
              <w:left w:val="single" w:sz="4" w:space="0" w:color="000000"/>
              <w:bottom w:val="single" w:sz="4" w:space="0" w:color="000000"/>
              <w:right w:val="single" w:sz="4" w:space="0" w:color="000000"/>
            </w:tcBorders>
          </w:tcPr>
          <w:p w14:paraId="707D5104" w14:textId="77777777" w:rsidR="00B6148E" w:rsidRPr="00770F9D" w:rsidRDefault="00B6148E" w:rsidP="005E279E">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Trajnimi i mësuesve TIK për zbatimin e programit në klasën e tretë</w:t>
            </w:r>
          </w:p>
        </w:tc>
        <w:tc>
          <w:tcPr>
            <w:tcW w:w="819" w:type="pct"/>
            <w:tcBorders>
              <w:top w:val="single" w:sz="4" w:space="0" w:color="000000"/>
              <w:left w:val="single" w:sz="4" w:space="0" w:color="000000"/>
              <w:bottom w:val="single" w:sz="4" w:space="0" w:color="000000"/>
              <w:right w:val="single" w:sz="4" w:space="0" w:color="000000"/>
            </w:tcBorders>
            <w:vAlign w:val="center"/>
          </w:tcPr>
          <w:p w14:paraId="1299EBFC" w14:textId="77777777" w:rsidR="00B6148E" w:rsidRPr="00770F9D" w:rsidRDefault="00B6148E" w:rsidP="00813F5C">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12,000</w:t>
            </w:r>
          </w:p>
        </w:tc>
        <w:tc>
          <w:tcPr>
            <w:tcW w:w="690" w:type="pct"/>
            <w:tcBorders>
              <w:top w:val="single" w:sz="4" w:space="0" w:color="000000"/>
              <w:left w:val="single" w:sz="4" w:space="0" w:color="000000"/>
              <w:bottom w:val="single" w:sz="4" w:space="0" w:color="000000"/>
              <w:right w:val="single" w:sz="4" w:space="0" w:color="000000"/>
            </w:tcBorders>
            <w:vAlign w:val="center"/>
          </w:tcPr>
          <w:p w14:paraId="35FEDAD2" w14:textId="77777777" w:rsidR="00B6148E" w:rsidRPr="00770F9D" w:rsidRDefault="00B6148E" w:rsidP="00813F5C">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r w:rsidR="00821FA5" w:rsidRPr="00770F9D" w14:paraId="3DEBB896" w14:textId="77777777" w:rsidTr="00813F5C">
        <w:trPr>
          <w:trHeight w:val="20"/>
          <w:jc w:val="center"/>
        </w:trPr>
        <w:tc>
          <w:tcPr>
            <w:tcW w:w="473" w:type="pct"/>
            <w:vMerge/>
            <w:tcBorders>
              <w:top w:val="single" w:sz="4" w:space="0" w:color="000000"/>
              <w:left w:val="single" w:sz="4" w:space="0" w:color="000000"/>
              <w:bottom w:val="single" w:sz="4" w:space="0" w:color="000000"/>
              <w:right w:val="single" w:sz="4" w:space="0" w:color="000000"/>
            </w:tcBorders>
          </w:tcPr>
          <w:p w14:paraId="3D017E96" w14:textId="77777777" w:rsidR="00B6148E" w:rsidRPr="00770F9D" w:rsidRDefault="00B6148E" w:rsidP="005E279E">
            <w:pPr>
              <w:snapToGrid w:val="0"/>
              <w:jc w:val="both"/>
              <w:rPr>
                <w:rFonts w:ascii="Garamond" w:hAnsi="Garamond" w:cstheme="majorBidi"/>
                <w:b/>
                <w:bCs/>
                <w:color w:val="0D0D0D" w:themeColor="text1" w:themeTint="F2"/>
                <w:sz w:val="20"/>
                <w:szCs w:val="20"/>
              </w:rPr>
            </w:pPr>
          </w:p>
        </w:tc>
        <w:tc>
          <w:tcPr>
            <w:tcW w:w="3017" w:type="pct"/>
            <w:tcBorders>
              <w:top w:val="single" w:sz="4" w:space="0" w:color="000000"/>
              <w:left w:val="single" w:sz="4" w:space="0" w:color="000000"/>
              <w:bottom w:val="single" w:sz="4" w:space="0" w:color="000000"/>
              <w:right w:val="single" w:sz="4" w:space="0" w:color="000000"/>
            </w:tcBorders>
          </w:tcPr>
          <w:p w14:paraId="7D6226B1" w14:textId="77777777" w:rsidR="00B6148E" w:rsidRPr="00770F9D" w:rsidRDefault="00B6148E" w:rsidP="005E279E">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Hartimi i materialit mbështetës për mësuesit për të përfshirë aftësitë e kodimit dhe zbatimin e tij në vitin 2024 në klasën e tretë</w:t>
            </w:r>
          </w:p>
        </w:tc>
        <w:tc>
          <w:tcPr>
            <w:tcW w:w="819" w:type="pct"/>
            <w:tcBorders>
              <w:top w:val="single" w:sz="4" w:space="0" w:color="000000"/>
              <w:left w:val="single" w:sz="4" w:space="0" w:color="000000"/>
              <w:bottom w:val="single" w:sz="4" w:space="0" w:color="000000"/>
              <w:right w:val="single" w:sz="4" w:space="0" w:color="000000"/>
            </w:tcBorders>
            <w:vAlign w:val="center"/>
          </w:tcPr>
          <w:p w14:paraId="39734B36" w14:textId="77777777" w:rsidR="00B6148E" w:rsidRPr="00770F9D" w:rsidRDefault="00B6148E" w:rsidP="00813F5C">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700</w:t>
            </w:r>
          </w:p>
        </w:tc>
        <w:tc>
          <w:tcPr>
            <w:tcW w:w="690" w:type="pct"/>
            <w:tcBorders>
              <w:top w:val="single" w:sz="4" w:space="0" w:color="000000"/>
              <w:left w:val="single" w:sz="4" w:space="0" w:color="000000"/>
              <w:bottom w:val="single" w:sz="4" w:space="0" w:color="000000"/>
              <w:right w:val="single" w:sz="4" w:space="0" w:color="000000"/>
            </w:tcBorders>
            <w:vAlign w:val="center"/>
          </w:tcPr>
          <w:p w14:paraId="17193AA6" w14:textId="77777777" w:rsidR="00B6148E" w:rsidRPr="00770F9D" w:rsidRDefault="00B6148E" w:rsidP="00813F5C">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r w:rsidR="00821FA5" w:rsidRPr="00770F9D" w14:paraId="3076E8AE" w14:textId="77777777" w:rsidTr="00813F5C">
        <w:trPr>
          <w:trHeight w:val="20"/>
          <w:jc w:val="center"/>
        </w:trPr>
        <w:tc>
          <w:tcPr>
            <w:tcW w:w="473" w:type="pct"/>
            <w:vMerge/>
            <w:tcBorders>
              <w:top w:val="single" w:sz="4" w:space="0" w:color="000000"/>
              <w:left w:val="single" w:sz="4" w:space="0" w:color="000000"/>
              <w:bottom w:val="single" w:sz="4" w:space="0" w:color="000000"/>
              <w:right w:val="single" w:sz="4" w:space="0" w:color="000000"/>
            </w:tcBorders>
          </w:tcPr>
          <w:p w14:paraId="17153ADF" w14:textId="77777777" w:rsidR="00B6148E" w:rsidRPr="00770F9D" w:rsidRDefault="00B6148E" w:rsidP="005E279E">
            <w:pPr>
              <w:snapToGrid w:val="0"/>
              <w:jc w:val="both"/>
              <w:rPr>
                <w:rFonts w:ascii="Garamond" w:hAnsi="Garamond" w:cstheme="majorBidi"/>
                <w:b/>
                <w:bCs/>
                <w:color w:val="0D0D0D" w:themeColor="text1" w:themeTint="F2"/>
                <w:sz w:val="20"/>
                <w:szCs w:val="20"/>
              </w:rPr>
            </w:pPr>
          </w:p>
        </w:tc>
        <w:tc>
          <w:tcPr>
            <w:tcW w:w="3017" w:type="pct"/>
            <w:tcBorders>
              <w:top w:val="single" w:sz="4" w:space="0" w:color="000000"/>
              <w:left w:val="single" w:sz="4" w:space="0" w:color="000000"/>
              <w:bottom w:val="single" w:sz="4" w:space="0" w:color="000000"/>
              <w:right w:val="single" w:sz="4" w:space="0" w:color="000000"/>
            </w:tcBorders>
          </w:tcPr>
          <w:p w14:paraId="24803177" w14:textId="77777777" w:rsidR="00B6148E" w:rsidRPr="00770F9D" w:rsidRDefault="00B6148E" w:rsidP="005E279E">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Hartimi i materialit mbështetës për nxënësit për të përfshirë aftësitë e kodimit dhe zbatimin e tij në vitin 2024 në klasën e tretë</w:t>
            </w:r>
          </w:p>
        </w:tc>
        <w:tc>
          <w:tcPr>
            <w:tcW w:w="819" w:type="pct"/>
            <w:tcBorders>
              <w:top w:val="single" w:sz="4" w:space="0" w:color="000000"/>
              <w:left w:val="single" w:sz="4" w:space="0" w:color="000000"/>
              <w:bottom w:val="single" w:sz="4" w:space="0" w:color="000000"/>
              <w:right w:val="single" w:sz="4" w:space="0" w:color="000000"/>
            </w:tcBorders>
            <w:vAlign w:val="center"/>
          </w:tcPr>
          <w:p w14:paraId="64F65B66" w14:textId="77777777" w:rsidR="00B6148E" w:rsidRPr="00770F9D" w:rsidRDefault="00B6148E" w:rsidP="00813F5C">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15,000</w:t>
            </w:r>
          </w:p>
        </w:tc>
        <w:tc>
          <w:tcPr>
            <w:tcW w:w="690" w:type="pct"/>
            <w:tcBorders>
              <w:top w:val="single" w:sz="4" w:space="0" w:color="000000"/>
              <w:left w:val="single" w:sz="4" w:space="0" w:color="000000"/>
              <w:bottom w:val="single" w:sz="4" w:space="0" w:color="000000"/>
              <w:right w:val="single" w:sz="4" w:space="0" w:color="000000"/>
            </w:tcBorders>
            <w:vAlign w:val="center"/>
          </w:tcPr>
          <w:p w14:paraId="5A1D4899" w14:textId="77777777" w:rsidR="00B6148E" w:rsidRPr="00770F9D" w:rsidRDefault="00B6148E" w:rsidP="00813F5C">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r w:rsidR="00821FA5" w:rsidRPr="00770F9D" w14:paraId="46BF667C" w14:textId="77777777" w:rsidTr="00813F5C">
        <w:trPr>
          <w:trHeight w:val="20"/>
          <w:jc w:val="center"/>
        </w:trPr>
        <w:tc>
          <w:tcPr>
            <w:tcW w:w="473" w:type="pct"/>
            <w:vMerge/>
            <w:tcBorders>
              <w:top w:val="single" w:sz="4" w:space="0" w:color="000000"/>
              <w:left w:val="single" w:sz="4" w:space="0" w:color="000000"/>
              <w:bottom w:val="single" w:sz="4" w:space="0" w:color="000000"/>
              <w:right w:val="single" w:sz="4" w:space="0" w:color="000000"/>
            </w:tcBorders>
          </w:tcPr>
          <w:p w14:paraId="5CC91F8B" w14:textId="77777777" w:rsidR="00B6148E" w:rsidRPr="00770F9D" w:rsidRDefault="00B6148E" w:rsidP="005E279E">
            <w:pPr>
              <w:snapToGrid w:val="0"/>
              <w:jc w:val="both"/>
              <w:rPr>
                <w:rFonts w:ascii="Garamond" w:hAnsi="Garamond" w:cstheme="majorBidi"/>
                <w:b/>
                <w:bCs/>
                <w:color w:val="0D0D0D" w:themeColor="text1" w:themeTint="F2"/>
                <w:sz w:val="20"/>
                <w:szCs w:val="20"/>
              </w:rPr>
            </w:pPr>
          </w:p>
        </w:tc>
        <w:tc>
          <w:tcPr>
            <w:tcW w:w="3017" w:type="pct"/>
            <w:tcBorders>
              <w:top w:val="single" w:sz="4" w:space="0" w:color="000000"/>
              <w:left w:val="single" w:sz="4" w:space="0" w:color="000000"/>
              <w:bottom w:val="single" w:sz="4" w:space="0" w:color="000000"/>
              <w:right w:val="single" w:sz="4" w:space="0" w:color="000000"/>
            </w:tcBorders>
          </w:tcPr>
          <w:p w14:paraId="2ACC0A83" w14:textId="7CF2FB4C" w:rsidR="00B6148E" w:rsidRPr="00770F9D" w:rsidRDefault="00B6148E" w:rsidP="005E279E">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Trajnime për 5000 mësues dhe drejtues shkollash mbi standardet e mësuesve për përdorimin e TIK-ut në sistemin arsimor parauniversit</w:t>
            </w:r>
            <w:r w:rsidR="00813F5C">
              <w:rPr>
                <w:rFonts w:ascii="Garamond" w:hAnsi="Garamond" w:cstheme="majorBidi"/>
                <w:color w:val="0D0D0D" w:themeColor="text1" w:themeTint="F2"/>
                <w:sz w:val="20"/>
                <w:szCs w:val="20"/>
              </w:rPr>
              <w:t>ar përmes rrjeteve profesionale</w:t>
            </w:r>
          </w:p>
        </w:tc>
        <w:tc>
          <w:tcPr>
            <w:tcW w:w="819" w:type="pct"/>
            <w:tcBorders>
              <w:top w:val="single" w:sz="4" w:space="0" w:color="000000"/>
              <w:left w:val="single" w:sz="4" w:space="0" w:color="000000"/>
              <w:bottom w:val="single" w:sz="4" w:space="0" w:color="000000"/>
              <w:right w:val="single" w:sz="4" w:space="0" w:color="000000"/>
            </w:tcBorders>
            <w:vAlign w:val="center"/>
          </w:tcPr>
          <w:p w14:paraId="70BC1675" w14:textId="77777777" w:rsidR="00B6148E" w:rsidRPr="00770F9D" w:rsidRDefault="00B6148E" w:rsidP="00813F5C">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60,000</w:t>
            </w:r>
          </w:p>
        </w:tc>
        <w:tc>
          <w:tcPr>
            <w:tcW w:w="690" w:type="pct"/>
            <w:tcBorders>
              <w:top w:val="single" w:sz="4" w:space="0" w:color="000000"/>
              <w:left w:val="single" w:sz="4" w:space="0" w:color="000000"/>
              <w:bottom w:val="single" w:sz="4" w:space="0" w:color="000000"/>
              <w:right w:val="single" w:sz="4" w:space="0" w:color="000000"/>
            </w:tcBorders>
            <w:vAlign w:val="center"/>
          </w:tcPr>
          <w:p w14:paraId="7AB682A8" w14:textId="77777777" w:rsidR="00B6148E" w:rsidRPr="00770F9D" w:rsidRDefault="00B6148E" w:rsidP="00813F5C">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r w:rsidR="00821FA5" w:rsidRPr="00770F9D" w14:paraId="05C8D203" w14:textId="77777777" w:rsidTr="00813F5C">
        <w:trPr>
          <w:trHeight w:val="20"/>
          <w:jc w:val="center"/>
        </w:trPr>
        <w:tc>
          <w:tcPr>
            <w:tcW w:w="473" w:type="pct"/>
            <w:vMerge/>
            <w:tcBorders>
              <w:top w:val="single" w:sz="4" w:space="0" w:color="000000"/>
              <w:left w:val="single" w:sz="4" w:space="0" w:color="000000"/>
              <w:bottom w:val="single" w:sz="4" w:space="0" w:color="000000"/>
              <w:right w:val="single" w:sz="4" w:space="0" w:color="000000"/>
            </w:tcBorders>
          </w:tcPr>
          <w:p w14:paraId="37CB7BD6" w14:textId="77777777" w:rsidR="00B6148E" w:rsidRPr="00770F9D" w:rsidRDefault="00B6148E" w:rsidP="005E279E">
            <w:pPr>
              <w:snapToGrid w:val="0"/>
              <w:jc w:val="both"/>
              <w:rPr>
                <w:rFonts w:ascii="Garamond" w:hAnsi="Garamond" w:cstheme="majorBidi"/>
                <w:b/>
                <w:bCs/>
                <w:color w:val="0D0D0D" w:themeColor="text1" w:themeTint="F2"/>
                <w:sz w:val="20"/>
                <w:szCs w:val="20"/>
              </w:rPr>
            </w:pPr>
          </w:p>
        </w:tc>
        <w:tc>
          <w:tcPr>
            <w:tcW w:w="3017" w:type="pct"/>
            <w:tcBorders>
              <w:top w:val="single" w:sz="4" w:space="0" w:color="000000"/>
              <w:left w:val="single" w:sz="4" w:space="0" w:color="000000"/>
              <w:bottom w:val="single" w:sz="4" w:space="0" w:color="000000"/>
              <w:right w:val="single" w:sz="4" w:space="0" w:color="000000"/>
            </w:tcBorders>
          </w:tcPr>
          <w:p w14:paraId="145AA3F3" w14:textId="77777777" w:rsidR="00B6148E" w:rsidRPr="00770F9D" w:rsidRDefault="00B6148E" w:rsidP="005E279E">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Përcaktimi i</w:t>
            </w:r>
            <w:r w:rsidRPr="00770F9D">
              <w:rPr>
                <w:rStyle w:val="y2iqfc"/>
                <w:rFonts w:ascii="Garamond" w:hAnsi="Garamond" w:cstheme="majorBidi"/>
                <w:color w:val="0D0D0D" w:themeColor="text1" w:themeTint="F2"/>
                <w:sz w:val="20"/>
                <w:szCs w:val="20"/>
              </w:rPr>
              <w:t xml:space="preserve"> standardeve për pajisjet TIK në shkolla</w:t>
            </w:r>
          </w:p>
        </w:tc>
        <w:tc>
          <w:tcPr>
            <w:tcW w:w="819" w:type="pct"/>
            <w:tcBorders>
              <w:top w:val="single" w:sz="4" w:space="0" w:color="000000"/>
              <w:left w:val="single" w:sz="4" w:space="0" w:color="000000"/>
              <w:bottom w:val="single" w:sz="4" w:space="0" w:color="000000"/>
              <w:right w:val="single" w:sz="4" w:space="0" w:color="000000"/>
            </w:tcBorders>
            <w:vAlign w:val="center"/>
          </w:tcPr>
          <w:p w14:paraId="745067A2" w14:textId="77777777" w:rsidR="00B6148E" w:rsidRPr="00770F9D" w:rsidRDefault="00B6148E" w:rsidP="00813F5C">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12,000</w:t>
            </w:r>
          </w:p>
        </w:tc>
        <w:tc>
          <w:tcPr>
            <w:tcW w:w="690" w:type="pct"/>
            <w:tcBorders>
              <w:top w:val="single" w:sz="4" w:space="0" w:color="000000"/>
              <w:left w:val="single" w:sz="4" w:space="0" w:color="000000"/>
              <w:bottom w:val="single" w:sz="4" w:space="0" w:color="000000"/>
              <w:right w:val="single" w:sz="4" w:space="0" w:color="000000"/>
            </w:tcBorders>
            <w:vAlign w:val="center"/>
          </w:tcPr>
          <w:p w14:paraId="4BA4A132" w14:textId="77777777" w:rsidR="00B6148E" w:rsidRPr="00770F9D" w:rsidRDefault="00B6148E" w:rsidP="00813F5C">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r w:rsidR="00821FA5" w:rsidRPr="00770F9D" w14:paraId="6C696EBF" w14:textId="77777777" w:rsidTr="00813F5C">
        <w:trPr>
          <w:trHeight w:val="20"/>
          <w:jc w:val="center"/>
        </w:trPr>
        <w:tc>
          <w:tcPr>
            <w:tcW w:w="473" w:type="pct"/>
            <w:vMerge/>
            <w:tcBorders>
              <w:top w:val="single" w:sz="4" w:space="0" w:color="000000"/>
              <w:left w:val="single" w:sz="4" w:space="0" w:color="000000"/>
              <w:bottom w:val="single" w:sz="4" w:space="0" w:color="000000"/>
              <w:right w:val="single" w:sz="4" w:space="0" w:color="000000"/>
            </w:tcBorders>
          </w:tcPr>
          <w:p w14:paraId="042D5E36" w14:textId="77777777" w:rsidR="00B6148E" w:rsidRPr="00770F9D" w:rsidRDefault="00B6148E" w:rsidP="005E279E">
            <w:pPr>
              <w:snapToGrid w:val="0"/>
              <w:jc w:val="both"/>
              <w:rPr>
                <w:rFonts w:ascii="Garamond" w:hAnsi="Garamond" w:cstheme="majorBidi"/>
                <w:b/>
                <w:bCs/>
                <w:color w:val="0D0D0D" w:themeColor="text1" w:themeTint="F2"/>
                <w:sz w:val="20"/>
                <w:szCs w:val="20"/>
              </w:rPr>
            </w:pPr>
          </w:p>
        </w:tc>
        <w:tc>
          <w:tcPr>
            <w:tcW w:w="3017" w:type="pct"/>
            <w:tcBorders>
              <w:top w:val="single" w:sz="4" w:space="0" w:color="000000"/>
              <w:left w:val="single" w:sz="4" w:space="0" w:color="000000"/>
              <w:bottom w:val="single" w:sz="4" w:space="0" w:color="000000"/>
              <w:right w:val="single" w:sz="4" w:space="0" w:color="000000"/>
            </w:tcBorders>
          </w:tcPr>
          <w:p w14:paraId="5B83FC08" w14:textId="77777777" w:rsidR="00B6148E" w:rsidRPr="00770F9D" w:rsidRDefault="00B6148E" w:rsidP="005E279E">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Mirëmbajtja teknike e pajisjeve TIK përmes klubeve studentore dhe strukturës lokale arsimore</w:t>
            </w:r>
          </w:p>
        </w:tc>
        <w:tc>
          <w:tcPr>
            <w:tcW w:w="819" w:type="pct"/>
            <w:tcBorders>
              <w:top w:val="single" w:sz="4" w:space="0" w:color="000000"/>
              <w:left w:val="single" w:sz="4" w:space="0" w:color="000000"/>
              <w:bottom w:val="single" w:sz="4" w:space="0" w:color="000000"/>
              <w:right w:val="single" w:sz="4" w:space="0" w:color="000000"/>
            </w:tcBorders>
            <w:vAlign w:val="center"/>
          </w:tcPr>
          <w:p w14:paraId="7168A482" w14:textId="77777777" w:rsidR="00B6148E" w:rsidRPr="00770F9D" w:rsidRDefault="00B6148E" w:rsidP="00813F5C">
            <w:pPr>
              <w:snapToGrid w:val="0"/>
              <w:jc w:val="right"/>
              <w:rPr>
                <w:rFonts w:ascii="Garamond" w:hAnsi="Garamond" w:cstheme="majorBidi"/>
                <w:color w:val="0D0D0D" w:themeColor="text1" w:themeTint="F2"/>
                <w:sz w:val="20"/>
                <w:szCs w:val="20"/>
              </w:rPr>
            </w:pPr>
          </w:p>
        </w:tc>
        <w:tc>
          <w:tcPr>
            <w:tcW w:w="690" w:type="pct"/>
            <w:tcBorders>
              <w:top w:val="single" w:sz="4" w:space="0" w:color="000000"/>
              <w:left w:val="single" w:sz="4" w:space="0" w:color="000000"/>
              <w:bottom w:val="single" w:sz="4" w:space="0" w:color="000000"/>
              <w:right w:val="single" w:sz="4" w:space="0" w:color="000000"/>
            </w:tcBorders>
            <w:vAlign w:val="center"/>
          </w:tcPr>
          <w:p w14:paraId="567BF4C1" w14:textId="77777777" w:rsidR="00B6148E" w:rsidRPr="00770F9D" w:rsidRDefault="00B6148E" w:rsidP="00813F5C">
            <w:pPr>
              <w:snapToGrid w:val="0"/>
              <w:rPr>
                <w:rFonts w:ascii="Garamond" w:hAnsi="Garamond" w:cstheme="majorBidi"/>
                <w:color w:val="0D0D0D" w:themeColor="text1" w:themeTint="F2"/>
                <w:sz w:val="20"/>
                <w:szCs w:val="20"/>
              </w:rPr>
            </w:pPr>
          </w:p>
        </w:tc>
      </w:tr>
      <w:tr w:rsidR="00821FA5" w:rsidRPr="00770F9D" w14:paraId="3CC39650" w14:textId="77777777" w:rsidTr="00813F5C">
        <w:trPr>
          <w:trHeight w:val="20"/>
          <w:jc w:val="center"/>
        </w:trPr>
        <w:tc>
          <w:tcPr>
            <w:tcW w:w="473" w:type="pct"/>
            <w:tcBorders>
              <w:top w:val="single" w:sz="4" w:space="0" w:color="000000"/>
              <w:left w:val="single" w:sz="4" w:space="0" w:color="000000"/>
              <w:bottom w:val="single" w:sz="4" w:space="0" w:color="000000"/>
              <w:right w:val="single" w:sz="4" w:space="0" w:color="000000"/>
            </w:tcBorders>
          </w:tcPr>
          <w:p w14:paraId="23CA7F0A" w14:textId="77777777" w:rsidR="00B6148E" w:rsidRPr="00770F9D" w:rsidRDefault="00B6148E" w:rsidP="005E279E">
            <w:pPr>
              <w:jc w:val="both"/>
              <w:rPr>
                <w:rFonts w:ascii="Garamond" w:hAnsi="Garamond" w:cstheme="majorBidi"/>
                <w:b/>
                <w:bCs/>
                <w:color w:val="0D0D0D" w:themeColor="text1" w:themeTint="F2"/>
                <w:sz w:val="20"/>
                <w:szCs w:val="20"/>
              </w:rPr>
            </w:pPr>
            <w:r w:rsidRPr="00770F9D">
              <w:rPr>
                <w:rFonts w:ascii="Garamond" w:hAnsi="Garamond" w:cstheme="majorBidi"/>
                <w:b/>
                <w:bCs/>
                <w:color w:val="0D0D0D" w:themeColor="text1" w:themeTint="F2"/>
                <w:sz w:val="20"/>
                <w:szCs w:val="20"/>
              </w:rPr>
              <w:t>2025</w:t>
            </w:r>
          </w:p>
        </w:tc>
        <w:tc>
          <w:tcPr>
            <w:tcW w:w="3017" w:type="pct"/>
            <w:tcBorders>
              <w:top w:val="single" w:sz="4" w:space="0" w:color="000000"/>
              <w:left w:val="single" w:sz="4" w:space="0" w:color="000000"/>
              <w:bottom w:val="single" w:sz="4" w:space="0" w:color="000000"/>
              <w:right w:val="single" w:sz="4" w:space="0" w:color="000000"/>
            </w:tcBorders>
          </w:tcPr>
          <w:p w14:paraId="2A785A9B" w14:textId="77777777" w:rsidR="00B6148E" w:rsidRPr="00770F9D" w:rsidRDefault="00B6148E" w:rsidP="005E279E">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xml:space="preserve">Shtrirja e zbatimit të kurrikulës TIK në klasat e treta, në të gjitha shkollat e arsimit publik bazë, të vendit të pajisura me </w:t>
            </w:r>
            <w:r w:rsidRPr="00813F5C">
              <w:rPr>
                <w:rFonts w:ascii="Garamond" w:hAnsi="Garamond" w:cstheme="majorBidi"/>
                <w:i/>
                <w:iCs/>
                <w:color w:val="0D0D0D" w:themeColor="text1" w:themeTint="F2"/>
                <w:sz w:val="20"/>
                <w:szCs w:val="20"/>
              </w:rPr>
              <w:t>Laborator Smart.</w:t>
            </w:r>
          </w:p>
        </w:tc>
        <w:tc>
          <w:tcPr>
            <w:tcW w:w="819" w:type="pct"/>
            <w:tcBorders>
              <w:top w:val="single" w:sz="4" w:space="0" w:color="000000"/>
              <w:left w:val="single" w:sz="4" w:space="0" w:color="000000"/>
              <w:bottom w:val="single" w:sz="4" w:space="0" w:color="000000"/>
              <w:right w:val="single" w:sz="4" w:space="0" w:color="000000"/>
            </w:tcBorders>
          </w:tcPr>
          <w:p w14:paraId="6638BA15" w14:textId="77777777" w:rsidR="00B6148E" w:rsidRPr="00770F9D" w:rsidRDefault="00B6148E" w:rsidP="005E279E">
            <w:pPr>
              <w:snapToGrid w:val="0"/>
              <w:jc w:val="both"/>
              <w:rPr>
                <w:rFonts w:ascii="Garamond" w:hAnsi="Garamond" w:cstheme="majorBidi"/>
                <w:color w:val="0D0D0D" w:themeColor="text1" w:themeTint="F2"/>
                <w:sz w:val="20"/>
                <w:szCs w:val="20"/>
              </w:rPr>
            </w:pPr>
          </w:p>
        </w:tc>
        <w:tc>
          <w:tcPr>
            <w:tcW w:w="690" w:type="pct"/>
            <w:tcBorders>
              <w:top w:val="single" w:sz="4" w:space="0" w:color="000000"/>
              <w:left w:val="single" w:sz="4" w:space="0" w:color="000000"/>
              <w:bottom w:val="single" w:sz="4" w:space="0" w:color="000000"/>
              <w:right w:val="single" w:sz="4" w:space="0" w:color="000000"/>
            </w:tcBorders>
          </w:tcPr>
          <w:p w14:paraId="2947A64D" w14:textId="77777777" w:rsidR="00B6148E" w:rsidRPr="00770F9D" w:rsidRDefault="00B6148E" w:rsidP="005E279E">
            <w:pPr>
              <w:snapToGrid w:val="0"/>
              <w:rPr>
                <w:rFonts w:ascii="Garamond" w:hAnsi="Garamond" w:cstheme="majorBidi"/>
                <w:color w:val="0D0D0D" w:themeColor="text1" w:themeTint="F2"/>
                <w:sz w:val="20"/>
                <w:szCs w:val="20"/>
              </w:rPr>
            </w:pPr>
          </w:p>
        </w:tc>
      </w:tr>
      <w:tr w:rsidR="00821FA5" w:rsidRPr="00770F9D" w14:paraId="35E267E8" w14:textId="77777777" w:rsidTr="00813F5C">
        <w:trPr>
          <w:trHeight w:val="20"/>
          <w:jc w:val="center"/>
        </w:trPr>
        <w:tc>
          <w:tcPr>
            <w:tcW w:w="473" w:type="pct"/>
            <w:tcBorders>
              <w:top w:val="single" w:sz="4" w:space="0" w:color="000000"/>
              <w:left w:val="single" w:sz="4" w:space="0" w:color="000000"/>
              <w:bottom w:val="single" w:sz="4" w:space="0" w:color="000000"/>
              <w:right w:val="single" w:sz="4" w:space="0" w:color="000000"/>
            </w:tcBorders>
          </w:tcPr>
          <w:p w14:paraId="366A59B3" w14:textId="77777777" w:rsidR="00B6148E" w:rsidRPr="00770F9D" w:rsidRDefault="00B6148E" w:rsidP="005E279E">
            <w:pPr>
              <w:snapToGrid w:val="0"/>
              <w:jc w:val="both"/>
              <w:rPr>
                <w:rFonts w:ascii="Garamond" w:hAnsi="Garamond" w:cstheme="majorBidi"/>
                <w:b/>
                <w:bCs/>
                <w:color w:val="0D0D0D" w:themeColor="text1" w:themeTint="F2"/>
                <w:sz w:val="20"/>
                <w:szCs w:val="20"/>
              </w:rPr>
            </w:pPr>
          </w:p>
        </w:tc>
        <w:tc>
          <w:tcPr>
            <w:tcW w:w="3017" w:type="pct"/>
            <w:tcBorders>
              <w:top w:val="single" w:sz="4" w:space="0" w:color="000000"/>
              <w:left w:val="single" w:sz="4" w:space="0" w:color="000000"/>
              <w:bottom w:val="single" w:sz="4" w:space="0" w:color="000000"/>
              <w:right w:val="single" w:sz="4" w:space="0" w:color="000000"/>
            </w:tcBorders>
          </w:tcPr>
          <w:p w14:paraId="28FFEB51" w14:textId="51C22A7C" w:rsidR="00B6148E" w:rsidRPr="00770F9D" w:rsidRDefault="00B6148E" w:rsidP="005E279E">
            <w:pPr>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Trajnime të vazhdueshme për 5000 mësues dhe drejtues shkollash mbi standardet e mësuesve për përdorimin e TIK-ut në sistemin arsimor parauniversit</w:t>
            </w:r>
            <w:r w:rsidR="00813F5C">
              <w:rPr>
                <w:rFonts w:ascii="Garamond" w:hAnsi="Garamond" w:cstheme="majorBidi"/>
                <w:color w:val="0D0D0D" w:themeColor="text1" w:themeTint="F2"/>
                <w:sz w:val="20"/>
                <w:szCs w:val="20"/>
              </w:rPr>
              <w:t>ar përmes rrjeteve profesionale</w:t>
            </w:r>
          </w:p>
        </w:tc>
        <w:tc>
          <w:tcPr>
            <w:tcW w:w="819" w:type="pct"/>
            <w:tcBorders>
              <w:top w:val="single" w:sz="4" w:space="0" w:color="000000"/>
              <w:left w:val="single" w:sz="4" w:space="0" w:color="000000"/>
              <w:bottom w:val="single" w:sz="4" w:space="0" w:color="000000"/>
              <w:right w:val="single" w:sz="4" w:space="0" w:color="000000"/>
            </w:tcBorders>
          </w:tcPr>
          <w:p w14:paraId="7CF33A3E" w14:textId="77777777" w:rsidR="00B6148E" w:rsidRPr="00770F9D" w:rsidRDefault="00B6148E" w:rsidP="00813F5C">
            <w:pPr>
              <w:jc w:val="right"/>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80,000</w:t>
            </w:r>
          </w:p>
        </w:tc>
        <w:tc>
          <w:tcPr>
            <w:tcW w:w="690" w:type="pct"/>
            <w:tcBorders>
              <w:top w:val="single" w:sz="4" w:space="0" w:color="000000"/>
              <w:left w:val="single" w:sz="4" w:space="0" w:color="000000"/>
              <w:bottom w:val="single" w:sz="4" w:space="0" w:color="000000"/>
              <w:right w:val="single" w:sz="4" w:space="0" w:color="000000"/>
            </w:tcBorders>
          </w:tcPr>
          <w:p w14:paraId="1A0E6917" w14:textId="77777777" w:rsidR="00B6148E" w:rsidRPr="00770F9D" w:rsidRDefault="00B6148E" w:rsidP="005E279E">
            <w:pPr>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Buxheti i shtetit</w:t>
            </w:r>
          </w:p>
        </w:tc>
      </w:tr>
    </w:tbl>
    <w:p w14:paraId="49B8ECDF" w14:textId="77777777" w:rsidR="00B6148E" w:rsidRPr="00770F9D" w:rsidRDefault="00B6148E" w:rsidP="005674F2">
      <w:pPr>
        <w:snapToGrid w:val="0"/>
        <w:ind w:firstLine="284"/>
        <w:rPr>
          <w:rFonts w:ascii="Garamond" w:hAnsi="Garamond" w:cstheme="majorBidi"/>
          <w:color w:val="0D0D0D" w:themeColor="text1" w:themeTint="F2"/>
        </w:rPr>
      </w:pPr>
    </w:p>
    <w:p w14:paraId="56640CB0" w14:textId="20E4BFCD" w:rsidR="00F30712" w:rsidRPr="00770F9D" w:rsidRDefault="005E279E"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5.</w:t>
      </w:r>
      <w:r w:rsidR="005674F2"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Ndikimi i pritshëm në përfundimet sociale</w:t>
      </w:r>
      <w:r w:rsidR="00813F5C">
        <w:rPr>
          <w:rFonts w:ascii="Garamond" w:hAnsi="Garamond" w:cstheme="majorBidi"/>
          <w:color w:val="0D0D0D" w:themeColor="text1" w:themeTint="F2"/>
          <w:u w:val="none"/>
        </w:rPr>
        <w:t>,</w:t>
      </w:r>
      <w:r w:rsidR="00B2062A" w:rsidRPr="00770F9D">
        <w:rPr>
          <w:rFonts w:ascii="Garamond" w:hAnsi="Garamond" w:cstheme="majorBidi"/>
          <w:color w:val="0D0D0D" w:themeColor="text1" w:themeTint="F2"/>
          <w:u w:val="none"/>
        </w:rPr>
        <w:t xml:space="preserve"> si punësimi, ulja e varfërisë, barazia gjinore dhe aksesi në kujdesin shëndetësor</w:t>
      </w:r>
    </w:p>
    <w:p w14:paraId="5747A86F" w14:textId="77777777" w:rsidR="005129F3" w:rsidRPr="00770F9D" w:rsidRDefault="005129F3"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Masa konsiderohet neutrale gjinore. Barazia gjinore do të respektohet gjatë gjithë zbatimit të masës.</w:t>
      </w:r>
    </w:p>
    <w:p w14:paraId="1B930FE6" w14:textId="2F244453" w:rsidR="00F30712" w:rsidRPr="00770F9D" w:rsidRDefault="005E279E"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6</w:t>
      </w:r>
      <w:r w:rsidR="005674F2"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Ndikimi i pritshëm në mjedis dhe ndryshimi i klimës</w:t>
      </w:r>
    </w:p>
    <w:p w14:paraId="73D5A31F" w14:textId="77777777" w:rsidR="005129F3" w:rsidRPr="00770F9D" w:rsidRDefault="005129F3"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Masa nuk pritet të ketë ndikim në mjedis.</w:t>
      </w:r>
    </w:p>
    <w:p w14:paraId="58E5A9DE" w14:textId="36D22E62" w:rsidR="00F30712" w:rsidRPr="00770F9D" w:rsidRDefault="005E279E" w:rsidP="00400806">
      <w:pPr>
        <w:pStyle w:val="Heading6"/>
        <w:numPr>
          <w:ilvl w:val="0"/>
          <w:numId w:val="0"/>
        </w:numPr>
        <w:snapToGrid w:val="0"/>
        <w:ind w:firstLine="284"/>
        <w:rPr>
          <w:rFonts w:ascii="Garamond" w:hAnsi="Garamond" w:cstheme="majorBidi"/>
          <w:color w:val="0D0D0D" w:themeColor="text1" w:themeTint="F2"/>
          <w:u w:val="none"/>
        </w:rPr>
      </w:pPr>
      <w:r w:rsidRPr="00770F9D">
        <w:rPr>
          <w:rFonts w:ascii="Garamond" w:hAnsi="Garamond" w:cstheme="majorBidi"/>
          <w:color w:val="0D0D0D" w:themeColor="text1" w:themeTint="F2"/>
          <w:u w:val="none"/>
        </w:rPr>
        <w:t>7</w:t>
      </w:r>
      <w:r w:rsidR="005674F2" w:rsidRPr="00770F9D">
        <w:rPr>
          <w:rFonts w:ascii="Garamond" w:hAnsi="Garamond" w:cstheme="majorBidi"/>
          <w:color w:val="0D0D0D" w:themeColor="text1" w:themeTint="F2"/>
          <w:u w:val="none"/>
        </w:rPr>
        <w:t xml:space="preserve">. </w:t>
      </w:r>
      <w:r w:rsidR="00B2062A" w:rsidRPr="00770F9D">
        <w:rPr>
          <w:rFonts w:ascii="Garamond" w:hAnsi="Garamond" w:cstheme="majorBidi"/>
          <w:color w:val="0D0D0D" w:themeColor="text1" w:themeTint="F2"/>
          <w:u w:val="none"/>
        </w:rPr>
        <w:t>Rreziqet e mundshme</w:t>
      </w:r>
    </w:p>
    <w:tbl>
      <w:tblPr>
        <w:tblStyle w:val="TableGrid2"/>
        <w:tblW w:w="0" w:type="auto"/>
        <w:jc w:val="center"/>
        <w:tblLook w:val="04A0" w:firstRow="1" w:lastRow="0" w:firstColumn="1" w:lastColumn="0" w:noHBand="0" w:noVBand="1"/>
      </w:tblPr>
      <w:tblGrid>
        <w:gridCol w:w="3387"/>
        <w:gridCol w:w="1482"/>
        <w:gridCol w:w="4418"/>
      </w:tblGrid>
      <w:tr w:rsidR="00FA29AB" w:rsidRPr="00770F9D" w14:paraId="45059023" w14:textId="77777777" w:rsidTr="00813F5C">
        <w:trPr>
          <w:jc w:val="center"/>
        </w:trPr>
        <w:tc>
          <w:tcPr>
            <w:tcW w:w="3816" w:type="dxa"/>
          </w:tcPr>
          <w:p w14:paraId="7DB29F48" w14:textId="77777777" w:rsidR="00947108" w:rsidRPr="00813F5C" w:rsidRDefault="00B2062A" w:rsidP="00813F5C">
            <w:pPr>
              <w:snapToGrid w:val="0"/>
              <w:jc w:val="center"/>
              <w:rPr>
                <w:rFonts w:ascii="Garamond" w:hAnsi="Garamond" w:cstheme="majorBidi"/>
                <w:b/>
                <w:bCs/>
                <w:color w:val="0D0D0D" w:themeColor="text1" w:themeTint="F2"/>
                <w:sz w:val="20"/>
                <w:szCs w:val="20"/>
              </w:rPr>
            </w:pPr>
            <w:r w:rsidRPr="00813F5C">
              <w:rPr>
                <w:rFonts w:ascii="Garamond" w:hAnsi="Garamond" w:cstheme="majorBidi"/>
                <w:b/>
                <w:bCs/>
                <w:color w:val="0D0D0D" w:themeColor="text1" w:themeTint="F2"/>
                <w:sz w:val="20"/>
                <w:szCs w:val="20"/>
              </w:rPr>
              <w:t>Rreziku</w:t>
            </w:r>
          </w:p>
        </w:tc>
        <w:tc>
          <w:tcPr>
            <w:tcW w:w="1558" w:type="dxa"/>
          </w:tcPr>
          <w:p w14:paraId="4895941A" w14:textId="77777777" w:rsidR="00947108" w:rsidRPr="00813F5C" w:rsidRDefault="00B2062A" w:rsidP="00813F5C">
            <w:pPr>
              <w:snapToGrid w:val="0"/>
              <w:jc w:val="center"/>
              <w:rPr>
                <w:rFonts w:ascii="Garamond" w:hAnsi="Garamond" w:cstheme="majorBidi"/>
                <w:b/>
                <w:bCs/>
                <w:color w:val="0D0D0D" w:themeColor="text1" w:themeTint="F2"/>
                <w:sz w:val="20"/>
                <w:szCs w:val="20"/>
              </w:rPr>
            </w:pPr>
            <w:r w:rsidRPr="00813F5C">
              <w:rPr>
                <w:rFonts w:ascii="Garamond" w:hAnsi="Garamond" w:cstheme="majorBidi"/>
                <w:b/>
                <w:bCs/>
                <w:color w:val="0D0D0D" w:themeColor="text1" w:themeTint="F2"/>
                <w:sz w:val="20"/>
                <w:szCs w:val="20"/>
              </w:rPr>
              <w:t>Mundësia</w:t>
            </w:r>
            <w:r w:rsidR="00947108" w:rsidRPr="00813F5C">
              <w:rPr>
                <w:rFonts w:ascii="Garamond" w:hAnsi="Garamond" w:cstheme="majorBidi"/>
                <w:b/>
                <w:bCs/>
                <w:color w:val="0D0D0D" w:themeColor="text1" w:themeTint="F2"/>
                <w:sz w:val="20"/>
                <w:szCs w:val="20"/>
              </w:rPr>
              <w:t xml:space="preserve"> (</w:t>
            </w:r>
            <w:r w:rsidRPr="00813F5C">
              <w:rPr>
                <w:rFonts w:ascii="Garamond" w:hAnsi="Garamond" w:cstheme="majorBidi"/>
                <w:b/>
                <w:bCs/>
                <w:color w:val="0D0D0D" w:themeColor="text1" w:themeTint="F2"/>
                <w:sz w:val="20"/>
                <w:szCs w:val="20"/>
              </w:rPr>
              <w:t>e ulët, e lartë</w:t>
            </w:r>
            <w:r w:rsidR="00947108" w:rsidRPr="00813F5C">
              <w:rPr>
                <w:rFonts w:ascii="Garamond" w:hAnsi="Garamond" w:cstheme="majorBidi"/>
                <w:b/>
                <w:bCs/>
                <w:color w:val="0D0D0D" w:themeColor="text1" w:themeTint="F2"/>
                <w:sz w:val="20"/>
                <w:szCs w:val="20"/>
              </w:rPr>
              <w:t>)</w:t>
            </w:r>
          </w:p>
        </w:tc>
        <w:tc>
          <w:tcPr>
            <w:tcW w:w="4969" w:type="dxa"/>
          </w:tcPr>
          <w:p w14:paraId="2D5F8888" w14:textId="77777777" w:rsidR="00947108" w:rsidRPr="00813F5C" w:rsidRDefault="00B2062A" w:rsidP="00813F5C">
            <w:pPr>
              <w:snapToGrid w:val="0"/>
              <w:jc w:val="center"/>
              <w:rPr>
                <w:rFonts w:ascii="Garamond" w:hAnsi="Garamond" w:cstheme="majorBidi"/>
                <w:b/>
                <w:bCs/>
                <w:color w:val="0D0D0D" w:themeColor="text1" w:themeTint="F2"/>
                <w:sz w:val="20"/>
                <w:szCs w:val="20"/>
              </w:rPr>
            </w:pPr>
            <w:r w:rsidRPr="00813F5C">
              <w:rPr>
                <w:rFonts w:ascii="Garamond" w:hAnsi="Garamond" w:cstheme="majorBidi"/>
                <w:b/>
                <w:bCs/>
                <w:color w:val="0D0D0D" w:themeColor="text1" w:themeTint="F2"/>
                <w:sz w:val="20"/>
                <w:szCs w:val="20"/>
              </w:rPr>
              <w:t>Veprimi zbutës i parashikuar</w:t>
            </w:r>
          </w:p>
        </w:tc>
      </w:tr>
      <w:tr w:rsidR="00B6148E" w:rsidRPr="00770F9D" w14:paraId="13C67281" w14:textId="77777777" w:rsidTr="00813F5C">
        <w:trPr>
          <w:jc w:val="center"/>
        </w:trPr>
        <w:tc>
          <w:tcPr>
            <w:tcW w:w="3816" w:type="dxa"/>
          </w:tcPr>
          <w:p w14:paraId="01777A8A" w14:textId="397C570D" w:rsidR="00B6148E" w:rsidRPr="00770F9D" w:rsidRDefault="00B6148E" w:rsidP="00813F5C">
            <w:pPr>
              <w:snapToGrid w:val="0"/>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Mungesa e mësuesve të trajnuar me profilin përkatës TIK për arsimin fillor (për klasën e parë, të dytë, të tretë, të katërt, të pestë)</w:t>
            </w:r>
          </w:p>
        </w:tc>
        <w:tc>
          <w:tcPr>
            <w:tcW w:w="1558" w:type="dxa"/>
          </w:tcPr>
          <w:p w14:paraId="5FA4C238" w14:textId="77777777" w:rsidR="00B6148E" w:rsidRPr="00770F9D" w:rsidRDefault="00B6148E" w:rsidP="005E279E">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E ulët</w:t>
            </w:r>
          </w:p>
        </w:tc>
        <w:tc>
          <w:tcPr>
            <w:tcW w:w="4969" w:type="dxa"/>
          </w:tcPr>
          <w:p w14:paraId="4EBBC020" w14:textId="6B34E5D5" w:rsidR="00B6148E" w:rsidRPr="00770F9D" w:rsidRDefault="00B6148E" w:rsidP="00813F5C">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 xml:space="preserve">Më shumë studentë të TIK-ut që diplomohen në profilin e mësimdhënies. Bashkëpunimi me </w:t>
            </w:r>
            <w:r w:rsidR="00813F5C" w:rsidRPr="00770F9D">
              <w:rPr>
                <w:rFonts w:ascii="Garamond" w:hAnsi="Garamond" w:cstheme="majorBidi"/>
                <w:color w:val="0D0D0D" w:themeColor="text1" w:themeTint="F2"/>
                <w:sz w:val="20"/>
                <w:szCs w:val="20"/>
              </w:rPr>
              <w:t>institucionet e arsimit të lartë</w:t>
            </w:r>
            <w:r w:rsidRPr="00770F9D">
              <w:rPr>
                <w:rFonts w:ascii="Garamond" w:hAnsi="Garamond" w:cstheme="majorBidi"/>
                <w:color w:val="0D0D0D" w:themeColor="text1" w:themeTint="F2"/>
                <w:sz w:val="20"/>
                <w:szCs w:val="20"/>
              </w:rPr>
              <w:t>. Plan veprimi për trajnimin e mësuesve TIK</w:t>
            </w:r>
          </w:p>
        </w:tc>
      </w:tr>
      <w:tr w:rsidR="00B6148E" w:rsidRPr="00770F9D" w14:paraId="2BD2680F" w14:textId="77777777" w:rsidTr="00813F5C">
        <w:trPr>
          <w:jc w:val="center"/>
        </w:trPr>
        <w:tc>
          <w:tcPr>
            <w:tcW w:w="3816" w:type="dxa"/>
          </w:tcPr>
          <w:p w14:paraId="3F238166" w14:textId="7224531B" w:rsidR="00B6148E" w:rsidRPr="00770F9D" w:rsidRDefault="00B6148E" w:rsidP="00813F5C">
            <w:pPr>
              <w:snapToGrid w:val="0"/>
              <w:jc w:val="both"/>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Vështirësi buxhetore në pajisjen e të gjitha shkollave me akses në internet</w:t>
            </w:r>
          </w:p>
        </w:tc>
        <w:tc>
          <w:tcPr>
            <w:tcW w:w="1558" w:type="dxa"/>
          </w:tcPr>
          <w:p w14:paraId="50280B48" w14:textId="77777777" w:rsidR="00B6148E" w:rsidRPr="00770F9D" w:rsidRDefault="00B6148E" w:rsidP="005E279E">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E ulët</w:t>
            </w:r>
          </w:p>
        </w:tc>
        <w:tc>
          <w:tcPr>
            <w:tcW w:w="4969" w:type="dxa"/>
          </w:tcPr>
          <w:p w14:paraId="2B45B235" w14:textId="67621995" w:rsidR="00B6148E" w:rsidRPr="00770F9D" w:rsidRDefault="00B6148E" w:rsidP="00813F5C">
            <w:pPr>
              <w:snapToGrid w:val="0"/>
              <w:rPr>
                <w:rFonts w:ascii="Garamond" w:hAnsi="Garamond" w:cstheme="majorBidi"/>
                <w:color w:val="0D0D0D" w:themeColor="text1" w:themeTint="F2"/>
                <w:sz w:val="20"/>
                <w:szCs w:val="20"/>
              </w:rPr>
            </w:pPr>
            <w:r w:rsidRPr="00770F9D">
              <w:rPr>
                <w:rFonts w:ascii="Garamond" w:hAnsi="Garamond" w:cstheme="majorBidi"/>
                <w:color w:val="0D0D0D" w:themeColor="text1" w:themeTint="F2"/>
                <w:sz w:val="20"/>
                <w:szCs w:val="20"/>
              </w:rPr>
              <w:t>Bashkëpunimi me AKSHI dhe pushtetin vendor përgjegjës për administrimin e shkollës</w:t>
            </w:r>
          </w:p>
        </w:tc>
      </w:tr>
    </w:tbl>
    <w:p w14:paraId="41EEC1E5" w14:textId="77777777" w:rsidR="00947108" w:rsidRPr="00770F9D" w:rsidRDefault="00947108" w:rsidP="005674F2">
      <w:pPr>
        <w:snapToGrid w:val="0"/>
        <w:ind w:firstLine="284"/>
        <w:rPr>
          <w:rFonts w:ascii="Garamond" w:hAnsi="Garamond" w:cstheme="majorBidi"/>
          <w:color w:val="0D0D0D" w:themeColor="text1" w:themeTint="F2"/>
        </w:rPr>
      </w:pPr>
    </w:p>
    <w:p w14:paraId="01ADC1CB" w14:textId="0C234E56" w:rsidR="00C21F03" w:rsidRPr="00770F9D" w:rsidRDefault="005E279E" w:rsidP="00400806">
      <w:pPr>
        <w:pStyle w:val="Heading3"/>
        <w:snapToGrid w:val="0"/>
        <w:ind w:left="0" w:firstLine="284"/>
        <w:jc w:val="both"/>
        <w:rPr>
          <w:rFonts w:ascii="Garamond" w:hAnsi="Garamond" w:cstheme="majorBidi"/>
          <w:b/>
          <w:color w:val="0D0D0D" w:themeColor="text1" w:themeTint="F2"/>
          <w:sz w:val="24"/>
          <w:szCs w:val="24"/>
        </w:rPr>
      </w:pPr>
      <w:bookmarkStart w:id="56" w:name="_Toc126050970"/>
      <w:r w:rsidRPr="00770F9D">
        <w:rPr>
          <w:rFonts w:ascii="Garamond" w:hAnsi="Garamond" w:cstheme="majorBidi"/>
          <w:b/>
          <w:color w:val="0D0D0D" w:themeColor="text1" w:themeTint="F2"/>
          <w:sz w:val="24"/>
          <w:szCs w:val="24"/>
        </w:rPr>
        <w:t>5.2.10.</w:t>
      </w:r>
      <w:r w:rsidR="005674F2" w:rsidRPr="00770F9D">
        <w:rPr>
          <w:rFonts w:ascii="Garamond" w:hAnsi="Garamond" w:cstheme="majorBidi"/>
          <w:b/>
          <w:color w:val="0D0D0D" w:themeColor="text1" w:themeTint="F2"/>
          <w:sz w:val="24"/>
          <w:szCs w:val="24"/>
        </w:rPr>
        <w:t xml:space="preserve"> </w:t>
      </w:r>
      <w:r w:rsidR="002C526F" w:rsidRPr="00770F9D">
        <w:rPr>
          <w:rFonts w:ascii="Garamond" w:hAnsi="Garamond" w:cstheme="majorBidi"/>
          <w:b/>
          <w:color w:val="0D0D0D" w:themeColor="text1" w:themeTint="F2"/>
          <w:sz w:val="24"/>
          <w:szCs w:val="24"/>
        </w:rPr>
        <w:t>Punësimi dhe tregjet e punës</w:t>
      </w:r>
      <w:bookmarkEnd w:id="56"/>
    </w:p>
    <w:p w14:paraId="01F02D3E" w14:textId="7695144A" w:rsidR="002E21FD" w:rsidRPr="00770F9D" w:rsidRDefault="005674F2" w:rsidP="00400806">
      <w:pPr>
        <w:pStyle w:val="Heading4"/>
        <w:snapToGrid w:val="0"/>
        <w:ind w:left="0" w:firstLine="284"/>
        <w:jc w:val="both"/>
        <w:rPr>
          <w:rFonts w:ascii="Garamond" w:hAnsi="Garamond" w:cstheme="majorBidi"/>
          <w:b w:val="0"/>
          <w:i/>
          <w:color w:val="0D0D0D" w:themeColor="text1" w:themeTint="F2"/>
          <w:sz w:val="24"/>
          <w:szCs w:val="24"/>
        </w:rPr>
      </w:pPr>
      <w:r w:rsidRPr="00770F9D">
        <w:rPr>
          <w:rFonts w:ascii="Garamond" w:hAnsi="Garamond" w:cstheme="majorBidi"/>
          <w:b w:val="0"/>
          <w:i/>
          <w:color w:val="0D0D0D" w:themeColor="text1" w:themeTint="F2"/>
          <w:sz w:val="24"/>
          <w:szCs w:val="24"/>
        </w:rPr>
        <w:t>a</w:t>
      </w:r>
      <w:r w:rsidR="00813F5C">
        <w:rPr>
          <w:rFonts w:ascii="Garamond" w:hAnsi="Garamond" w:cstheme="majorBidi"/>
          <w:b w:val="0"/>
          <w:i/>
          <w:color w:val="0D0D0D" w:themeColor="text1" w:themeTint="F2"/>
          <w:sz w:val="24"/>
          <w:szCs w:val="24"/>
        </w:rPr>
        <w:t>)</w:t>
      </w:r>
      <w:r w:rsidRPr="00770F9D">
        <w:rPr>
          <w:rFonts w:ascii="Garamond" w:hAnsi="Garamond" w:cstheme="majorBidi"/>
          <w:b w:val="0"/>
          <w:i/>
          <w:color w:val="0D0D0D" w:themeColor="text1" w:themeTint="F2"/>
          <w:sz w:val="24"/>
          <w:szCs w:val="24"/>
        </w:rPr>
        <w:t xml:space="preserve"> </w:t>
      </w:r>
      <w:r w:rsidR="002E21FD" w:rsidRPr="00770F9D">
        <w:rPr>
          <w:rFonts w:ascii="Garamond" w:hAnsi="Garamond" w:cstheme="majorBidi"/>
          <w:b w:val="0"/>
          <w:i/>
          <w:color w:val="0D0D0D" w:themeColor="text1" w:themeTint="F2"/>
          <w:sz w:val="24"/>
          <w:szCs w:val="24"/>
        </w:rPr>
        <w:t>Analiza e pengesave kryesore</w:t>
      </w:r>
    </w:p>
    <w:p w14:paraId="7604423E" w14:textId="00AFE85D" w:rsidR="002752DE" w:rsidRPr="00770F9D" w:rsidRDefault="002752DE" w:rsidP="00A00733">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Gjatë viteve 2014</w:t>
      </w:r>
      <w:r w:rsidR="007B7582">
        <w:rPr>
          <w:rFonts w:ascii="Garamond" w:hAnsi="Garamond" w:cstheme="majorBidi"/>
          <w:color w:val="0D0D0D" w:themeColor="text1" w:themeTint="F2"/>
        </w:rPr>
        <w:t>–</w:t>
      </w:r>
      <w:r w:rsidRPr="00770F9D">
        <w:rPr>
          <w:rFonts w:ascii="Garamond" w:hAnsi="Garamond" w:cstheme="majorBidi"/>
          <w:color w:val="0D0D0D" w:themeColor="text1" w:themeTint="F2"/>
        </w:rPr>
        <w:t>2022, Shqipëria ka bërë progres të rëndësishëm drejt sigurimit që si burrat ashtu edhe gratë të kenë akses në mundësi punësimi në rritje. Pas pandemisë, e cila ndikoi negativisht në situatën e tregut të punës, një trend pozitiv vërehet gjatë viteve 2021</w:t>
      </w:r>
      <w:r w:rsidR="00A00733">
        <w:rPr>
          <w:rFonts w:ascii="Garamond" w:hAnsi="Garamond" w:cstheme="majorBidi"/>
          <w:color w:val="0D0D0D" w:themeColor="text1" w:themeTint="F2"/>
        </w:rPr>
        <w:t>–</w:t>
      </w:r>
      <w:r w:rsidRPr="00770F9D">
        <w:rPr>
          <w:rFonts w:ascii="Garamond" w:hAnsi="Garamond" w:cstheme="majorBidi"/>
          <w:color w:val="0D0D0D" w:themeColor="text1" w:themeTint="F2"/>
        </w:rPr>
        <w:t>2022 në të gjithë treguesit e tregut të punës.</w:t>
      </w:r>
    </w:p>
    <w:p w14:paraId="4DB9929A" w14:textId="77777777" w:rsidR="002752DE" w:rsidRPr="00770F9D" w:rsidRDefault="002752DE"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Shkalla e punësimit në vitin 2021 ishte 60.9% dhe është rritur me 0.3 pp krahasuar me vitin 2020. Ky trend pozitiv është më i theksuar gjatë tremujorit të tretë të vitit 2022 ku shkalla e punësimit për popullsinë nga 15 deri në 64 vjeç është 65.4%, me një rritje prej 3.4 pp krahasuar me tremujorin e tretë 2021 dhe rritje me 1.9 pp krahasuar me tremujorin e parë 2022.</w:t>
      </w:r>
    </w:p>
    <w:p w14:paraId="410655A6" w14:textId="51FA68BA" w:rsidR="002752DE" w:rsidRPr="00770F9D" w:rsidRDefault="002752DE" w:rsidP="004E59C8">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Në tremujorin e tretë të vitit 2022, shkalla e pjesëmarrjes në fuqinë punëtore për popullsinë 15-64 vjeç është 73,4 %, 3,3 pp më e lartë krahasuar me tremujorin e tretë 2021 dhe 1,4 pp më e lartë krahasuar me tremujorin e parë të 2022. Shkalla e pjesëmarrjes së grave në forcën e punës është 67,3 %, ndërsa për meshkujt ky tregues është 79,7 %. Shkalla e pjesëmarrjes së meshkujve në fuqinë punëtore është 12.4 pp më e lartë se femrat. Shkalla e pjesëmarrjes në fuqinë punëtore për gratë në tremujorin e tretë 2022 është rritur me 4,2 </w:t>
      </w:r>
      <w:r w:rsidR="00EE365D" w:rsidRPr="00770F9D">
        <w:rPr>
          <w:rFonts w:ascii="Garamond" w:hAnsi="Garamond" w:cstheme="majorBidi"/>
          <w:color w:val="0D0D0D" w:themeColor="text1" w:themeTint="F2"/>
        </w:rPr>
        <w:t>pikë përqindjeje</w:t>
      </w:r>
      <w:r w:rsidRPr="00770F9D">
        <w:rPr>
          <w:rFonts w:ascii="Garamond" w:hAnsi="Garamond" w:cstheme="majorBidi"/>
          <w:color w:val="0D0D0D" w:themeColor="text1" w:themeTint="F2"/>
        </w:rPr>
        <w:t xml:space="preserve"> dhe për burrat është rritur me 2,4 </w:t>
      </w:r>
      <w:r w:rsidR="00EE365D" w:rsidRPr="00770F9D">
        <w:rPr>
          <w:rFonts w:ascii="Garamond" w:hAnsi="Garamond" w:cstheme="majorBidi"/>
          <w:color w:val="0D0D0D" w:themeColor="text1" w:themeTint="F2"/>
        </w:rPr>
        <w:t>pikë përqindjeje</w:t>
      </w:r>
      <w:r w:rsidRPr="00770F9D">
        <w:rPr>
          <w:rFonts w:ascii="Garamond" w:hAnsi="Garamond" w:cstheme="majorBidi"/>
          <w:color w:val="0D0D0D" w:themeColor="text1" w:themeTint="F2"/>
        </w:rPr>
        <w:t xml:space="preserve"> krahasuar me të njëjtin tremujor të vitit 2021. Gjatë tremujorit të tretë 2022, shkalla e pjesëmarrjes së të rinjve në fuqinë punëtore (popullsia nga mosha 15 deri në 29 vjeç) është 54,9 %. Ky tregues është rritur me 1,4 </w:t>
      </w:r>
      <w:r w:rsidR="004E59C8">
        <w:rPr>
          <w:rFonts w:ascii="Garamond" w:hAnsi="Garamond" w:cstheme="majorBidi"/>
          <w:color w:val="0D0D0D" w:themeColor="text1" w:themeTint="F2"/>
        </w:rPr>
        <w:t>pikë përqindje</w:t>
      </w:r>
      <w:r w:rsidRPr="00770F9D">
        <w:rPr>
          <w:rFonts w:ascii="Garamond" w:hAnsi="Garamond" w:cstheme="majorBidi"/>
          <w:color w:val="0D0D0D" w:themeColor="text1" w:themeTint="F2"/>
        </w:rPr>
        <w:t xml:space="preserve">je krahasuar me tremujorin e tretë 2021 dhe është rritur me 0,4 </w:t>
      </w:r>
      <w:r w:rsidR="00EE365D" w:rsidRPr="00770F9D">
        <w:rPr>
          <w:rFonts w:ascii="Garamond" w:hAnsi="Garamond" w:cstheme="majorBidi"/>
          <w:color w:val="0D0D0D" w:themeColor="text1" w:themeTint="F2"/>
        </w:rPr>
        <w:t>pikë përqindjeje</w:t>
      </w:r>
      <w:r w:rsidRPr="00770F9D">
        <w:rPr>
          <w:rFonts w:ascii="Garamond" w:hAnsi="Garamond" w:cstheme="majorBidi"/>
          <w:color w:val="0D0D0D" w:themeColor="text1" w:themeTint="F2"/>
        </w:rPr>
        <w:t xml:space="preserve"> krahasuar me tremujorin e parë 2022.</w:t>
      </w:r>
    </w:p>
    <w:p w14:paraId="389AFAEA" w14:textId="7904A3C2" w:rsidR="002752DE" w:rsidRPr="00770F9D" w:rsidRDefault="002752DE" w:rsidP="004E59C8">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Gjatë tremujorit të tretë 2022, shkalla e punësimit për popullsinë 15</w:t>
      </w:r>
      <w:r w:rsidR="004E59C8">
        <w:rPr>
          <w:rFonts w:ascii="Garamond" w:hAnsi="Garamond" w:cstheme="majorBidi"/>
          <w:color w:val="0D0D0D" w:themeColor="text1" w:themeTint="F2"/>
        </w:rPr>
        <w:t>–</w:t>
      </w:r>
      <w:r w:rsidRPr="00770F9D">
        <w:rPr>
          <w:rFonts w:ascii="Garamond" w:hAnsi="Garamond" w:cstheme="majorBidi"/>
          <w:color w:val="0D0D0D" w:themeColor="text1" w:themeTint="F2"/>
        </w:rPr>
        <w:t>64 vjeç është 65,4 %. Në tremujorin e tretë 2022, punësimi për popullsinë 15</w:t>
      </w:r>
      <w:r w:rsidR="004E59C8">
        <w:rPr>
          <w:rFonts w:ascii="Garamond" w:hAnsi="Garamond" w:cstheme="majorBidi"/>
          <w:color w:val="0D0D0D" w:themeColor="text1" w:themeTint="F2"/>
        </w:rPr>
        <w:t>–</w:t>
      </w:r>
      <w:r w:rsidRPr="00770F9D">
        <w:rPr>
          <w:rFonts w:ascii="Garamond" w:hAnsi="Garamond" w:cstheme="majorBidi"/>
          <w:color w:val="0D0D0D" w:themeColor="text1" w:themeTint="F2"/>
        </w:rPr>
        <w:t>64 vjeç e lart është rritur me 2.0 pp krahasuar me tremujorin e parë dhe 3.4 pp krahasuar me tremujorin e tretë 2021. Pavarësisht se shkalla e punësimit është përmirësuar ndjeshëm vitet e fundit, ky tregues është më i ulët se mesatarja e Bashkimit Evropian. Shkalla e punësimit është përmirësuar ndjeshëm sidomos tek</w:t>
      </w:r>
      <w:r w:rsidR="004E59C8">
        <w:rPr>
          <w:rFonts w:ascii="Garamond" w:hAnsi="Garamond" w:cstheme="majorBidi"/>
          <w:color w:val="0D0D0D" w:themeColor="text1" w:themeTint="F2"/>
        </w:rPr>
        <w:t xml:space="preserve"> </w:t>
      </w:r>
      <w:r w:rsidRPr="00770F9D">
        <w:rPr>
          <w:rFonts w:ascii="Garamond" w:hAnsi="Garamond" w:cstheme="majorBidi"/>
          <w:color w:val="0D0D0D" w:themeColor="text1" w:themeTint="F2"/>
        </w:rPr>
        <w:t>gratë (nga 40% në 2013</w:t>
      </w:r>
      <w:r w:rsidR="004E59C8">
        <w:rPr>
          <w:rFonts w:ascii="Garamond" w:hAnsi="Garamond" w:cstheme="majorBidi"/>
          <w:color w:val="0D0D0D" w:themeColor="text1" w:themeTint="F2"/>
        </w:rPr>
        <w:t>-n</w:t>
      </w:r>
      <w:r w:rsidRPr="00770F9D">
        <w:rPr>
          <w:rFonts w:ascii="Garamond" w:hAnsi="Garamond" w:cstheme="majorBidi"/>
          <w:color w:val="0D0D0D" w:themeColor="text1" w:themeTint="F2"/>
        </w:rPr>
        <w:t xml:space="preserve"> në 59.5% në TM3-2022). Megjithatë, pabarazia gjinore në punësim mbetet problematike, ku shkalla e punësimit të meshkujve tejkalon atë të femrave me 14,4%.</w:t>
      </w:r>
    </w:p>
    <w:p w14:paraId="78D9D64A" w14:textId="77777777" w:rsidR="002752DE" w:rsidRPr="00770F9D" w:rsidRDefault="002752DE"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Shkalla e punësimit të të rinjve në tremujorin e dytë është 43,7 %. Pavarësisht rritjes prej 0.9 pp krahasuar me një vit më parë, punësimi i të rinjve mbetet prapa pjesës tjetër të popullsisë së rritur.</w:t>
      </w:r>
    </w:p>
    <w:p w14:paraId="62F184D0" w14:textId="77777777" w:rsidR="002752DE" w:rsidRPr="00770F9D" w:rsidRDefault="002752DE"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Në tremujorin e tretë të vitit 2022, shkalla zyrtare e papunësisë në Shqipëri është 10,6 %. Shkalla zyrtare e papunësisë u ul me 0,7 pp krahasuar me tremujorin e tretë të 2021 dhe u ul me 0,5 pp krahasuar me tremujorin e dytë 2022.</w:t>
      </w:r>
    </w:p>
    <w:p w14:paraId="00D22938" w14:textId="0DB394A0" w:rsidR="002752DE" w:rsidRPr="00770F9D" w:rsidRDefault="002752DE"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Shkalla zyrtare e papunësisë është 9.9% për meshkujt dhe 11.3% për femrat. Shkalla e papunësisë u ul me 1.0 p</w:t>
      </w:r>
      <w:r w:rsidR="004E59C8">
        <w:rPr>
          <w:rFonts w:ascii="Garamond" w:hAnsi="Garamond" w:cstheme="majorBidi"/>
          <w:color w:val="0D0D0D" w:themeColor="text1" w:themeTint="F2"/>
        </w:rPr>
        <w:t>p te meshkujt dhe me 0.4 pp te</w:t>
      </w:r>
      <w:r w:rsidRPr="00770F9D">
        <w:rPr>
          <w:rFonts w:ascii="Garamond" w:hAnsi="Garamond" w:cstheme="majorBidi"/>
          <w:color w:val="0D0D0D" w:themeColor="text1" w:themeTint="F2"/>
        </w:rPr>
        <w:t xml:space="preserve"> femrat krahasuar me të njëjtin tremujor të vitit 2021.</w:t>
      </w:r>
    </w:p>
    <w:p w14:paraId="75E048F8" w14:textId="7FDC0256" w:rsidR="002752DE" w:rsidRPr="00770F9D" w:rsidRDefault="002752DE" w:rsidP="00F378FF">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Papunësia e të rinjve është ulur nga një kulm prej afro 43% në 2014 në 27.1% në vitin 2021 për grup</w:t>
      </w:r>
      <w:r w:rsidR="00F378FF">
        <w:rPr>
          <w:rFonts w:ascii="Garamond" w:hAnsi="Garamond" w:cstheme="majorBidi"/>
          <w:color w:val="0D0D0D" w:themeColor="text1" w:themeTint="F2"/>
        </w:rPr>
        <w:t>-</w:t>
      </w:r>
      <w:r w:rsidRPr="00770F9D">
        <w:rPr>
          <w:rFonts w:ascii="Garamond" w:hAnsi="Garamond" w:cstheme="majorBidi"/>
          <w:color w:val="0D0D0D" w:themeColor="text1" w:themeTint="F2"/>
        </w:rPr>
        <w:t>moshën 15</w:t>
      </w:r>
      <w:r w:rsidR="00F378FF">
        <w:rPr>
          <w:rFonts w:ascii="Garamond" w:hAnsi="Garamond" w:cstheme="majorBidi"/>
          <w:color w:val="0D0D0D" w:themeColor="text1" w:themeTint="F2"/>
        </w:rPr>
        <w:t>–</w:t>
      </w:r>
      <w:r w:rsidRPr="00770F9D">
        <w:rPr>
          <w:rFonts w:ascii="Garamond" w:hAnsi="Garamond" w:cstheme="majorBidi"/>
          <w:color w:val="0D0D0D" w:themeColor="text1" w:themeTint="F2"/>
        </w:rPr>
        <w:t>25 vjeç. Shkalla zyrtare e papunësisë për të rinjtë e moshës 15</w:t>
      </w:r>
      <w:r w:rsidR="00F378FF">
        <w:rPr>
          <w:rFonts w:ascii="Garamond" w:hAnsi="Garamond" w:cstheme="majorBidi"/>
          <w:color w:val="0D0D0D" w:themeColor="text1" w:themeTint="F2"/>
        </w:rPr>
        <w:t>–</w:t>
      </w:r>
      <w:r w:rsidRPr="00770F9D">
        <w:rPr>
          <w:rFonts w:ascii="Garamond" w:hAnsi="Garamond" w:cstheme="majorBidi"/>
          <w:color w:val="0D0D0D" w:themeColor="text1" w:themeTint="F2"/>
        </w:rPr>
        <w:t>29 vjeç është</w:t>
      </w:r>
    </w:p>
    <w:p w14:paraId="385C5555" w14:textId="1891C5A2" w:rsidR="002752DE" w:rsidRPr="00770F9D" w:rsidRDefault="002752DE" w:rsidP="00F378FF">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20,5 %. Shkalla e papunësisë së të rinjve në tremujorin e tretë 2022 është rritur me 0,6 </w:t>
      </w:r>
      <w:r w:rsidR="00EE365D" w:rsidRPr="00770F9D">
        <w:rPr>
          <w:rFonts w:ascii="Garamond" w:hAnsi="Garamond" w:cstheme="majorBidi"/>
          <w:color w:val="0D0D0D" w:themeColor="text1" w:themeTint="F2"/>
        </w:rPr>
        <w:t>pikë përqindjeje</w:t>
      </w:r>
      <w:r w:rsidRPr="00770F9D">
        <w:rPr>
          <w:rFonts w:ascii="Garamond" w:hAnsi="Garamond" w:cstheme="majorBidi"/>
          <w:color w:val="0D0D0D" w:themeColor="text1" w:themeTint="F2"/>
        </w:rPr>
        <w:t xml:space="preserve"> krahasuar me tremujorin e tretë 2021. Ky tregues është rritur me 0,3 </w:t>
      </w:r>
      <w:r w:rsidR="00EE365D" w:rsidRPr="00770F9D">
        <w:rPr>
          <w:rFonts w:ascii="Garamond" w:hAnsi="Garamond" w:cstheme="majorBidi"/>
          <w:color w:val="0D0D0D" w:themeColor="text1" w:themeTint="F2"/>
        </w:rPr>
        <w:t>pikë përqindjeje</w:t>
      </w:r>
      <w:r w:rsidRPr="00770F9D">
        <w:rPr>
          <w:rFonts w:ascii="Garamond" w:hAnsi="Garamond" w:cstheme="majorBidi"/>
          <w:color w:val="0D0D0D" w:themeColor="text1" w:themeTint="F2"/>
        </w:rPr>
        <w:t xml:space="preserve"> krahasuar me tremujorin e dytë 2022.</w:t>
      </w:r>
    </w:p>
    <w:p w14:paraId="13EC770E" w14:textId="3F49CDD2" w:rsidR="002752DE" w:rsidRPr="00770F9D" w:rsidRDefault="002752DE" w:rsidP="00F378FF">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Shkalla e NEET për Shqipërinë </w:t>
      </w:r>
      <w:r w:rsidR="00F378FF">
        <w:rPr>
          <w:rFonts w:ascii="Garamond" w:hAnsi="Garamond" w:cstheme="majorBidi"/>
          <w:color w:val="0D0D0D" w:themeColor="text1" w:themeTint="F2"/>
        </w:rPr>
        <w:t>m</w:t>
      </w:r>
      <w:r w:rsidRPr="00770F9D">
        <w:rPr>
          <w:rFonts w:ascii="Garamond" w:hAnsi="Garamond" w:cstheme="majorBidi"/>
          <w:color w:val="0D0D0D" w:themeColor="text1" w:themeTint="F2"/>
        </w:rPr>
        <w:t>ë 2021</w:t>
      </w:r>
      <w:r w:rsidR="00F378FF">
        <w:rPr>
          <w:rFonts w:ascii="Garamond" w:hAnsi="Garamond" w:cstheme="majorBidi"/>
          <w:color w:val="0D0D0D" w:themeColor="text1" w:themeTint="F2"/>
        </w:rPr>
        <w:t>-shin</w:t>
      </w:r>
      <w:r w:rsidRPr="00770F9D">
        <w:rPr>
          <w:rFonts w:ascii="Garamond" w:hAnsi="Garamond" w:cstheme="majorBidi"/>
          <w:color w:val="0D0D0D" w:themeColor="text1" w:themeTint="F2"/>
        </w:rPr>
        <w:t xml:space="preserve"> u ul 0.5 pp nga 26.6 </w:t>
      </w:r>
      <w:r w:rsidR="00F378FF">
        <w:rPr>
          <w:rFonts w:ascii="Garamond" w:hAnsi="Garamond" w:cstheme="majorBidi"/>
          <w:color w:val="0D0D0D" w:themeColor="text1" w:themeTint="F2"/>
        </w:rPr>
        <w:t>m</w:t>
      </w:r>
      <w:r w:rsidRPr="00770F9D">
        <w:rPr>
          <w:rFonts w:ascii="Garamond" w:hAnsi="Garamond" w:cstheme="majorBidi"/>
          <w:color w:val="0D0D0D" w:themeColor="text1" w:themeTint="F2"/>
        </w:rPr>
        <w:t>ë 2019</w:t>
      </w:r>
      <w:r w:rsidR="00F378FF">
        <w:rPr>
          <w:rFonts w:ascii="Garamond" w:hAnsi="Garamond" w:cstheme="majorBidi"/>
          <w:color w:val="0D0D0D" w:themeColor="text1" w:themeTint="F2"/>
        </w:rPr>
        <w:t>-n</w:t>
      </w:r>
      <w:r w:rsidRPr="00770F9D">
        <w:rPr>
          <w:rFonts w:ascii="Garamond" w:hAnsi="Garamond" w:cstheme="majorBidi"/>
          <w:color w:val="0D0D0D" w:themeColor="text1" w:themeTint="F2"/>
        </w:rPr>
        <w:t xml:space="preserve"> në 26.1 </w:t>
      </w:r>
      <w:r w:rsidR="00F378FF">
        <w:rPr>
          <w:rFonts w:ascii="Garamond" w:hAnsi="Garamond" w:cstheme="majorBidi"/>
          <w:color w:val="0D0D0D" w:themeColor="text1" w:themeTint="F2"/>
        </w:rPr>
        <w:t>m</w:t>
      </w:r>
      <w:r w:rsidRPr="00770F9D">
        <w:rPr>
          <w:rFonts w:ascii="Garamond" w:hAnsi="Garamond" w:cstheme="majorBidi"/>
          <w:color w:val="0D0D0D" w:themeColor="text1" w:themeTint="F2"/>
        </w:rPr>
        <w:t>ë 2021</w:t>
      </w:r>
      <w:r w:rsidR="00F378FF">
        <w:rPr>
          <w:rFonts w:ascii="Garamond" w:hAnsi="Garamond" w:cstheme="majorBidi"/>
          <w:color w:val="0D0D0D" w:themeColor="text1" w:themeTint="F2"/>
        </w:rPr>
        <w:t>-shin</w:t>
      </w:r>
      <w:r w:rsidRPr="00770F9D">
        <w:rPr>
          <w:rFonts w:ascii="Garamond" w:hAnsi="Garamond" w:cstheme="majorBidi"/>
          <w:color w:val="0D0D0D" w:themeColor="text1" w:themeTint="F2"/>
        </w:rPr>
        <w:t xml:space="preserve">. Një </w:t>
      </w:r>
      <w:r w:rsidR="007A2FF2" w:rsidRPr="00770F9D">
        <w:rPr>
          <w:rFonts w:ascii="Garamond" w:hAnsi="Garamond" w:cstheme="majorBidi"/>
          <w:color w:val="0D0D0D" w:themeColor="text1" w:themeTint="F2"/>
        </w:rPr>
        <w:t xml:space="preserve">përqindje </w:t>
      </w:r>
      <w:r w:rsidRPr="00770F9D">
        <w:rPr>
          <w:rFonts w:ascii="Garamond" w:hAnsi="Garamond" w:cstheme="majorBidi"/>
          <w:color w:val="0D0D0D" w:themeColor="text1" w:themeTint="F2"/>
        </w:rPr>
        <w:t>e lartë e të rinjve as në punësim as në arsim dhe trajnim (NEET) (26.1%), veçanërisht ndër më të arsimuarit tregon një punë sfiduese tranzicioni i tregut për të rinjtë. NEET në Shqipëri janë më shumë se dyfishi i mesatares së BE-27 (13.1%). Gjatë vitit 2021, të rinjtë e moshës 15</w:t>
      </w:r>
      <w:r w:rsidR="00F378FF">
        <w:rPr>
          <w:rFonts w:ascii="Garamond" w:hAnsi="Garamond" w:cstheme="majorBidi"/>
          <w:color w:val="0D0D0D" w:themeColor="text1" w:themeTint="F2"/>
        </w:rPr>
        <w:t>-shin</w:t>
      </w:r>
      <w:r w:rsidR="00F378FF" w:rsidRPr="00770F9D">
        <w:rPr>
          <w:rFonts w:ascii="Garamond" w:hAnsi="Garamond" w:cstheme="majorBidi"/>
          <w:color w:val="0D0D0D" w:themeColor="text1" w:themeTint="F2"/>
        </w:rPr>
        <w:t xml:space="preserve"> </w:t>
      </w:r>
      <w:r w:rsidRPr="00770F9D">
        <w:rPr>
          <w:rFonts w:ascii="Garamond" w:hAnsi="Garamond" w:cstheme="majorBidi"/>
          <w:color w:val="0D0D0D" w:themeColor="text1" w:themeTint="F2"/>
        </w:rPr>
        <w:t>29 vjeç as në punësim, as në arsim apo trajnim përbëjnë 26,1 % të të gjithë popullatës rinore me një rënie prej 1,8 pp krahasuar me</w:t>
      </w:r>
      <w:r w:rsidR="00F378FF">
        <w:rPr>
          <w:rFonts w:ascii="Garamond" w:hAnsi="Garamond" w:cstheme="majorBidi"/>
          <w:color w:val="0D0D0D" w:themeColor="text1" w:themeTint="F2"/>
        </w:rPr>
        <w:t xml:space="preserve"> vitin 2020. Në këtë grup, 37,3</w:t>
      </w:r>
      <w:r w:rsidRPr="00770F9D">
        <w:rPr>
          <w:rFonts w:ascii="Garamond" w:hAnsi="Garamond" w:cstheme="majorBidi"/>
          <w:color w:val="0D0D0D" w:themeColor="text1" w:themeTint="F2"/>
        </w:rPr>
        <w:t>% janë të papunë. Pjesa tjetër është jashtë fuqisë punëtore sepse ja</w:t>
      </w:r>
      <w:r w:rsidR="00F378FF">
        <w:rPr>
          <w:rFonts w:ascii="Garamond" w:hAnsi="Garamond" w:cstheme="majorBidi"/>
          <w:color w:val="0D0D0D" w:themeColor="text1" w:themeTint="F2"/>
        </w:rPr>
        <w:t>në punëtorë të dekurajuar (15,4</w:t>
      </w:r>
      <w:r w:rsidRPr="00770F9D">
        <w:rPr>
          <w:rFonts w:ascii="Garamond" w:hAnsi="Garamond" w:cstheme="majorBidi"/>
          <w:color w:val="0D0D0D" w:themeColor="text1" w:themeTint="F2"/>
        </w:rPr>
        <w:t>%), duke përmbushur përgjegjës</w:t>
      </w:r>
      <w:r w:rsidR="00F378FF">
        <w:rPr>
          <w:rFonts w:ascii="Garamond" w:hAnsi="Garamond" w:cstheme="majorBidi"/>
          <w:color w:val="0D0D0D" w:themeColor="text1" w:themeTint="F2"/>
        </w:rPr>
        <w:t>itë shtëpiake dhe familjare (17,5</w:t>
      </w:r>
      <w:r w:rsidRPr="00770F9D">
        <w:rPr>
          <w:rFonts w:ascii="Garamond" w:hAnsi="Garamond" w:cstheme="majorBidi"/>
          <w:color w:val="0D0D0D" w:themeColor="text1" w:themeTint="F2"/>
        </w:rPr>
        <w:t>%</w:t>
      </w:r>
      <w:r w:rsidR="00F378FF">
        <w:rPr>
          <w:rFonts w:ascii="Garamond" w:hAnsi="Garamond" w:cstheme="majorBidi"/>
          <w:color w:val="0D0D0D" w:themeColor="text1" w:themeTint="F2"/>
        </w:rPr>
        <w:t>), ose për arsye të tjera (29,8</w:t>
      </w:r>
      <w:r w:rsidRPr="00770F9D">
        <w:rPr>
          <w:rFonts w:ascii="Garamond" w:hAnsi="Garamond" w:cstheme="majorBidi"/>
          <w:color w:val="0D0D0D" w:themeColor="text1" w:themeTint="F2"/>
        </w:rPr>
        <w:t>%). Megjithatë, vetëm rreth 10% e të rinjve NEET janë të regjistruar në Shërbimin Publik të Punësimit dhe kontakti duhet të shtrihet përtej këtij grupi.</w:t>
      </w:r>
    </w:p>
    <w:p w14:paraId="0A69F6EA" w14:textId="0FDD48CC" w:rsidR="006B6BA8" w:rsidRPr="00770F9D" w:rsidRDefault="005E279E" w:rsidP="00400806">
      <w:pPr>
        <w:pStyle w:val="Heading3"/>
        <w:snapToGrid w:val="0"/>
        <w:ind w:left="0" w:firstLine="284"/>
        <w:jc w:val="both"/>
        <w:rPr>
          <w:rFonts w:ascii="Garamond" w:hAnsi="Garamond" w:cstheme="majorBidi"/>
          <w:b/>
          <w:color w:val="0D0D0D" w:themeColor="text1" w:themeTint="F2"/>
          <w:sz w:val="24"/>
          <w:szCs w:val="24"/>
        </w:rPr>
      </w:pPr>
      <w:bookmarkStart w:id="57" w:name="_Toc126050971"/>
      <w:bookmarkEnd w:id="49"/>
      <w:bookmarkEnd w:id="50"/>
      <w:r w:rsidRPr="00770F9D">
        <w:rPr>
          <w:rFonts w:ascii="Garamond" w:hAnsi="Garamond" w:cstheme="majorBidi"/>
          <w:b/>
          <w:color w:val="0D0D0D" w:themeColor="text1" w:themeTint="F2"/>
          <w:sz w:val="24"/>
          <w:szCs w:val="24"/>
        </w:rPr>
        <w:t>5.</w:t>
      </w:r>
      <w:r w:rsidR="005674F2" w:rsidRPr="00770F9D">
        <w:rPr>
          <w:rFonts w:ascii="Garamond" w:hAnsi="Garamond" w:cstheme="majorBidi"/>
          <w:b/>
          <w:color w:val="0D0D0D" w:themeColor="text1" w:themeTint="F2"/>
          <w:sz w:val="24"/>
          <w:szCs w:val="24"/>
        </w:rPr>
        <w:t>2.1</w:t>
      </w:r>
      <w:r w:rsidRPr="00770F9D">
        <w:rPr>
          <w:rFonts w:ascii="Garamond" w:hAnsi="Garamond" w:cstheme="majorBidi"/>
          <w:b/>
          <w:color w:val="0D0D0D" w:themeColor="text1" w:themeTint="F2"/>
          <w:sz w:val="24"/>
          <w:szCs w:val="24"/>
        </w:rPr>
        <w:t>1</w:t>
      </w:r>
      <w:r w:rsidR="005674F2" w:rsidRPr="00770F9D">
        <w:rPr>
          <w:rFonts w:ascii="Garamond" w:hAnsi="Garamond" w:cstheme="majorBidi"/>
          <w:b/>
          <w:color w:val="0D0D0D" w:themeColor="text1" w:themeTint="F2"/>
          <w:sz w:val="24"/>
          <w:szCs w:val="24"/>
        </w:rPr>
        <w:t xml:space="preserve"> </w:t>
      </w:r>
      <w:r w:rsidR="006B6BA8" w:rsidRPr="00770F9D">
        <w:rPr>
          <w:rFonts w:ascii="Garamond" w:hAnsi="Garamond" w:cstheme="majorBidi"/>
          <w:b/>
          <w:color w:val="0D0D0D" w:themeColor="text1" w:themeTint="F2"/>
          <w:sz w:val="24"/>
          <w:szCs w:val="24"/>
        </w:rPr>
        <w:t>Kujdesi shëndetësor dhe mbrojtja sociale</w:t>
      </w:r>
      <w:bookmarkEnd w:id="57"/>
    </w:p>
    <w:p w14:paraId="1E32191F" w14:textId="729CD28A" w:rsidR="006B6BA8" w:rsidRPr="00770F9D" w:rsidRDefault="005674F2" w:rsidP="00F378FF">
      <w:pPr>
        <w:pStyle w:val="Heading4"/>
        <w:snapToGrid w:val="0"/>
        <w:ind w:left="0" w:firstLine="284"/>
        <w:jc w:val="both"/>
        <w:rPr>
          <w:rFonts w:ascii="Garamond" w:hAnsi="Garamond" w:cstheme="majorBidi"/>
          <w:b w:val="0"/>
          <w:i/>
          <w:color w:val="0D0D0D" w:themeColor="text1" w:themeTint="F2"/>
          <w:sz w:val="24"/>
          <w:szCs w:val="24"/>
        </w:rPr>
      </w:pPr>
      <w:r w:rsidRPr="00770F9D">
        <w:rPr>
          <w:rFonts w:ascii="Garamond" w:hAnsi="Garamond" w:cstheme="majorBidi"/>
          <w:b w:val="0"/>
          <w:i/>
          <w:color w:val="0D0D0D" w:themeColor="text1" w:themeTint="F2"/>
          <w:sz w:val="24"/>
          <w:szCs w:val="24"/>
        </w:rPr>
        <w:t>b</w:t>
      </w:r>
      <w:r w:rsidR="00F378FF">
        <w:rPr>
          <w:rFonts w:ascii="Garamond" w:hAnsi="Garamond" w:cstheme="majorBidi"/>
          <w:b w:val="0"/>
          <w:i/>
          <w:color w:val="0D0D0D" w:themeColor="text1" w:themeTint="F2"/>
          <w:sz w:val="24"/>
          <w:szCs w:val="24"/>
        </w:rPr>
        <w:t>)</w:t>
      </w:r>
      <w:r w:rsidRPr="00770F9D">
        <w:rPr>
          <w:rFonts w:ascii="Garamond" w:hAnsi="Garamond" w:cstheme="majorBidi"/>
          <w:b w:val="0"/>
          <w:i/>
          <w:color w:val="0D0D0D" w:themeColor="text1" w:themeTint="F2"/>
          <w:sz w:val="24"/>
          <w:szCs w:val="24"/>
        </w:rPr>
        <w:t xml:space="preserve"> </w:t>
      </w:r>
      <w:r w:rsidR="006B6BA8" w:rsidRPr="00770F9D">
        <w:rPr>
          <w:rFonts w:ascii="Garamond" w:hAnsi="Garamond" w:cstheme="majorBidi"/>
          <w:b w:val="0"/>
          <w:i/>
          <w:color w:val="0D0D0D" w:themeColor="text1" w:themeTint="F2"/>
          <w:sz w:val="24"/>
          <w:szCs w:val="24"/>
        </w:rPr>
        <w:t>Analiza e pengesave kryesore</w:t>
      </w:r>
    </w:p>
    <w:p w14:paraId="02FA70E3" w14:textId="511B8E1B" w:rsidR="006B6BA8" w:rsidRPr="00770F9D" w:rsidRDefault="006B6BA8"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Strategjia </w:t>
      </w:r>
      <w:r w:rsidR="00F378FF">
        <w:rPr>
          <w:rFonts w:ascii="Garamond" w:hAnsi="Garamond" w:cstheme="majorBidi"/>
          <w:color w:val="0D0D0D" w:themeColor="text1" w:themeTint="F2"/>
        </w:rPr>
        <w:t>kombëtare e shëndetësisë 2021–</w:t>
      </w:r>
      <w:r w:rsidRPr="00770F9D">
        <w:rPr>
          <w:rFonts w:ascii="Garamond" w:hAnsi="Garamond" w:cstheme="majorBidi"/>
          <w:color w:val="0D0D0D" w:themeColor="text1" w:themeTint="F2"/>
        </w:rPr>
        <w:t>2030 pasqyron programin e qeverisë Shqipëria 2030 që vlerëson shëndetin</w:t>
      </w:r>
      <w:r w:rsidR="00F163E5">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pjesë e politikave ndërsektoriale dhe synon mbrojtjen dhe ruajtjen e shëndetit të qytetarëve, si dhe ofron trajtim efektiv për të gjitha problemet e hasura gjatë gjithë</w:t>
      </w:r>
      <w:r w:rsidR="00F163E5">
        <w:rPr>
          <w:rFonts w:ascii="Garamond" w:hAnsi="Garamond" w:cstheme="majorBidi"/>
          <w:color w:val="0D0D0D" w:themeColor="text1" w:themeTint="F2"/>
        </w:rPr>
        <w:t xml:space="preserve"> jetës. Gjatë viteve të fundit </w:t>
      </w:r>
      <w:r w:rsidRPr="00770F9D">
        <w:rPr>
          <w:rFonts w:ascii="Garamond" w:hAnsi="Garamond" w:cstheme="majorBidi"/>
          <w:color w:val="0D0D0D" w:themeColor="text1" w:themeTint="F2"/>
        </w:rPr>
        <w:t>janë bërë hapa përpara në rritjen e vazhdueshme të financimit publik për shëndetin dhe përmirësimin e cilësisë së shërbimit shëndetësor. Programet e mbrojtjes së shëndetit publik janë zgjeruar përmes vaksinimit të sigurt dhe efektiv kundër sëmundjeve ngjitëse dhe zbatimit të programeve të suksesshme të depistimit të bazuar në popullatë për sëmundjet jo të transmetueshme, duke synuar diagnostikimin e hershëm dhe trajtimin në kohë. Investimet në kujdesin parësor shëndetësor kanë përfshirë rehabilitimin e mbi 400 qendrave shëndetësore parësore de</w:t>
      </w:r>
      <w:r w:rsidR="00F163E5">
        <w:rPr>
          <w:rFonts w:ascii="Garamond" w:hAnsi="Garamond" w:cstheme="majorBidi"/>
          <w:color w:val="0D0D0D" w:themeColor="text1" w:themeTint="F2"/>
        </w:rPr>
        <w:t xml:space="preserve">ri në vitin 2025. Për më tepër </w:t>
      </w:r>
      <w:r w:rsidRPr="00770F9D">
        <w:rPr>
          <w:rFonts w:ascii="Garamond" w:hAnsi="Garamond" w:cstheme="majorBidi"/>
          <w:color w:val="0D0D0D" w:themeColor="text1" w:themeTint="F2"/>
        </w:rPr>
        <w:t>është investuar në modernizimin e rrjetit të spitalit obstetriko-gjinekolog, duke filluar me punimet civile dhe pajisje të reja mjekësore në 6 spitale, e më pas me investime të mëdha edhe në 4 spitale pediatrike. Mbështetja për profesionistët shëndetësorë ishte dhe është ende një prioritet</w:t>
      </w:r>
      <w:r w:rsidR="00F163E5">
        <w:rPr>
          <w:rFonts w:ascii="Garamond" w:hAnsi="Garamond" w:cstheme="majorBidi"/>
          <w:color w:val="0D0D0D" w:themeColor="text1" w:themeTint="F2"/>
        </w:rPr>
        <w:t>,</w:t>
      </w:r>
      <w:r w:rsidRPr="00770F9D">
        <w:rPr>
          <w:rFonts w:ascii="Garamond" w:hAnsi="Garamond" w:cstheme="majorBidi"/>
          <w:color w:val="0D0D0D" w:themeColor="text1" w:themeTint="F2"/>
        </w:rPr>
        <w:t xml:space="preserve"> në kuadër të krijimit të kushteve më të mira të punës, edukimi i vazhdueshëm dhe trajnimet specifike kryhen nga inxhinierët biomjekësorë për manualin e përdorimit të çdo pajisjeje të re mjekësore të instaluar. </w:t>
      </w:r>
    </w:p>
    <w:p w14:paraId="5CC977E6" w14:textId="3CED451F" w:rsidR="006B6BA8" w:rsidRPr="00770F9D" w:rsidRDefault="006B6BA8"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Mbulimi Universal Shëndetësor mbetet qëllimi ynë kryesor dhe drejton punën tonë për të forcuar sistemin e integruar shëndetësor, për të forcuar gatishmërinë dhe reagimin ndaj urgjencave dhe për të përmirësuar shëndetin </w:t>
      </w:r>
      <w:r w:rsidR="003F4C96" w:rsidRPr="00770F9D">
        <w:rPr>
          <w:rFonts w:ascii="Garamond" w:hAnsi="Garamond" w:cstheme="majorBidi"/>
          <w:color w:val="0D0D0D" w:themeColor="text1" w:themeTint="F2"/>
        </w:rPr>
        <w:t>digjital</w:t>
      </w:r>
      <w:r w:rsidRPr="00770F9D">
        <w:rPr>
          <w:rFonts w:ascii="Garamond" w:hAnsi="Garamond" w:cstheme="majorBidi"/>
          <w:color w:val="0D0D0D" w:themeColor="text1" w:themeTint="F2"/>
        </w:rPr>
        <w:t>. Për të arritur këtë qëllim sfida e vazhdueshme mbetet zhvillimi i politikave të qëndrueshme shëndetësore që kanë ndikim të drejtpërdrejtë në rritjen e mbulimit shëndetësor për qytetarët, përmirësimin e shëndetit dhe mirëqenies së popullatës duke përmbushur të drejtat e tyre për shëndet të mirë. Në këtë mënyrë puna jonë është fokusuar në objektivat e mëposhtëm: përmirësimi i cilësisë së kujdesit shëndetësor</w:t>
      </w:r>
      <w:r w:rsidR="00F163E5">
        <w:rPr>
          <w:rFonts w:ascii="Garamond" w:hAnsi="Garamond" w:cstheme="majorBidi"/>
          <w:color w:val="0D0D0D" w:themeColor="text1" w:themeTint="F2"/>
        </w:rPr>
        <w:t>,</w:t>
      </w:r>
      <w:r w:rsidRPr="00770F9D">
        <w:rPr>
          <w:rFonts w:ascii="Garamond" w:hAnsi="Garamond" w:cstheme="majorBidi"/>
          <w:color w:val="0D0D0D" w:themeColor="text1" w:themeTint="F2"/>
        </w:rPr>
        <w:t xml:space="preserve"> duke siguruar akses të plotë për të gjithë qytetarët shqiptarë</w:t>
      </w:r>
      <w:r w:rsidR="00F163E5">
        <w:rPr>
          <w:rFonts w:ascii="Garamond" w:hAnsi="Garamond" w:cstheme="majorBidi"/>
          <w:color w:val="0D0D0D" w:themeColor="text1" w:themeTint="F2"/>
        </w:rPr>
        <w:t>,</w:t>
      </w:r>
      <w:r w:rsidRPr="00770F9D">
        <w:rPr>
          <w:rFonts w:ascii="Garamond" w:hAnsi="Garamond" w:cstheme="majorBidi"/>
          <w:color w:val="0D0D0D" w:themeColor="text1" w:themeTint="F2"/>
        </w:rPr>
        <w:t xml:space="preserve"> bazuar në një sistem financiar të qëndrueshëm, rritjen e numrit të viteve të jetës së shëndetshme të popullsisë shqiptare; modernizimi i infrastrukturës dhe rritja e sigurisë dhe cilësisë së kujdesit spitalor; përmirësimi i cilësisë dhe sigurisë së ilaçeve</w:t>
      </w:r>
      <w:r w:rsidR="00F163E5">
        <w:rPr>
          <w:rFonts w:ascii="Garamond" w:hAnsi="Garamond" w:cstheme="majorBidi"/>
          <w:color w:val="0D0D0D" w:themeColor="text1" w:themeTint="F2"/>
        </w:rPr>
        <w:t>,</w:t>
      </w:r>
      <w:r w:rsidRPr="00770F9D">
        <w:rPr>
          <w:rFonts w:ascii="Garamond" w:hAnsi="Garamond" w:cstheme="majorBidi"/>
          <w:color w:val="0D0D0D" w:themeColor="text1" w:themeTint="F2"/>
        </w:rPr>
        <w:t xml:space="preserve"> në përputhje me standardet e BE-së; zhvillimi, integrimi dhe koordinimi më i mirë i qasjes ndaj kujdesit shëndetësor dhe rritja e transparencës dhe llogaridhënies dhe rivendosja e besimit të publikut në sistemin e kujdesit shëndetësor.</w:t>
      </w:r>
    </w:p>
    <w:p w14:paraId="38099EAE" w14:textId="77777777" w:rsidR="006B6BA8" w:rsidRPr="00770F9D" w:rsidRDefault="006B6BA8"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Ka pasur një rritje progresive të buxhetit të dedikuar për shëndetësinë. Në vitin 2022 buxheti i dedikuar për shëndetësinë ishte 62.6 miliardë lekë (përfshirë kontributet shëndetësore në vlerën 15.7 miliardë lekë për vitin 2022) ose 9.4% e buxhetit të shtetit dhe 3.3% e PBB-së. Shpenzimet për shëndetësi për frymë janë rritur nga 12,295 lekë në vitin 2013 në 28,146 në vitin 2022 me një efekt të dyfishtë në më pak se 9 (nëntë) vjet</w:t>
      </w:r>
    </w:p>
    <w:p w14:paraId="641947CF" w14:textId="758191E5" w:rsidR="006B6BA8" w:rsidRPr="00770F9D" w:rsidRDefault="006B6BA8"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Buxheti i parashikuar për shëndetësinë në kuadër të Programit Buxhetor Afatmesëm është</w:t>
      </w:r>
      <w:r w:rsidR="00F163E5">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më poshtë:</w:t>
      </w:r>
    </w:p>
    <w:p w14:paraId="3D5BAF7F" w14:textId="77777777" w:rsidR="006B6BA8" w:rsidRPr="00770F9D" w:rsidRDefault="006B6BA8" w:rsidP="00400806">
      <w:pPr>
        <w:ind w:firstLine="284"/>
        <w:jc w:val="both"/>
        <w:rPr>
          <w:rFonts w:ascii="Garamond" w:hAnsi="Garamond" w:cstheme="majorBidi"/>
          <w:color w:val="0D0D0D" w:themeColor="text1" w:themeTint="F2"/>
        </w:rPr>
      </w:pPr>
    </w:p>
    <w:tbl>
      <w:tblPr>
        <w:tblW w:w="5000" w:type="pct"/>
        <w:jc w:val="center"/>
        <w:tblLook w:val="04A0" w:firstRow="1" w:lastRow="0" w:firstColumn="1" w:lastColumn="0" w:noHBand="0" w:noVBand="1"/>
      </w:tblPr>
      <w:tblGrid>
        <w:gridCol w:w="1477"/>
        <w:gridCol w:w="1254"/>
        <w:gridCol w:w="1409"/>
        <w:gridCol w:w="1285"/>
        <w:gridCol w:w="1218"/>
        <w:gridCol w:w="1325"/>
        <w:gridCol w:w="1319"/>
      </w:tblGrid>
      <w:tr w:rsidR="00F26BAE" w:rsidRPr="00770F9D" w14:paraId="17C61CB5" w14:textId="77777777" w:rsidTr="00F163E5">
        <w:trPr>
          <w:trHeight w:val="20"/>
          <w:jc w:val="center"/>
        </w:trPr>
        <w:tc>
          <w:tcPr>
            <w:tcW w:w="800"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5775EC1" w14:textId="0862299B" w:rsidR="00F26BAE" w:rsidRPr="00770F9D" w:rsidRDefault="00F26BAE" w:rsidP="005E279E">
            <w:pPr>
              <w:jc w:val="center"/>
              <w:rPr>
                <w:rFonts w:ascii="Garamond" w:eastAsia="Times New Roman" w:hAnsi="Garamond" w:cstheme="majorBidi"/>
                <w:color w:val="000000"/>
                <w:sz w:val="20"/>
                <w:szCs w:val="20"/>
              </w:rPr>
            </w:pP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7AD194" w14:textId="011A7201" w:rsidR="00F26BAE" w:rsidRPr="00770F9D" w:rsidRDefault="00F26BAE" w:rsidP="005E279E">
            <w:pPr>
              <w:jc w:val="center"/>
              <w:rPr>
                <w:rFonts w:ascii="Garamond" w:eastAsia="Times New Roman" w:hAnsi="Garamond" w:cstheme="majorBidi"/>
                <w:b/>
                <w:bCs/>
                <w:color w:val="000000"/>
                <w:sz w:val="20"/>
                <w:szCs w:val="20"/>
              </w:rPr>
            </w:pPr>
            <w:r w:rsidRPr="00770F9D">
              <w:rPr>
                <w:rFonts w:ascii="Garamond" w:eastAsia="Times New Roman" w:hAnsi="Garamond" w:cstheme="majorBidi"/>
                <w:b/>
                <w:bCs/>
                <w:color w:val="000000"/>
                <w:sz w:val="20"/>
                <w:szCs w:val="20"/>
              </w:rPr>
              <w:t>Planifikim</w:t>
            </w:r>
            <w:r w:rsidR="00885FFE">
              <w:rPr>
                <w:rFonts w:ascii="Garamond" w:eastAsia="Times New Roman" w:hAnsi="Garamond" w:cstheme="majorBidi"/>
                <w:b/>
                <w:bCs/>
                <w:color w:val="000000"/>
                <w:sz w:val="20"/>
                <w:szCs w:val="20"/>
              </w:rPr>
              <w:t>,</w:t>
            </w:r>
            <w:r w:rsidRPr="00770F9D">
              <w:rPr>
                <w:rFonts w:ascii="Garamond" w:eastAsia="Times New Roman" w:hAnsi="Garamond" w:cstheme="majorBidi"/>
                <w:b/>
                <w:bCs/>
                <w:color w:val="000000"/>
                <w:sz w:val="20"/>
                <w:szCs w:val="20"/>
              </w:rPr>
              <w:t xml:space="preserve"> </w:t>
            </w:r>
            <w:r w:rsidR="00885FFE" w:rsidRPr="00770F9D">
              <w:rPr>
                <w:rFonts w:ascii="Garamond" w:eastAsia="Times New Roman" w:hAnsi="Garamond" w:cstheme="majorBidi"/>
                <w:b/>
                <w:bCs/>
                <w:color w:val="000000"/>
                <w:sz w:val="20"/>
                <w:szCs w:val="20"/>
              </w:rPr>
              <w:t>menaxhim</w:t>
            </w:r>
            <w:r w:rsidR="00885FFE">
              <w:rPr>
                <w:rFonts w:ascii="Garamond" w:eastAsia="Times New Roman" w:hAnsi="Garamond" w:cstheme="majorBidi"/>
                <w:b/>
                <w:bCs/>
                <w:color w:val="000000"/>
                <w:sz w:val="20"/>
                <w:szCs w:val="20"/>
              </w:rPr>
              <w:t>,</w:t>
            </w:r>
            <w:r w:rsidR="00885FFE" w:rsidRPr="00770F9D">
              <w:rPr>
                <w:rFonts w:ascii="Garamond" w:eastAsia="Times New Roman" w:hAnsi="Garamond" w:cstheme="majorBidi"/>
                <w:b/>
                <w:bCs/>
                <w:color w:val="000000"/>
                <w:sz w:val="20"/>
                <w:szCs w:val="20"/>
              </w:rPr>
              <w:t xml:space="preserve"> administrim</w:t>
            </w:r>
          </w:p>
        </w:tc>
        <w:tc>
          <w:tcPr>
            <w:tcW w:w="763" w:type="pct"/>
            <w:tcBorders>
              <w:top w:val="single" w:sz="4" w:space="0" w:color="auto"/>
              <w:left w:val="nil"/>
              <w:bottom w:val="single" w:sz="4" w:space="0" w:color="auto"/>
              <w:right w:val="single" w:sz="4" w:space="0" w:color="auto"/>
            </w:tcBorders>
            <w:shd w:val="clear" w:color="auto" w:fill="auto"/>
            <w:vAlign w:val="center"/>
            <w:hideMark/>
          </w:tcPr>
          <w:p w14:paraId="35C6EED6" w14:textId="6C787D22" w:rsidR="00F26BAE" w:rsidRPr="00770F9D" w:rsidRDefault="00F26BAE" w:rsidP="005E279E">
            <w:pPr>
              <w:jc w:val="center"/>
              <w:rPr>
                <w:rFonts w:ascii="Garamond" w:eastAsia="Times New Roman" w:hAnsi="Garamond" w:cstheme="majorBidi"/>
                <w:b/>
                <w:bCs/>
                <w:color w:val="000000"/>
                <w:sz w:val="20"/>
                <w:szCs w:val="20"/>
              </w:rPr>
            </w:pPr>
            <w:r w:rsidRPr="00770F9D">
              <w:rPr>
                <w:rFonts w:ascii="Garamond" w:eastAsia="Times New Roman" w:hAnsi="Garamond" w:cstheme="majorBidi"/>
                <w:b/>
                <w:bCs/>
                <w:color w:val="000000"/>
                <w:sz w:val="20"/>
                <w:szCs w:val="20"/>
              </w:rPr>
              <w:t xml:space="preserve">Shërbime të </w:t>
            </w:r>
            <w:r w:rsidR="00885FFE" w:rsidRPr="00770F9D">
              <w:rPr>
                <w:rFonts w:ascii="Garamond" w:eastAsia="Times New Roman" w:hAnsi="Garamond" w:cstheme="majorBidi"/>
                <w:b/>
                <w:bCs/>
                <w:color w:val="000000"/>
                <w:sz w:val="20"/>
                <w:szCs w:val="20"/>
              </w:rPr>
              <w:t>kujdesit shëndetësor parësor</w:t>
            </w:r>
          </w:p>
        </w:tc>
        <w:tc>
          <w:tcPr>
            <w:tcW w:w="689" w:type="pct"/>
            <w:tcBorders>
              <w:top w:val="single" w:sz="4" w:space="0" w:color="auto"/>
              <w:left w:val="nil"/>
              <w:bottom w:val="single" w:sz="4" w:space="0" w:color="auto"/>
              <w:right w:val="single" w:sz="4" w:space="0" w:color="auto"/>
            </w:tcBorders>
            <w:shd w:val="clear" w:color="auto" w:fill="auto"/>
            <w:vAlign w:val="center"/>
            <w:hideMark/>
          </w:tcPr>
          <w:p w14:paraId="2BC559F1" w14:textId="4D3810DB" w:rsidR="00F26BAE" w:rsidRPr="00770F9D" w:rsidRDefault="00F26BAE" w:rsidP="00885FFE">
            <w:pPr>
              <w:jc w:val="center"/>
              <w:rPr>
                <w:rFonts w:ascii="Garamond" w:eastAsia="Times New Roman" w:hAnsi="Garamond" w:cstheme="majorBidi"/>
                <w:b/>
                <w:bCs/>
                <w:color w:val="000000"/>
                <w:sz w:val="20"/>
                <w:szCs w:val="20"/>
              </w:rPr>
            </w:pPr>
            <w:r w:rsidRPr="00770F9D">
              <w:rPr>
                <w:rFonts w:ascii="Garamond" w:eastAsia="Times New Roman" w:hAnsi="Garamond" w:cstheme="majorBidi"/>
                <w:b/>
                <w:bCs/>
                <w:color w:val="000000"/>
                <w:sz w:val="20"/>
                <w:szCs w:val="20"/>
              </w:rPr>
              <w:t xml:space="preserve">Shërbime të </w:t>
            </w:r>
            <w:r w:rsidR="00885FFE" w:rsidRPr="00770F9D">
              <w:rPr>
                <w:rFonts w:ascii="Garamond" w:eastAsia="Times New Roman" w:hAnsi="Garamond" w:cstheme="majorBidi"/>
                <w:b/>
                <w:bCs/>
                <w:color w:val="000000"/>
                <w:sz w:val="20"/>
                <w:szCs w:val="20"/>
              </w:rPr>
              <w:t xml:space="preserve">kujdesit shëndetësor dytësor </w:t>
            </w:r>
            <w:r w:rsidR="00885FFE">
              <w:rPr>
                <w:rFonts w:ascii="Garamond" w:eastAsia="Times New Roman" w:hAnsi="Garamond" w:cstheme="majorBidi"/>
                <w:b/>
                <w:bCs/>
                <w:color w:val="000000"/>
                <w:sz w:val="20"/>
                <w:szCs w:val="20"/>
              </w:rPr>
              <w:t>dhe</w:t>
            </w:r>
            <w:r w:rsidRPr="00770F9D">
              <w:rPr>
                <w:rFonts w:ascii="Garamond" w:eastAsia="Times New Roman" w:hAnsi="Garamond" w:cstheme="majorBidi"/>
                <w:b/>
                <w:bCs/>
                <w:color w:val="000000"/>
                <w:sz w:val="20"/>
                <w:szCs w:val="20"/>
              </w:rPr>
              <w:t xml:space="preserve"> Sh</w:t>
            </w:r>
            <w:r w:rsidR="00885FFE">
              <w:rPr>
                <w:rFonts w:ascii="Garamond" w:eastAsia="Times New Roman" w:hAnsi="Garamond" w:cstheme="majorBidi"/>
                <w:b/>
                <w:bCs/>
                <w:color w:val="000000"/>
                <w:sz w:val="20"/>
                <w:szCs w:val="20"/>
              </w:rPr>
              <w:t>ë</w:t>
            </w:r>
            <w:r w:rsidRPr="00770F9D">
              <w:rPr>
                <w:rFonts w:ascii="Garamond" w:eastAsia="Times New Roman" w:hAnsi="Garamond" w:cstheme="majorBidi"/>
                <w:b/>
                <w:bCs/>
                <w:color w:val="000000"/>
                <w:sz w:val="20"/>
                <w:szCs w:val="20"/>
              </w:rPr>
              <w:t>rbimi Komb</w:t>
            </w:r>
            <w:r w:rsidR="00885FFE">
              <w:rPr>
                <w:rFonts w:ascii="Garamond" w:eastAsia="Times New Roman" w:hAnsi="Garamond" w:cstheme="majorBidi"/>
                <w:b/>
                <w:bCs/>
                <w:color w:val="000000"/>
                <w:sz w:val="20"/>
                <w:szCs w:val="20"/>
              </w:rPr>
              <w:t>ë</w:t>
            </w:r>
            <w:r w:rsidRPr="00770F9D">
              <w:rPr>
                <w:rFonts w:ascii="Garamond" w:eastAsia="Times New Roman" w:hAnsi="Garamond" w:cstheme="majorBidi"/>
                <w:b/>
                <w:bCs/>
                <w:color w:val="000000"/>
                <w:sz w:val="20"/>
                <w:szCs w:val="20"/>
              </w:rPr>
              <w:t>tar i Urgjenc</w:t>
            </w:r>
            <w:r w:rsidR="00885FFE">
              <w:rPr>
                <w:rFonts w:ascii="Garamond" w:eastAsia="Times New Roman" w:hAnsi="Garamond" w:cstheme="majorBidi"/>
                <w:b/>
                <w:bCs/>
                <w:color w:val="000000"/>
                <w:sz w:val="20"/>
                <w:szCs w:val="20"/>
              </w:rPr>
              <w:t>ë</w:t>
            </w:r>
            <w:r w:rsidRPr="00770F9D">
              <w:rPr>
                <w:rFonts w:ascii="Garamond" w:eastAsia="Times New Roman" w:hAnsi="Garamond" w:cstheme="majorBidi"/>
                <w:b/>
                <w:bCs/>
                <w:color w:val="000000"/>
                <w:sz w:val="20"/>
                <w:szCs w:val="20"/>
              </w:rPr>
              <w:t>s</w:t>
            </w:r>
          </w:p>
        </w:tc>
        <w:tc>
          <w:tcPr>
            <w:tcW w:w="660" w:type="pct"/>
            <w:tcBorders>
              <w:top w:val="single" w:sz="4" w:space="0" w:color="auto"/>
              <w:left w:val="nil"/>
              <w:bottom w:val="single" w:sz="4" w:space="0" w:color="auto"/>
              <w:right w:val="single" w:sz="4" w:space="0" w:color="auto"/>
            </w:tcBorders>
            <w:shd w:val="clear" w:color="auto" w:fill="auto"/>
            <w:vAlign w:val="center"/>
            <w:hideMark/>
          </w:tcPr>
          <w:p w14:paraId="4D182FFE" w14:textId="6F7EDC74" w:rsidR="00F26BAE" w:rsidRPr="00770F9D" w:rsidRDefault="00F26BAE" w:rsidP="005E279E">
            <w:pPr>
              <w:jc w:val="center"/>
              <w:rPr>
                <w:rFonts w:ascii="Garamond" w:eastAsia="Times New Roman" w:hAnsi="Garamond" w:cstheme="majorBidi"/>
                <w:b/>
                <w:bCs/>
                <w:color w:val="000000"/>
                <w:sz w:val="20"/>
                <w:szCs w:val="20"/>
              </w:rPr>
            </w:pPr>
            <w:r w:rsidRPr="00770F9D">
              <w:rPr>
                <w:rFonts w:ascii="Garamond" w:eastAsia="Times New Roman" w:hAnsi="Garamond" w:cstheme="majorBidi"/>
                <w:b/>
                <w:bCs/>
                <w:color w:val="000000"/>
                <w:sz w:val="20"/>
                <w:szCs w:val="20"/>
              </w:rPr>
              <w:t xml:space="preserve">Shërbime të </w:t>
            </w:r>
            <w:r w:rsidR="00885FFE" w:rsidRPr="00770F9D">
              <w:rPr>
                <w:rFonts w:ascii="Garamond" w:eastAsia="Times New Roman" w:hAnsi="Garamond" w:cstheme="majorBidi"/>
                <w:b/>
                <w:bCs/>
                <w:color w:val="000000"/>
                <w:sz w:val="20"/>
                <w:szCs w:val="20"/>
              </w:rPr>
              <w:t>shëndetit publik</w:t>
            </w:r>
          </w:p>
        </w:tc>
        <w:tc>
          <w:tcPr>
            <w:tcW w:w="714" w:type="pct"/>
            <w:tcBorders>
              <w:top w:val="single" w:sz="4" w:space="0" w:color="auto"/>
              <w:left w:val="nil"/>
              <w:bottom w:val="single" w:sz="4" w:space="0" w:color="auto"/>
              <w:right w:val="single" w:sz="4" w:space="0" w:color="auto"/>
            </w:tcBorders>
            <w:shd w:val="clear" w:color="auto" w:fill="auto"/>
            <w:vAlign w:val="center"/>
            <w:hideMark/>
          </w:tcPr>
          <w:p w14:paraId="33F5FB04" w14:textId="7B6BAD10" w:rsidR="00F26BAE" w:rsidRPr="00770F9D" w:rsidRDefault="00F26BAE" w:rsidP="00885FFE">
            <w:pPr>
              <w:jc w:val="center"/>
              <w:rPr>
                <w:rFonts w:ascii="Garamond" w:eastAsia="Times New Roman" w:hAnsi="Garamond" w:cstheme="majorBidi"/>
                <w:b/>
                <w:bCs/>
                <w:color w:val="000000"/>
                <w:sz w:val="20"/>
                <w:szCs w:val="20"/>
              </w:rPr>
            </w:pPr>
            <w:r w:rsidRPr="00770F9D">
              <w:rPr>
                <w:rFonts w:ascii="Garamond" w:eastAsia="Times New Roman" w:hAnsi="Garamond" w:cstheme="majorBidi"/>
                <w:b/>
                <w:bCs/>
                <w:color w:val="000000"/>
                <w:sz w:val="20"/>
                <w:szCs w:val="20"/>
              </w:rPr>
              <w:t>Kontributet sh</w:t>
            </w:r>
            <w:r w:rsidR="00885FFE">
              <w:rPr>
                <w:rFonts w:ascii="Garamond" w:eastAsia="Times New Roman" w:hAnsi="Garamond" w:cstheme="majorBidi"/>
                <w:b/>
                <w:bCs/>
                <w:color w:val="000000"/>
                <w:sz w:val="20"/>
                <w:szCs w:val="20"/>
              </w:rPr>
              <w:t>ë</w:t>
            </w:r>
            <w:r w:rsidRPr="00770F9D">
              <w:rPr>
                <w:rFonts w:ascii="Garamond" w:eastAsia="Times New Roman" w:hAnsi="Garamond" w:cstheme="majorBidi"/>
                <w:b/>
                <w:bCs/>
                <w:color w:val="000000"/>
                <w:sz w:val="20"/>
                <w:szCs w:val="20"/>
              </w:rPr>
              <w:t>ndet</w:t>
            </w:r>
            <w:r w:rsidR="00885FFE">
              <w:rPr>
                <w:rFonts w:ascii="Garamond" w:eastAsia="Times New Roman" w:hAnsi="Garamond" w:cstheme="majorBidi"/>
                <w:b/>
                <w:bCs/>
                <w:color w:val="000000"/>
                <w:sz w:val="20"/>
                <w:szCs w:val="20"/>
              </w:rPr>
              <w:t>ë</w:t>
            </w:r>
            <w:r w:rsidRPr="00770F9D">
              <w:rPr>
                <w:rFonts w:ascii="Garamond" w:eastAsia="Times New Roman" w:hAnsi="Garamond" w:cstheme="majorBidi"/>
                <w:b/>
                <w:bCs/>
                <w:color w:val="000000"/>
                <w:sz w:val="20"/>
                <w:szCs w:val="20"/>
              </w:rPr>
              <w:t>sore</w:t>
            </w:r>
          </w:p>
        </w:tc>
        <w:tc>
          <w:tcPr>
            <w:tcW w:w="714" w:type="pct"/>
            <w:tcBorders>
              <w:top w:val="single" w:sz="4" w:space="0" w:color="auto"/>
              <w:left w:val="nil"/>
              <w:bottom w:val="single" w:sz="4" w:space="0" w:color="auto"/>
              <w:right w:val="single" w:sz="4" w:space="0" w:color="auto"/>
            </w:tcBorders>
            <w:shd w:val="clear" w:color="auto" w:fill="auto"/>
            <w:vAlign w:val="center"/>
            <w:hideMark/>
          </w:tcPr>
          <w:p w14:paraId="7EAB96D3" w14:textId="63E0D218" w:rsidR="00F26BAE" w:rsidRPr="00770F9D" w:rsidRDefault="00F26BAE" w:rsidP="00885FFE">
            <w:pPr>
              <w:jc w:val="center"/>
              <w:rPr>
                <w:rFonts w:ascii="Garamond" w:eastAsia="Times New Roman" w:hAnsi="Garamond" w:cstheme="majorBidi"/>
                <w:b/>
                <w:bCs/>
                <w:color w:val="000000"/>
                <w:sz w:val="20"/>
                <w:szCs w:val="20"/>
              </w:rPr>
            </w:pPr>
            <w:r w:rsidRPr="00770F9D">
              <w:rPr>
                <w:rFonts w:ascii="Garamond" w:eastAsia="Times New Roman" w:hAnsi="Garamond" w:cstheme="majorBidi"/>
                <w:b/>
                <w:bCs/>
                <w:color w:val="000000"/>
                <w:sz w:val="20"/>
                <w:szCs w:val="20"/>
              </w:rPr>
              <w:t>Buxheti total p</w:t>
            </w:r>
            <w:r w:rsidR="00885FFE">
              <w:rPr>
                <w:rFonts w:ascii="Garamond" w:eastAsia="Times New Roman" w:hAnsi="Garamond" w:cstheme="majorBidi"/>
                <w:b/>
                <w:bCs/>
                <w:color w:val="000000"/>
                <w:sz w:val="20"/>
                <w:szCs w:val="20"/>
              </w:rPr>
              <w:t>ë</w:t>
            </w:r>
            <w:r w:rsidRPr="00770F9D">
              <w:rPr>
                <w:rFonts w:ascii="Garamond" w:eastAsia="Times New Roman" w:hAnsi="Garamond" w:cstheme="majorBidi"/>
                <w:b/>
                <w:bCs/>
                <w:color w:val="000000"/>
                <w:sz w:val="20"/>
                <w:szCs w:val="20"/>
              </w:rPr>
              <w:t xml:space="preserve">r </w:t>
            </w:r>
            <w:r w:rsidR="00885FFE">
              <w:rPr>
                <w:rFonts w:ascii="Garamond" w:eastAsia="Times New Roman" w:hAnsi="Garamond" w:cstheme="majorBidi"/>
                <w:b/>
                <w:bCs/>
                <w:color w:val="000000"/>
                <w:sz w:val="20"/>
                <w:szCs w:val="20"/>
              </w:rPr>
              <w:t>shëndetë</w:t>
            </w:r>
            <w:r w:rsidRPr="00770F9D">
              <w:rPr>
                <w:rFonts w:ascii="Garamond" w:eastAsia="Times New Roman" w:hAnsi="Garamond" w:cstheme="majorBidi"/>
                <w:b/>
                <w:bCs/>
                <w:color w:val="000000"/>
                <w:sz w:val="20"/>
                <w:szCs w:val="20"/>
              </w:rPr>
              <w:t>sin</w:t>
            </w:r>
            <w:r w:rsidR="00885FFE">
              <w:rPr>
                <w:rFonts w:ascii="Garamond" w:eastAsia="Times New Roman" w:hAnsi="Garamond" w:cstheme="majorBidi"/>
                <w:b/>
                <w:bCs/>
                <w:color w:val="000000"/>
                <w:sz w:val="20"/>
                <w:szCs w:val="20"/>
              </w:rPr>
              <w:t>ë</w:t>
            </w:r>
          </w:p>
        </w:tc>
      </w:tr>
      <w:tr w:rsidR="00F26BAE" w:rsidRPr="00770F9D" w14:paraId="3174937C" w14:textId="77777777" w:rsidTr="00F163E5">
        <w:trPr>
          <w:trHeight w:val="20"/>
          <w:jc w:val="center"/>
        </w:trPr>
        <w:tc>
          <w:tcPr>
            <w:tcW w:w="800" w:type="pct"/>
            <w:tcBorders>
              <w:top w:val="nil"/>
              <w:left w:val="single" w:sz="8" w:space="0" w:color="auto"/>
              <w:bottom w:val="single" w:sz="8" w:space="0" w:color="auto"/>
              <w:right w:val="single" w:sz="8" w:space="0" w:color="auto"/>
            </w:tcBorders>
            <w:shd w:val="clear" w:color="auto" w:fill="auto"/>
            <w:noWrap/>
            <w:vAlign w:val="center"/>
            <w:hideMark/>
          </w:tcPr>
          <w:p w14:paraId="26480F91" w14:textId="69047F6E" w:rsidR="00F26BAE" w:rsidRPr="00770F9D" w:rsidRDefault="005654DD" w:rsidP="005E279E">
            <w:pPr>
              <w:jc w:val="center"/>
              <w:rPr>
                <w:rFonts w:ascii="Garamond" w:eastAsia="Times New Roman" w:hAnsi="Garamond" w:cstheme="majorBidi"/>
                <w:color w:val="000000"/>
                <w:sz w:val="20"/>
                <w:szCs w:val="20"/>
              </w:rPr>
            </w:pPr>
            <w:r w:rsidRPr="00770F9D">
              <w:rPr>
                <w:rFonts w:ascii="Garamond" w:eastAsia="Times New Roman" w:hAnsi="Garamond" w:cstheme="majorBidi"/>
                <w:color w:val="000000"/>
                <w:sz w:val="20"/>
                <w:szCs w:val="20"/>
              </w:rPr>
              <w:t>Buxh</w:t>
            </w:r>
            <w:r w:rsidR="00F26BAE" w:rsidRPr="00770F9D">
              <w:rPr>
                <w:rFonts w:ascii="Garamond" w:eastAsia="Times New Roman" w:hAnsi="Garamond" w:cstheme="majorBidi"/>
                <w:color w:val="000000"/>
                <w:sz w:val="20"/>
                <w:szCs w:val="20"/>
              </w:rPr>
              <w:t>et</w:t>
            </w:r>
            <w:r w:rsidRPr="00770F9D">
              <w:rPr>
                <w:rFonts w:ascii="Garamond" w:eastAsia="Times New Roman" w:hAnsi="Garamond" w:cstheme="majorBidi"/>
                <w:color w:val="000000"/>
                <w:sz w:val="20"/>
                <w:szCs w:val="20"/>
              </w:rPr>
              <w:t>i</w:t>
            </w:r>
            <w:r w:rsidR="00F26BAE" w:rsidRPr="00770F9D">
              <w:rPr>
                <w:rFonts w:ascii="Garamond" w:eastAsia="Times New Roman" w:hAnsi="Garamond" w:cstheme="majorBidi"/>
                <w:color w:val="000000"/>
                <w:sz w:val="20"/>
                <w:szCs w:val="20"/>
              </w:rPr>
              <w:t xml:space="preserve"> 2022</w:t>
            </w:r>
          </w:p>
        </w:tc>
        <w:tc>
          <w:tcPr>
            <w:tcW w:w="660" w:type="pct"/>
            <w:tcBorders>
              <w:top w:val="nil"/>
              <w:left w:val="single" w:sz="4" w:space="0" w:color="auto"/>
              <w:bottom w:val="single" w:sz="4" w:space="0" w:color="auto"/>
              <w:right w:val="single" w:sz="4" w:space="0" w:color="auto"/>
            </w:tcBorders>
            <w:shd w:val="clear" w:color="auto" w:fill="auto"/>
            <w:noWrap/>
            <w:vAlign w:val="center"/>
            <w:hideMark/>
          </w:tcPr>
          <w:p w14:paraId="3589EFEA" w14:textId="77777777" w:rsidR="00F26BAE" w:rsidRPr="00770F9D" w:rsidRDefault="00F26BAE" w:rsidP="00F163E5">
            <w:pPr>
              <w:jc w:val="right"/>
              <w:rPr>
                <w:rFonts w:ascii="Garamond" w:eastAsia="Times New Roman" w:hAnsi="Garamond" w:cstheme="majorBidi"/>
                <w:color w:val="000000"/>
                <w:sz w:val="20"/>
                <w:szCs w:val="20"/>
              </w:rPr>
            </w:pPr>
            <w:r w:rsidRPr="00770F9D">
              <w:rPr>
                <w:rFonts w:ascii="Garamond" w:eastAsia="Times New Roman" w:hAnsi="Garamond" w:cstheme="majorBidi"/>
                <w:color w:val="000000"/>
                <w:sz w:val="20"/>
                <w:szCs w:val="20"/>
              </w:rPr>
              <w:t>452,668</w:t>
            </w:r>
          </w:p>
        </w:tc>
        <w:tc>
          <w:tcPr>
            <w:tcW w:w="763" w:type="pct"/>
            <w:tcBorders>
              <w:top w:val="nil"/>
              <w:left w:val="nil"/>
              <w:bottom w:val="single" w:sz="4" w:space="0" w:color="auto"/>
              <w:right w:val="single" w:sz="4" w:space="0" w:color="auto"/>
            </w:tcBorders>
            <w:shd w:val="clear" w:color="auto" w:fill="auto"/>
            <w:noWrap/>
            <w:vAlign w:val="center"/>
            <w:hideMark/>
          </w:tcPr>
          <w:p w14:paraId="07C5AD5E" w14:textId="77777777" w:rsidR="00F26BAE" w:rsidRPr="00770F9D" w:rsidRDefault="00F26BAE" w:rsidP="00F163E5">
            <w:pPr>
              <w:jc w:val="right"/>
              <w:rPr>
                <w:rFonts w:ascii="Garamond" w:eastAsia="Times New Roman" w:hAnsi="Garamond" w:cstheme="majorBidi"/>
                <w:color w:val="000000"/>
                <w:sz w:val="20"/>
                <w:szCs w:val="20"/>
              </w:rPr>
            </w:pPr>
            <w:r w:rsidRPr="00770F9D">
              <w:rPr>
                <w:rFonts w:ascii="Garamond" w:eastAsia="Times New Roman" w:hAnsi="Garamond" w:cstheme="majorBidi"/>
                <w:color w:val="000000"/>
                <w:sz w:val="20"/>
                <w:szCs w:val="20"/>
              </w:rPr>
              <w:t>7,526,671</w:t>
            </w:r>
          </w:p>
        </w:tc>
        <w:tc>
          <w:tcPr>
            <w:tcW w:w="689" w:type="pct"/>
            <w:tcBorders>
              <w:top w:val="nil"/>
              <w:left w:val="nil"/>
              <w:bottom w:val="single" w:sz="4" w:space="0" w:color="auto"/>
              <w:right w:val="single" w:sz="4" w:space="0" w:color="auto"/>
            </w:tcBorders>
            <w:shd w:val="clear" w:color="auto" w:fill="auto"/>
            <w:noWrap/>
            <w:vAlign w:val="center"/>
            <w:hideMark/>
          </w:tcPr>
          <w:p w14:paraId="45989BF5" w14:textId="77777777" w:rsidR="00F26BAE" w:rsidRPr="00770F9D" w:rsidRDefault="00F26BAE" w:rsidP="00F163E5">
            <w:pPr>
              <w:jc w:val="right"/>
              <w:rPr>
                <w:rFonts w:ascii="Garamond" w:eastAsia="Times New Roman" w:hAnsi="Garamond" w:cstheme="majorBidi"/>
                <w:color w:val="000000"/>
                <w:sz w:val="20"/>
                <w:szCs w:val="20"/>
              </w:rPr>
            </w:pPr>
            <w:r w:rsidRPr="00770F9D">
              <w:rPr>
                <w:rFonts w:ascii="Garamond" w:eastAsia="Times New Roman" w:hAnsi="Garamond" w:cstheme="majorBidi"/>
                <w:color w:val="000000"/>
                <w:sz w:val="20"/>
                <w:szCs w:val="20"/>
              </w:rPr>
              <w:t>33,895,696</w:t>
            </w:r>
          </w:p>
        </w:tc>
        <w:tc>
          <w:tcPr>
            <w:tcW w:w="660" w:type="pct"/>
            <w:tcBorders>
              <w:top w:val="nil"/>
              <w:left w:val="nil"/>
              <w:bottom w:val="single" w:sz="8" w:space="0" w:color="auto"/>
              <w:right w:val="single" w:sz="8" w:space="0" w:color="auto"/>
            </w:tcBorders>
            <w:shd w:val="clear" w:color="auto" w:fill="auto"/>
            <w:noWrap/>
            <w:vAlign w:val="center"/>
            <w:hideMark/>
          </w:tcPr>
          <w:p w14:paraId="0AA3D14F" w14:textId="77777777" w:rsidR="00F26BAE" w:rsidRPr="00770F9D" w:rsidRDefault="00F26BAE" w:rsidP="00F163E5">
            <w:pPr>
              <w:jc w:val="right"/>
              <w:rPr>
                <w:rFonts w:ascii="Garamond" w:eastAsia="Times New Roman" w:hAnsi="Garamond" w:cstheme="majorBidi"/>
                <w:color w:val="000000"/>
                <w:sz w:val="20"/>
                <w:szCs w:val="20"/>
              </w:rPr>
            </w:pPr>
            <w:r w:rsidRPr="00770F9D">
              <w:rPr>
                <w:rFonts w:ascii="Garamond" w:eastAsia="Times New Roman" w:hAnsi="Garamond" w:cstheme="majorBidi"/>
                <w:color w:val="000000"/>
                <w:sz w:val="20"/>
                <w:szCs w:val="20"/>
              </w:rPr>
              <w:t>4,954,714.00</w:t>
            </w:r>
          </w:p>
        </w:tc>
        <w:tc>
          <w:tcPr>
            <w:tcW w:w="714" w:type="pct"/>
            <w:tcBorders>
              <w:top w:val="nil"/>
              <w:left w:val="nil"/>
              <w:bottom w:val="single" w:sz="8" w:space="0" w:color="auto"/>
              <w:right w:val="single" w:sz="8" w:space="0" w:color="auto"/>
            </w:tcBorders>
            <w:shd w:val="clear" w:color="auto" w:fill="auto"/>
            <w:noWrap/>
            <w:vAlign w:val="center"/>
            <w:hideMark/>
          </w:tcPr>
          <w:p w14:paraId="49A18C3B" w14:textId="77777777" w:rsidR="00F26BAE" w:rsidRPr="00770F9D" w:rsidRDefault="00F26BAE" w:rsidP="00F163E5">
            <w:pPr>
              <w:jc w:val="right"/>
              <w:rPr>
                <w:rFonts w:ascii="Garamond" w:eastAsia="Times New Roman" w:hAnsi="Garamond" w:cstheme="majorBidi"/>
                <w:color w:val="000000"/>
                <w:sz w:val="20"/>
                <w:szCs w:val="20"/>
              </w:rPr>
            </w:pPr>
            <w:r w:rsidRPr="00770F9D">
              <w:rPr>
                <w:rFonts w:ascii="Garamond" w:eastAsia="Times New Roman" w:hAnsi="Garamond" w:cstheme="majorBidi"/>
                <w:color w:val="000000"/>
                <w:sz w:val="20"/>
                <w:szCs w:val="20"/>
              </w:rPr>
              <w:t>15,760,000.00</w:t>
            </w:r>
          </w:p>
        </w:tc>
        <w:tc>
          <w:tcPr>
            <w:tcW w:w="714" w:type="pct"/>
            <w:tcBorders>
              <w:top w:val="nil"/>
              <w:left w:val="nil"/>
              <w:bottom w:val="single" w:sz="8" w:space="0" w:color="auto"/>
              <w:right w:val="single" w:sz="8" w:space="0" w:color="auto"/>
            </w:tcBorders>
            <w:shd w:val="clear" w:color="auto" w:fill="auto"/>
            <w:noWrap/>
            <w:vAlign w:val="center"/>
            <w:hideMark/>
          </w:tcPr>
          <w:p w14:paraId="558D86AE" w14:textId="77777777" w:rsidR="00F26BAE" w:rsidRPr="00770F9D" w:rsidRDefault="00F26BAE" w:rsidP="00F163E5">
            <w:pPr>
              <w:jc w:val="right"/>
              <w:rPr>
                <w:rFonts w:ascii="Garamond" w:eastAsia="Times New Roman" w:hAnsi="Garamond" w:cstheme="majorBidi"/>
                <w:color w:val="000000"/>
                <w:sz w:val="20"/>
                <w:szCs w:val="20"/>
              </w:rPr>
            </w:pPr>
            <w:r w:rsidRPr="00770F9D">
              <w:rPr>
                <w:rFonts w:ascii="Garamond" w:eastAsia="Times New Roman" w:hAnsi="Garamond" w:cstheme="majorBidi"/>
                <w:color w:val="000000"/>
                <w:sz w:val="20"/>
                <w:szCs w:val="20"/>
              </w:rPr>
              <w:t>62,589,749.00</w:t>
            </w:r>
          </w:p>
        </w:tc>
      </w:tr>
      <w:tr w:rsidR="00F26BAE" w:rsidRPr="00770F9D" w14:paraId="0DB3B313" w14:textId="77777777" w:rsidTr="00F163E5">
        <w:trPr>
          <w:trHeight w:val="20"/>
          <w:jc w:val="center"/>
        </w:trPr>
        <w:tc>
          <w:tcPr>
            <w:tcW w:w="800" w:type="pct"/>
            <w:tcBorders>
              <w:top w:val="nil"/>
              <w:left w:val="single" w:sz="8" w:space="0" w:color="auto"/>
              <w:bottom w:val="single" w:sz="8" w:space="0" w:color="auto"/>
              <w:right w:val="single" w:sz="8" w:space="0" w:color="auto"/>
            </w:tcBorders>
            <w:shd w:val="clear" w:color="auto" w:fill="auto"/>
            <w:noWrap/>
            <w:vAlign w:val="center"/>
            <w:hideMark/>
          </w:tcPr>
          <w:p w14:paraId="604AC074" w14:textId="60F18F2C" w:rsidR="00F26BAE" w:rsidRPr="00770F9D" w:rsidRDefault="005654DD" w:rsidP="005E279E">
            <w:pPr>
              <w:jc w:val="center"/>
              <w:rPr>
                <w:rFonts w:ascii="Garamond" w:eastAsia="Times New Roman" w:hAnsi="Garamond" w:cstheme="majorBidi"/>
                <w:color w:val="000000"/>
                <w:sz w:val="20"/>
                <w:szCs w:val="20"/>
              </w:rPr>
            </w:pPr>
            <w:r w:rsidRPr="00770F9D">
              <w:rPr>
                <w:rFonts w:ascii="Garamond" w:eastAsia="Times New Roman" w:hAnsi="Garamond" w:cstheme="majorBidi"/>
                <w:color w:val="000000"/>
                <w:sz w:val="20"/>
                <w:szCs w:val="20"/>
              </w:rPr>
              <w:t xml:space="preserve">Buxheti </w:t>
            </w:r>
            <w:r w:rsidR="00F26BAE" w:rsidRPr="00770F9D">
              <w:rPr>
                <w:rFonts w:ascii="Garamond" w:eastAsia="Times New Roman" w:hAnsi="Garamond" w:cstheme="majorBidi"/>
                <w:color w:val="000000"/>
                <w:sz w:val="20"/>
                <w:szCs w:val="20"/>
              </w:rPr>
              <w:t>2023</w:t>
            </w:r>
          </w:p>
        </w:tc>
        <w:tc>
          <w:tcPr>
            <w:tcW w:w="660" w:type="pct"/>
            <w:tcBorders>
              <w:top w:val="nil"/>
              <w:left w:val="nil"/>
              <w:bottom w:val="single" w:sz="4" w:space="0" w:color="auto"/>
              <w:right w:val="single" w:sz="4" w:space="0" w:color="auto"/>
            </w:tcBorders>
            <w:shd w:val="clear" w:color="auto" w:fill="auto"/>
            <w:noWrap/>
            <w:vAlign w:val="center"/>
            <w:hideMark/>
          </w:tcPr>
          <w:p w14:paraId="2EC61C20" w14:textId="77777777" w:rsidR="00F26BAE" w:rsidRPr="00770F9D" w:rsidRDefault="00F26BAE" w:rsidP="00F163E5">
            <w:pPr>
              <w:jc w:val="right"/>
              <w:rPr>
                <w:rFonts w:ascii="Garamond" w:eastAsia="Times New Roman" w:hAnsi="Garamond" w:cstheme="majorBidi"/>
                <w:color w:val="000000"/>
                <w:sz w:val="20"/>
                <w:szCs w:val="20"/>
              </w:rPr>
            </w:pPr>
            <w:r w:rsidRPr="00770F9D">
              <w:rPr>
                <w:rFonts w:ascii="Garamond" w:eastAsia="Times New Roman" w:hAnsi="Garamond" w:cstheme="majorBidi"/>
                <w:color w:val="000000"/>
                <w:sz w:val="20"/>
                <w:szCs w:val="20"/>
              </w:rPr>
              <w:t>376,500</w:t>
            </w:r>
          </w:p>
        </w:tc>
        <w:tc>
          <w:tcPr>
            <w:tcW w:w="763" w:type="pct"/>
            <w:tcBorders>
              <w:top w:val="nil"/>
              <w:left w:val="nil"/>
              <w:bottom w:val="single" w:sz="4" w:space="0" w:color="auto"/>
              <w:right w:val="single" w:sz="4" w:space="0" w:color="auto"/>
            </w:tcBorders>
            <w:shd w:val="clear" w:color="auto" w:fill="auto"/>
            <w:noWrap/>
            <w:vAlign w:val="center"/>
            <w:hideMark/>
          </w:tcPr>
          <w:p w14:paraId="0131C661" w14:textId="77777777" w:rsidR="00F26BAE" w:rsidRPr="00770F9D" w:rsidRDefault="00F26BAE" w:rsidP="00F163E5">
            <w:pPr>
              <w:jc w:val="right"/>
              <w:rPr>
                <w:rFonts w:ascii="Garamond" w:eastAsia="Times New Roman" w:hAnsi="Garamond" w:cstheme="majorBidi"/>
                <w:color w:val="000000"/>
                <w:sz w:val="20"/>
                <w:szCs w:val="20"/>
              </w:rPr>
            </w:pPr>
            <w:r w:rsidRPr="00770F9D">
              <w:rPr>
                <w:rFonts w:ascii="Garamond" w:eastAsia="Times New Roman" w:hAnsi="Garamond" w:cstheme="majorBidi"/>
                <w:color w:val="000000"/>
                <w:sz w:val="20"/>
                <w:szCs w:val="20"/>
              </w:rPr>
              <w:t>8,365,251</w:t>
            </w:r>
          </w:p>
        </w:tc>
        <w:tc>
          <w:tcPr>
            <w:tcW w:w="689" w:type="pct"/>
            <w:tcBorders>
              <w:top w:val="nil"/>
              <w:left w:val="nil"/>
              <w:bottom w:val="single" w:sz="8" w:space="0" w:color="auto"/>
              <w:right w:val="single" w:sz="8" w:space="0" w:color="auto"/>
            </w:tcBorders>
            <w:shd w:val="clear" w:color="auto" w:fill="auto"/>
            <w:noWrap/>
            <w:vAlign w:val="center"/>
            <w:hideMark/>
          </w:tcPr>
          <w:p w14:paraId="6D94270A" w14:textId="77777777" w:rsidR="00F26BAE" w:rsidRPr="00770F9D" w:rsidRDefault="00F26BAE" w:rsidP="00F163E5">
            <w:pPr>
              <w:jc w:val="right"/>
              <w:rPr>
                <w:rFonts w:ascii="Garamond" w:eastAsia="Times New Roman" w:hAnsi="Garamond" w:cstheme="majorBidi"/>
                <w:color w:val="000000"/>
                <w:sz w:val="20"/>
                <w:szCs w:val="20"/>
              </w:rPr>
            </w:pPr>
            <w:r w:rsidRPr="00770F9D">
              <w:rPr>
                <w:rFonts w:ascii="Garamond" w:eastAsia="Times New Roman" w:hAnsi="Garamond" w:cstheme="majorBidi"/>
                <w:color w:val="000000"/>
                <w:sz w:val="20"/>
                <w:szCs w:val="20"/>
              </w:rPr>
              <w:t>34,489,871.00</w:t>
            </w:r>
          </w:p>
        </w:tc>
        <w:tc>
          <w:tcPr>
            <w:tcW w:w="660" w:type="pct"/>
            <w:tcBorders>
              <w:top w:val="nil"/>
              <w:left w:val="nil"/>
              <w:bottom w:val="single" w:sz="8" w:space="0" w:color="auto"/>
              <w:right w:val="single" w:sz="8" w:space="0" w:color="auto"/>
            </w:tcBorders>
            <w:shd w:val="clear" w:color="auto" w:fill="auto"/>
            <w:noWrap/>
            <w:vAlign w:val="center"/>
            <w:hideMark/>
          </w:tcPr>
          <w:p w14:paraId="67AAA67D" w14:textId="77777777" w:rsidR="00F26BAE" w:rsidRPr="00770F9D" w:rsidRDefault="00F26BAE" w:rsidP="00F163E5">
            <w:pPr>
              <w:jc w:val="right"/>
              <w:rPr>
                <w:rFonts w:ascii="Garamond" w:eastAsia="Times New Roman" w:hAnsi="Garamond" w:cstheme="majorBidi"/>
                <w:color w:val="000000"/>
                <w:sz w:val="20"/>
                <w:szCs w:val="20"/>
              </w:rPr>
            </w:pPr>
            <w:r w:rsidRPr="00770F9D">
              <w:rPr>
                <w:rFonts w:ascii="Garamond" w:eastAsia="Times New Roman" w:hAnsi="Garamond" w:cstheme="majorBidi"/>
                <w:color w:val="000000"/>
                <w:sz w:val="20"/>
                <w:szCs w:val="20"/>
              </w:rPr>
              <w:t>4,187,828.00</w:t>
            </w:r>
          </w:p>
        </w:tc>
        <w:tc>
          <w:tcPr>
            <w:tcW w:w="714" w:type="pct"/>
            <w:tcBorders>
              <w:top w:val="nil"/>
              <w:left w:val="nil"/>
              <w:bottom w:val="single" w:sz="8" w:space="0" w:color="auto"/>
              <w:right w:val="single" w:sz="8" w:space="0" w:color="auto"/>
            </w:tcBorders>
            <w:shd w:val="clear" w:color="auto" w:fill="auto"/>
            <w:noWrap/>
            <w:vAlign w:val="center"/>
            <w:hideMark/>
          </w:tcPr>
          <w:p w14:paraId="18C1F888" w14:textId="77777777" w:rsidR="00F26BAE" w:rsidRPr="00770F9D" w:rsidRDefault="00F26BAE" w:rsidP="00F163E5">
            <w:pPr>
              <w:jc w:val="right"/>
              <w:rPr>
                <w:rFonts w:ascii="Garamond" w:eastAsia="Times New Roman" w:hAnsi="Garamond" w:cstheme="majorBidi"/>
                <w:color w:val="000000"/>
                <w:sz w:val="20"/>
                <w:szCs w:val="20"/>
              </w:rPr>
            </w:pPr>
            <w:r w:rsidRPr="00770F9D">
              <w:rPr>
                <w:rFonts w:ascii="Garamond" w:eastAsia="Times New Roman" w:hAnsi="Garamond" w:cstheme="majorBidi"/>
                <w:color w:val="000000"/>
                <w:sz w:val="20"/>
                <w:szCs w:val="20"/>
              </w:rPr>
              <w:t>17,077,000.00</w:t>
            </w:r>
          </w:p>
        </w:tc>
        <w:tc>
          <w:tcPr>
            <w:tcW w:w="714" w:type="pct"/>
            <w:tcBorders>
              <w:top w:val="nil"/>
              <w:left w:val="nil"/>
              <w:bottom w:val="single" w:sz="8" w:space="0" w:color="auto"/>
              <w:right w:val="single" w:sz="8" w:space="0" w:color="auto"/>
            </w:tcBorders>
            <w:shd w:val="clear" w:color="auto" w:fill="auto"/>
            <w:noWrap/>
            <w:vAlign w:val="center"/>
            <w:hideMark/>
          </w:tcPr>
          <w:p w14:paraId="64683B31" w14:textId="77777777" w:rsidR="00F26BAE" w:rsidRPr="00770F9D" w:rsidRDefault="00F26BAE" w:rsidP="00F163E5">
            <w:pPr>
              <w:jc w:val="right"/>
              <w:rPr>
                <w:rFonts w:ascii="Garamond" w:eastAsia="Times New Roman" w:hAnsi="Garamond" w:cstheme="majorBidi"/>
                <w:color w:val="000000"/>
                <w:sz w:val="20"/>
                <w:szCs w:val="20"/>
              </w:rPr>
            </w:pPr>
            <w:r w:rsidRPr="00770F9D">
              <w:rPr>
                <w:rFonts w:ascii="Garamond" w:eastAsia="Times New Roman" w:hAnsi="Garamond" w:cstheme="majorBidi"/>
                <w:color w:val="000000"/>
                <w:sz w:val="20"/>
                <w:szCs w:val="20"/>
              </w:rPr>
              <w:t>64,496,450.00</w:t>
            </w:r>
          </w:p>
        </w:tc>
      </w:tr>
      <w:tr w:rsidR="00F26BAE" w:rsidRPr="00412E7C" w14:paraId="39D5FDD5" w14:textId="77777777" w:rsidTr="00F163E5">
        <w:trPr>
          <w:trHeight w:val="20"/>
          <w:jc w:val="center"/>
        </w:trPr>
        <w:tc>
          <w:tcPr>
            <w:tcW w:w="800" w:type="pct"/>
            <w:tcBorders>
              <w:top w:val="nil"/>
              <w:left w:val="single" w:sz="8" w:space="0" w:color="auto"/>
              <w:bottom w:val="single" w:sz="8" w:space="0" w:color="auto"/>
              <w:right w:val="single" w:sz="8" w:space="0" w:color="auto"/>
            </w:tcBorders>
            <w:shd w:val="clear" w:color="auto" w:fill="auto"/>
            <w:noWrap/>
            <w:vAlign w:val="center"/>
            <w:hideMark/>
          </w:tcPr>
          <w:p w14:paraId="41E9A570" w14:textId="7D8BB2CA" w:rsidR="00F26BAE" w:rsidRPr="00770F9D" w:rsidRDefault="005654DD" w:rsidP="005E279E">
            <w:pPr>
              <w:jc w:val="center"/>
              <w:rPr>
                <w:rFonts w:ascii="Garamond" w:eastAsia="Times New Roman" w:hAnsi="Garamond" w:cstheme="majorBidi"/>
                <w:color w:val="000000"/>
                <w:sz w:val="20"/>
                <w:szCs w:val="20"/>
              </w:rPr>
            </w:pPr>
            <w:r w:rsidRPr="00770F9D">
              <w:rPr>
                <w:rFonts w:ascii="Garamond" w:eastAsia="Times New Roman" w:hAnsi="Garamond" w:cstheme="majorBidi"/>
                <w:color w:val="000000"/>
                <w:sz w:val="20"/>
                <w:szCs w:val="20"/>
              </w:rPr>
              <w:t xml:space="preserve">Buxheti </w:t>
            </w:r>
            <w:r w:rsidR="00F26BAE" w:rsidRPr="00770F9D">
              <w:rPr>
                <w:rFonts w:ascii="Garamond" w:eastAsia="Times New Roman" w:hAnsi="Garamond" w:cstheme="majorBidi"/>
                <w:color w:val="000000"/>
                <w:sz w:val="20"/>
                <w:szCs w:val="20"/>
              </w:rPr>
              <w:t>2024</w:t>
            </w:r>
          </w:p>
        </w:tc>
        <w:tc>
          <w:tcPr>
            <w:tcW w:w="660" w:type="pct"/>
            <w:tcBorders>
              <w:top w:val="nil"/>
              <w:left w:val="nil"/>
              <w:bottom w:val="single" w:sz="4" w:space="0" w:color="auto"/>
              <w:right w:val="single" w:sz="4" w:space="0" w:color="auto"/>
            </w:tcBorders>
            <w:shd w:val="clear" w:color="auto" w:fill="auto"/>
            <w:noWrap/>
            <w:vAlign w:val="center"/>
            <w:hideMark/>
          </w:tcPr>
          <w:p w14:paraId="3B7C82BE" w14:textId="77777777" w:rsidR="00F26BAE" w:rsidRPr="00770F9D" w:rsidRDefault="00F26BAE" w:rsidP="00F163E5">
            <w:pPr>
              <w:jc w:val="right"/>
              <w:rPr>
                <w:rFonts w:ascii="Garamond" w:eastAsia="Times New Roman" w:hAnsi="Garamond" w:cstheme="majorBidi"/>
                <w:color w:val="000000"/>
                <w:sz w:val="20"/>
                <w:szCs w:val="20"/>
              </w:rPr>
            </w:pPr>
            <w:r w:rsidRPr="00770F9D">
              <w:rPr>
                <w:rFonts w:ascii="Garamond" w:eastAsia="Times New Roman" w:hAnsi="Garamond" w:cstheme="majorBidi"/>
                <w:color w:val="000000"/>
                <w:sz w:val="20"/>
                <w:szCs w:val="20"/>
              </w:rPr>
              <w:t>378,000</w:t>
            </w:r>
          </w:p>
        </w:tc>
        <w:tc>
          <w:tcPr>
            <w:tcW w:w="763" w:type="pct"/>
            <w:tcBorders>
              <w:top w:val="nil"/>
              <w:left w:val="nil"/>
              <w:bottom w:val="single" w:sz="4" w:space="0" w:color="auto"/>
              <w:right w:val="single" w:sz="4" w:space="0" w:color="auto"/>
            </w:tcBorders>
            <w:shd w:val="clear" w:color="auto" w:fill="auto"/>
            <w:noWrap/>
            <w:vAlign w:val="center"/>
            <w:hideMark/>
          </w:tcPr>
          <w:p w14:paraId="32B090AF" w14:textId="77777777" w:rsidR="00F26BAE" w:rsidRPr="00770F9D" w:rsidRDefault="00F26BAE" w:rsidP="00F163E5">
            <w:pPr>
              <w:jc w:val="right"/>
              <w:rPr>
                <w:rFonts w:ascii="Garamond" w:eastAsia="Times New Roman" w:hAnsi="Garamond" w:cstheme="majorBidi"/>
                <w:color w:val="000000"/>
                <w:sz w:val="20"/>
                <w:szCs w:val="20"/>
              </w:rPr>
            </w:pPr>
            <w:r w:rsidRPr="00770F9D">
              <w:rPr>
                <w:rFonts w:ascii="Garamond" w:eastAsia="Times New Roman" w:hAnsi="Garamond" w:cstheme="majorBidi"/>
                <w:color w:val="000000"/>
                <w:sz w:val="20"/>
                <w:szCs w:val="20"/>
              </w:rPr>
              <w:t>8,323,054</w:t>
            </w:r>
          </w:p>
        </w:tc>
        <w:tc>
          <w:tcPr>
            <w:tcW w:w="689" w:type="pct"/>
            <w:tcBorders>
              <w:top w:val="nil"/>
              <w:left w:val="nil"/>
              <w:bottom w:val="single" w:sz="8" w:space="0" w:color="auto"/>
              <w:right w:val="single" w:sz="8" w:space="0" w:color="auto"/>
            </w:tcBorders>
            <w:shd w:val="clear" w:color="auto" w:fill="auto"/>
            <w:noWrap/>
            <w:vAlign w:val="center"/>
            <w:hideMark/>
          </w:tcPr>
          <w:p w14:paraId="3AAB655D" w14:textId="77777777" w:rsidR="00F26BAE" w:rsidRPr="00770F9D" w:rsidRDefault="00F26BAE" w:rsidP="00F163E5">
            <w:pPr>
              <w:jc w:val="right"/>
              <w:rPr>
                <w:rFonts w:ascii="Garamond" w:eastAsia="Times New Roman" w:hAnsi="Garamond" w:cstheme="majorBidi"/>
                <w:color w:val="000000"/>
                <w:sz w:val="20"/>
                <w:szCs w:val="20"/>
              </w:rPr>
            </w:pPr>
            <w:r w:rsidRPr="00770F9D">
              <w:rPr>
                <w:rFonts w:ascii="Garamond" w:eastAsia="Times New Roman" w:hAnsi="Garamond" w:cstheme="majorBidi"/>
                <w:color w:val="000000"/>
                <w:sz w:val="20"/>
                <w:szCs w:val="20"/>
              </w:rPr>
              <w:t>34,431,967.00</w:t>
            </w:r>
          </w:p>
        </w:tc>
        <w:tc>
          <w:tcPr>
            <w:tcW w:w="660" w:type="pct"/>
            <w:tcBorders>
              <w:top w:val="nil"/>
              <w:left w:val="nil"/>
              <w:bottom w:val="single" w:sz="8" w:space="0" w:color="auto"/>
              <w:right w:val="single" w:sz="8" w:space="0" w:color="auto"/>
            </w:tcBorders>
            <w:shd w:val="clear" w:color="auto" w:fill="auto"/>
            <w:noWrap/>
            <w:vAlign w:val="center"/>
            <w:hideMark/>
          </w:tcPr>
          <w:p w14:paraId="5C5C67D1" w14:textId="77777777" w:rsidR="00F26BAE" w:rsidRPr="00770F9D" w:rsidRDefault="00F26BAE" w:rsidP="00F163E5">
            <w:pPr>
              <w:jc w:val="right"/>
              <w:rPr>
                <w:rFonts w:ascii="Garamond" w:eastAsia="Times New Roman" w:hAnsi="Garamond" w:cstheme="majorBidi"/>
                <w:color w:val="000000"/>
                <w:sz w:val="20"/>
                <w:szCs w:val="20"/>
              </w:rPr>
            </w:pPr>
            <w:r w:rsidRPr="00770F9D">
              <w:rPr>
                <w:rFonts w:ascii="Garamond" w:eastAsia="Times New Roman" w:hAnsi="Garamond" w:cstheme="majorBidi"/>
                <w:color w:val="000000"/>
                <w:sz w:val="20"/>
                <w:szCs w:val="20"/>
              </w:rPr>
              <w:t>3,992,228.00</w:t>
            </w:r>
          </w:p>
        </w:tc>
        <w:tc>
          <w:tcPr>
            <w:tcW w:w="714" w:type="pct"/>
            <w:tcBorders>
              <w:top w:val="nil"/>
              <w:left w:val="nil"/>
              <w:bottom w:val="single" w:sz="8" w:space="0" w:color="auto"/>
              <w:right w:val="single" w:sz="8" w:space="0" w:color="auto"/>
            </w:tcBorders>
            <w:shd w:val="clear" w:color="auto" w:fill="auto"/>
            <w:noWrap/>
            <w:vAlign w:val="center"/>
            <w:hideMark/>
          </w:tcPr>
          <w:p w14:paraId="60079E42" w14:textId="77777777" w:rsidR="00F26BAE" w:rsidRPr="00770F9D" w:rsidRDefault="00F26BAE" w:rsidP="00F163E5">
            <w:pPr>
              <w:jc w:val="right"/>
              <w:rPr>
                <w:rFonts w:ascii="Garamond" w:eastAsia="Times New Roman" w:hAnsi="Garamond" w:cstheme="majorBidi"/>
                <w:color w:val="000000"/>
                <w:sz w:val="20"/>
                <w:szCs w:val="20"/>
              </w:rPr>
            </w:pPr>
            <w:r w:rsidRPr="00770F9D">
              <w:rPr>
                <w:rFonts w:ascii="Garamond" w:eastAsia="Times New Roman" w:hAnsi="Garamond" w:cstheme="majorBidi"/>
                <w:color w:val="000000"/>
                <w:sz w:val="20"/>
                <w:szCs w:val="20"/>
              </w:rPr>
              <w:t>18,023,878.00</w:t>
            </w:r>
          </w:p>
        </w:tc>
        <w:tc>
          <w:tcPr>
            <w:tcW w:w="714" w:type="pct"/>
            <w:tcBorders>
              <w:top w:val="nil"/>
              <w:left w:val="nil"/>
              <w:bottom w:val="single" w:sz="8" w:space="0" w:color="auto"/>
              <w:right w:val="single" w:sz="8" w:space="0" w:color="auto"/>
            </w:tcBorders>
            <w:shd w:val="clear" w:color="auto" w:fill="auto"/>
            <w:noWrap/>
            <w:vAlign w:val="center"/>
            <w:hideMark/>
          </w:tcPr>
          <w:p w14:paraId="1F4F21F2" w14:textId="77777777" w:rsidR="00F26BAE" w:rsidRPr="00412E7C" w:rsidRDefault="00F26BAE" w:rsidP="00F163E5">
            <w:pPr>
              <w:jc w:val="right"/>
              <w:rPr>
                <w:rFonts w:ascii="Garamond" w:eastAsia="Times New Roman" w:hAnsi="Garamond" w:cstheme="majorBidi"/>
                <w:color w:val="000000"/>
                <w:sz w:val="20"/>
                <w:szCs w:val="20"/>
              </w:rPr>
            </w:pPr>
            <w:r w:rsidRPr="00770F9D">
              <w:rPr>
                <w:rFonts w:ascii="Garamond" w:eastAsia="Times New Roman" w:hAnsi="Garamond" w:cstheme="majorBidi"/>
                <w:color w:val="000000"/>
                <w:sz w:val="20"/>
                <w:szCs w:val="20"/>
              </w:rPr>
              <w:t>65,149,127.</w:t>
            </w:r>
            <w:r w:rsidRPr="00412E7C">
              <w:rPr>
                <w:rFonts w:ascii="Garamond" w:eastAsia="Times New Roman" w:hAnsi="Garamond" w:cstheme="majorBidi"/>
                <w:color w:val="000000"/>
                <w:sz w:val="20"/>
                <w:szCs w:val="20"/>
              </w:rPr>
              <w:t>00</w:t>
            </w:r>
          </w:p>
        </w:tc>
      </w:tr>
      <w:tr w:rsidR="00F26BAE" w:rsidRPr="00885FFE" w14:paraId="644AF1D7" w14:textId="77777777" w:rsidTr="00F163E5">
        <w:trPr>
          <w:trHeight w:val="20"/>
          <w:jc w:val="center"/>
        </w:trPr>
        <w:tc>
          <w:tcPr>
            <w:tcW w:w="800" w:type="pct"/>
            <w:tcBorders>
              <w:top w:val="nil"/>
              <w:left w:val="single" w:sz="8" w:space="0" w:color="auto"/>
              <w:bottom w:val="single" w:sz="8" w:space="0" w:color="auto"/>
              <w:right w:val="single" w:sz="8" w:space="0" w:color="auto"/>
            </w:tcBorders>
            <w:shd w:val="clear" w:color="auto" w:fill="auto"/>
            <w:noWrap/>
            <w:vAlign w:val="center"/>
            <w:hideMark/>
          </w:tcPr>
          <w:p w14:paraId="6177A1B4" w14:textId="684F0961" w:rsidR="00F26BAE" w:rsidRPr="00412E7C" w:rsidRDefault="005654DD" w:rsidP="005E279E">
            <w:pPr>
              <w:jc w:val="center"/>
              <w:rPr>
                <w:rFonts w:ascii="Garamond" w:eastAsia="Times New Roman" w:hAnsi="Garamond" w:cstheme="majorBidi"/>
                <w:color w:val="000000"/>
                <w:sz w:val="20"/>
                <w:szCs w:val="20"/>
              </w:rPr>
            </w:pPr>
            <w:r w:rsidRPr="00412E7C">
              <w:rPr>
                <w:rFonts w:ascii="Garamond" w:eastAsia="Times New Roman" w:hAnsi="Garamond" w:cstheme="majorBidi"/>
                <w:color w:val="000000"/>
                <w:sz w:val="20"/>
                <w:szCs w:val="20"/>
              </w:rPr>
              <w:t xml:space="preserve">Buxheti </w:t>
            </w:r>
            <w:r w:rsidR="00F26BAE" w:rsidRPr="00412E7C">
              <w:rPr>
                <w:rFonts w:ascii="Garamond" w:eastAsia="Times New Roman" w:hAnsi="Garamond" w:cstheme="majorBidi"/>
                <w:color w:val="000000"/>
                <w:sz w:val="20"/>
                <w:szCs w:val="20"/>
              </w:rPr>
              <w:t>2025</w:t>
            </w:r>
          </w:p>
        </w:tc>
        <w:tc>
          <w:tcPr>
            <w:tcW w:w="660" w:type="pct"/>
            <w:tcBorders>
              <w:top w:val="nil"/>
              <w:left w:val="single" w:sz="4" w:space="0" w:color="auto"/>
              <w:bottom w:val="single" w:sz="4" w:space="0" w:color="auto"/>
              <w:right w:val="single" w:sz="4" w:space="0" w:color="auto"/>
            </w:tcBorders>
            <w:shd w:val="clear" w:color="auto" w:fill="auto"/>
            <w:noWrap/>
            <w:vAlign w:val="center"/>
            <w:hideMark/>
          </w:tcPr>
          <w:p w14:paraId="4583619D" w14:textId="77777777" w:rsidR="00F26BAE" w:rsidRPr="00412E7C" w:rsidRDefault="00F26BAE" w:rsidP="00F163E5">
            <w:pPr>
              <w:jc w:val="right"/>
              <w:rPr>
                <w:rFonts w:ascii="Garamond" w:eastAsia="Times New Roman" w:hAnsi="Garamond" w:cstheme="majorBidi"/>
                <w:color w:val="000000"/>
                <w:sz w:val="20"/>
                <w:szCs w:val="20"/>
              </w:rPr>
            </w:pPr>
            <w:r w:rsidRPr="00412E7C">
              <w:rPr>
                <w:rFonts w:ascii="Garamond" w:eastAsia="Times New Roman" w:hAnsi="Garamond" w:cstheme="majorBidi"/>
                <w:color w:val="000000"/>
                <w:sz w:val="20"/>
                <w:szCs w:val="20"/>
              </w:rPr>
              <w:t>458,000</w:t>
            </w:r>
          </w:p>
        </w:tc>
        <w:tc>
          <w:tcPr>
            <w:tcW w:w="763" w:type="pct"/>
            <w:tcBorders>
              <w:top w:val="nil"/>
              <w:left w:val="nil"/>
              <w:bottom w:val="single" w:sz="4" w:space="0" w:color="auto"/>
              <w:right w:val="single" w:sz="4" w:space="0" w:color="auto"/>
            </w:tcBorders>
            <w:shd w:val="clear" w:color="auto" w:fill="auto"/>
            <w:noWrap/>
            <w:vAlign w:val="center"/>
            <w:hideMark/>
          </w:tcPr>
          <w:p w14:paraId="5C449B1A" w14:textId="77777777" w:rsidR="00F26BAE" w:rsidRPr="00412E7C" w:rsidRDefault="00F26BAE" w:rsidP="00F163E5">
            <w:pPr>
              <w:jc w:val="right"/>
              <w:rPr>
                <w:rFonts w:ascii="Garamond" w:eastAsia="Times New Roman" w:hAnsi="Garamond" w:cstheme="majorBidi"/>
                <w:color w:val="000000"/>
                <w:sz w:val="20"/>
                <w:szCs w:val="20"/>
              </w:rPr>
            </w:pPr>
            <w:r w:rsidRPr="00412E7C">
              <w:rPr>
                <w:rFonts w:ascii="Garamond" w:eastAsia="Times New Roman" w:hAnsi="Garamond" w:cstheme="majorBidi"/>
                <w:color w:val="000000"/>
                <w:sz w:val="20"/>
                <w:szCs w:val="20"/>
              </w:rPr>
              <w:t>8,285,933</w:t>
            </w:r>
          </w:p>
        </w:tc>
        <w:tc>
          <w:tcPr>
            <w:tcW w:w="689" w:type="pct"/>
            <w:tcBorders>
              <w:top w:val="nil"/>
              <w:left w:val="nil"/>
              <w:bottom w:val="single" w:sz="8" w:space="0" w:color="auto"/>
              <w:right w:val="single" w:sz="8" w:space="0" w:color="auto"/>
            </w:tcBorders>
            <w:shd w:val="clear" w:color="auto" w:fill="auto"/>
            <w:noWrap/>
            <w:vAlign w:val="center"/>
            <w:hideMark/>
          </w:tcPr>
          <w:p w14:paraId="4EFF10D5" w14:textId="77777777" w:rsidR="00F26BAE" w:rsidRPr="00412E7C" w:rsidRDefault="00F26BAE" w:rsidP="00F163E5">
            <w:pPr>
              <w:jc w:val="right"/>
              <w:rPr>
                <w:rFonts w:ascii="Garamond" w:eastAsia="Times New Roman" w:hAnsi="Garamond" w:cstheme="majorBidi"/>
                <w:color w:val="000000"/>
                <w:sz w:val="20"/>
                <w:szCs w:val="20"/>
              </w:rPr>
            </w:pPr>
            <w:r w:rsidRPr="00412E7C">
              <w:rPr>
                <w:rFonts w:ascii="Garamond" w:eastAsia="Times New Roman" w:hAnsi="Garamond" w:cstheme="majorBidi"/>
                <w:color w:val="000000"/>
                <w:sz w:val="20"/>
                <w:szCs w:val="20"/>
              </w:rPr>
              <w:t>34,995,453.00</w:t>
            </w:r>
          </w:p>
        </w:tc>
        <w:tc>
          <w:tcPr>
            <w:tcW w:w="660" w:type="pct"/>
            <w:tcBorders>
              <w:top w:val="nil"/>
              <w:left w:val="nil"/>
              <w:bottom w:val="single" w:sz="8" w:space="0" w:color="auto"/>
              <w:right w:val="single" w:sz="8" w:space="0" w:color="auto"/>
            </w:tcBorders>
            <w:shd w:val="clear" w:color="auto" w:fill="auto"/>
            <w:noWrap/>
            <w:vAlign w:val="center"/>
            <w:hideMark/>
          </w:tcPr>
          <w:p w14:paraId="2A3593CC" w14:textId="77777777" w:rsidR="00F26BAE" w:rsidRPr="00412E7C" w:rsidRDefault="00F26BAE" w:rsidP="00F163E5">
            <w:pPr>
              <w:jc w:val="right"/>
              <w:rPr>
                <w:rFonts w:ascii="Garamond" w:eastAsia="Times New Roman" w:hAnsi="Garamond" w:cstheme="majorBidi"/>
                <w:color w:val="000000"/>
                <w:sz w:val="20"/>
                <w:szCs w:val="20"/>
              </w:rPr>
            </w:pPr>
            <w:r w:rsidRPr="00412E7C">
              <w:rPr>
                <w:rFonts w:ascii="Garamond" w:eastAsia="Times New Roman" w:hAnsi="Garamond" w:cstheme="majorBidi"/>
                <w:color w:val="000000"/>
                <w:sz w:val="20"/>
                <w:szCs w:val="20"/>
              </w:rPr>
              <w:t>4,043,428.00</w:t>
            </w:r>
          </w:p>
        </w:tc>
        <w:tc>
          <w:tcPr>
            <w:tcW w:w="714" w:type="pct"/>
            <w:tcBorders>
              <w:top w:val="nil"/>
              <w:left w:val="nil"/>
              <w:bottom w:val="single" w:sz="8" w:space="0" w:color="auto"/>
              <w:right w:val="single" w:sz="8" w:space="0" w:color="auto"/>
            </w:tcBorders>
            <w:shd w:val="clear" w:color="auto" w:fill="auto"/>
            <w:noWrap/>
            <w:vAlign w:val="center"/>
            <w:hideMark/>
          </w:tcPr>
          <w:p w14:paraId="6473B979" w14:textId="77777777" w:rsidR="00F26BAE" w:rsidRPr="00412E7C" w:rsidRDefault="00F26BAE" w:rsidP="00F163E5">
            <w:pPr>
              <w:jc w:val="right"/>
              <w:rPr>
                <w:rFonts w:ascii="Garamond" w:eastAsia="Times New Roman" w:hAnsi="Garamond" w:cstheme="majorBidi"/>
                <w:color w:val="000000"/>
                <w:sz w:val="20"/>
                <w:szCs w:val="20"/>
              </w:rPr>
            </w:pPr>
            <w:r w:rsidRPr="00412E7C">
              <w:rPr>
                <w:rFonts w:ascii="Garamond" w:eastAsia="Times New Roman" w:hAnsi="Garamond" w:cstheme="majorBidi"/>
                <w:color w:val="000000"/>
                <w:sz w:val="20"/>
                <w:szCs w:val="20"/>
              </w:rPr>
              <w:t>18,956,313.00</w:t>
            </w:r>
          </w:p>
        </w:tc>
        <w:tc>
          <w:tcPr>
            <w:tcW w:w="714" w:type="pct"/>
            <w:tcBorders>
              <w:top w:val="nil"/>
              <w:left w:val="nil"/>
              <w:bottom w:val="single" w:sz="8" w:space="0" w:color="auto"/>
              <w:right w:val="single" w:sz="8" w:space="0" w:color="auto"/>
            </w:tcBorders>
            <w:shd w:val="clear" w:color="auto" w:fill="auto"/>
            <w:noWrap/>
            <w:vAlign w:val="center"/>
            <w:hideMark/>
          </w:tcPr>
          <w:p w14:paraId="469F31EB" w14:textId="77777777" w:rsidR="00F26BAE" w:rsidRPr="00885FFE" w:rsidRDefault="00F26BAE" w:rsidP="00F163E5">
            <w:pPr>
              <w:jc w:val="right"/>
              <w:rPr>
                <w:rFonts w:ascii="Garamond" w:eastAsia="Times New Roman" w:hAnsi="Garamond" w:cstheme="majorBidi"/>
                <w:color w:val="000000"/>
                <w:sz w:val="20"/>
                <w:szCs w:val="20"/>
              </w:rPr>
            </w:pPr>
            <w:r w:rsidRPr="00412E7C">
              <w:rPr>
                <w:rFonts w:ascii="Garamond" w:eastAsia="Times New Roman" w:hAnsi="Garamond" w:cstheme="majorBidi"/>
                <w:color w:val="000000"/>
                <w:sz w:val="20"/>
                <w:szCs w:val="20"/>
              </w:rPr>
              <w:t>66,739,127.</w:t>
            </w:r>
            <w:r w:rsidRPr="00885FFE">
              <w:rPr>
                <w:rFonts w:ascii="Garamond" w:eastAsia="Times New Roman" w:hAnsi="Garamond" w:cstheme="majorBidi"/>
                <w:color w:val="000000"/>
                <w:sz w:val="20"/>
                <w:szCs w:val="20"/>
              </w:rPr>
              <w:t>00</w:t>
            </w:r>
          </w:p>
        </w:tc>
      </w:tr>
    </w:tbl>
    <w:p w14:paraId="10AEC35D" w14:textId="77777777" w:rsidR="00F26BAE" w:rsidRPr="00770F9D" w:rsidRDefault="00F26BAE" w:rsidP="005674F2">
      <w:pPr>
        <w:ind w:firstLine="284"/>
        <w:jc w:val="both"/>
        <w:rPr>
          <w:rFonts w:ascii="Garamond" w:hAnsi="Garamond" w:cstheme="majorBidi"/>
          <w:color w:val="0D0D0D" w:themeColor="text1" w:themeTint="F2"/>
        </w:rPr>
      </w:pPr>
    </w:p>
    <w:p w14:paraId="518C91F5" w14:textId="2DED40E7" w:rsidR="006B6BA8" w:rsidRPr="00770F9D" w:rsidRDefault="006B6BA8" w:rsidP="00E42BF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Në vitin 2023 buxheti total duke përfshirë kontributet shëndetësore është parashikuar 64.4 miliardë lekë ose 9.39% e buxhetit të shtetit dhe 2.96% e PBB-së, për vitin 2024 buxheti total</w:t>
      </w:r>
      <w:r w:rsidR="00E42BF6">
        <w:rPr>
          <w:rFonts w:ascii="Garamond" w:hAnsi="Garamond" w:cstheme="majorBidi"/>
          <w:color w:val="0D0D0D" w:themeColor="text1" w:themeTint="F2"/>
        </w:rPr>
        <w:t>,</w:t>
      </w:r>
      <w:r w:rsidRPr="00770F9D">
        <w:rPr>
          <w:rFonts w:ascii="Garamond" w:hAnsi="Garamond" w:cstheme="majorBidi"/>
          <w:color w:val="0D0D0D" w:themeColor="text1" w:themeTint="F2"/>
        </w:rPr>
        <w:t xml:space="preserve"> duke përfshirë kontributet shëndetësore është parashikuar 64.1 miliardë lekë ose 9.19% e buxhetit të shtetit dhe 2.80% e PBB-së dhe për vitin 2025 buxheti total duke përfshirë kontributet shëndetësore është 65.3 miliardë lekë ose 8.94% e buxhetit të shtetit dhe 2.72% e PBB-së. Synimi është që brenda vitit 2025 të kemi ngritur në 4 pole spitalore rajonale që do të vendosen pranë Qendrave Referuese të Diagnostifikimit dhe Trajtimit</w:t>
      </w:r>
      <w:r w:rsidR="00E42BF6">
        <w:rPr>
          <w:rFonts w:ascii="Garamond" w:hAnsi="Garamond" w:cstheme="majorBidi"/>
          <w:color w:val="0D0D0D" w:themeColor="text1" w:themeTint="F2"/>
        </w:rPr>
        <w:t xml:space="preserve">, </w:t>
      </w:r>
      <w:r w:rsidRPr="00770F9D">
        <w:rPr>
          <w:rFonts w:ascii="Garamond" w:hAnsi="Garamond" w:cstheme="majorBidi"/>
          <w:color w:val="0D0D0D" w:themeColor="text1" w:themeTint="F2"/>
        </w:rPr>
        <w:t>si dhe do të krijohet dhe funksionalizohen plotësisht 10 qendra të mjekësisë familjare që do të ofrojnë shërbime të integruara sociale dhe shëndetësore me fokus shëndetin mendor, shërbimet për fëmijët dhe të rinjtë</w:t>
      </w:r>
      <w:r w:rsidR="007672C5">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dhe kujdesin paliativ.</w:t>
      </w:r>
    </w:p>
    <w:p w14:paraId="542332D0" w14:textId="632A239D" w:rsidR="006B6BA8" w:rsidRPr="00770F9D" w:rsidRDefault="006B6BA8" w:rsidP="007672C5">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Pandemia e COVID</w:t>
      </w:r>
      <w:r w:rsidR="007672C5">
        <w:rPr>
          <w:rFonts w:ascii="Garamond" w:hAnsi="Garamond" w:cstheme="majorBidi"/>
          <w:color w:val="0D0D0D" w:themeColor="text1" w:themeTint="F2"/>
        </w:rPr>
        <w:t>-</w:t>
      </w:r>
      <w:r w:rsidRPr="00770F9D">
        <w:rPr>
          <w:rFonts w:ascii="Garamond" w:hAnsi="Garamond" w:cstheme="majorBidi"/>
          <w:color w:val="0D0D0D" w:themeColor="text1" w:themeTint="F2"/>
        </w:rPr>
        <w:t>19 testoi të gjitha nivelet e sistemit. Me mbështetjen e OBSH-së u përgatitën 4 dokumente strategjike dhe u bënë udhëzues i qasjes të integruar për të menaxhuar pandeminë dhe për t</w:t>
      </w:r>
      <w:r w:rsidR="007672C5">
        <w:rPr>
          <w:rFonts w:ascii="Garamond" w:hAnsi="Garamond" w:cstheme="majorBidi"/>
          <w:color w:val="0D0D0D" w:themeColor="text1" w:themeTint="F2"/>
        </w:rPr>
        <w:t>’</w:t>
      </w:r>
      <w:r w:rsidRPr="00770F9D">
        <w:rPr>
          <w:rFonts w:ascii="Garamond" w:hAnsi="Garamond" w:cstheme="majorBidi"/>
          <w:color w:val="0D0D0D" w:themeColor="text1" w:themeTint="F2"/>
        </w:rPr>
        <w:t>u siguruar që sistemi shqiptar shëndetësor publik të ishte në gjendje të jepte akses dhe në kohë shërbimin e kujdesit shëndetësor</w:t>
      </w:r>
      <w:r w:rsidR="007672C5">
        <w:rPr>
          <w:rFonts w:ascii="Garamond" w:hAnsi="Garamond" w:cstheme="majorBidi"/>
          <w:color w:val="0D0D0D" w:themeColor="text1" w:themeTint="F2"/>
        </w:rPr>
        <w:t>,</w:t>
      </w:r>
      <w:r w:rsidRPr="00770F9D">
        <w:rPr>
          <w:rFonts w:ascii="Garamond" w:hAnsi="Garamond" w:cstheme="majorBidi"/>
          <w:color w:val="0D0D0D" w:themeColor="text1" w:themeTint="F2"/>
        </w:rPr>
        <w:t xml:space="preserve"> duke filluar nga parandalimi, diagnostikimi, trajtimi dhe vaksinimi. Një nga objektivat e politikës së Strategj</w:t>
      </w:r>
      <w:r w:rsidR="007672C5">
        <w:rPr>
          <w:rFonts w:ascii="Garamond" w:hAnsi="Garamond" w:cstheme="majorBidi"/>
          <w:color w:val="0D0D0D" w:themeColor="text1" w:themeTint="F2"/>
        </w:rPr>
        <w:t>isë Kombëtare të Shëndetit 2021–</w:t>
      </w:r>
      <w:r w:rsidRPr="00770F9D">
        <w:rPr>
          <w:rFonts w:ascii="Garamond" w:hAnsi="Garamond" w:cstheme="majorBidi"/>
          <w:color w:val="0D0D0D" w:themeColor="text1" w:themeTint="F2"/>
        </w:rPr>
        <w:t>2030 është forcimi i reagimit të sistemit ndaj urgjencave që synon të qartësojë rolet dhe përgjegjësitë e sistemit shëndetësor të Shqipërisë në reagimin ndaj emergjencave dhe të ofrojë një qasje të përbashkët për punën e Shqipërisë në raste urgjente.</w:t>
      </w:r>
    </w:p>
    <w:p w14:paraId="6561328C" w14:textId="62A52A14" w:rsidR="006B6BA8" w:rsidRPr="00770F9D" w:rsidRDefault="006B6BA8"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Është dhënë mbështetje e veçantë financiare përmes mekanizmit të bonusit prej 1,000 euro</w:t>
      </w:r>
      <w:r w:rsidR="007672C5">
        <w:rPr>
          <w:rFonts w:ascii="Garamond" w:hAnsi="Garamond" w:cstheme="majorBidi"/>
          <w:color w:val="0D0D0D" w:themeColor="text1" w:themeTint="F2"/>
        </w:rPr>
        <w:t>sh</w:t>
      </w:r>
      <w:r w:rsidRPr="00770F9D">
        <w:rPr>
          <w:rFonts w:ascii="Garamond" w:hAnsi="Garamond" w:cstheme="majorBidi"/>
          <w:color w:val="0D0D0D" w:themeColor="text1" w:themeTint="F2"/>
        </w:rPr>
        <w:t xml:space="preserve"> mbi pagën për të gjithë personelin mjekësor dhe 500 euro mbi pagën për personelin ndihmës.</w:t>
      </w:r>
    </w:p>
    <w:p w14:paraId="5CDD0EA8" w14:textId="1AF08E66" w:rsidR="006B6BA8" w:rsidRPr="00770F9D" w:rsidRDefault="006B6BA8"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Gjatë këtij mandati do të vazhdohet të garantojmë dhe ofrojmë shërbime shëndetësore që mbulohen 100% nga buxheti i shtetit, duke filluar nga diagnozat e deri te</w:t>
      </w:r>
      <w:r w:rsidR="001D4C63">
        <w:rPr>
          <w:rFonts w:ascii="Garamond" w:hAnsi="Garamond" w:cstheme="majorBidi"/>
          <w:color w:val="0D0D0D" w:themeColor="text1" w:themeTint="F2"/>
        </w:rPr>
        <w:t>k</w:t>
      </w:r>
      <w:r w:rsidRPr="00770F9D">
        <w:rPr>
          <w:rFonts w:ascii="Garamond" w:hAnsi="Garamond" w:cstheme="majorBidi"/>
          <w:color w:val="0D0D0D" w:themeColor="text1" w:themeTint="F2"/>
        </w:rPr>
        <w:t xml:space="preserve"> fuqizimi i rrjetit laboratorik publik me pajisje të reja mjekësore për të garantuar në sektorin spitalor publik të gjitha analizat mjekësore; trajtimi nëpërmjet paketës së dedikuar të Listës së Rimbursimit të Barnave për të gjithë pacientët </w:t>
      </w:r>
      <w:r w:rsidR="001D4C63">
        <w:rPr>
          <w:rFonts w:ascii="Garamond" w:hAnsi="Garamond" w:cstheme="majorBidi"/>
          <w:color w:val="0D0D0D" w:themeColor="text1" w:themeTint="F2"/>
        </w:rPr>
        <w:t>që janë të infektuar nga SARS–COV–</w:t>
      </w:r>
      <w:r w:rsidRPr="00770F9D">
        <w:rPr>
          <w:rFonts w:ascii="Garamond" w:hAnsi="Garamond" w:cstheme="majorBidi"/>
          <w:color w:val="0D0D0D" w:themeColor="text1" w:themeTint="F2"/>
        </w:rPr>
        <w:t>2</w:t>
      </w:r>
      <w:r w:rsidR="001D4C63">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dhe një paketë të plotë trajtimi</w:t>
      </w:r>
      <w:r w:rsidR="001D4C63">
        <w:rPr>
          <w:rFonts w:ascii="Garamond" w:hAnsi="Garamond" w:cstheme="majorBidi"/>
          <w:color w:val="0D0D0D" w:themeColor="text1" w:themeTint="F2"/>
        </w:rPr>
        <w:t>,</w:t>
      </w:r>
      <w:r w:rsidRPr="00770F9D">
        <w:rPr>
          <w:rFonts w:ascii="Garamond" w:hAnsi="Garamond" w:cstheme="majorBidi"/>
          <w:color w:val="0D0D0D" w:themeColor="text1" w:themeTint="F2"/>
        </w:rPr>
        <w:t xml:space="preserve"> sipas praktikave dhe protokolleve më të mira ndërkombëtare për të gjithë pacientët tanë që do të kenë nevojë për trajtim spitalor.</w:t>
      </w:r>
    </w:p>
    <w:p w14:paraId="27882F28" w14:textId="13D23002" w:rsidR="006B6BA8" w:rsidRPr="00770F9D" w:rsidRDefault="006B6BA8" w:rsidP="00FE417E">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Brenda vitit 2022 do të përfundohet modernizimi i infrastrukturës së Spitalit Infektiv në Qendrën Spitalore </w:t>
      </w:r>
      <w:r w:rsidR="001D4C63">
        <w:rPr>
          <w:rFonts w:ascii="Garamond" w:hAnsi="Garamond" w:cstheme="majorBidi"/>
          <w:color w:val="0D0D0D" w:themeColor="text1" w:themeTint="F2"/>
        </w:rPr>
        <w:t>“</w:t>
      </w:r>
      <w:r w:rsidRPr="00770F9D">
        <w:rPr>
          <w:rFonts w:ascii="Garamond" w:hAnsi="Garamond" w:cstheme="majorBidi"/>
          <w:color w:val="0D0D0D" w:themeColor="text1" w:themeTint="F2"/>
        </w:rPr>
        <w:t>Nënë Tereza</w:t>
      </w:r>
      <w:r w:rsidR="001D4C63">
        <w:rPr>
          <w:rFonts w:ascii="Garamond" w:hAnsi="Garamond" w:cstheme="majorBidi"/>
          <w:color w:val="0D0D0D" w:themeColor="text1" w:themeTint="F2"/>
        </w:rPr>
        <w:t>”</w:t>
      </w:r>
      <w:r w:rsidRPr="00770F9D">
        <w:rPr>
          <w:rFonts w:ascii="Garamond" w:hAnsi="Garamond" w:cstheme="majorBidi"/>
          <w:color w:val="0D0D0D" w:themeColor="text1" w:themeTint="F2"/>
        </w:rPr>
        <w:t xml:space="preserve"> në Tiranë, që do të garantojë jo vetëm një transformim të plotë të kujdesit spitalor për qytetarët shqiptarë, por edhe dyfishimin e njësive të ICU</w:t>
      </w:r>
      <w:r w:rsidR="00FE417E">
        <w:rPr>
          <w:rFonts w:ascii="Garamond" w:hAnsi="Garamond" w:cstheme="majorBidi"/>
          <w:color w:val="0D0D0D" w:themeColor="text1" w:themeTint="F2"/>
        </w:rPr>
        <w:t>.</w:t>
      </w:r>
    </w:p>
    <w:p w14:paraId="7CF0D7C1" w14:textId="0957E068" w:rsidR="005674F2" w:rsidRPr="00770F9D" w:rsidRDefault="005674F2" w:rsidP="00FE417E">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001D4C63">
        <w:rPr>
          <w:rFonts w:ascii="Garamond" w:hAnsi="Garamond" w:cs="Garamond"/>
          <w:color w:val="0D0D0D"/>
          <w:lang w:eastAsia="sq-AL"/>
        </w:rPr>
        <w:t>Gjatë viteve 2020–</w:t>
      </w:r>
      <w:r w:rsidRPr="00770F9D">
        <w:rPr>
          <w:rFonts w:ascii="Garamond" w:hAnsi="Garamond" w:cs="Garamond"/>
          <w:color w:val="0D0D0D"/>
          <w:lang w:eastAsia="sq-AL"/>
        </w:rPr>
        <w:t>2022 ndodhën një sërë ndryshimesh në akte ligjore dhe rregullative të miratuara nga Këshilli i Ministrave dhe Kuvendi i Shqipërisë në fushën e shëndetësisë. Miratimi i kë</w:t>
      </w:r>
      <w:r w:rsidR="001D4C63">
        <w:rPr>
          <w:rFonts w:ascii="Garamond" w:hAnsi="Garamond" w:cs="Garamond"/>
          <w:color w:val="0D0D0D"/>
          <w:lang w:eastAsia="sq-AL"/>
        </w:rPr>
        <w:t>t</w:t>
      </w:r>
      <w:r w:rsidRPr="00770F9D">
        <w:rPr>
          <w:rFonts w:ascii="Garamond" w:hAnsi="Garamond" w:cs="Garamond"/>
          <w:color w:val="0D0D0D"/>
          <w:lang w:eastAsia="sq-AL"/>
        </w:rPr>
        <w:t xml:space="preserve">yre akteve </w:t>
      </w:r>
      <w:r w:rsidR="00FE417E">
        <w:rPr>
          <w:rFonts w:ascii="Garamond" w:hAnsi="Garamond" w:cs="Garamond"/>
          <w:color w:val="0D0D0D"/>
          <w:lang w:eastAsia="sq-AL"/>
        </w:rPr>
        <w:t>u</w:t>
      </w:r>
      <w:r w:rsidRPr="00770F9D">
        <w:rPr>
          <w:rFonts w:ascii="Garamond" w:hAnsi="Garamond" w:cs="Garamond"/>
          <w:color w:val="0D0D0D"/>
          <w:lang w:eastAsia="sq-AL"/>
        </w:rPr>
        <w:t xml:space="preserve"> përgjigjet nevojave të sektorit të shëndetësisë dhe i shprehur në dokumente të ndryshme strategjike që u hartuan si pasojë e ndryshimeve dhe zhvillimeve të reja në Shqipëri në kuadër të përafrimit të legjislacionit shqiptar me legjislacionin e Bashkimit </w:t>
      </w:r>
      <w:r w:rsidR="00FE417E" w:rsidRPr="00770F9D">
        <w:rPr>
          <w:rFonts w:ascii="Garamond" w:hAnsi="Garamond" w:cs="Garamond"/>
          <w:color w:val="0D0D0D"/>
          <w:lang w:eastAsia="sq-AL"/>
        </w:rPr>
        <w:t>Evropian</w:t>
      </w:r>
      <w:r w:rsidRPr="00770F9D">
        <w:rPr>
          <w:rFonts w:ascii="Garamond" w:hAnsi="Garamond" w:cs="Garamond"/>
          <w:color w:val="0D0D0D"/>
          <w:lang w:eastAsia="sq-AL"/>
        </w:rPr>
        <w:t>.</w:t>
      </w:r>
    </w:p>
    <w:p w14:paraId="3E91F316" w14:textId="0188838A" w:rsidR="005674F2" w:rsidRPr="00770F9D" w:rsidRDefault="005674F2" w:rsidP="00400806">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Zhvillimet e fundit në këtë fushë</w:t>
      </w:r>
      <w:r w:rsidR="00FE417E">
        <w:rPr>
          <w:rFonts w:ascii="Garamond" w:hAnsi="Garamond" w:cs="Garamond"/>
          <w:color w:val="0D0D0D"/>
          <w:lang w:eastAsia="sq-AL"/>
        </w:rPr>
        <w:t>.</w:t>
      </w:r>
    </w:p>
    <w:p w14:paraId="00276318" w14:textId="29FE789C" w:rsidR="005674F2" w:rsidRPr="00770F9D" w:rsidRDefault="005674F2" w:rsidP="00400806">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Strategjia Kombëtare </w:t>
      </w:r>
      <w:r w:rsidR="00FE417E">
        <w:rPr>
          <w:rFonts w:ascii="Garamond" w:hAnsi="Garamond" w:cs="Garamond"/>
          <w:color w:val="0D0D0D"/>
          <w:lang w:eastAsia="sq-AL"/>
        </w:rPr>
        <w:t>Shqiptare e Shëndetësisë 2021–</w:t>
      </w:r>
      <w:r w:rsidRPr="00770F9D">
        <w:rPr>
          <w:rFonts w:ascii="Garamond" w:hAnsi="Garamond" w:cs="Garamond"/>
          <w:color w:val="0D0D0D"/>
          <w:lang w:eastAsia="sq-AL"/>
        </w:rPr>
        <w:t xml:space="preserve">2030 miratuar në </w:t>
      </w:r>
      <w:r w:rsidR="00FE417E" w:rsidRPr="00770F9D">
        <w:rPr>
          <w:rFonts w:ascii="Garamond" w:hAnsi="Garamond" w:cs="Garamond"/>
          <w:color w:val="0D0D0D"/>
          <w:lang w:eastAsia="sq-AL"/>
        </w:rPr>
        <w:t xml:space="preserve">prill </w:t>
      </w:r>
      <w:r w:rsidRPr="00770F9D">
        <w:rPr>
          <w:rFonts w:ascii="Garamond" w:hAnsi="Garamond" w:cs="Garamond"/>
          <w:color w:val="0D0D0D"/>
          <w:lang w:eastAsia="sq-AL"/>
        </w:rPr>
        <w:t>2022</w:t>
      </w:r>
      <w:r w:rsidR="00FE417E">
        <w:rPr>
          <w:rFonts w:ascii="Garamond" w:hAnsi="Garamond" w:cs="Garamond"/>
          <w:color w:val="0D0D0D"/>
          <w:lang w:eastAsia="sq-AL"/>
        </w:rPr>
        <w:t>.</w:t>
      </w:r>
    </w:p>
    <w:p w14:paraId="021149DE" w14:textId="2265BDFC" w:rsidR="005674F2" w:rsidRPr="00770F9D" w:rsidRDefault="005674F2" w:rsidP="00400806">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Organizimi i shërbimeve të kujdesit shëndetësor në Shqipëri, në vitin 2021 u krijua Agjencia Kombëtare e Cilësisë dhe Sigurisë së Shërbimeve Shëndetësore dhe Sociale. Institucioni i sapokrijuar ka në themel të punës së tij procesin e akreditimit të institucioneve të kujdesit shëndetësor (spitale, objekte të kujdesit parësor publik dhe jo publik), vazhdimin e edukimit, certifikimin e profesionistëve të kujdesit shëndetësor dhe matjen e indeksit të kënaqshmërisë të pacientëve</w:t>
      </w:r>
      <w:r w:rsidR="00FE417E">
        <w:rPr>
          <w:rFonts w:ascii="Garamond" w:hAnsi="Garamond" w:cs="Garamond"/>
          <w:color w:val="0D0D0D"/>
          <w:lang w:eastAsia="sq-AL"/>
        </w:rPr>
        <w:t>.</w:t>
      </w:r>
    </w:p>
    <w:p w14:paraId="6C4B7B53" w14:textId="72CFBC34" w:rsidR="005674F2" w:rsidRPr="00770F9D" w:rsidRDefault="005674F2" w:rsidP="00FE417E">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Hartimi dhe zbatimi i kornizës ligjore për pajisjet mjekësore (</w:t>
      </w:r>
      <w:r w:rsidR="00FE417E" w:rsidRPr="00770F9D">
        <w:rPr>
          <w:rFonts w:ascii="Garamond" w:hAnsi="Garamond" w:cs="Garamond"/>
          <w:color w:val="0D0D0D"/>
          <w:lang w:eastAsia="sq-AL"/>
        </w:rPr>
        <w:t xml:space="preserve">ligji </w:t>
      </w:r>
      <w:r w:rsidRPr="00770F9D">
        <w:rPr>
          <w:rFonts w:ascii="Garamond" w:hAnsi="Garamond" w:cs="Garamond"/>
          <w:color w:val="0D0D0D"/>
          <w:lang w:eastAsia="sq-AL"/>
        </w:rPr>
        <w:t>për pajisjet mjekësore, i ndryshuar është miratuar në vitin 2020)</w:t>
      </w:r>
      <w:r w:rsidR="00FE417E">
        <w:rPr>
          <w:rFonts w:ascii="Garamond" w:hAnsi="Garamond" w:cs="Garamond"/>
          <w:color w:val="0D0D0D"/>
          <w:lang w:eastAsia="sq-AL"/>
        </w:rPr>
        <w:t>.</w:t>
      </w:r>
    </w:p>
    <w:p w14:paraId="26C717C7" w14:textId="4D0E97D4" w:rsidR="005674F2" w:rsidRPr="00770F9D" w:rsidRDefault="005674F2" w:rsidP="00FE417E">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Ligji i ri për Spitalet miratuar në korrik 2022</w:t>
      </w:r>
      <w:r w:rsidR="00FE417E">
        <w:rPr>
          <w:rFonts w:ascii="Garamond" w:hAnsi="Garamond" w:cs="Garamond"/>
          <w:color w:val="0D0D0D"/>
          <w:lang w:eastAsia="sq-AL"/>
        </w:rPr>
        <w:t>.</w:t>
      </w:r>
    </w:p>
    <w:p w14:paraId="3EE7F1DA" w14:textId="43E38A1D" w:rsidR="005674F2" w:rsidRPr="00770F9D" w:rsidRDefault="005674F2" w:rsidP="00400806">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Strategjia Kombëtare për Kujdesin Parësor</w:t>
      </w:r>
      <w:r w:rsidR="00FE417E">
        <w:rPr>
          <w:rFonts w:ascii="Garamond" w:hAnsi="Garamond" w:cs="Garamond"/>
          <w:color w:val="0D0D0D"/>
          <w:lang w:eastAsia="sq-AL"/>
        </w:rPr>
        <w:t>.</w:t>
      </w:r>
    </w:p>
    <w:p w14:paraId="633619C0" w14:textId="10F94F74" w:rsidR="005674F2" w:rsidRPr="00770F9D" w:rsidRDefault="005674F2" w:rsidP="00400806">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Plani Kom</w:t>
      </w:r>
      <w:r w:rsidR="00FE417E">
        <w:rPr>
          <w:rFonts w:ascii="Garamond" w:hAnsi="Garamond" w:cs="Garamond"/>
          <w:color w:val="0D0D0D"/>
          <w:lang w:eastAsia="sq-AL"/>
        </w:rPr>
        <w:t>bëtar i Veprimit për SJT 2022–</w:t>
      </w:r>
      <w:r w:rsidRPr="00770F9D">
        <w:rPr>
          <w:rFonts w:ascii="Garamond" w:hAnsi="Garamond" w:cs="Garamond"/>
          <w:color w:val="0D0D0D"/>
          <w:lang w:eastAsia="sq-AL"/>
        </w:rPr>
        <w:t>2030</w:t>
      </w:r>
      <w:r w:rsidR="00FE417E">
        <w:rPr>
          <w:rFonts w:ascii="Garamond" w:hAnsi="Garamond" w:cs="Garamond"/>
          <w:color w:val="0D0D0D"/>
          <w:lang w:eastAsia="sq-AL"/>
        </w:rPr>
        <w:t>.</w:t>
      </w:r>
    </w:p>
    <w:p w14:paraId="2D86C79F" w14:textId="529A43F2" w:rsidR="005674F2" w:rsidRPr="00770F9D" w:rsidRDefault="005674F2" w:rsidP="00FE417E">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Plani Kombëtar i Veprimit për Promovimin e Shëndetit 2022</w:t>
      </w:r>
      <w:r w:rsidR="00FE417E">
        <w:rPr>
          <w:rFonts w:ascii="Garamond" w:hAnsi="Garamond" w:cs="Garamond"/>
          <w:color w:val="0D0D0D"/>
          <w:lang w:eastAsia="sq-AL"/>
        </w:rPr>
        <w:t>–</w:t>
      </w:r>
      <w:r w:rsidRPr="00770F9D">
        <w:rPr>
          <w:rFonts w:ascii="Garamond" w:hAnsi="Garamond" w:cs="Garamond"/>
          <w:color w:val="0D0D0D"/>
          <w:lang w:eastAsia="sq-AL"/>
        </w:rPr>
        <w:t>2030</w:t>
      </w:r>
      <w:r w:rsidR="00FE417E">
        <w:rPr>
          <w:rFonts w:ascii="Garamond" w:hAnsi="Garamond" w:cs="Garamond"/>
          <w:color w:val="0D0D0D"/>
          <w:lang w:eastAsia="sq-AL"/>
        </w:rPr>
        <w:t>.</w:t>
      </w:r>
    </w:p>
    <w:p w14:paraId="26A4F5AE" w14:textId="05F5EC06" w:rsidR="005674F2" w:rsidRPr="00770F9D" w:rsidRDefault="005674F2" w:rsidP="00400806">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Plani Kombëtar</w:t>
      </w:r>
      <w:r w:rsidR="00FE417E">
        <w:rPr>
          <w:rFonts w:ascii="Garamond" w:hAnsi="Garamond" w:cs="Garamond"/>
          <w:color w:val="0D0D0D"/>
          <w:lang w:eastAsia="sq-AL"/>
        </w:rPr>
        <w:t xml:space="preserve"> i Veprimit për Kancerin 2022–</w:t>
      </w:r>
      <w:r w:rsidRPr="00770F9D">
        <w:rPr>
          <w:rFonts w:ascii="Garamond" w:hAnsi="Garamond" w:cs="Garamond"/>
          <w:color w:val="0D0D0D"/>
          <w:lang w:eastAsia="sq-AL"/>
        </w:rPr>
        <w:t>2030</w:t>
      </w:r>
      <w:r w:rsidR="00FE417E">
        <w:rPr>
          <w:rFonts w:ascii="Garamond" w:hAnsi="Garamond" w:cs="Garamond"/>
          <w:color w:val="0D0D0D"/>
          <w:lang w:eastAsia="sq-AL"/>
        </w:rPr>
        <w:t>.</w:t>
      </w:r>
    </w:p>
    <w:p w14:paraId="2171E2AA" w14:textId="38EA0CB2" w:rsidR="005674F2" w:rsidRPr="00770F9D" w:rsidRDefault="005674F2" w:rsidP="00FE417E">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Plani Kombëtar i Veprimit për Riprodhimin Seksual dhe Shëndetësor 2022</w:t>
      </w:r>
      <w:r w:rsidR="00FE417E">
        <w:rPr>
          <w:rFonts w:ascii="Garamond" w:hAnsi="Garamond" w:cs="Garamond"/>
          <w:color w:val="0D0D0D"/>
          <w:lang w:eastAsia="sq-AL"/>
        </w:rPr>
        <w:t>–</w:t>
      </w:r>
      <w:r w:rsidRPr="00770F9D">
        <w:rPr>
          <w:rFonts w:ascii="Garamond" w:hAnsi="Garamond" w:cs="Garamond"/>
          <w:color w:val="0D0D0D"/>
          <w:lang w:eastAsia="sq-AL"/>
        </w:rPr>
        <w:t>2030</w:t>
      </w:r>
      <w:r w:rsidR="00FE417E">
        <w:rPr>
          <w:rFonts w:ascii="Garamond" w:hAnsi="Garamond" w:cs="Garamond"/>
          <w:color w:val="0D0D0D"/>
          <w:lang w:eastAsia="sq-AL"/>
        </w:rPr>
        <w:t>.</w:t>
      </w:r>
    </w:p>
    <w:p w14:paraId="29114E0E" w14:textId="466C501C" w:rsidR="005674F2" w:rsidRPr="00770F9D" w:rsidRDefault="005674F2" w:rsidP="00FE417E">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Strategjia Kombëtare për Ku</w:t>
      </w:r>
      <w:r w:rsidR="00FE417E">
        <w:rPr>
          <w:rFonts w:ascii="Garamond" w:hAnsi="Garamond" w:cs="Garamond"/>
          <w:color w:val="0D0D0D"/>
          <w:lang w:eastAsia="sq-AL"/>
        </w:rPr>
        <w:t>jdesin Parësor Shëndetësor 2021</w:t>
      </w:r>
      <w:r w:rsidRPr="00770F9D">
        <w:rPr>
          <w:rFonts w:ascii="Garamond" w:hAnsi="Garamond" w:cs="Garamond"/>
          <w:color w:val="0D0D0D"/>
          <w:lang w:eastAsia="sq-AL"/>
        </w:rPr>
        <w:t>–2025</w:t>
      </w:r>
      <w:r w:rsidR="00FE417E">
        <w:rPr>
          <w:rFonts w:ascii="Garamond" w:hAnsi="Garamond" w:cs="Garamond"/>
          <w:color w:val="0D0D0D"/>
          <w:lang w:eastAsia="sq-AL"/>
        </w:rPr>
        <w:t>.</w:t>
      </w:r>
    </w:p>
    <w:p w14:paraId="17EC2EB4" w14:textId="444A2946" w:rsidR="005674F2" w:rsidRPr="00770F9D" w:rsidRDefault="005674F2" w:rsidP="00400806">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Programi Kombëtar i Kontrollit Shëndetësor (2015)</w:t>
      </w:r>
      <w:r w:rsidR="00FE417E">
        <w:rPr>
          <w:rFonts w:ascii="Garamond" w:hAnsi="Garamond" w:cs="Garamond"/>
          <w:color w:val="0D0D0D"/>
          <w:lang w:eastAsia="sq-AL"/>
        </w:rPr>
        <w:t>.</w:t>
      </w:r>
    </w:p>
    <w:p w14:paraId="5AC86B08" w14:textId="6C1E39DE" w:rsidR="005674F2" w:rsidRPr="00770F9D" w:rsidRDefault="005674F2" w:rsidP="00400806">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Programi Kombëtar i Shqyrtimit, Diagnozave dhe Trajtimit të Kancerit të Gjirit (2018)</w:t>
      </w:r>
      <w:r w:rsidR="00FE417E">
        <w:rPr>
          <w:rFonts w:ascii="Garamond" w:hAnsi="Garamond" w:cs="Garamond"/>
          <w:color w:val="0D0D0D"/>
          <w:lang w:eastAsia="sq-AL"/>
        </w:rPr>
        <w:t>.</w:t>
      </w:r>
    </w:p>
    <w:p w14:paraId="55BF0239" w14:textId="11350A34" w:rsidR="005674F2" w:rsidRPr="00770F9D" w:rsidRDefault="005674F2" w:rsidP="00400806">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Programi Kombëtar i Shqyrtimit të Kancerit të Qafës së Mitrës (2019)</w:t>
      </w:r>
      <w:r w:rsidR="00FE417E">
        <w:rPr>
          <w:rFonts w:ascii="Garamond" w:hAnsi="Garamond" w:cs="Garamond"/>
          <w:color w:val="0D0D0D"/>
          <w:lang w:eastAsia="sq-AL"/>
        </w:rPr>
        <w:t>.</w:t>
      </w:r>
    </w:p>
    <w:p w14:paraId="1BC52943" w14:textId="39691EF3" w:rsidR="005674F2" w:rsidRPr="00770F9D" w:rsidRDefault="005674F2" w:rsidP="00400806">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Programi Kombëtar i Ekzaminimit të Vi</w:t>
      </w:r>
      <w:r w:rsidR="00FE417E">
        <w:rPr>
          <w:rFonts w:ascii="Garamond" w:hAnsi="Garamond" w:cs="Garamond"/>
          <w:color w:val="0D0D0D"/>
          <w:lang w:eastAsia="sq-AL"/>
        </w:rPr>
        <w:t>zionit të Syrit për Fëmijët 0–</w:t>
      </w:r>
      <w:r w:rsidRPr="00770F9D">
        <w:rPr>
          <w:rFonts w:ascii="Garamond" w:hAnsi="Garamond" w:cs="Garamond"/>
          <w:color w:val="0D0D0D"/>
          <w:lang w:eastAsia="sq-AL"/>
        </w:rPr>
        <w:t>14 vjeç</w:t>
      </w:r>
      <w:r w:rsidR="00FE417E" w:rsidRPr="00412E7C">
        <w:rPr>
          <w:rFonts w:ascii="Garamond" w:hAnsi="Garamond" w:cs="Garamond"/>
          <w:color w:val="0D0D0D"/>
          <w:lang w:eastAsia="sq-AL"/>
        </w:rPr>
        <w:t>.</w:t>
      </w:r>
    </w:p>
    <w:p w14:paraId="75CCC009" w14:textId="10D5289F" w:rsidR="005674F2" w:rsidRPr="00770F9D" w:rsidRDefault="005674F2" w:rsidP="00400806">
      <w:pPr>
        <w:autoSpaceDE w:val="0"/>
        <w:autoSpaceDN w:val="0"/>
        <w:adjustRightInd w:val="0"/>
        <w:ind w:firstLine="284"/>
        <w:jc w:val="both"/>
        <w:rPr>
          <w:rFonts w:ascii="Garamond" w:hAnsi="Garamond" w:cs="Garamond"/>
          <w:color w:val="0D0D0D"/>
          <w:lang w:eastAsia="sq-AL"/>
        </w:rPr>
      </w:pPr>
      <w:r w:rsidRPr="00770F9D">
        <w:rPr>
          <w:rFonts w:ascii="Garamond" w:hAnsi="Garamond" w:cs="Calibri"/>
          <w:color w:val="0D0D0D"/>
          <w:lang w:eastAsia="sq-AL"/>
        </w:rPr>
        <w:t>-</w:t>
      </w:r>
      <w:r w:rsidR="00BA4F1A" w:rsidRPr="00770F9D">
        <w:rPr>
          <w:rFonts w:ascii="Garamond" w:hAnsi="Garamond" w:cs="Calibri"/>
          <w:color w:val="0D0D0D"/>
          <w:lang w:eastAsia="sq-AL"/>
        </w:rPr>
        <w:t xml:space="preserve"> </w:t>
      </w:r>
      <w:r w:rsidRPr="00770F9D">
        <w:rPr>
          <w:rFonts w:ascii="Garamond" w:hAnsi="Garamond" w:cs="Garamond"/>
          <w:color w:val="0D0D0D"/>
          <w:lang w:eastAsia="sq-AL"/>
        </w:rPr>
        <w:t xml:space="preserve">Programi Kombëtar i </w:t>
      </w:r>
      <w:r w:rsidR="00FE417E">
        <w:rPr>
          <w:rFonts w:ascii="Garamond" w:hAnsi="Garamond" w:cs="Garamond"/>
          <w:color w:val="0D0D0D"/>
          <w:lang w:eastAsia="sq-AL"/>
        </w:rPr>
        <w:t>Kujdesit Dentar për Fëmijët 6–</w:t>
      </w:r>
      <w:r w:rsidRPr="00770F9D">
        <w:rPr>
          <w:rFonts w:ascii="Garamond" w:hAnsi="Garamond" w:cs="Garamond"/>
          <w:color w:val="0D0D0D"/>
          <w:lang w:eastAsia="sq-AL"/>
        </w:rPr>
        <w:t>14 vjeç</w:t>
      </w:r>
      <w:r w:rsidR="00FE417E" w:rsidRPr="00412E7C">
        <w:rPr>
          <w:rFonts w:ascii="Garamond" w:hAnsi="Garamond" w:cs="Garamond"/>
          <w:color w:val="0D0D0D"/>
          <w:lang w:eastAsia="sq-AL"/>
        </w:rPr>
        <w:t>.</w:t>
      </w:r>
    </w:p>
    <w:p w14:paraId="20A8097F" w14:textId="10023A22" w:rsidR="006B6BA8" w:rsidRPr="00770F9D" w:rsidRDefault="006B6BA8"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Gjithashtu</w:t>
      </w:r>
      <w:r w:rsidR="00FE417E">
        <w:rPr>
          <w:rFonts w:ascii="Garamond" w:hAnsi="Garamond" w:cstheme="majorBidi"/>
          <w:color w:val="0D0D0D" w:themeColor="text1" w:themeTint="F2"/>
        </w:rPr>
        <w:t>,</w:t>
      </w:r>
      <w:r w:rsidRPr="00770F9D">
        <w:rPr>
          <w:rFonts w:ascii="Garamond" w:hAnsi="Garamond" w:cstheme="majorBidi"/>
          <w:color w:val="0D0D0D" w:themeColor="text1" w:themeTint="F2"/>
        </w:rPr>
        <w:t xml:space="preserve"> në fushën e barnave dhe shërbimeve farmaceutike Ministria e Shëndetësisë dhe Mbrojtjes Sociale është në proceset përfundimtare ligjore për dërgimin për miratim në Këshillin e Ministrave të ligjit të rishikuar për barnat dhe shërbimet farmaceutike, ndryshimet e reja në ligjin ekzistues</w:t>
      </w:r>
      <w:r w:rsidR="00FE417E">
        <w:rPr>
          <w:rFonts w:ascii="Garamond" w:hAnsi="Garamond" w:cstheme="majorBidi"/>
          <w:color w:val="0D0D0D" w:themeColor="text1" w:themeTint="F2"/>
        </w:rPr>
        <w:t>,</w:t>
      </w:r>
      <w:r w:rsidRPr="00770F9D">
        <w:rPr>
          <w:rFonts w:ascii="Garamond" w:hAnsi="Garamond" w:cstheme="majorBidi"/>
          <w:color w:val="0D0D0D" w:themeColor="text1" w:themeTint="F2"/>
        </w:rPr>
        <w:t xml:space="preserve"> që u miratuan në vitin 2014</w:t>
      </w:r>
      <w:r w:rsidR="00FE417E">
        <w:rPr>
          <w:rFonts w:ascii="Garamond" w:hAnsi="Garamond" w:cstheme="majorBidi"/>
          <w:color w:val="0D0D0D" w:themeColor="text1" w:themeTint="F2"/>
        </w:rPr>
        <w:t>,</w:t>
      </w:r>
      <w:r w:rsidRPr="00770F9D">
        <w:rPr>
          <w:rFonts w:ascii="Garamond" w:hAnsi="Garamond" w:cstheme="majorBidi"/>
          <w:color w:val="0D0D0D" w:themeColor="text1" w:themeTint="F2"/>
        </w:rPr>
        <w:t xml:space="preserve"> synojnë një përafrim të mëtejshëm të aktit ligjor ekzistues me Direktivën e BE-së.</w:t>
      </w:r>
    </w:p>
    <w:p w14:paraId="6980FE83" w14:textId="5FD3E23B" w:rsidR="006B6BA8" w:rsidRPr="00770F9D" w:rsidRDefault="006B6BA8"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Gjithashtu</w:t>
      </w:r>
      <w:r w:rsidR="00FE417E">
        <w:rPr>
          <w:rFonts w:ascii="Garamond" w:hAnsi="Garamond" w:cstheme="majorBidi"/>
          <w:color w:val="0D0D0D" w:themeColor="text1" w:themeTint="F2"/>
        </w:rPr>
        <w:t>,</w:t>
      </w:r>
      <w:r w:rsidRPr="00770F9D">
        <w:rPr>
          <w:rFonts w:ascii="Garamond" w:hAnsi="Garamond" w:cstheme="majorBidi"/>
          <w:color w:val="0D0D0D" w:themeColor="text1" w:themeTint="F2"/>
        </w:rPr>
        <w:t xml:space="preserve"> Ministria e Shëndetësisë dhe Mbrojtjes Sociale ka përmbyllur draftin përfundimtar të ligjit të rishikuar për drogat narkotike dhe substancat psikotrope sipas rekomandimeve të takimit të 13-të të </w:t>
      </w:r>
      <w:r w:rsidR="00FE417E" w:rsidRPr="00770F9D">
        <w:rPr>
          <w:rFonts w:ascii="Garamond" w:hAnsi="Garamond" w:cstheme="majorBidi"/>
          <w:color w:val="0D0D0D" w:themeColor="text1" w:themeTint="F2"/>
        </w:rPr>
        <w:t xml:space="preserve">Nënkomitetit </w:t>
      </w:r>
      <w:r w:rsidR="00FE417E">
        <w:rPr>
          <w:rFonts w:ascii="Garamond" w:hAnsi="Garamond" w:cstheme="majorBidi"/>
          <w:color w:val="0D0D0D" w:themeColor="text1" w:themeTint="F2"/>
        </w:rPr>
        <w:t>të BE-së, nën</w:t>
      </w:r>
      <w:r w:rsidR="00FE417E" w:rsidRPr="00770F9D">
        <w:rPr>
          <w:rFonts w:ascii="Garamond" w:hAnsi="Garamond" w:cstheme="majorBidi"/>
          <w:color w:val="0D0D0D" w:themeColor="text1" w:themeTint="F2"/>
        </w:rPr>
        <w:t xml:space="preserve">kapitullin </w:t>
      </w:r>
      <w:r w:rsidRPr="00770F9D">
        <w:rPr>
          <w:rFonts w:ascii="Garamond" w:hAnsi="Garamond" w:cstheme="majorBidi"/>
          <w:color w:val="0D0D0D" w:themeColor="text1" w:themeTint="F2"/>
        </w:rPr>
        <w:t>24</w:t>
      </w:r>
      <w:r w:rsidR="00FE417E">
        <w:rPr>
          <w:rFonts w:ascii="Garamond" w:hAnsi="Garamond" w:cstheme="majorBidi"/>
          <w:color w:val="0D0D0D" w:themeColor="text1" w:themeTint="F2"/>
        </w:rPr>
        <w:t>,</w:t>
      </w:r>
      <w:r w:rsidRPr="00770F9D">
        <w:rPr>
          <w:rFonts w:ascii="Garamond" w:hAnsi="Garamond" w:cstheme="majorBidi"/>
          <w:color w:val="0D0D0D" w:themeColor="text1" w:themeTint="F2"/>
        </w:rPr>
        <w:t xml:space="preserve"> </w:t>
      </w:r>
      <w:r w:rsidR="00FE417E">
        <w:rPr>
          <w:rFonts w:ascii="Garamond" w:hAnsi="Garamond" w:cstheme="majorBidi"/>
          <w:color w:val="0D0D0D" w:themeColor="text1" w:themeTint="F2"/>
        </w:rPr>
        <w:t>“</w:t>
      </w:r>
      <w:r w:rsidRPr="00770F9D">
        <w:rPr>
          <w:rFonts w:ascii="Garamond" w:hAnsi="Garamond" w:cstheme="majorBidi"/>
          <w:color w:val="0D0D0D" w:themeColor="text1" w:themeTint="F2"/>
        </w:rPr>
        <w:t xml:space="preserve">Drejtësi, </w:t>
      </w:r>
      <w:r w:rsidR="00FE417E" w:rsidRPr="00770F9D">
        <w:rPr>
          <w:rFonts w:ascii="Garamond" w:hAnsi="Garamond" w:cstheme="majorBidi"/>
          <w:color w:val="0D0D0D" w:themeColor="text1" w:themeTint="F2"/>
        </w:rPr>
        <w:t>liri dhe siguri</w:t>
      </w:r>
      <w:r w:rsidR="00FE417E">
        <w:rPr>
          <w:rFonts w:ascii="Garamond" w:hAnsi="Garamond" w:cstheme="majorBidi"/>
          <w:color w:val="0D0D0D" w:themeColor="text1" w:themeTint="F2"/>
        </w:rPr>
        <w:t>”</w:t>
      </w:r>
      <w:r w:rsidRPr="00770F9D">
        <w:rPr>
          <w:rFonts w:ascii="Garamond" w:hAnsi="Garamond" w:cstheme="majorBidi"/>
          <w:color w:val="0D0D0D" w:themeColor="text1" w:themeTint="F2"/>
        </w:rPr>
        <w:t>. Ligji i rishikuar do të publikohet për konsultime dhe brenda këtij viti do të dërgohet për miratim në Këshillin e Ministrave.</w:t>
      </w:r>
    </w:p>
    <w:p w14:paraId="14B0DC55" w14:textId="77777777" w:rsidR="006B6BA8" w:rsidRPr="00770F9D" w:rsidRDefault="006B6BA8"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Tani sfida është zbatimi i dokumenteve strategjike të lartpërmendura dhe më e rëndësishmja hartimi i raporteve vjetore të monitorimit dhe vlerësimit që do të tregojnë nivelin e zbatimit, mangësitë dhe pengesat që duhen rishqyrtuar.</w:t>
      </w:r>
    </w:p>
    <w:p w14:paraId="2F3B20FE" w14:textId="0A67F5C5" w:rsidR="006B6BA8" w:rsidRPr="00770F9D" w:rsidRDefault="006B6BA8"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Shëndeti do të vazhdojë të mbetet një e mirë publike dhe për këtë arsye deri në vitin 2030 synohet rritja e financimit publik për shëndetin në 70%</w:t>
      </w:r>
      <w:r w:rsidR="007C79A1">
        <w:rPr>
          <w:rFonts w:ascii="Garamond" w:hAnsi="Garamond" w:cstheme="majorBidi"/>
          <w:color w:val="0D0D0D" w:themeColor="text1" w:themeTint="F2"/>
        </w:rPr>
        <w:t>,</w:t>
      </w:r>
      <w:r w:rsidRPr="00770F9D">
        <w:rPr>
          <w:rFonts w:ascii="Garamond" w:hAnsi="Garamond" w:cstheme="majorBidi"/>
          <w:color w:val="0D0D0D" w:themeColor="text1" w:themeTint="F2"/>
        </w:rPr>
        <w:t xml:space="preserve"> duke garantuar që asnjë familje shqiptare të mos bjerë në varfëri </w:t>
      </w:r>
      <w:r w:rsidR="007C79A1">
        <w:rPr>
          <w:rFonts w:ascii="Garamond" w:hAnsi="Garamond" w:cstheme="majorBidi"/>
          <w:color w:val="0D0D0D" w:themeColor="text1" w:themeTint="F2"/>
        </w:rPr>
        <w:t>,</w:t>
      </w:r>
      <w:r w:rsidRPr="00770F9D">
        <w:rPr>
          <w:rFonts w:ascii="Garamond" w:hAnsi="Garamond" w:cstheme="majorBidi"/>
          <w:color w:val="0D0D0D" w:themeColor="text1" w:themeTint="F2"/>
        </w:rPr>
        <w:t>për shkak të kostove shëndetësore.</w:t>
      </w:r>
    </w:p>
    <w:p w14:paraId="0A6D6B8C" w14:textId="514C48A7" w:rsidR="006B6BA8" w:rsidRPr="00770F9D" w:rsidRDefault="006B6BA8"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Sot një mjek apo një infermier që është i punësuar në një spital publik ka një pagë 63% më të lartë se në vitin 2013. Një mjek i përgjithshëm apo një infermier në qendrën shëndetësore parësore ka një pagë 68% më të lartë se në vitin 2013. Do të vazhdohet edhe gjatë këtij mandati politika e</w:t>
      </w:r>
      <w:r w:rsidR="007C79A1">
        <w:rPr>
          <w:rFonts w:ascii="Garamond" w:hAnsi="Garamond" w:cstheme="majorBidi"/>
          <w:color w:val="0D0D0D" w:themeColor="text1" w:themeTint="F2"/>
        </w:rPr>
        <w:t xml:space="preserve"> </w:t>
      </w:r>
      <w:r w:rsidRPr="00770F9D">
        <w:rPr>
          <w:rFonts w:ascii="Garamond" w:hAnsi="Garamond" w:cstheme="majorBidi"/>
          <w:color w:val="0D0D0D" w:themeColor="text1" w:themeTint="F2"/>
        </w:rPr>
        <w:t>rritjes së pagave deri në 40% për personelin mjekësor</w:t>
      </w:r>
    </w:p>
    <w:p w14:paraId="22C380F9" w14:textId="7FEF9BD0" w:rsidR="006B6BA8" w:rsidRPr="00770F9D" w:rsidRDefault="006B6BA8"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Brenda vitit 2023 do të përfundohet testimi dhe modernizimi i rrjetit laboratorik publik në 18 spitale universitare, rajonale dhe bashkiake duke garantuar një rritje prej 20% të qytetarëve që do të përfitojnë nga ekzaminimet laboratorike, rritjen e kapaciteteve diagnostikuese në 18 bashki, rajone dhe spitalet universitare nëpërmjet investimeve në pajisje mjekësore. Brenda vitit 2025 do të përmbyllet ngritja e 3 qendrave rajonale të ekselencës në ofrimin e kujdesit për sëmundjet akute ishemike</w:t>
      </w:r>
      <w:r w:rsidR="0034064E">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dhe investime të mëdha do të bëhen në modernizimin e institucioneve të shëndetit mendor.</w:t>
      </w:r>
    </w:p>
    <w:p w14:paraId="4137A341" w14:textId="651ACB9E" w:rsidR="006B6BA8" w:rsidRPr="00770F9D" w:rsidRDefault="00A93109" w:rsidP="00400806">
      <w:pPr>
        <w:ind w:firstLine="284"/>
        <w:jc w:val="both"/>
        <w:rPr>
          <w:rFonts w:ascii="Garamond" w:hAnsi="Garamond" w:cstheme="majorBidi"/>
          <w:color w:val="0D0D0D" w:themeColor="text1" w:themeTint="F2"/>
        </w:rPr>
      </w:pPr>
      <w:r>
        <w:rPr>
          <w:rFonts w:ascii="Garamond" w:hAnsi="Garamond" w:cstheme="majorBidi"/>
          <w:color w:val="0D0D0D" w:themeColor="text1" w:themeTint="F2"/>
        </w:rPr>
        <w:t xml:space="preserve">- </w:t>
      </w:r>
      <w:r w:rsidR="006B6BA8" w:rsidRPr="00770F9D">
        <w:rPr>
          <w:rFonts w:ascii="Garamond" w:hAnsi="Garamond" w:cstheme="majorBidi"/>
          <w:color w:val="0D0D0D" w:themeColor="text1" w:themeTint="F2"/>
        </w:rPr>
        <w:t>Strategjitë kryesore për mbrojtjen dhe përfshirjen sociale janë:</w:t>
      </w:r>
    </w:p>
    <w:p w14:paraId="0E7EC371" w14:textId="7FE92D99" w:rsidR="006B6BA8" w:rsidRPr="00770F9D" w:rsidRDefault="00A93109" w:rsidP="0034064E">
      <w:pPr>
        <w:ind w:firstLine="284"/>
        <w:jc w:val="both"/>
        <w:rPr>
          <w:rFonts w:ascii="Garamond" w:hAnsi="Garamond" w:cstheme="majorBidi"/>
          <w:color w:val="0D0D0D" w:themeColor="text1" w:themeTint="F2"/>
        </w:rPr>
      </w:pPr>
      <w:r>
        <w:rPr>
          <w:rFonts w:ascii="Garamond" w:hAnsi="Garamond" w:cstheme="majorBidi"/>
          <w:color w:val="0D0D0D" w:themeColor="text1" w:themeTint="F2"/>
        </w:rPr>
        <w:t xml:space="preserve">- </w:t>
      </w:r>
      <w:r w:rsidR="006B6BA8" w:rsidRPr="00770F9D">
        <w:rPr>
          <w:rFonts w:ascii="Garamond" w:hAnsi="Garamond" w:cstheme="majorBidi"/>
          <w:color w:val="0D0D0D" w:themeColor="text1" w:themeTint="F2"/>
        </w:rPr>
        <w:t>Strategjia Kombëtare e Mbrojtjes Sociale 2020</w:t>
      </w:r>
      <w:r w:rsidR="0034064E">
        <w:rPr>
          <w:rFonts w:ascii="Garamond" w:hAnsi="Garamond" w:cs="Garamond"/>
          <w:color w:val="0D0D0D"/>
          <w:lang w:eastAsia="sq-AL"/>
        </w:rPr>
        <w:t>–</w:t>
      </w:r>
      <w:r w:rsidR="006B6BA8" w:rsidRPr="00770F9D">
        <w:rPr>
          <w:rFonts w:ascii="Garamond" w:hAnsi="Garamond" w:cstheme="majorBidi"/>
          <w:color w:val="0D0D0D" w:themeColor="text1" w:themeTint="F2"/>
        </w:rPr>
        <w:t>2023 dhe plani i saj i veprimit</w:t>
      </w:r>
      <w:r w:rsidR="0034064E">
        <w:rPr>
          <w:rFonts w:ascii="Garamond" w:hAnsi="Garamond" w:cstheme="majorBidi"/>
          <w:color w:val="0D0D0D" w:themeColor="text1" w:themeTint="F2"/>
        </w:rPr>
        <w:t>;</w:t>
      </w:r>
    </w:p>
    <w:p w14:paraId="301C7CD3" w14:textId="2F873B3F" w:rsidR="006B6BA8" w:rsidRPr="00770F9D" w:rsidRDefault="00A93109" w:rsidP="00400806">
      <w:pPr>
        <w:ind w:firstLine="284"/>
        <w:jc w:val="both"/>
        <w:rPr>
          <w:rFonts w:ascii="Garamond" w:hAnsi="Garamond" w:cstheme="majorBidi"/>
          <w:color w:val="0D0D0D" w:themeColor="text1" w:themeTint="F2"/>
        </w:rPr>
      </w:pPr>
      <w:r>
        <w:rPr>
          <w:rFonts w:ascii="Garamond" w:hAnsi="Garamond" w:cstheme="majorBidi"/>
          <w:color w:val="0D0D0D" w:themeColor="text1" w:themeTint="F2"/>
        </w:rPr>
        <w:t xml:space="preserve">- </w:t>
      </w:r>
      <w:r w:rsidR="006B6BA8" w:rsidRPr="00770F9D">
        <w:rPr>
          <w:rFonts w:ascii="Garamond" w:hAnsi="Garamond" w:cstheme="majorBidi"/>
          <w:color w:val="0D0D0D" w:themeColor="text1" w:themeTint="F2"/>
        </w:rPr>
        <w:t>Dokumenti i Politikës së Përfshirjes Sociale</w:t>
      </w:r>
      <w:r w:rsidR="0034064E">
        <w:rPr>
          <w:rFonts w:ascii="Garamond" w:hAnsi="Garamond" w:cstheme="majorBidi"/>
          <w:color w:val="0D0D0D" w:themeColor="text1" w:themeTint="F2"/>
        </w:rPr>
        <w:t>;</w:t>
      </w:r>
    </w:p>
    <w:p w14:paraId="4FED7C06" w14:textId="71F8B2AE" w:rsidR="006B6BA8" w:rsidRPr="00770F9D" w:rsidRDefault="00A93109" w:rsidP="0034064E">
      <w:pPr>
        <w:ind w:firstLine="284"/>
        <w:jc w:val="both"/>
        <w:rPr>
          <w:rFonts w:ascii="Garamond" w:hAnsi="Garamond" w:cstheme="majorBidi"/>
          <w:color w:val="0D0D0D" w:themeColor="text1" w:themeTint="F2"/>
        </w:rPr>
      </w:pPr>
      <w:r>
        <w:rPr>
          <w:rFonts w:ascii="Garamond" w:hAnsi="Garamond" w:cstheme="majorBidi"/>
          <w:color w:val="0D0D0D" w:themeColor="text1" w:themeTint="F2"/>
        </w:rPr>
        <w:t xml:space="preserve">- </w:t>
      </w:r>
      <w:r w:rsidR="006B6BA8" w:rsidRPr="00770F9D">
        <w:rPr>
          <w:rFonts w:ascii="Garamond" w:hAnsi="Garamond" w:cstheme="majorBidi"/>
          <w:color w:val="0D0D0D" w:themeColor="text1" w:themeTint="F2"/>
        </w:rPr>
        <w:t>Strategjia Kombëtare për Barazinë Gjinore 2021</w:t>
      </w:r>
      <w:r w:rsidR="0034064E">
        <w:rPr>
          <w:rFonts w:ascii="Garamond" w:hAnsi="Garamond" w:cs="Garamond"/>
          <w:color w:val="0D0D0D"/>
          <w:lang w:eastAsia="sq-AL"/>
        </w:rPr>
        <w:t>–</w:t>
      </w:r>
      <w:r w:rsidR="006B6BA8" w:rsidRPr="00770F9D">
        <w:rPr>
          <w:rFonts w:ascii="Garamond" w:hAnsi="Garamond" w:cstheme="majorBidi"/>
          <w:color w:val="0D0D0D" w:themeColor="text1" w:themeTint="F2"/>
        </w:rPr>
        <w:t>2030 dhe plani i saj i veprimit</w:t>
      </w:r>
      <w:r w:rsidR="0034064E">
        <w:rPr>
          <w:rFonts w:ascii="Garamond" w:hAnsi="Garamond" w:cstheme="majorBidi"/>
          <w:color w:val="0D0D0D" w:themeColor="text1" w:themeTint="F2"/>
        </w:rPr>
        <w:t>.</w:t>
      </w:r>
    </w:p>
    <w:p w14:paraId="64BBD60F" w14:textId="6CEBB265" w:rsidR="006B6BA8" w:rsidRPr="00770F9D" w:rsidRDefault="006B6BA8"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Përfshirja sociale për grupet vulnerabël targeton pabarazinë dhe diskriminimin. Qëllimi është rritja e potencialit njerëzor dhe krijimi i mundësive të barabarta, pavarësisht sfidave socio-ekonomike. Aksesi në mbrojtje sociale, arsim, punësim dhe trajnim synon veçanërisht fuqizimin e grupeve të veçanta në rrezik të varfërisë ose përjashtimit social</w:t>
      </w:r>
      <w:r w:rsidR="00A93109">
        <w:rPr>
          <w:rFonts w:ascii="Garamond" w:hAnsi="Garamond" w:cstheme="majorBidi"/>
          <w:color w:val="0D0D0D" w:themeColor="text1" w:themeTint="F2"/>
        </w:rPr>
        <w:t>,</w:t>
      </w:r>
      <w:r w:rsidRPr="00770F9D">
        <w:rPr>
          <w:rFonts w:ascii="Garamond" w:hAnsi="Garamond" w:cstheme="majorBidi"/>
          <w:color w:val="0D0D0D" w:themeColor="text1" w:themeTint="F2"/>
        </w:rPr>
        <w:t xml:space="preserve"> si personat me aftësi të kufizuara, fëmijët në nevojë për mbrojtje ose romët dhe egjiptianët. Ndryshimet legjislative synojnë të reduktojnë barrierat dhe të inkurajojnë pjesëmarrjen efektive në shoqëri </w:t>
      </w:r>
    </w:p>
    <w:p w14:paraId="150FDC29" w14:textId="6CB904CA" w:rsidR="006B6BA8" w:rsidRPr="00770F9D" w:rsidRDefault="006B6BA8"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Ministria e Shëndetësisë dhe Mbrojtjes Sociale po zbaton </w:t>
      </w:r>
      <w:r w:rsidR="003B1F90" w:rsidRPr="00770F9D">
        <w:rPr>
          <w:rFonts w:ascii="Garamond" w:hAnsi="Garamond" w:cstheme="majorBidi"/>
          <w:color w:val="0D0D0D" w:themeColor="text1" w:themeTint="F2"/>
        </w:rPr>
        <w:t>Agjend</w:t>
      </w:r>
      <w:r w:rsidRPr="00770F9D">
        <w:rPr>
          <w:rFonts w:ascii="Garamond" w:hAnsi="Garamond" w:cstheme="majorBidi"/>
          <w:color w:val="0D0D0D" w:themeColor="text1" w:themeTint="F2"/>
        </w:rPr>
        <w:t>ën Kombëtare për të Drejtat e Fëmijëve,</w:t>
      </w:r>
      <w:r w:rsidR="00A93109">
        <w:rPr>
          <w:rFonts w:ascii="Garamond" w:hAnsi="Garamond" w:cstheme="majorBidi"/>
          <w:color w:val="0D0D0D" w:themeColor="text1" w:themeTint="F2"/>
        </w:rPr>
        <w:t xml:space="preserve"> miratuar me VKM nr. 659, datë </w:t>
      </w:r>
      <w:r w:rsidRPr="00770F9D">
        <w:rPr>
          <w:rFonts w:ascii="Garamond" w:hAnsi="Garamond" w:cstheme="majorBidi"/>
          <w:color w:val="0D0D0D" w:themeColor="text1" w:themeTint="F2"/>
        </w:rPr>
        <w:t>3.11.2021. Ligji nr. 18/2017</w:t>
      </w:r>
      <w:r w:rsidR="00A93109">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 të drejtat dhe mbrojtjen e fëmijës” koordinon mbrojtjen e fëmijëve dhe mbron të drejtat e fëmijëve në nivel kombëtar dhe vendor. Ministria e Shëndetësisë dhe Mbrojtjes Sociale ka kontribuar edhe në funksionimin e komisionit ndërministror për dhënien e statusit të fëmijëve në përkujdesje të republikës.</w:t>
      </w:r>
    </w:p>
    <w:p w14:paraId="1C7DDB27" w14:textId="1D51478B" w:rsidR="006B6BA8" w:rsidRPr="00770F9D" w:rsidRDefault="006B6BA8" w:rsidP="0076201B">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Ministria e Shëndetësisë dhe Mbrojtjes Sociale ka miratuar Planin Kombëtar të Veprimit për Personat me Aftësi të Kufizuara </w:t>
      </w:r>
      <w:r w:rsidR="00A93109" w:rsidRPr="00770F9D">
        <w:rPr>
          <w:rFonts w:ascii="Garamond" w:hAnsi="Garamond" w:cstheme="majorBidi"/>
          <w:color w:val="0D0D0D" w:themeColor="text1" w:themeTint="F2"/>
        </w:rPr>
        <w:t>nr</w:t>
      </w:r>
      <w:r w:rsidR="00A93109">
        <w:rPr>
          <w:rFonts w:ascii="Garamond" w:hAnsi="Garamond" w:cstheme="majorBidi"/>
          <w:color w:val="0D0D0D" w:themeColor="text1" w:themeTint="F2"/>
        </w:rPr>
        <w:t>. 276, datë 12.</w:t>
      </w:r>
      <w:r w:rsidRPr="00770F9D">
        <w:rPr>
          <w:rFonts w:ascii="Garamond" w:hAnsi="Garamond" w:cstheme="majorBidi"/>
          <w:color w:val="0D0D0D" w:themeColor="text1" w:themeTint="F2"/>
        </w:rPr>
        <w:t>5.2021</w:t>
      </w:r>
      <w:r w:rsidR="00A93109">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 miratimin e planit kombëtar të veprimit për personat me aftësi të kufizuara, 2021</w:t>
      </w:r>
      <w:r w:rsidR="0076201B">
        <w:rPr>
          <w:rFonts w:ascii="Garamond" w:hAnsi="Garamond" w:cs="Garamond"/>
          <w:color w:val="0D0D0D"/>
          <w:lang w:eastAsia="sq-AL"/>
        </w:rPr>
        <w:t>–</w:t>
      </w:r>
      <w:r w:rsidRPr="00770F9D">
        <w:rPr>
          <w:rFonts w:ascii="Garamond" w:hAnsi="Garamond" w:cstheme="majorBidi"/>
          <w:color w:val="0D0D0D" w:themeColor="text1" w:themeTint="F2"/>
        </w:rPr>
        <w:t xml:space="preserve">2025”. Është përmirësuar baza ligjore për personat me aftësi të kufizuara. Legjislacioni është rishikuar me anë të </w:t>
      </w:r>
      <w:r w:rsidR="00A93109" w:rsidRPr="00770F9D">
        <w:rPr>
          <w:rFonts w:ascii="Garamond" w:hAnsi="Garamond" w:cstheme="majorBidi"/>
          <w:color w:val="0D0D0D" w:themeColor="text1" w:themeTint="F2"/>
        </w:rPr>
        <w:t xml:space="preserve">vendimit </w:t>
      </w:r>
      <w:r w:rsidRPr="00770F9D">
        <w:rPr>
          <w:rFonts w:ascii="Garamond" w:hAnsi="Garamond" w:cstheme="majorBidi"/>
          <w:color w:val="0D0D0D" w:themeColor="text1" w:themeTint="F2"/>
        </w:rPr>
        <w:t>të Këshillit të Ministrave nr. 436, datë 22.6.2022</w:t>
      </w:r>
      <w:r w:rsidR="00A93109">
        <w:rPr>
          <w:rFonts w:ascii="Garamond" w:hAnsi="Garamond" w:cstheme="majorBidi"/>
          <w:color w:val="0D0D0D" w:themeColor="text1" w:themeTint="F2"/>
        </w:rPr>
        <w:t>,</w:t>
      </w:r>
      <w:r w:rsidRPr="00770F9D">
        <w:rPr>
          <w:rFonts w:ascii="Garamond" w:hAnsi="Garamond" w:cstheme="majorBidi"/>
          <w:color w:val="0D0D0D" w:themeColor="text1" w:themeTint="F2"/>
        </w:rPr>
        <w:t xml:space="preserve"> </w:t>
      </w:r>
      <w:r w:rsidR="00A93109">
        <w:rPr>
          <w:rFonts w:ascii="Garamond" w:hAnsi="Garamond" w:cstheme="majorBidi"/>
          <w:color w:val="0D0D0D" w:themeColor="text1" w:themeTint="F2"/>
        </w:rPr>
        <w:t>“</w:t>
      </w:r>
      <w:r w:rsidRPr="00770F9D">
        <w:rPr>
          <w:rFonts w:ascii="Garamond" w:hAnsi="Garamond" w:cstheme="majorBidi"/>
          <w:color w:val="0D0D0D" w:themeColor="text1" w:themeTint="F2"/>
        </w:rPr>
        <w:t xml:space="preserve">Për miratimin e rregullave, procedurave dhe kritereve të ofrimit të shërbimeve të jetesës së pavarur për personat me aftësi të kufizuara dhe </w:t>
      </w:r>
      <w:r w:rsidR="00E15040" w:rsidRPr="00770F9D">
        <w:rPr>
          <w:rFonts w:ascii="Garamond" w:hAnsi="Garamond" w:cstheme="majorBidi"/>
          <w:color w:val="0D0D0D" w:themeColor="text1" w:themeTint="F2"/>
        </w:rPr>
        <w:t xml:space="preserve">vendimit </w:t>
      </w:r>
      <w:r w:rsidRPr="00770F9D">
        <w:rPr>
          <w:rFonts w:ascii="Garamond" w:hAnsi="Garamond" w:cstheme="majorBidi"/>
          <w:color w:val="0D0D0D" w:themeColor="text1" w:themeTint="F2"/>
        </w:rPr>
        <w:t>të Këshillit të Ministrave nr.</w:t>
      </w:r>
      <w:r w:rsidR="00E15040">
        <w:rPr>
          <w:rFonts w:ascii="Garamond" w:hAnsi="Garamond" w:cstheme="majorBidi"/>
          <w:color w:val="0D0D0D" w:themeColor="text1" w:themeTint="F2"/>
        </w:rPr>
        <w:t xml:space="preserve"> </w:t>
      </w:r>
      <w:r w:rsidRPr="00770F9D">
        <w:rPr>
          <w:rFonts w:ascii="Garamond" w:hAnsi="Garamond" w:cstheme="majorBidi"/>
          <w:color w:val="0D0D0D" w:themeColor="text1" w:themeTint="F2"/>
        </w:rPr>
        <w:t>470, datë 6.7.2022</w:t>
      </w:r>
      <w:r w:rsidR="00E15040">
        <w:rPr>
          <w:rFonts w:ascii="Garamond" w:hAnsi="Garamond" w:cstheme="majorBidi"/>
          <w:color w:val="0D0D0D" w:themeColor="text1" w:themeTint="F2"/>
        </w:rPr>
        <w:t>,</w:t>
      </w:r>
      <w:r w:rsidRPr="00770F9D">
        <w:rPr>
          <w:rFonts w:ascii="Garamond" w:hAnsi="Garamond" w:cstheme="majorBidi"/>
          <w:color w:val="0D0D0D" w:themeColor="text1" w:themeTint="F2"/>
        </w:rPr>
        <w:t xml:space="preserve"> </w:t>
      </w:r>
      <w:r w:rsidR="00E15040">
        <w:rPr>
          <w:rFonts w:ascii="Garamond" w:hAnsi="Garamond" w:cstheme="majorBidi"/>
          <w:color w:val="0D0D0D" w:themeColor="text1" w:themeTint="F2"/>
        </w:rPr>
        <w:t>“</w:t>
      </w:r>
      <w:r w:rsidRPr="00770F9D">
        <w:rPr>
          <w:rFonts w:ascii="Garamond" w:hAnsi="Garamond" w:cstheme="majorBidi"/>
          <w:color w:val="0D0D0D" w:themeColor="text1" w:themeTint="F2"/>
        </w:rPr>
        <w:t>Për përcaktimin e rregullave, procedurave. dhe kriteret për ofrimin e shërbimeve vendimmarrëse të mbështetura për personat me aftësi të kufizuara”. Aktualisht është duke u hartuar Dokumenti i Politikës për Përfshirjen Sociale 2022</w:t>
      </w:r>
      <w:r w:rsidR="0076201B">
        <w:rPr>
          <w:rFonts w:ascii="Garamond" w:hAnsi="Garamond" w:cs="Garamond"/>
          <w:color w:val="0D0D0D"/>
          <w:lang w:eastAsia="sq-AL"/>
        </w:rPr>
        <w:t>–</w:t>
      </w:r>
      <w:r w:rsidRPr="00770F9D">
        <w:rPr>
          <w:rFonts w:ascii="Garamond" w:hAnsi="Garamond" w:cstheme="majorBidi"/>
          <w:color w:val="0D0D0D" w:themeColor="text1" w:themeTint="F2"/>
        </w:rPr>
        <w:t>2030.</w:t>
      </w:r>
    </w:p>
    <w:p w14:paraId="234D1ADF" w14:textId="52326A59" w:rsidR="006B6BA8" w:rsidRPr="00770F9D" w:rsidRDefault="006B6BA8"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Masat e aksesueshmërisë në infrastrukturë konsistojnë në përmirësimin e infrastrukturës në bashki dhe shërbimet e komunikimit. Ministria e Shëndetësisë dhe Mbrojtjes Sociale është</w:t>
      </w:r>
      <w:r w:rsidR="0076201B">
        <w:rPr>
          <w:rFonts w:ascii="Garamond" w:hAnsi="Garamond" w:cstheme="majorBidi"/>
          <w:color w:val="0D0D0D" w:themeColor="text1" w:themeTint="F2"/>
        </w:rPr>
        <w:t xml:space="preserve"> </w:t>
      </w:r>
      <w:r w:rsidRPr="00770F9D">
        <w:rPr>
          <w:rFonts w:ascii="Garamond" w:hAnsi="Garamond" w:cstheme="majorBidi"/>
          <w:color w:val="0D0D0D" w:themeColor="text1" w:themeTint="F2"/>
        </w:rPr>
        <w:t xml:space="preserve">në një proces të vazhdueshëm të përmirësimi të infrastrukturës në qendrat shëndetësore, me 25 institucione shëndetësore gjatë vitit 2022. Është bërë e mundur rindërtimi i shkollave </w:t>
      </w:r>
      <w:r w:rsidRPr="00770F9D">
        <w:rPr>
          <w:rFonts w:ascii="Times New Roman" w:hAnsi="Times New Roman"/>
          <w:color w:val="0D0D0D" w:themeColor="text1" w:themeTint="F2"/>
        </w:rPr>
        <w:t>​​</w:t>
      </w:r>
      <w:r w:rsidRPr="00770F9D">
        <w:rPr>
          <w:rFonts w:ascii="Garamond" w:hAnsi="Garamond" w:cstheme="majorBidi"/>
          <w:color w:val="0D0D0D" w:themeColor="text1" w:themeTint="F2"/>
        </w:rPr>
        <w:t>e prekura nga t</w:t>
      </w:r>
      <w:r w:rsidRPr="00770F9D">
        <w:rPr>
          <w:rFonts w:ascii="Garamond" w:hAnsi="Garamond" w:cs="Garamond"/>
          <w:color w:val="0D0D0D" w:themeColor="text1" w:themeTint="F2"/>
        </w:rPr>
        <w:t>ë</w:t>
      </w:r>
      <w:r w:rsidRPr="00770F9D">
        <w:rPr>
          <w:rFonts w:ascii="Garamond" w:hAnsi="Garamond" w:cstheme="majorBidi"/>
          <w:color w:val="0D0D0D" w:themeColor="text1" w:themeTint="F2"/>
        </w:rPr>
        <w:t>rmeti, duke p</w:t>
      </w:r>
      <w:r w:rsidRPr="00770F9D">
        <w:rPr>
          <w:rFonts w:ascii="Garamond" w:hAnsi="Garamond" w:cs="Garamond"/>
          <w:color w:val="0D0D0D" w:themeColor="text1" w:themeTint="F2"/>
        </w:rPr>
        <w:t>ë</w:t>
      </w:r>
      <w:r w:rsidRPr="00770F9D">
        <w:rPr>
          <w:rFonts w:ascii="Garamond" w:hAnsi="Garamond" w:cstheme="majorBidi"/>
          <w:color w:val="0D0D0D" w:themeColor="text1" w:themeTint="F2"/>
        </w:rPr>
        <w:t>rmir</w:t>
      </w:r>
      <w:r w:rsidRPr="00770F9D">
        <w:rPr>
          <w:rFonts w:ascii="Garamond" w:hAnsi="Garamond" w:cs="Garamond"/>
          <w:color w:val="0D0D0D" w:themeColor="text1" w:themeTint="F2"/>
        </w:rPr>
        <w:t>ë</w:t>
      </w:r>
      <w:r w:rsidRPr="00770F9D">
        <w:rPr>
          <w:rFonts w:ascii="Garamond" w:hAnsi="Garamond" w:cstheme="majorBidi"/>
          <w:color w:val="0D0D0D" w:themeColor="text1" w:themeTint="F2"/>
        </w:rPr>
        <w:t>suar ndjesh</w:t>
      </w:r>
      <w:r w:rsidRPr="00770F9D">
        <w:rPr>
          <w:rFonts w:ascii="Garamond" w:hAnsi="Garamond" w:cs="Garamond"/>
          <w:color w:val="0D0D0D" w:themeColor="text1" w:themeTint="F2"/>
        </w:rPr>
        <w:t>ë</w:t>
      </w:r>
      <w:r w:rsidRPr="00770F9D">
        <w:rPr>
          <w:rFonts w:ascii="Garamond" w:hAnsi="Garamond" w:cstheme="majorBidi"/>
          <w:color w:val="0D0D0D" w:themeColor="text1" w:themeTint="F2"/>
        </w:rPr>
        <w:t>m infrastruktur</w:t>
      </w:r>
      <w:r w:rsidRPr="00770F9D">
        <w:rPr>
          <w:rFonts w:ascii="Garamond" w:hAnsi="Garamond" w:cs="Garamond"/>
          <w:color w:val="0D0D0D" w:themeColor="text1" w:themeTint="F2"/>
        </w:rPr>
        <w:t>ë</w:t>
      </w:r>
      <w:r w:rsidRPr="00770F9D">
        <w:rPr>
          <w:rFonts w:ascii="Garamond" w:hAnsi="Garamond" w:cstheme="majorBidi"/>
          <w:color w:val="0D0D0D" w:themeColor="text1" w:themeTint="F2"/>
        </w:rPr>
        <w:t>n e tyre p</w:t>
      </w:r>
      <w:r w:rsidRPr="00770F9D">
        <w:rPr>
          <w:rFonts w:ascii="Garamond" w:hAnsi="Garamond" w:cs="Garamond"/>
          <w:color w:val="0D0D0D" w:themeColor="text1" w:themeTint="F2"/>
        </w:rPr>
        <w:t>ë</w:t>
      </w:r>
      <w:r w:rsidRPr="00770F9D">
        <w:rPr>
          <w:rFonts w:ascii="Garamond" w:hAnsi="Garamond" w:cstheme="majorBidi"/>
          <w:color w:val="0D0D0D" w:themeColor="text1" w:themeTint="F2"/>
        </w:rPr>
        <w:t>r aksesueshm</w:t>
      </w:r>
      <w:r w:rsidRPr="00770F9D">
        <w:rPr>
          <w:rFonts w:ascii="Garamond" w:hAnsi="Garamond" w:cs="Garamond"/>
          <w:color w:val="0D0D0D" w:themeColor="text1" w:themeTint="F2"/>
        </w:rPr>
        <w:t>ë</w:t>
      </w:r>
      <w:r w:rsidRPr="00770F9D">
        <w:rPr>
          <w:rFonts w:ascii="Garamond" w:hAnsi="Garamond" w:cstheme="majorBidi"/>
          <w:color w:val="0D0D0D" w:themeColor="text1" w:themeTint="F2"/>
        </w:rPr>
        <w:t>rin</w:t>
      </w:r>
      <w:r w:rsidRPr="00770F9D">
        <w:rPr>
          <w:rFonts w:ascii="Garamond" w:hAnsi="Garamond" w:cs="Garamond"/>
          <w:color w:val="0D0D0D" w:themeColor="text1" w:themeTint="F2"/>
        </w:rPr>
        <w:t>ë</w:t>
      </w:r>
      <w:r w:rsidRPr="00770F9D">
        <w:rPr>
          <w:rFonts w:ascii="Garamond" w:hAnsi="Garamond" w:cstheme="majorBidi"/>
          <w:color w:val="0D0D0D" w:themeColor="text1" w:themeTint="F2"/>
        </w:rPr>
        <w:t>.</w:t>
      </w:r>
    </w:p>
    <w:p w14:paraId="600C9D39" w14:textId="221AF2F5" w:rsidR="006B6BA8" w:rsidRPr="00770F9D" w:rsidRDefault="006B6BA8"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Ministria e Shëndetësisë dhe Mbrojtjes Sociale organizoi Seminarin BE-Shqipëri për Përfshirjen e Romëve në muajin </w:t>
      </w:r>
      <w:r w:rsidR="0076201B" w:rsidRPr="00770F9D">
        <w:rPr>
          <w:rFonts w:ascii="Garamond" w:hAnsi="Garamond" w:cstheme="majorBidi"/>
          <w:color w:val="0D0D0D" w:themeColor="text1" w:themeTint="F2"/>
        </w:rPr>
        <w:t xml:space="preserve">prill </w:t>
      </w:r>
      <w:r w:rsidRPr="00770F9D">
        <w:rPr>
          <w:rFonts w:ascii="Garamond" w:hAnsi="Garamond" w:cstheme="majorBidi"/>
          <w:color w:val="0D0D0D" w:themeColor="text1" w:themeTint="F2"/>
        </w:rPr>
        <w:t xml:space="preserve">2022, në Tiranë. Qëllimi i seminarit ishte të bashkonte autoritetet shqiptare në nivel kombëtar dhe lokal, institucionet e </w:t>
      </w:r>
      <w:r w:rsidR="0076201B">
        <w:rPr>
          <w:rFonts w:ascii="Garamond" w:hAnsi="Garamond" w:cstheme="majorBidi"/>
          <w:color w:val="0D0D0D" w:themeColor="text1" w:themeTint="F2"/>
        </w:rPr>
        <w:t>të drejtave të njeriut dhe anti</w:t>
      </w:r>
      <w:r w:rsidRPr="00770F9D">
        <w:rPr>
          <w:rFonts w:ascii="Garamond" w:hAnsi="Garamond" w:cstheme="majorBidi"/>
          <w:color w:val="0D0D0D" w:themeColor="text1" w:themeTint="F2"/>
        </w:rPr>
        <w:t>diskriminimit, përfaqësuesit e BE-së dhe partnerët ndërkombëtarë, si dhe përfaqësues të shoqërisë civile nga komunitetet rome dhe egjiptiane.</w:t>
      </w:r>
    </w:p>
    <w:p w14:paraId="7F63996D" w14:textId="5C7F6FF1" w:rsidR="000F7E5A" w:rsidRPr="00770F9D" w:rsidRDefault="00DD5930" w:rsidP="00400806">
      <w:pPr>
        <w:pStyle w:val="Heading2"/>
        <w:snapToGrid w:val="0"/>
        <w:ind w:left="0" w:firstLine="284"/>
        <w:jc w:val="both"/>
        <w:rPr>
          <w:rFonts w:ascii="Garamond" w:hAnsi="Garamond" w:cstheme="majorBidi"/>
          <w:b/>
          <w:color w:val="0D0D0D" w:themeColor="text1" w:themeTint="F2"/>
        </w:rPr>
      </w:pPr>
      <w:bookmarkStart w:id="58" w:name="_Toc126050972"/>
      <w:r w:rsidRPr="00770F9D">
        <w:rPr>
          <w:rFonts w:ascii="Garamond" w:hAnsi="Garamond" w:cstheme="majorBidi"/>
          <w:b/>
          <w:color w:val="0D0D0D" w:themeColor="text1" w:themeTint="F2"/>
        </w:rPr>
        <w:t>5.3</w:t>
      </w:r>
      <w:r w:rsidR="005674F2" w:rsidRPr="00770F9D">
        <w:rPr>
          <w:rFonts w:ascii="Garamond" w:hAnsi="Garamond" w:cstheme="majorBidi"/>
          <w:b/>
          <w:color w:val="0D0D0D" w:themeColor="text1" w:themeTint="F2"/>
        </w:rPr>
        <w:t xml:space="preserve"> </w:t>
      </w:r>
      <w:r w:rsidR="005E44FE" w:rsidRPr="00770F9D">
        <w:rPr>
          <w:rFonts w:ascii="Garamond" w:hAnsi="Garamond" w:cstheme="majorBidi"/>
          <w:b/>
          <w:color w:val="0D0D0D" w:themeColor="text1" w:themeTint="F2"/>
        </w:rPr>
        <w:t>Përmbledhje e m</w:t>
      </w:r>
      <w:r w:rsidR="00B2062A" w:rsidRPr="00770F9D">
        <w:rPr>
          <w:rFonts w:ascii="Garamond" w:hAnsi="Garamond" w:cstheme="majorBidi"/>
          <w:b/>
          <w:color w:val="0D0D0D" w:themeColor="text1" w:themeTint="F2"/>
        </w:rPr>
        <w:t>asa</w:t>
      </w:r>
      <w:r w:rsidR="005E44FE" w:rsidRPr="00770F9D">
        <w:rPr>
          <w:rFonts w:ascii="Garamond" w:hAnsi="Garamond" w:cstheme="majorBidi"/>
          <w:b/>
          <w:color w:val="0D0D0D" w:themeColor="text1" w:themeTint="F2"/>
        </w:rPr>
        <w:t>ve të</w:t>
      </w:r>
      <w:r w:rsidR="00B2062A" w:rsidRPr="00770F9D">
        <w:rPr>
          <w:rFonts w:ascii="Garamond" w:hAnsi="Garamond" w:cstheme="majorBidi"/>
          <w:b/>
          <w:color w:val="0D0D0D" w:themeColor="text1" w:themeTint="F2"/>
        </w:rPr>
        <w:t xml:space="preserve"> reformës</w:t>
      </w:r>
      <w:bookmarkEnd w:id="58"/>
    </w:p>
    <w:tbl>
      <w:tblPr>
        <w:tblStyle w:val="TableGrid"/>
        <w:tblW w:w="0" w:type="auto"/>
        <w:jc w:val="center"/>
        <w:tblLook w:val="04A0" w:firstRow="1" w:lastRow="0" w:firstColumn="1" w:lastColumn="0" w:noHBand="0" w:noVBand="1"/>
      </w:tblPr>
      <w:tblGrid>
        <w:gridCol w:w="9287"/>
      </w:tblGrid>
      <w:tr w:rsidR="00821FA5" w:rsidRPr="0076201B" w14:paraId="1593C5EF" w14:textId="77777777" w:rsidTr="0076201B">
        <w:trPr>
          <w:jc w:val="center"/>
        </w:trPr>
        <w:tc>
          <w:tcPr>
            <w:tcW w:w="10343" w:type="dxa"/>
          </w:tcPr>
          <w:p w14:paraId="2B01F883" w14:textId="49CDFF26" w:rsidR="003276FB" w:rsidRPr="0076201B" w:rsidRDefault="00DD5930" w:rsidP="0076201B">
            <w:pPr>
              <w:pStyle w:val="ListParagraph"/>
              <w:snapToGrid w:val="0"/>
              <w:ind w:left="0" w:firstLine="0"/>
              <w:rPr>
                <w:rFonts w:ascii="Garamond" w:hAnsi="Garamond" w:cstheme="majorBidi"/>
                <w:color w:val="0D0D0D" w:themeColor="text1" w:themeTint="F2"/>
                <w:sz w:val="20"/>
                <w:szCs w:val="20"/>
                <w:lang w:val="sq-AL"/>
              </w:rPr>
            </w:pPr>
            <w:r w:rsidRPr="0076201B">
              <w:rPr>
                <w:rFonts w:ascii="Garamond" w:hAnsi="Garamond" w:cstheme="majorBidi"/>
                <w:color w:val="0D0D0D" w:themeColor="text1" w:themeTint="F2"/>
                <w:sz w:val="20"/>
                <w:szCs w:val="20"/>
                <w:lang w:val="sq-AL"/>
              </w:rPr>
              <w:t xml:space="preserve">A) </w:t>
            </w:r>
            <w:r w:rsidR="003276FB" w:rsidRPr="0076201B">
              <w:rPr>
                <w:rFonts w:ascii="Garamond" w:hAnsi="Garamond" w:cstheme="majorBidi"/>
                <w:color w:val="0D0D0D" w:themeColor="text1" w:themeTint="F2"/>
                <w:sz w:val="20"/>
                <w:szCs w:val="20"/>
                <w:lang w:val="sq-AL"/>
              </w:rPr>
              <w:t>Reformat që trajtojnë tr</w:t>
            </w:r>
            <w:r w:rsidR="0076201B" w:rsidRPr="0076201B">
              <w:rPr>
                <w:rFonts w:ascii="Garamond" w:hAnsi="Garamond" w:cstheme="majorBidi"/>
                <w:color w:val="0D0D0D" w:themeColor="text1" w:themeTint="F2"/>
                <w:sz w:val="20"/>
                <w:szCs w:val="20"/>
                <w:lang w:val="sq-AL"/>
              </w:rPr>
              <w:t>i</w:t>
            </w:r>
            <w:r w:rsidR="003276FB" w:rsidRPr="0076201B">
              <w:rPr>
                <w:rFonts w:ascii="Garamond" w:hAnsi="Garamond" w:cstheme="majorBidi"/>
                <w:color w:val="0D0D0D" w:themeColor="text1" w:themeTint="F2"/>
                <w:sz w:val="20"/>
                <w:szCs w:val="20"/>
                <w:lang w:val="sq-AL"/>
              </w:rPr>
              <w:t xml:space="preserve"> sfidat kyçe</w:t>
            </w:r>
          </w:p>
          <w:p w14:paraId="08FDB291" w14:textId="5A76E50C" w:rsidR="003276FB" w:rsidRPr="0076201B" w:rsidRDefault="003276FB" w:rsidP="00DD5930">
            <w:pPr>
              <w:pStyle w:val="ListParagraph"/>
              <w:snapToGrid w:val="0"/>
              <w:ind w:left="0" w:firstLine="0"/>
              <w:rPr>
                <w:rFonts w:ascii="Garamond" w:hAnsi="Garamond" w:cstheme="majorBidi"/>
                <w:color w:val="0D0D0D" w:themeColor="text1" w:themeTint="F2"/>
                <w:sz w:val="20"/>
                <w:szCs w:val="20"/>
                <w:lang w:val="sq-AL"/>
              </w:rPr>
            </w:pPr>
            <w:r w:rsidRPr="0076201B">
              <w:rPr>
                <w:rFonts w:ascii="Garamond" w:hAnsi="Garamond" w:cstheme="majorBidi"/>
                <w:color w:val="0D0D0D" w:themeColor="text1" w:themeTint="F2"/>
                <w:sz w:val="20"/>
                <w:szCs w:val="20"/>
                <w:lang w:val="sq-AL"/>
              </w:rPr>
              <w:t xml:space="preserve">Sfida </w:t>
            </w:r>
            <w:r w:rsidR="0076201B" w:rsidRPr="0076201B">
              <w:rPr>
                <w:rFonts w:ascii="Garamond" w:hAnsi="Garamond" w:cstheme="majorBidi"/>
                <w:color w:val="0D0D0D" w:themeColor="text1" w:themeTint="F2"/>
                <w:sz w:val="20"/>
                <w:szCs w:val="20"/>
                <w:lang w:val="sq-AL"/>
              </w:rPr>
              <w:t xml:space="preserve">kyçe </w:t>
            </w:r>
            <w:r w:rsidRPr="0076201B">
              <w:rPr>
                <w:rFonts w:ascii="Garamond" w:hAnsi="Garamond" w:cstheme="majorBidi"/>
                <w:color w:val="0D0D0D" w:themeColor="text1" w:themeTint="F2"/>
                <w:sz w:val="20"/>
                <w:szCs w:val="20"/>
                <w:lang w:val="sq-AL"/>
              </w:rPr>
              <w:t>#1</w:t>
            </w:r>
          </w:p>
          <w:p w14:paraId="07B8227F" w14:textId="77777777" w:rsidR="003276FB" w:rsidRPr="0076201B" w:rsidRDefault="003276FB" w:rsidP="00DD5930">
            <w:pPr>
              <w:pStyle w:val="ListParagraph"/>
              <w:snapToGrid w:val="0"/>
              <w:ind w:left="0" w:firstLine="0"/>
              <w:rPr>
                <w:rFonts w:ascii="Garamond" w:hAnsi="Garamond" w:cstheme="majorBidi"/>
                <w:color w:val="0D0D0D" w:themeColor="text1" w:themeTint="F2"/>
                <w:sz w:val="20"/>
                <w:szCs w:val="20"/>
                <w:lang w:val="sq-AL"/>
              </w:rPr>
            </w:pPr>
            <w:r w:rsidRPr="0076201B">
              <w:rPr>
                <w:rFonts w:ascii="Garamond" w:hAnsi="Garamond" w:cstheme="majorBidi"/>
                <w:color w:val="0D0D0D" w:themeColor="text1" w:themeTint="F2"/>
                <w:sz w:val="20"/>
                <w:szCs w:val="20"/>
                <w:lang w:val="sq-AL"/>
              </w:rPr>
              <w:t>Reforma 01: Rritja e cilësisë dhe aksesit në AFP</w:t>
            </w:r>
          </w:p>
          <w:p w14:paraId="3E100FFE" w14:textId="77777777" w:rsidR="003276FB" w:rsidRPr="0076201B" w:rsidRDefault="003276FB" w:rsidP="00DD5930">
            <w:pPr>
              <w:pStyle w:val="ListParagraph"/>
              <w:snapToGrid w:val="0"/>
              <w:ind w:left="0" w:firstLine="0"/>
              <w:rPr>
                <w:rFonts w:ascii="Garamond" w:hAnsi="Garamond" w:cstheme="majorBidi"/>
                <w:color w:val="0D0D0D" w:themeColor="text1" w:themeTint="F2"/>
                <w:sz w:val="20"/>
                <w:szCs w:val="20"/>
                <w:lang w:val="sq-AL"/>
              </w:rPr>
            </w:pPr>
            <w:r w:rsidRPr="0076201B">
              <w:rPr>
                <w:rFonts w:ascii="Garamond" w:hAnsi="Garamond" w:cstheme="majorBidi"/>
                <w:color w:val="0D0D0D" w:themeColor="text1" w:themeTint="F2"/>
                <w:sz w:val="20"/>
                <w:szCs w:val="20"/>
                <w:lang w:val="sq-AL"/>
              </w:rPr>
              <w:t xml:space="preserve">Reforma 02: </w:t>
            </w:r>
            <w:r w:rsidR="00863BC8" w:rsidRPr="0076201B">
              <w:rPr>
                <w:rFonts w:ascii="Garamond" w:hAnsi="Garamond" w:cstheme="majorBidi"/>
                <w:color w:val="0D0D0D" w:themeColor="text1" w:themeTint="F2"/>
                <w:sz w:val="20"/>
                <w:szCs w:val="20"/>
                <w:lang w:val="sq-AL"/>
              </w:rPr>
              <w:t>Përmirësimi i punësueshmërisë së punëkër</w:t>
            </w:r>
            <w:r w:rsidR="003319D4" w:rsidRPr="0076201B">
              <w:rPr>
                <w:rFonts w:ascii="Garamond" w:hAnsi="Garamond" w:cstheme="majorBidi"/>
                <w:color w:val="0D0D0D" w:themeColor="text1" w:themeTint="F2"/>
                <w:sz w:val="20"/>
                <w:szCs w:val="20"/>
                <w:lang w:val="sq-AL"/>
              </w:rPr>
              <w:t>k</w:t>
            </w:r>
            <w:r w:rsidR="004E4EE0" w:rsidRPr="0076201B">
              <w:rPr>
                <w:rFonts w:ascii="Garamond" w:hAnsi="Garamond" w:cstheme="majorBidi"/>
                <w:color w:val="0D0D0D" w:themeColor="text1" w:themeTint="F2"/>
                <w:sz w:val="20"/>
                <w:szCs w:val="20"/>
                <w:lang w:val="sq-AL"/>
              </w:rPr>
              <w:t>uesve të papunë më të rrezikuar</w:t>
            </w:r>
          </w:p>
          <w:p w14:paraId="09426369" w14:textId="77777777" w:rsidR="003276FB" w:rsidRPr="0076201B" w:rsidRDefault="003276FB" w:rsidP="00DD5930">
            <w:pPr>
              <w:pStyle w:val="ListParagraph"/>
              <w:snapToGrid w:val="0"/>
              <w:ind w:left="0" w:firstLine="0"/>
              <w:rPr>
                <w:rFonts w:ascii="Garamond" w:hAnsi="Garamond" w:cstheme="majorBidi"/>
                <w:color w:val="0D0D0D" w:themeColor="text1" w:themeTint="F2"/>
                <w:sz w:val="20"/>
                <w:szCs w:val="20"/>
                <w:lang w:val="sq-AL"/>
              </w:rPr>
            </w:pPr>
            <w:r w:rsidRPr="0076201B">
              <w:rPr>
                <w:rFonts w:ascii="Garamond" w:hAnsi="Garamond" w:cstheme="majorBidi"/>
                <w:color w:val="0D0D0D" w:themeColor="text1" w:themeTint="F2"/>
                <w:sz w:val="20"/>
                <w:szCs w:val="20"/>
                <w:lang w:val="sq-AL"/>
              </w:rPr>
              <w:t>Reforma 03: Përmirësimi i kapaciteteve institucionale, financiare dhe njerëzore për kërkim dhe inovacion</w:t>
            </w:r>
          </w:p>
          <w:p w14:paraId="526BD075" w14:textId="70E9A7F4" w:rsidR="003276FB" w:rsidRPr="0076201B" w:rsidRDefault="003276FB" w:rsidP="00DD5930">
            <w:pPr>
              <w:pStyle w:val="ListParagraph"/>
              <w:snapToGrid w:val="0"/>
              <w:ind w:left="0" w:firstLine="0"/>
              <w:rPr>
                <w:rFonts w:ascii="Garamond" w:hAnsi="Garamond" w:cstheme="majorBidi"/>
                <w:color w:val="0D0D0D" w:themeColor="text1" w:themeTint="F2"/>
                <w:sz w:val="20"/>
                <w:szCs w:val="20"/>
                <w:lang w:val="sq-AL"/>
              </w:rPr>
            </w:pPr>
            <w:r w:rsidRPr="0076201B">
              <w:rPr>
                <w:rFonts w:ascii="Garamond" w:hAnsi="Garamond" w:cstheme="majorBidi"/>
                <w:color w:val="0D0D0D" w:themeColor="text1" w:themeTint="F2"/>
                <w:sz w:val="20"/>
                <w:szCs w:val="20"/>
                <w:lang w:val="sq-AL"/>
              </w:rPr>
              <w:t xml:space="preserve">Sfida </w:t>
            </w:r>
            <w:r w:rsidR="0076201B" w:rsidRPr="0076201B">
              <w:rPr>
                <w:rFonts w:ascii="Garamond" w:hAnsi="Garamond" w:cstheme="majorBidi"/>
                <w:color w:val="0D0D0D" w:themeColor="text1" w:themeTint="F2"/>
                <w:sz w:val="20"/>
                <w:szCs w:val="20"/>
                <w:lang w:val="sq-AL"/>
              </w:rPr>
              <w:t xml:space="preserve">kyçe </w:t>
            </w:r>
            <w:r w:rsidRPr="0076201B">
              <w:rPr>
                <w:rFonts w:ascii="Garamond" w:hAnsi="Garamond" w:cstheme="majorBidi"/>
                <w:color w:val="0D0D0D" w:themeColor="text1" w:themeTint="F2"/>
                <w:sz w:val="20"/>
                <w:szCs w:val="20"/>
                <w:lang w:val="sq-AL"/>
              </w:rPr>
              <w:t>#2</w:t>
            </w:r>
          </w:p>
          <w:p w14:paraId="0D290634" w14:textId="03879BBB" w:rsidR="003276FB" w:rsidRPr="0076201B" w:rsidRDefault="003276FB" w:rsidP="00DD5930">
            <w:pPr>
              <w:pStyle w:val="ListParagraph"/>
              <w:snapToGrid w:val="0"/>
              <w:ind w:left="0" w:firstLine="0"/>
              <w:rPr>
                <w:rFonts w:ascii="Garamond" w:hAnsi="Garamond" w:cstheme="majorBidi"/>
                <w:color w:val="0D0D0D" w:themeColor="text1" w:themeTint="F2"/>
                <w:sz w:val="20"/>
                <w:szCs w:val="20"/>
                <w:lang w:val="sq-AL"/>
              </w:rPr>
            </w:pPr>
            <w:r w:rsidRPr="0076201B">
              <w:rPr>
                <w:rFonts w:ascii="Garamond" w:hAnsi="Garamond" w:cstheme="majorBidi"/>
                <w:color w:val="0D0D0D" w:themeColor="text1" w:themeTint="F2"/>
                <w:sz w:val="20"/>
                <w:szCs w:val="20"/>
                <w:lang w:val="sq-AL"/>
              </w:rPr>
              <w:t xml:space="preserve">Reforma 04: Rritja e mbulimit dhe përshtatshmërisë së mbrojtjes sociale dhe sigurimeve shëndetësore për të ulur </w:t>
            </w:r>
            <w:r w:rsidR="0076201B" w:rsidRPr="0076201B">
              <w:rPr>
                <w:rFonts w:ascii="Garamond" w:hAnsi="Garamond" w:cstheme="majorBidi"/>
                <w:color w:val="0D0D0D" w:themeColor="text1" w:themeTint="F2"/>
                <w:sz w:val="20"/>
                <w:szCs w:val="20"/>
                <w:lang w:val="sq-AL"/>
              </w:rPr>
              <w:t>për</w:t>
            </w:r>
            <w:r w:rsidR="00623F19" w:rsidRPr="0076201B">
              <w:rPr>
                <w:rFonts w:ascii="Garamond" w:hAnsi="Garamond" w:cstheme="majorBidi"/>
                <w:color w:val="0D0D0D" w:themeColor="text1" w:themeTint="F2"/>
                <w:sz w:val="20"/>
                <w:szCs w:val="20"/>
                <w:lang w:val="sq-AL"/>
              </w:rPr>
              <w:t>qind</w:t>
            </w:r>
            <w:r w:rsidRPr="0076201B">
              <w:rPr>
                <w:rFonts w:ascii="Garamond" w:hAnsi="Garamond" w:cstheme="majorBidi"/>
                <w:color w:val="0D0D0D" w:themeColor="text1" w:themeTint="F2"/>
                <w:sz w:val="20"/>
                <w:szCs w:val="20"/>
                <w:lang w:val="sq-AL"/>
              </w:rPr>
              <w:t>jen e popullsisë së rrezikuar nga varfëria</w:t>
            </w:r>
          </w:p>
          <w:p w14:paraId="79DFA95E" w14:textId="77777777" w:rsidR="003276FB" w:rsidRPr="0076201B" w:rsidRDefault="003276FB" w:rsidP="00DD5930">
            <w:pPr>
              <w:pStyle w:val="ListParagraph"/>
              <w:snapToGrid w:val="0"/>
              <w:ind w:left="0" w:firstLine="0"/>
              <w:rPr>
                <w:rFonts w:ascii="Garamond" w:hAnsi="Garamond" w:cstheme="majorBidi"/>
                <w:color w:val="0D0D0D" w:themeColor="text1" w:themeTint="F2"/>
                <w:sz w:val="20"/>
                <w:szCs w:val="20"/>
                <w:lang w:val="sq-AL"/>
              </w:rPr>
            </w:pPr>
            <w:r w:rsidRPr="0076201B">
              <w:rPr>
                <w:rFonts w:ascii="Garamond" w:hAnsi="Garamond" w:cstheme="majorBidi"/>
                <w:color w:val="0D0D0D" w:themeColor="text1" w:themeTint="F2"/>
                <w:sz w:val="20"/>
                <w:szCs w:val="20"/>
                <w:lang w:val="sq-AL"/>
              </w:rPr>
              <w:t>Reforma 05: Rritja e aksesit në kujdesin shëndetësor</w:t>
            </w:r>
          </w:p>
          <w:p w14:paraId="5DD5BD33" w14:textId="2067A0EF" w:rsidR="003276FB" w:rsidRPr="0076201B" w:rsidRDefault="003276FB" w:rsidP="00DD5930">
            <w:pPr>
              <w:pStyle w:val="ListParagraph"/>
              <w:snapToGrid w:val="0"/>
              <w:ind w:left="0" w:firstLine="0"/>
              <w:rPr>
                <w:rFonts w:ascii="Garamond" w:hAnsi="Garamond" w:cstheme="majorBidi"/>
                <w:color w:val="0D0D0D" w:themeColor="text1" w:themeTint="F2"/>
                <w:sz w:val="20"/>
                <w:szCs w:val="20"/>
                <w:lang w:val="sq-AL"/>
              </w:rPr>
            </w:pPr>
            <w:r w:rsidRPr="0076201B">
              <w:rPr>
                <w:rFonts w:ascii="Garamond" w:hAnsi="Garamond" w:cstheme="majorBidi"/>
                <w:color w:val="0D0D0D" w:themeColor="text1" w:themeTint="F2"/>
                <w:sz w:val="20"/>
                <w:szCs w:val="20"/>
                <w:lang w:val="sq-AL"/>
              </w:rPr>
              <w:t xml:space="preserve">Sfida </w:t>
            </w:r>
            <w:r w:rsidR="0076201B" w:rsidRPr="0076201B">
              <w:rPr>
                <w:rFonts w:ascii="Garamond" w:hAnsi="Garamond" w:cstheme="majorBidi"/>
                <w:color w:val="0D0D0D" w:themeColor="text1" w:themeTint="F2"/>
                <w:sz w:val="20"/>
                <w:szCs w:val="20"/>
                <w:lang w:val="sq-AL"/>
              </w:rPr>
              <w:t xml:space="preserve">kyçe </w:t>
            </w:r>
            <w:r w:rsidRPr="0076201B">
              <w:rPr>
                <w:rFonts w:ascii="Garamond" w:hAnsi="Garamond" w:cstheme="majorBidi"/>
                <w:color w:val="0D0D0D" w:themeColor="text1" w:themeTint="F2"/>
                <w:sz w:val="20"/>
                <w:szCs w:val="20"/>
                <w:lang w:val="sq-AL"/>
              </w:rPr>
              <w:t>#3</w:t>
            </w:r>
          </w:p>
          <w:p w14:paraId="6BC84110" w14:textId="77777777" w:rsidR="003276FB" w:rsidRPr="0076201B" w:rsidRDefault="003276FB" w:rsidP="00DD5930">
            <w:pPr>
              <w:pStyle w:val="ListParagraph"/>
              <w:snapToGrid w:val="0"/>
              <w:ind w:left="0" w:firstLine="0"/>
              <w:rPr>
                <w:rFonts w:ascii="Garamond" w:hAnsi="Garamond" w:cstheme="majorBidi"/>
                <w:color w:val="0D0D0D" w:themeColor="text1" w:themeTint="F2"/>
                <w:sz w:val="20"/>
                <w:szCs w:val="20"/>
                <w:lang w:val="sq-AL"/>
              </w:rPr>
            </w:pPr>
            <w:r w:rsidRPr="0076201B">
              <w:rPr>
                <w:rFonts w:ascii="Garamond" w:hAnsi="Garamond" w:cstheme="majorBidi"/>
                <w:color w:val="0D0D0D" w:themeColor="text1" w:themeTint="F2"/>
                <w:sz w:val="20"/>
                <w:szCs w:val="20"/>
                <w:lang w:val="sq-AL"/>
              </w:rPr>
              <w:t>Reforma 06: Fuqizimi i luftës kundër informalitetit</w:t>
            </w:r>
          </w:p>
          <w:p w14:paraId="7C750675" w14:textId="77777777" w:rsidR="003276FB" w:rsidRPr="0076201B" w:rsidRDefault="003276FB" w:rsidP="00DD5930">
            <w:pPr>
              <w:pStyle w:val="ListParagraph"/>
              <w:snapToGrid w:val="0"/>
              <w:ind w:left="0" w:firstLine="0"/>
              <w:rPr>
                <w:rFonts w:ascii="Garamond" w:hAnsi="Garamond" w:cstheme="majorBidi"/>
                <w:color w:val="0D0D0D" w:themeColor="text1" w:themeTint="F2"/>
                <w:sz w:val="20"/>
                <w:szCs w:val="20"/>
                <w:lang w:val="sq-AL"/>
              </w:rPr>
            </w:pPr>
            <w:r w:rsidRPr="0076201B">
              <w:rPr>
                <w:rFonts w:ascii="Garamond" w:hAnsi="Garamond" w:cstheme="majorBidi"/>
                <w:color w:val="0D0D0D" w:themeColor="text1" w:themeTint="F2"/>
                <w:sz w:val="20"/>
                <w:szCs w:val="20"/>
                <w:lang w:val="sq-AL"/>
              </w:rPr>
              <w:t xml:space="preserve">Reforma 07: Zhvillimi i kuadrit ligjor për të mbështetur </w:t>
            </w:r>
            <w:r w:rsidRPr="0076201B">
              <w:rPr>
                <w:rFonts w:ascii="Garamond" w:hAnsi="Garamond" w:cstheme="majorBidi"/>
                <w:i/>
                <w:iCs/>
                <w:color w:val="0D0D0D" w:themeColor="text1" w:themeTint="F2"/>
                <w:sz w:val="20"/>
                <w:szCs w:val="20"/>
                <w:lang w:val="sq-AL"/>
              </w:rPr>
              <w:t>start-up</w:t>
            </w:r>
            <w:r w:rsidRPr="0076201B">
              <w:rPr>
                <w:rFonts w:ascii="Garamond" w:hAnsi="Garamond" w:cstheme="majorBidi"/>
                <w:color w:val="0D0D0D" w:themeColor="text1" w:themeTint="F2"/>
                <w:sz w:val="20"/>
                <w:szCs w:val="20"/>
                <w:lang w:val="sq-AL"/>
              </w:rPr>
              <w:t xml:space="preserve"> inovative</w:t>
            </w:r>
          </w:p>
          <w:p w14:paraId="3085BC41" w14:textId="77777777" w:rsidR="003276FB" w:rsidRPr="0076201B" w:rsidRDefault="003276FB" w:rsidP="00DD5930">
            <w:pPr>
              <w:pStyle w:val="ListParagraph"/>
              <w:snapToGrid w:val="0"/>
              <w:ind w:left="0" w:firstLine="0"/>
              <w:rPr>
                <w:rFonts w:ascii="Garamond" w:hAnsi="Garamond" w:cstheme="majorBidi"/>
                <w:color w:val="0D0D0D" w:themeColor="text1" w:themeTint="F2"/>
                <w:sz w:val="20"/>
                <w:szCs w:val="20"/>
                <w:lang w:val="sq-AL"/>
              </w:rPr>
            </w:pPr>
            <w:r w:rsidRPr="0076201B">
              <w:rPr>
                <w:rFonts w:ascii="Garamond" w:hAnsi="Garamond" w:cstheme="majorBidi"/>
                <w:color w:val="0D0D0D" w:themeColor="text1" w:themeTint="F2"/>
                <w:sz w:val="20"/>
                <w:szCs w:val="20"/>
                <w:lang w:val="sq-AL"/>
              </w:rPr>
              <w:t>Reforma 08: Masat mbështetëse për NMVM</w:t>
            </w:r>
          </w:p>
        </w:tc>
      </w:tr>
      <w:tr w:rsidR="00821FA5" w:rsidRPr="003A3E5B" w14:paraId="11922FB1" w14:textId="77777777" w:rsidTr="0076201B">
        <w:trPr>
          <w:jc w:val="center"/>
        </w:trPr>
        <w:tc>
          <w:tcPr>
            <w:tcW w:w="10343" w:type="dxa"/>
          </w:tcPr>
          <w:p w14:paraId="611D1DC4" w14:textId="53DC92C7" w:rsidR="003276FB" w:rsidRPr="003A3E5B" w:rsidRDefault="00DD5930" w:rsidP="00DD5930">
            <w:pPr>
              <w:pStyle w:val="ListParagraph"/>
              <w:snapToGrid w:val="0"/>
              <w:ind w:left="0" w:firstLine="0"/>
              <w:rPr>
                <w:rFonts w:ascii="Garamond" w:hAnsi="Garamond" w:cstheme="majorBidi"/>
                <w:color w:val="0D0D0D" w:themeColor="text1" w:themeTint="F2"/>
                <w:sz w:val="20"/>
                <w:szCs w:val="20"/>
                <w:lang w:val="sq-AL"/>
              </w:rPr>
            </w:pPr>
            <w:r w:rsidRPr="0076201B">
              <w:rPr>
                <w:rFonts w:ascii="Garamond" w:hAnsi="Garamond" w:cstheme="majorBidi"/>
                <w:color w:val="0D0D0D" w:themeColor="text1" w:themeTint="F2"/>
                <w:sz w:val="20"/>
                <w:szCs w:val="20"/>
                <w:lang w:val="sq-AL"/>
              </w:rPr>
              <w:t xml:space="preserve">B) </w:t>
            </w:r>
            <w:r w:rsidR="003276FB" w:rsidRPr="0076201B">
              <w:rPr>
                <w:rFonts w:ascii="Garamond" w:hAnsi="Garamond" w:cstheme="majorBidi"/>
                <w:color w:val="0D0D0D" w:themeColor="text1" w:themeTint="F2"/>
                <w:sz w:val="20"/>
                <w:szCs w:val="20"/>
                <w:lang w:val="sq-AL"/>
              </w:rPr>
              <w:t>R</w:t>
            </w:r>
            <w:r w:rsidR="003276FB" w:rsidRPr="003A3E5B">
              <w:rPr>
                <w:rFonts w:ascii="Garamond" w:hAnsi="Garamond" w:cstheme="majorBidi"/>
                <w:color w:val="0D0D0D" w:themeColor="text1" w:themeTint="F2"/>
                <w:sz w:val="20"/>
                <w:szCs w:val="20"/>
                <w:lang w:val="sq-AL"/>
              </w:rPr>
              <w:t>eformat që trajtojnë sfida të tjera</w:t>
            </w:r>
          </w:p>
          <w:p w14:paraId="20EBDCFA" w14:textId="2D67DBE2" w:rsidR="003276FB" w:rsidRPr="003A3E5B" w:rsidRDefault="003276FB" w:rsidP="00DD5930">
            <w:pPr>
              <w:pStyle w:val="ListParagraph"/>
              <w:snapToGrid w:val="0"/>
              <w:ind w:left="0" w:firstLine="0"/>
              <w:rPr>
                <w:rFonts w:ascii="Garamond" w:hAnsi="Garamond" w:cstheme="majorBidi"/>
                <w:color w:val="0D0D0D" w:themeColor="text1" w:themeTint="F2"/>
                <w:sz w:val="20"/>
                <w:szCs w:val="20"/>
                <w:lang w:val="sq-AL"/>
              </w:rPr>
            </w:pPr>
            <w:r w:rsidRPr="003A3E5B">
              <w:rPr>
                <w:rFonts w:ascii="Garamond" w:hAnsi="Garamond" w:cstheme="majorBidi"/>
                <w:color w:val="0D0D0D" w:themeColor="text1" w:themeTint="F2"/>
                <w:sz w:val="20"/>
                <w:szCs w:val="20"/>
                <w:lang w:val="sq-AL"/>
              </w:rPr>
              <w:t xml:space="preserve">Menaxhimi i </w:t>
            </w:r>
            <w:r w:rsidR="0076201B" w:rsidRPr="003A3E5B">
              <w:rPr>
                <w:rFonts w:ascii="Garamond" w:hAnsi="Garamond" w:cstheme="majorBidi"/>
                <w:color w:val="0D0D0D" w:themeColor="text1" w:themeTint="F2"/>
                <w:sz w:val="20"/>
                <w:szCs w:val="20"/>
                <w:lang w:val="sq-AL"/>
              </w:rPr>
              <w:t>financave publike</w:t>
            </w:r>
          </w:p>
          <w:p w14:paraId="13893505" w14:textId="77777777" w:rsidR="003276FB" w:rsidRPr="003A3E5B" w:rsidRDefault="00C452AA" w:rsidP="00DD5930">
            <w:pPr>
              <w:pStyle w:val="ListParagraph"/>
              <w:snapToGrid w:val="0"/>
              <w:ind w:left="0" w:firstLine="0"/>
              <w:rPr>
                <w:rFonts w:ascii="Garamond" w:hAnsi="Garamond" w:cstheme="majorBidi"/>
                <w:color w:val="0D0D0D" w:themeColor="text1" w:themeTint="F2"/>
                <w:sz w:val="20"/>
                <w:szCs w:val="20"/>
                <w:lang w:val="sq-AL"/>
              </w:rPr>
            </w:pPr>
            <w:r w:rsidRPr="003A3E5B">
              <w:rPr>
                <w:rFonts w:ascii="Garamond" w:hAnsi="Garamond" w:cstheme="majorBidi"/>
                <w:color w:val="0D0D0D" w:themeColor="text1" w:themeTint="F2"/>
                <w:sz w:val="20"/>
                <w:szCs w:val="20"/>
                <w:lang w:val="sq-AL"/>
              </w:rPr>
              <w:t xml:space="preserve">Reforma </w:t>
            </w:r>
            <w:r w:rsidR="003276FB" w:rsidRPr="003A3E5B">
              <w:rPr>
                <w:rFonts w:ascii="Garamond" w:hAnsi="Garamond" w:cstheme="majorBidi"/>
                <w:color w:val="0D0D0D" w:themeColor="text1" w:themeTint="F2"/>
                <w:sz w:val="20"/>
                <w:szCs w:val="20"/>
                <w:lang w:val="sq-AL"/>
              </w:rPr>
              <w:t>0</w:t>
            </w:r>
            <w:r w:rsidRPr="003A3E5B">
              <w:rPr>
                <w:rFonts w:ascii="Garamond" w:hAnsi="Garamond" w:cstheme="majorBidi"/>
                <w:color w:val="0D0D0D" w:themeColor="text1" w:themeTint="F2"/>
                <w:sz w:val="20"/>
                <w:szCs w:val="20"/>
                <w:lang w:val="sq-AL"/>
              </w:rPr>
              <w:t>9</w:t>
            </w:r>
            <w:r w:rsidR="003276FB" w:rsidRPr="003A3E5B">
              <w:rPr>
                <w:rFonts w:ascii="Garamond" w:hAnsi="Garamond" w:cstheme="majorBidi"/>
                <w:color w:val="0D0D0D" w:themeColor="text1" w:themeTint="F2"/>
                <w:sz w:val="20"/>
                <w:szCs w:val="20"/>
                <w:lang w:val="sq-AL"/>
              </w:rPr>
              <w:t>: Investimet strategjike publike</w:t>
            </w:r>
          </w:p>
          <w:p w14:paraId="11C3BE43" w14:textId="77777777" w:rsidR="00C452AA" w:rsidRPr="003A3E5B" w:rsidRDefault="00C452AA" w:rsidP="00DD5930">
            <w:pPr>
              <w:pStyle w:val="ListParagraph"/>
              <w:snapToGrid w:val="0"/>
              <w:ind w:left="0" w:firstLine="0"/>
              <w:rPr>
                <w:rFonts w:ascii="Garamond" w:hAnsi="Garamond" w:cstheme="majorBidi"/>
                <w:color w:val="0D0D0D" w:themeColor="text1" w:themeTint="F2"/>
                <w:sz w:val="20"/>
                <w:szCs w:val="20"/>
                <w:lang w:val="sq-AL"/>
              </w:rPr>
            </w:pPr>
            <w:r w:rsidRPr="003A3E5B">
              <w:rPr>
                <w:rFonts w:ascii="Garamond" w:hAnsi="Garamond" w:cstheme="majorBidi"/>
                <w:color w:val="0D0D0D" w:themeColor="text1" w:themeTint="F2"/>
                <w:sz w:val="20"/>
                <w:szCs w:val="20"/>
                <w:lang w:val="sq-AL"/>
              </w:rPr>
              <w:t xml:space="preserve">Reforma 10: </w:t>
            </w:r>
            <w:r w:rsidR="00ED69FC" w:rsidRPr="003A3E5B">
              <w:rPr>
                <w:rFonts w:ascii="Garamond" w:hAnsi="Garamond" w:cstheme="majorBidi"/>
                <w:color w:val="0D0D0D" w:themeColor="text1" w:themeTint="F2"/>
                <w:sz w:val="20"/>
                <w:szCs w:val="20"/>
                <w:lang w:val="sq-AL"/>
              </w:rPr>
              <w:t>Forcimi i përgjegjshmërisë menaxheriale në njësitë e qeverisjes së përgjithshme</w:t>
            </w:r>
          </w:p>
          <w:p w14:paraId="0A227E39" w14:textId="28DBE457" w:rsidR="00C452AA" w:rsidRPr="003A3E5B" w:rsidRDefault="00C452AA" w:rsidP="00DD5930">
            <w:pPr>
              <w:pStyle w:val="ListParagraph"/>
              <w:snapToGrid w:val="0"/>
              <w:ind w:left="0" w:firstLine="0"/>
              <w:rPr>
                <w:rFonts w:ascii="Garamond" w:hAnsi="Garamond" w:cstheme="majorBidi"/>
                <w:bCs/>
                <w:color w:val="0D0D0D" w:themeColor="text1" w:themeTint="F2"/>
                <w:sz w:val="20"/>
                <w:szCs w:val="20"/>
                <w:lang w:val="sq-AL"/>
              </w:rPr>
            </w:pPr>
            <w:r w:rsidRPr="003A3E5B">
              <w:rPr>
                <w:rFonts w:ascii="Garamond" w:hAnsi="Garamond" w:cstheme="majorBidi"/>
                <w:bCs/>
                <w:color w:val="0D0D0D" w:themeColor="text1" w:themeTint="F2"/>
                <w:sz w:val="20"/>
                <w:szCs w:val="20"/>
                <w:lang w:val="sq-AL"/>
              </w:rPr>
              <w:t xml:space="preserve">Tranzicioni i </w:t>
            </w:r>
            <w:r w:rsidR="0076201B" w:rsidRPr="003A3E5B">
              <w:rPr>
                <w:rFonts w:ascii="Garamond" w:hAnsi="Garamond" w:cstheme="majorBidi"/>
                <w:bCs/>
                <w:color w:val="0D0D0D" w:themeColor="text1" w:themeTint="F2"/>
                <w:sz w:val="20"/>
                <w:szCs w:val="20"/>
                <w:lang w:val="sq-AL"/>
              </w:rPr>
              <w:t>gjelbër</w:t>
            </w:r>
          </w:p>
          <w:p w14:paraId="68510408" w14:textId="1AFE48B9" w:rsidR="00C452AA" w:rsidRPr="003A3E5B" w:rsidRDefault="00C452AA" w:rsidP="00DD5930">
            <w:pPr>
              <w:pStyle w:val="ListParagraph"/>
              <w:snapToGrid w:val="0"/>
              <w:ind w:left="0" w:firstLine="0"/>
              <w:rPr>
                <w:rFonts w:ascii="Garamond" w:hAnsi="Garamond" w:cstheme="majorBidi"/>
                <w:bCs/>
                <w:color w:val="0D0D0D" w:themeColor="text1" w:themeTint="F2"/>
                <w:sz w:val="20"/>
                <w:szCs w:val="20"/>
                <w:lang w:val="sq-AL"/>
              </w:rPr>
            </w:pPr>
            <w:r w:rsidRPr="003A3E5B">
              <w:rPr>
                <w:rFonts w:ascii="Garamond" w:hAnsi="Garamond" w:cstheme="majorBidi"/>
                <w:bCs/>
                <w:color w:val="0D0D0D" w:themeColor="text1" w:themeTint="F2"/>
                <w:sz w:val="20"/>
                <w:szCs w:val="20"/>
                <w:lang w:val="sq-AL"/>
              </w:rPr>
              <w:t xml:space="preserve">Reforma 11: Reduktimi i </w:t>
            </w:r>
            <w:r w:rsidR="00ED69FC" w:rsidRPr="003A3E5B">
              <w:rPr>
                <w:rFonts w:ascii="Garamond" w:hAnsi="Garamond" w:cstheme="majorBidi"/>
                <w:bCs/>
                <w:color w:val="0D0D0D" w:themeColor="text1" w:themeTint="F2"/>
                <w:sz w:val="20"/>
                <w:szCs w:val="20"/>
                <w:lang w:val="sq-AL"/>
              </w:rPr>
              <w:t>ndotjes s</w:t>
            </w:r>
            <w:r w:rsidR="00ED69FC" w:rsidRPr="003A3E5B">
              <w:rPr>
                <w:rFonts w:ascii="Garamond" w:hAnsi="Garamond" w:cstheme="majorBidi"/>
                <w:color w:val="0D0D0D" w:themeColor="text1" w:themeTint="F2"/>
                <w:sz w:val="20"/>
                <w:szCs w:val="20"/>
                <w:lang w:val="sq-AL"/>
              </w:rPr>
              <w:t>ë mjedisit dhe promovimi i dekarbonizimit të</w:t>
            </w:r>
            <w:r w:rsidRPr="003A3E5B">
              <w:rPr>
                <w:rFonts w:ascii="Garamond" w:hAnsi="Garamond" w:cstheme="majorBidi"/>
                <w:bCs/>
                <w:color w:val="0D0D0D" w:themeColor="text1" w:themeTint="F2"/>
                <w:sz w:val="20"/>
                <w:szCs w:val="20"/>
                <w:lang w:val="sq-AL"/>
              </w:rPr>
              <w:t xml:space="preserve"> </w:t>
            </w:r>
            <w:r w:rsidR="0076201B" w:rsidRPr="003A3E5B">
              <w:rPr>
                <w:rFonts w:ascii="Garamond" w:hAnsi="Garamond" w:cstheme="majorBidi"/>
                <w:bCs/>
                <w:color w:val="0D0D0D" w:themeColor="text1" w:themeTint="F2"/>
                <w:sz w:val="20"/>
                <w:szCs w:val="20"/>
                <w:lang w:val="sq-AL"/>
              </w:rPr>
              <w:t>industrive</w:t>
            </w:r>
            <w:r w:rsidR="00ED69FC" w:rsidRPr="003A3E5B">
              <w:rPr>
                <w:rFonts w:ascii="Garamond" w:hAnsi="Garamond" w:cstheme="majorBidi"/>
                <w:bCs/>
                <w:color w:val="0D0D0D" w:themeColor="text1" w:themeTint="F2"/>
                <w:sz w:val="20"/>
                <w:szCs w:val="20"/>
                <w:lang w:val="sq-AL"/>
              </w:rPr>
              <w:t xml:space="preserve"> me intensitet energjie</w:t>
            </w:r>
          </w:p>
          <w:p w14:paraId="3B0BB4FF" w14:textId="56129188" w:rsidR="003276FB" w:rsidRPr="003A3E5B" w:rsidRDefault="00863BC8" w:rsidP="00DD5930">
            <w:pPr>
              <w:pStyle w:val="ListParagraph"/>
              <w:snapToGrid w:val="0"/>
              <w:ind w:left="0" w:firstLine="0"/>
              <w:rPr>
                <w:rFonts w:ascii="Garamond" w:hAnsi="Garamond" w:cstheme="majorBidi"/>
                <w:bCs/>
                <w:color w:val="0D0D0D" w:themeColor="text1" w:themeTint="F2"/>
                <w:sz w:val="20"/>
                <w:szCs w:val="20"/>
                <w:lang w:val="sq-AL"/>
              </w:rPr>
            </w:pPr>
            <w:r w:rsidRPr="003A3E5B">
              <w:rPr>
                <w:rFonts w:ascii="Garamond" w:hAnsi="Garamond" w:cstheme="majorBidi"/>
                <w:bCs/>
                <w:color w:val="0D0D0D" w:themeColor="text1" w:themeTint="F2"/>
                <w:sz w:val="20"/>
                <w:szCs w:val="20"/>
                <w:lang w:val="sq-AL"/>
              </w:rPr>
              <w:t xml:space="preserve">Transformimi </w:t>
            </w:r>
            <w:r w:rsidR="003F4C96" w:rsidRPr="003A3E5B">
              <w:rPr>
                <w:rFonts w:ascii="Garamond" w:hAnsi="Garamond" w:cstheme="majorBidi"/>
                <w:bCs/>
                <w:color w:val="0D0D0D" w:themeColor="text1" w:themeTint="F2"/>
                <w:sz w:val="20"/>
                <w:szCs w:val="20"/>
                <w:lang w:val="sq-AL"/>
              </w:rPr>
              <w:t>digjital</w:t>
            </w:r>
            <w:r w:rsidRPr="003A3E5B">
              <w:rPr>
                <w:rFonts w:ascii="Garamond" w:hAnsi="Garamond" w:cstheme="majorBidi"/>
                <w:bCs/>
                <w:color w:val="0D0D0D" w:themeColor="text1" w:themeTint="F2"/>
                <w:sz w:val="20"/>
                <w:szCs w:val="20"/>
                <w:lang w:val="sq-AL"/>
              </w:rPr>
              <w:t>, kërkim, zhvillim dhe inovacion</w:t>
            </w:r>
          </w:p>
          <w:p w14:paraId="4B2B681D" w14:textId="3137FD00" w:rsidR="003276FB" w:rsidRPr="003A3E5B" w:rsidRDefault="003276FB" w:rsidP="00DD5930">
            <w:pPr>
              <w:pStyle w:val="ListParagraph"/>
              <w:snapToGrid w:val="0"/>
              <w:ind w:left="0" w:firstLine="0"/>
              <w:rPr>
                <w:rFonts w:ascii="Garamond" w:hAnsi="Garamond" w:cstheme="majorBidi"/>
                <w:color w:val="0D0D0D" w:themeColor="text1" w:themeTint="F2"/>
                <w:sz w:val="20"/>
                <w:szCs w:val="20"/>
                <w:lang w:val="sq-AL"/>
              </w:rPr>
            </w:pPr>
            <w:r w:rsidRPr="003A3E5B">
              <w:rPr>
                <w:rFonts w:ascii="Garamond" w:hAnsi="Garamond" w:cstheme="majorBidi"/>
                <w:color w:val="0D0D0D" w:themeColor="text1" w:themeTint="F2"/>
                <w:sz w:val="20"/>
                <w:szCs w:val="20"/>
                <w:lang w:val="sq-AL"/>
              </w:rPr>
              <w:t>Reforma 1</w:t>
            </w:r>
            <w:r w:rsidR="00C452AA" w:rsidRPr="003A3E5B">
              <w:rPr>
                <w:rFonts w:ascii="Garamond" w:hAnsi="Garamond" w:cstheme="majorBidi"/>
                <w:color w:val="0D0D0D" w:themeColor="text1" w:themeTint="F2"/>
                <w:sz w:val="20"/>
                <w:szCs w:val="20"/>
                <w:lang w:val="sq-AL"/>
              </w:rPr>
              <w:t>2</w:t>
            </w:r>
            <w:r w:rsidRPr="003A3E5B">
              <w:rPr>
                <w:rFonts w:ascii="Garamond" w:hAnsi="Garamond" w:cstheme="majorBidi"/>
                <w:color w:val="0D0D0D" w:themeColor="text1" w:themeTint="F2"/>
                <w:sz w:val="20"/>
                <w:szCs w:val="20"/>
                <w:lang w:val="sq-AL"/>
              </w:rPr>
              <w:t xml:space="preserve">: Zhvillimi i infrastrukturës </w:t>
            </w:r>
            <w:r w:rsidR="00CB7B7F" w:rsidRPr="003A3E5B">
              <w:rPr>
                <w:rFonts w:ascii="Garamond" w:hAnsi="Garamond" w:cstheme="majorBidi"/>
                <w:i/>
                <w:iCs/>
                <w:color w:val="0D0D0D" w:themeColor="text1" w:themeTint="F2"/>
                <w:sz w:val="20"/>
                <w:szCs w:val="20"/>
                <w:lang w:val="sq-AL"/>
              </w:rPr>
              <w:t>broadband</w:t>
            </w:r>
            <w:r w:rsidRPr="003A3E5B">
              <w:rPr>
                <w:rFonts w:ascii="Garamond" w:hAnsi="Garamond" w:cstheme="majorBidi"/>
                <w:color w:val="0D0D0D" w:themeColor="text1" w:themeTint="F2"/>
                <w:sz w:val="20"/>
                <w:szCs w:val="20"/>
                <w:lang w:val="sq-AL"/>
              </w:rPr>
              <w:t xml:space="preserve"> për ekonominë digjitale</w:t>
            </w:r>
          </w:p>
          <w:p w14:paraId="2594D2B5" w14:textId="69E2FF88" w:rsidR="003276FB" w:rsidRPr="003A3E5B" w:rsidRDefault="003276FB" w:rsidP="00DD5930">
            <w:pPr>
              <w:pStyle w:val="ListParagraph"/>
              <w:snapToGrid w:val="0"/>
              <w:ind w:left="0" w:firstLine="0"/>
              <w:rPr>
                <w:rFonts w:ascii="Garamond" w:hAnsi="Garamond" w:cstheme="majorBidi"/>
                <w:color w:val="0D0D0D" w:themeColor="text1" w:themeTint="F2"/>
                <w:sz w:val="20"/>
                <w:szCs w:val="20"/>
                <w:lang w:val="sq-AL"/>
              </w:rPr>
            </w:pPr>
            <w:r w:rsidRPr="003A3E5B">
              <w:rPr>
                <w:rFonts w:ascii="Garamond" w:hAnsi="Garamond" w:cstheme="majorBidi"/>
                <w:color w:val="0D0D0D" w:themeColor="text1" w:themeTint="F2"/>
                <w:sz w:val="20"/>
                <w:szCs w:val="20"/>
                <w:lang w:val="sq-AL"/>
              </w:rPr>
              <w:t xml:space="preserve">Integrimi </w:t>
            </w:r>
            <w:r w:rsidR="0076201B" w:rsidRPr="003A3E5B">
              <w:rPr>
                <w:rFonts w:ascii="Garamond" w:hAnsi="Garamond" w:cstheme="majorBidi"/>
                <w:color w:val="0D0D0D" w:themeColor="text1" w:themeTint="F2"/>
                <w:sz w:val="20"/>
                <w:szCs w:val="20"/>
                <w:lang w:val="sq-AL"/>
              </w:rPr>
              <w:t>ekonomik</w:t>
            </w:r>
          </w:p>
          <w:p w14:paraId="59642086" w14:textId="77777777" w:rsidR="003276FB" w:rsidRPr="003A3E5B" w:rsidRDefault="003276FB" w:rsidP="00DD5930">
            <w:pPr>
              <w:pStyle w:val="ListParagraph"/>
              <w:snapToGrid w:val="0"/>
              <w:ind w:left="0" w:firstLine="0"/>
              <w:rPr>
                <w:rFonts w:ascii="Garamond" w:hAnsi="Garamond" w:cstheme="majorBidi"/>
                <w:color w:val="0D0D0D" w:themeColor="text1" w:themeTint="F2"/>
                <w:sz w:val="20"/>
                <w:szCs w:val="20"/>
                <w:lang w:val="sq-AL"/>
              </w:rPr>
            </w:pPr>
            <w:r w:rsidRPr="003A3E5B">
              <w:rPr>
                <w:rFonts w:ascii="Garamond" w:hAnsi="Garamond" w:cstheme="majorBidi"/>
                <w:color w:val="0D0D0D" w:themeColor="text1" w:themeTint="F2"/>
                <w:sz w:val="20"/>
                <w:szCs w:val="20"/>
                <w:lang w:val="sq-AL"/>
              </w:rPr>
              <w:t>Reforma 1</w:t>
            </w:r>
            <w:r w:rsidR="00C452AA" w:rsidRPr="003A3E5B">
              <w:rPr>
                <w:rFonts w:ascii="Garamond" w:hAnsi="Garamond" w:cstheme="majorBidi"/>
                <w:color w:val="0D0D0D" w:themeColor="text1" w:themeTint="F2"/>
                <w:sz w:val="20"/>
                <w:szCs w:val="20"/>
                <w:lang w:val="sq-AL"/>
              </w:rPr>
              <w:t>3</w:t>
            </w:r>
            <w:r w:rsidRPr="003A3E5B">
              <w:rPr>
                <w:rFonts w:ascii="Garamond" w:hAnsi="Garamond" w:cstheme="majorBidi"/>
                <w:color w:val="0D0D0D" w:themeColor="text1" w:themeTint="F2"/>
                <w:sz w:val="20"/>
                <w:szCs w:val="20"/>
                <w:lang w:val="sq-AL"/>
              </w:rPr>
              <w:t>: Thellimi i integrimit ekonomik</w:t>
            </w:r>
          </w:p>
          <w:p w14:paraId="59234263" w14:textId="77777777" w:rsidR="003276FB" w:rsidRPr="003A3E5B" w:rsidRDefault="003276FB" w:rsidP="00DD5930">
            <w:pPr>
              <w:pStyle w:val="ListParagraph"/>
              <w:snapToGrid w:val="0"/>
              <w:ind w:left="0" w:firstLine="0"/>
              <w:rPr>
                <w:rFonts w:ascii="Garamond" w:hAnsi="Garamond" w:cstheme="majorBidi"/>
                <w:color w:val="0D0D0D" w:themeColor="text1" w:themeTint="F2"/>
                <w:sz w:val="20"/>
                <w:szCs w:val="20"/>
                <w:lang w:val="sq-AL"/>
              </w:rPr>
            </w:pPr>
            <w:r w:rsidRPr="003A3E5B">
              <w:rPr>
                <w:rFonts w:ascii="Garamond" w:hAnsi="Garamond" w:cstheme="majorBidi"/>
                <w:color w:val="0D0D0D" w:themeColor="text1" w:themeTint="F2"/>
                <w:sz w:val="20"/>
                <w:szCs w:val="20"/>
                <w:lang w:val="sq-AL"/>
              </w:rPr>
              <w:t>Energjia</w:t>
            </w:r>
          </w:p>
          <w:p w14:paraId="38B6AEC0" w14:textId="200F626D" w:rsidR="003276FB" w:rsidRPr="003A3E5B" w:rsidRDefault="003276FB" w:rsidP="00DD5930">
            <w:pPr>
              <w:pStyle w:val="ListParagraph"/>
              <w:snapToGrid w:val="0"/>
              <w:ind w:left="0" w:firstLine="0"/>
              <w:rPr>
                <w:rFonts w:ascii="Garamond" w:hAnsi="Garamond" w:cstheme="majorBidi"/>
                <w:color w:val="0D0D0D" w:themeColor="text1" w:themeTint="F2"/>
                <w:sz w:val="20"/>
                <w:szCs w:val="20"/>
                <w:lang w:val="sq-AL"/>
              </w:rPr>
            </w:pPr>
            <w:r w:rsidRPr="003A3E5B">
              <w:rPr>
                <w:rFonts w:ascii="Garamond" w:hAnsi="Garamond" w:cstheme="majorBidi"/>
                <w:color w:val="0D0D0D" w:themeColor="text1" w:themeTint="F2"/>
                <w:sz w:val="20"/>
                <w:szCs w:val="20"/>
                <w:lang w:val="sq-AL"/>
              </w:rPr>
              <w:t>Reforma 1</w:t>
            </w:r>
            <w:r w:rsidR="00C452AA" w:rsidRPr="003A3E5B">
              <w:rPr>
                <w:rFonts w:ascii="Garamond" w:hAnsi="Garamond" w:cstheme="majorBidi"/>
                <w:color w:val="0D0D0D" w:themeColor="text1" w:themeTint="F2"/>
                <w:sz w:val="20"/>
                <w:szCs w:val="20"/>
                <w:lang w:val="sq-AL"/>
              </w:rPr>
              <w:t>4</w:t>
            </w:r>
            <w:r w:rsidRPr="003A3E5B">
              <w:rPr>
                <w:rFonts w:ascii="Garamond" w:hAnsi="Garamond" w:cstheme="majorBidi"/>
                <w:color w:val="0D0D0D" w:themeColor="text1" w:themeTint="F2"/>
                <w:sz w:val="20"/>
                <w:szCs w:val="20"/>
                <w:lang w:val="sq-AL"/>
              </w:rPr>
              <w:t xml:space="preserve">: </w:t>
            </w:r>
            <w:r w:rsidR="00ED69FC" w:rsidRPr="003A3E5B">
              <w:rPr>
                <w:rFonts w:ascii="Garamond" w:hAnsi="Garamond" w:cstheme="majorBidi"/>
                <w:color w:val="0D0D0D" w:themeColor="text1" w:themeTint="F2"/>
                <w:sz w:val="20"/>
                <w:szCs w:val="20"/>
                <w:lang w:val="sq-AL"/>
              </w:rPr>
              <w:t xml:space="preserve">Siguria energjetike përmes liberalizimit të tregut të energjisë, promovimit të burimeve të rinovueshme dhe përmirësimit të </w:t>
            </w:r>
            <w:r w:rsidR="00421485" w:rsidRPr="003A3E5B">
              <w:rPr>
                <w:rFonts w:ascii="Garamond" w:hAnsi="Garamond" w:cstheme="majorBidi"/>
                <w:color w:val="0D0D0D" w:themeColor="text1" w:themeTint="F2"/>
                <w:sz w:val="20"/>
                <w:szCs w:val="20"/>
                <w:lang w:val="sq-AL"/>
              </w:rPr>
              <w:t>eficienc</w:t>
            </w:r>
            <w:r w:rsidR="00ED69FC" w:rsidRPr="003A3E5B">
              <w:rPr>
                <w:rFonts w:ascii="Garamond" w:hAnsi="Garamond" w:cstheme="majorBidi"/>
                <w:color w:val="0D0D0D" w:themeColor="text1" w:themeTint="F2"/>
                <w:sz w:val="20"/>
                <w:szCs w:val="20"/>
                <w:lang w:val="sq-AL"/>
              </w:rPr>
              <w:t>ës së energjisë</w:t>
            </w:r>
          </w:p>
          <w:p w14:paraId="5D764266" w14:textId="77777777" w:rsidR="003276FB" w:rsidRPr="003A3E5B" w:rsidRDefault="003276FB" w:rsidP="00DD5930">
            <w:pPr>
              <w:pStyle w:val="ListParagraph"/>
              <w:snapToGrid w:val="0"/>
              <w:ind w:left="0" w:firstLine="0"/>
              <w:rPr>
                <w:rFonts w:ascii="Garamond" w:hAnsi="Garamond" w:cstheme="majorBidi"/>
                <w:color w:val="0D0D0D" w:themeColor="text1" w:themeTint="F2"/>
                <w:sz w:val="20"/>
                <w:szCs w:val="20"/>
                <w:lang w:val="sq-AL"/>
              </w:rPr>
            </w:pPr>
            <w:r w:rsidRPr="003A3E5B">
              <w:rPr>
                <w:rFonts w:ascii="Garamond" w:hAnsi="Garamond" w:cstheme="majorBidi"/>
                <w:color w:val="0D0D0D" w:themeColor="text1" w:themeTint="F2"/>
                <w:sz w:val="20"/>
                <w:szCs w:val="20"/>
                <w:lang w:val="sq-AL"/>
              </w:rPr>
              <w:t>Transporti</w:t>
            </w:r>
          </w:p>
          <w:p w14:paraId="1CDE2A02" w14:textId="59DCA4F3" w:rsidR="003276FB" w:rsidRPr="003A3E5B" w:rsidRDefault="003276FB" w:rsidP="00DD5930">
            <w:pPr>
              <w:pStyle w:val="ListParagraph"/>
              <w:snapToGrid w:val="0"/>
              <w:ind w:left="0" w:firstLine="0"/>
              <w:rPr>
                <w:rFonts w:ascii="Garamond" w:hAnsi="Garamond" w:cstheme="majorBidi"/>
                <w:color w:val="0D0D0D" w:themeColor="text1" w:themeTint="F2"/>
                <w:sz w:val="20"/>
                <w:szCs w:val="20"/>
                <w:lang w:val="sq-AL"/>
              </w:rPr>
            </w:pPr>
            <w:r w:rsidRPr="003A3E5B">
              <w:rPr>
                <w:rFonts w:ascii="Garamond" w:hAnsi="Garamond" w:cstheme="majorBidi"/>
                <w:color w:val="0D0D0D" w:themeColor="text1" w:themeTint="F2"/>
                <w:sz w:val="20"/>
                <w:szCs w:val="20"/>
                <w:lang w:val="sq-AL"/>
              </w:rPr>
              <w:t>Reforma 1</w:t>
            </w:r>
            <w:r w:rsidR="00C452AA" w:rsidRPr="003A3E5B">
              <w:rPr>
                <w:rFonts w:ascii="Garamond" w:hAnsi="Garamond" w:cstheme="majorBidi"/>
                <w:color w:val="0D0D0D" w:themeColor="text1" w:themeTint="F2"/>
                <w:sz w:val="20"/>
                <w:szCs w:val="20"/>
                <w:lang w:val="sq-AL"/>
              </w:rPr>
              <w:t>5</w:t>
            </w:r>
            <w:r w:rsidRPr="003A3E5B">
              <w:rPr>
                <w:rFonts w:ascii="Garamond" w:hAnsi="Garamond" w:cstheme="majorBidi"/>
                <w:color w:val="0D0D0D" w:themeColor="text1" w:themeTint="F2"/>
                <w:sz w:val="20"/>
                <w:szCs w:val="20"/>
                <w:lang w:val="sq-AL"/>
              </w:rPr>
              <w:t>: Rehabilitimi dhe ndërtimi i segmentit hekurudhor Durrës</w:t>
            </w:r>
            <w:r w:rsidR="0076201B" w:rsidRPr="003A3E5B">
              <w:rPr>
                <w:rFonts w:ascii="Garamond" w:hAnsi="Garamond" w:cstheme="majorBidi"/>
                <w:color w:val="0D0D0D" w:themeColor="text1" w:themeTint="F2"/>
                <w:sz w:val="20"/>
                <w:szCs w:val="20"/>
                <w:lang w:val="sq-AL"/>
              </w:rPr>
              <w:t>–</w:t>
            </w:r>
            <w:r w:rsidRPr="003A3E5B">
              <w:rPr>
                <w:rFonts w:ascii="Garamond" w:hAnsi="Garamond" w:cstheme="majorBidi"/>
                <w:color w:val="0D0D0D" w:themeColor="text1" w:themeTint="F2"/>
                <w:sz w:val="20"/>
                <w:szCs w:val="20"/>
                <w:lang w:val="sq-AL"/>
              </w:rPr>
              <w:t>TIA</w:t>
            </w:r>
            <w:r w:rsidR="0076201B" w:rsidRPr="003A3E5B">
              <w:rPr>
                <w:rFonts w:ascii="Garamond" w:hAnsi="Garamond" w:cstheme="majorBidi"/>
                <w:color w:val="0D0D0D" w:themeColor="text1" w:themeTint="F2"/>
                <w:sz w:val="20"/>
                <w:szCs w:val="20"/>
                <w:lang w:val="sq-AL"/>
              </w:rPr>
              <w:t>–</w:t>
            </w:r>
            <w:r w:rsidRPr="003A3E5B">
              <w:rPr>
                <w:rFonts w:ascii="Garamond" w:hAnsi="Garamond" w:cstheme="majorBidi"/>
                <w:color w:val="0D0D0D" w:themeColor="text1" w:themeTint="F2"/>
                <w:sz w:val="20"/>
                <w:szCs w:val="20"/>
                <w:lang w:val="sq-AL"/>
              </w:rPr>
              <w:t>Tiranë</w:t>
            </w:r>
          </w:p>
          <w:p w14:paraId="658BB08A" w14:textId="77777777" w:rsidR="003276FB" w:rsidRPr="003A3E5B" w:rsidRDefault="003276FB" w:rsidP="00DD5930">
            <w:pPr>
              <w:pStyle w:val="ListParagraph"/>
              <w:snapToGrid w:val="0"/>
              <w:ind w:left="0" w:firstLine="0"/>
              <w:rPr>
                <w:rFonts w:ascii="Garamond" w:hAnsi="Garamond" w:cstheme="majorBidi"/>
                <w:color w:val="0D0D0D" w:themeColor="text1" w:themeTint="F2"/>
                <w:sz w:val="20"/>
                <w:szCs w:val="20"/>
                <w:lang w:val="sq-AL"/>
              </w:rPr>
            </w:pPr>
            <w:r w:rsidRPr="003A3E5B">
              <w:rPr>
                <w:rFonts w:ascii="Garamond" w:hAnsi="Garamond" w:cstheme="majorBidi"/>
                <w:color w:val="0D0D0D" w:themeColor="text1" w:themeTint="F2"/>
                <w:sz w:val="20"/>
                <w:szCs w:val="20"/>
                <w:lang w:val="sq-AL"/>
              </w:rPr>
              <w:t>Bujqësia, industria dhe shërbimet</w:t>
            </w:r>
          </w:p>
          <w:p w14:paraId="3B00878F" w14:textId="77777777" w:rsidR="003276FB" w:rsidRPr="003A3E5B" w:rsidRDefault="003276FB" w:rsidP="00DD5930">
            <w:pPr>
              <w:pStyle w:val="ListParagraph"/>
              <w:snapToGrid w:val="0"/>
              <w:ind w:left="0" w:firstLine="0"/>
              <w:rPr>
                <w:rFonts w:ascii="Garamond" w:hAnsi="Garamond" w:cstheme="majorBidi"/>
                <w:color w:val="0D0D0D" w:themeColor="text1" w:themeTint="F2"/>
                <w:sz w:val="20"/>
                <w:szCs w:val="20"/>
                <w:lang w:val="sq-AL"/>
              </w:rPr>
            </w:pPr>
            <w:r w:rsidRPr="003A3E5B">
              <w:rPr>
                <w:rFonts w:ascii="Garamond" w:hAnsi="Garamond" w:cstheme="majorBidi"/>
                <w:color w:val="0D0D0D" w:themeColor="text1" w:themeTint="F2"/>
                <w:sz w:val="20"/>
                <w:szCs w:val="20"/>
                <w:lang w:val="sq-AL"/>
              </w:rPr>
              <w:t>Reforma 16: Marina më të mira dhe qeverisje dhe shërbime detare</w:t>
            </w:r>
          </w:p>
          <w:p w14:paraId="7AC29DA2" w14:textId="77777777" w:rsidR="003276FB" w:rsidRPr="003A3E5B" w:rsidRDefault="003276FB" w:rsidP="00DD5930">
            <w:pPr>
              <w:pStyle w:val="ListParagraph"/>
              <w:snapToGrid w:val="0"/>
              <w:ind w:left="0" w:firstLine="0"/>
              <w:rPr>
                <w:rFonts w:ascii="Garamond" w:hAnsi="Garamond" w:cstheme="majorBidi"/>
                <w:color w:val="0D0D0D" w:themeColor="text1" w:themeTint="F2"/>
                <w:sz w:val="20"/>
                <w:szCs w:val="20"/>
                <w:lang w:val="sq-AL"/>
              </w:rPr>
            </w:pPr>
            <w:r w:rsidRPr="003A3E5B">
              <w:rPr>
                <w:rFonts w:ascii="Garamond" w:hAnsi="Garamond" w:cstheme="majorBidi"/>
                <w:color w:val="0D0D0D" w:themeColor="text1" w:themeTint="F2"/>
                <w:sz w:val="20"/>
                <w:szCs w:val="20"/>
                <w:lang w:val="sq-AL"/>
              </w:rPr>
              <w:t>Arsimimi dhe aftësitë</w:t>
            </w:r>
          </w:p>
          <w:p w14:paraId="172645A4" w14:textId="1FEED411" w:rsidR="003276FB" w:rsidRPr="003A3E5B" w:rsidRDefault="003276FB" w:rsidP="00DD5930">
            <w:pPr>
              <w:pStyle w:val="ListParagraph"/>
              <w:snapToGrid w:val="0"/>
              <w:ind w:left="0" w:firstLine="0"/>
              <w:rPr>
                <w:rFonts w:ascii="Garamond" w:hAnsi="Garamond" w:cstheme="majorBidi"/>
                <w:color w:val="0D0D0D" w:themeColor="text1" w:themeTint="F2"/>
                <w:sz w:val="20"/>
                <w:szCs w:val="20"/>
                <w:lang w:val="sq-AL"/>
              </w:rPr>
            </w:pPr>
            <w:r w:rsidRPr="003A3E5B">
              <w:rPr>
                <w:rFonts w:ascii="Garamond" w:hAnsi="Garamond" w:cstheme="majorBidi"/>
                <w:color w:val="0D0D0D" w:themeColor="text1" w:themeTint="F2"/>
                <w:sz w:val="20"/>
                <w:szCs w:val="20"/>
                <w:lang w:val="sq-AL"/>
              </w:rPr>
              <w:t>Reforma 17: Mbështetja e zbatim</w:t>
            </w:r>
            <w:r w:rsidR="0076201B" w:rsidRPr="003A3E5B">
              <w:rPr>
                <w:rFonts w:ascii="Garamond" w:hAnsi="Garamond" w:cstheme="majorBidi"/>
                <w:color w:val="0D0D0D" w:themeColor="text1" w:themeTint="F2"/>
                <w:sz w:val="20"/>
                <w:szCs w:val="20"/>
                <w:lang w:val="sq-AL"/>
              </w:rPr>
              <w:t>it të reformës kurrikulare para</w:t>
            </w:r>
            <w:r w:rsidRPr="003A3E5B">
              <w:rPr>
                <w:rFonts w:ascii="Garamond" w:hAnsi="Garamond" w:cstheme="majorBidi"/>
                <w:color w:val="0D0D0D" w:themeColor="text1" w:themeTint="F2"/>
                <w:sz w:val="20"/>
                <w:szCs w:val="20"/>
                <w:lang w:val="sq-AL"/>
              </w:rPr>
              <w:t>universitare dhe trajnimit të mësuesve</w:t>
            </w:r>
          </w:p>
          <w:p w14:paraId="324A6CBC" w14:textId="77777777" w:rsidR="003276FB" w:rsidRPr="003A3E5B" w:rsidRDefault="003276FB" w:rsidP="00DD5930">
            <w:pPr>
              <w:pStyle w:val="ListParagraph"/>
              <w:snapToGrid w:val="0"/>
              <w:ind w:left="0" w:firstLine="0"/>
              <w:rPr>
                <w:rFonts w:ascii="Garamond" w:hAnsi="Garamond" w:cstheme="majorBidi"/>
                <w:color w:val="0D0D0D" w:themeColor="text1" w:themeTint="F2"/>
                <w:sz w:val="20"/>
                <w:szCs w:val="20"/>
                <w:lang w:val="sq-AL"/>
              </w:rPr>
            </w:pPr>
            <w:r w:rsidRPr="003A3E5B">
              <w:rPr>
                <w:rFonts w:ascii="Garamond" w:hAnsi="Garamond" w:cstheme="majorBidi"/>
                <w:color w:val="0D0D0D" w:themeColor="text1" w:themeTint="F2"/>
                <w:sz w:val="20"/>
                <w:szCs w:val="20"/>
                <w:lang w:val="sq-AL"/>
              </w:rPr>
              <w:t>Reforma 18: Gjithë përfshirja dhe barazia në arsim</w:t>
            </w:r>
          </w:p>
          <w:p w14:paraId="6C3A3F10" w14:textId="77777777" w:rsidR="003276FB" w:rsidRPr="003A3E5B" w:rsidRDefault="003276FB" w:rsidP="00DD5930">
            <w:pPr>
              <w:pStyle w:val="ListParagraph"/>
              <w:snapToGrid w:val="0"/>
              <w:ind w:left="0" w:firstLine="0"/>
              <w:rPr>
                <w:rFonts w:ascii="Garamond" w:hAnsi="Garamond" w:cstheme="majorBidi"/>
                <w:color w:val="0D0D0D" w:themeColor="text1" w:themeTint="F2"/>
                <w:sz w:val="20"/>
                <w:szCs w:val="20"/>
                <w:lang w:val="sq-AL"/>
              </w:rPr>
            </w:pPr>
            <w:r w:rsidRPr="003A3E5B">
              <w:rPr>
                <w:rFonts w:ascii="Garamond" w:hAnsi="Garamond" w:cstheme="majorBidi"/>
                <w:color w:val="0D0D0D" w:themeColor="text1" w:themeTint="F2"/>
                <w:sz w:val="20"/>
                <w:szCs w:val="20"/>
                <w:lang w:val="sq-AL"/>
              </w:rPr>
              <w:t>Reforma 19: Zhvillimi dhe fuqizimi i kompetenc</w:t>
            </w:r>
            <w:r w:rsidR="00ED69FC" w:rsidRPr="003A3E5B">
              <w:rPr>
                <w:rFonts w:ascii="Garamond" w:hAnsi="Garamond" w:cstheme="majorBidi"/>
                <w:color w:val="0D0D0D" w:themeColor="text1" w:themeTint="F2"/>
                <w:sz w:val="20"/>
                <w:szCs w:val="20"/>
                <w:lang w:val="sq-AL"/>
              </w:rPr>
              <w:t>ave</w:t>
            </w:r>
            <w:r w:rsidRPr="003A3E5B">
              <w:rPr>
                <w:rFonts w:ascii="Garamond" w:hAnsi="Garamond" w:cstheme="majorBidi"/>
                <w:color w:val="0D0D0D" w:themeColor="text1" w:themeTint="F2"/>
                <w:sz w:val="20"/>
                <w:szCs w:val="20"/>
                <w:lang w:val="sq-AL"/>
              </w:rPr>
              <w:t xml:space="preserve"> digjitale</w:t>
            </w:r>
            <w:r w:rsidR="00ED69FC" w:rsidRPr="003A3E5B">
              <w:rPr>
                <w:rFonts w:ascii="Garamond" w:hAnsi="Garamond" w:cstheme="majorBidi"/>
                <w:color w:val="0D0D0D" w:themeColor="text1" w:themeTint="F2"/>
                <w:sz w:val="20"/>
                <w:szCs w:val="20"/>
                <w:lang w:val="sq-AL"/>
              </w:rPr>
              <w:t xml:space="preserve"> të mësuesve</w:t>
            </w:r>
          </w:p>
        </w:tc>
      </w:tr>
    </w:tbl>
    <w:p w14:paraId="44C41E2E" w14:textId="77777777" w:rsidR="001A4FCD" w:rsidRPr="003A3E5B" w:rsidRDefault="001A4FCD" w:rsidP="00DD5930">
      <w:pPr>
        <w:pStyle w:val="Heading1"/>
        <w:snapToGrid w:val="0"/>
        <w:ind w:left="284"/>
        <w:rPr>
          <w:rFonts w:ascii="Garamond" w:hAnsi="Garamond" w:cstheme="majorBidi"/>
          <w:color w:val="0D0D0D" w:themeColor="text1" w:themeTint="F2"/>
        </w:rPr>
      </w:pPr>
      <w:bookmarkStart w:id="59" w:name="_Toc484076194"/>
      <w:bookmarkStart w:id="60" w:name="_Toc62805604"/>
      <w:bookmarkStart w:id="61" w:name="_Toc126050973"/>
    </w:p>
    <w:p w14:paraId="68E44E08" w14:textId="6F3DCF10" w:rsidR="00DF1828" w:rsidRPr="00770F9D" w:rsidRDefault="00DD5930" w:rsidP="00400806">
      <w:pPr>
        <w:pStyle w:val="Heading1"/>
        <w:snapToGrid w:val="0"/>
        <w:ind w:left="0" w:firstLine="284"/>
        <w:jc w:val="both"/>
        <w:rPr>
          <w:rFonts w:ascii="Garamond" w:hAnsi="Garamond" w:cstheme="majorBidi"/>
          <w:b w:val="0"/>
          <w:bCs w:val="0"/>
          <w:color w:val="0D0D0D" w:themeColor="text1" w:themeTint="F2"/>
        </w:rPr>
      </w:pPr>
      <w:r w:rsidRPr="003A3E5B">
        <w:rPr>
          <w:rFonts w:ascii="Garamond" w:hAnsi="Garamond" w:cstheme="majorBidi"/>
          <w:b w:val="0"/>
          <w:bCs w:val="0"/>
          <w:color w:val="0D0D0D" w:themeColor="text1" w:themeTint="F2"/>
        </w:rPr>
        <w:t>6</w:t>
      </w:r>
      <w:r w:rsidR="005674F2" w:rsidRPr="003A3E5B">
        <w:rPr>
          <w:rFonts w:ascii="Garamond" w:hAnsi="Garamond" w:cstheme="majorBidi"/>
          <w:b w:val="0"/>
          <w:bCs w:val="0"/>
          <w:color w:val="0D0D0D" w:themeColor="text1" w:themeTint="F2"/>
        </w:rPr>
        <w:t xml:space="preserve">. </w:t>
      </w:r>
      <w:r w:rsidR="00C07622" w:rsidRPr="00770F9D">
        <w:rPr>
          <w:rFonts w:ascii="Garamond" w:hAnsi="Garamond" w:cstheme="majorBidi"/>
          <w:b w:val="0"/>
          <w:bCs w:val="0"/>
          <w:color w:val="0D0D0D" w:themeColor="text1" w:themeTint="F2"/>
        </w:rPr>
        <w:t>KOSTIMI DHE FINANCIMI I REFORMAVE STRUKTURORE</w:t>
      </w:r>
      <w:bookmarkEnd w:id="59"/>
      <w:bookmarkEnd w:id="60"/>
      <w:bookmarkEnd w:id="61"/>
    </w:p>
    <w:p w14:paraId="23BCFEB4" w14:textId="1393C0BC" w:rsidR="00F468C9" w:rsidRPr="00770F9D" w:rsidRDefault="00F468C9"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Shpenzimet e pritshme në buxhetin e shtetit përfshijnë fonde për reformat kryesore strukturore për periudhën afatmesme në vazhdim. Shpenzimet buxhetore janë shpërndarë në reformat strukturore të përfshira në ERP </w:t>
      </w:r>
      <w:r w:rsidR="003F4C96" w:rsidRPr="00770F9D">
        <w:rPr>
          <w:rFonts w:ascii="Garamond" w:hAnsi="Garamond" w:cstheme="majorBidi"/>
          <w:color w:val="0D0D0D" w:themeColor="text1" w:themeTint="F2"/>
        </w:rPr>
        <w:t>2023–2025</w:t>
      </w:r>
      <w:r w:rsidRPr="00770F9D">
        <w:rPr>
          <w:rFonts w:ascii="Garamond" w:hAnsi="Garamond" w:cstheme="majorBidi"/>
          <w:color w:val="0D0D0D" w:themeColor="text1" w:themeTint="F2"/>
        </w:rPr>
        <w:t>. Detajet e implikimeve buxhetore të reformave gjenden në tabelën 10a dhe tabelën 10b të shtojcës 1. Shpenzimet e parashikuara</w:t>
      </w:r>
      <w:r w:rsidR="00375394">
        <w:rPr>
          <w:rFonts w:ascii="Garamond" w:hAnsi="Garamond" w:cstheme="majorBidi"/>
          <w:color w:val="0D0D0D" w:themeColor="text1" w:themeTint="F2"/>
        </w:rPr>
        <w:t>,</w:t>
      </w:r>
      <w:r w:rsidRPr="00770F9D">
        <w:rPr>
          <w:rFonts w:ascii="Garamond" w:hAnsi="Garamond" w:cstheme="majorBidi"/>
          <w:color w:val="0D0D0D" w:themeColor="text1" w:themeTint="F2"/>
        </w:rPr>
        <w:t xml:space="preserve"> gjithashtu</w:t>
      </w:r>
      <w:r w:rsidR="00375394">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përfshijnë shpenzime për reformat kryesore strukturore në periudhën vijuese.</w:t>
      </w:r>
    </w:p>
    <w:p w14:paraId="283B48E4" w14:textId="1EDCD18D" w:rsidR="00DF1828" w:rsidRPr="00770F9D" w:rsidRDefault="00DD5930" w:rsidP="00400806">
      <w:pPr>
        <w:pStyle w:val="Heading1"/>
        <w:snapToGrid w:val="0"/>
        <w:ind w:left="0" w:firstLine="284"/>
        <w:jc w:val="both"/>
        <w:rPr>
          <w:rFonts w:ascii="Garamond" w:hAnsi="Garamond" w:cstheme="majorBidi"/>
          <w:b w:val="0"/>
          <w:bCs w:val="0"/>
          <w:color w:val="0D0D0D" w:themeColor="text1" w:themeTint="F2"/>
        </w:rPr>
      </w:pPr>
      <w:bookmarkStart w:id="62" w:name="_Toc484076195"/>
      <w:bookmarkStart w:id="63" w:name="_Toc62805605"/>
      <w:bookmarkStart w:id="64" w:name="_Toc126050974"/>
      <w:r w:rsidRPr="00770F9D">
        <w:rPr>
          <w:rFonts w:ascii="Garamond" w:hAnsi="Garamond" w:cstheme="majorBidi"/>
          <w:b w:val="0"/>
          <w:bCs w:val="0"/>
          <w:color w:val="0D0D0D" w:themeColor="text1" w:themeTint="F2"/>
        </w:rPr>
        <w:t>7</w:t>
      </w:r>
      <w:r w:rsidR="005674F2" w:rsidRPr="00770F9D">
        <w:rPr>
          <w:rFonts w:ascii="Garamond" w:hAnsi="Garamond" w:cstheme="majorBidi"/>
          <w:b w:val="0"/>
          <w:bCs w:val="0"/>
          <w:color w:val="0D0D0D" w:themeColor="text1" w:themeTint="F2"/>
        </w:rPr>
        <w:t xml:space="preserve">. </w:t>
      </w:r>
      <w:r w:rsidR="00C07622" w:rsidRPr="00770F9D">
        <w:rPr>
          <w:rFonts w:ascii="Garamond" w:hAnsi="Garamond" w:cstheme="majorBidi"/>
          <w:b w:val="0"/>
          <w:bCs w:val="0"/>
          <w:color w:val="0D0D0D" w:themeColor="text1" w:themeTint="F2"/>
        </w:rPr>
        <w:t xml:space="preserve">ÇËSHTJET </w:t>
      </w:r>
      <w:r w:rsidR="00DF1828" w:rsidRPr="00770F9D">
        <w:rPr>
          <w:rFonts w:ascii="Garamond" w:hAnsi="Garamond" w:cstheme="majorBidi"/>
          <w:b w:val="0"/>
          <w:bCs w:val="0"/>
          <w:color w:val="0D0D0D" w:themeColor="text1" w:themeTint="F2"/>
        </w:rPr>
        <w:t>INSTITU</w:t>
      </w:r>
      <w:r w:rsidR="00C07622" w:rsidRPr="00770F9D">
        <w:rPr>
          <w:rFonts w:ascii="Garamond" w:hAnsi="Garamond" w:cstheme="majorBidi"/>
          <w:b w:val="0"/>
          <w:bCs w:val="0"/>
          <w:color w:val="0D0D0D" w:themeColor="text1" w:themeTint="F2"/>
        </w:rPr>
        <w:t>C</w:t>
      </w:r>
      <w:r w:rsidR="00DF1828" w:rsidRPr="00770F9D">
        <w:rPr>
          <w:rFonts w:ascii="Garamond" w:hAnsi="Garamond" w:cstheme="majorBidi"/>
          <w:b w:val="0"/>
          <w:bCs w:val="0"/>
          <w:color w:val="0D0D0D" w:themeColor="text1" w:themeTint="F2"/>
        </w:rPr>
        <w:t>IONAL</w:t>
      </w:r>
      <w:r w:rsidR="00C07622" w:rsidRPr="00770F9D">
        <w:rPr>
          <w:rFonts w:ascii="Garamond" w:hAnsi="Garamond" w:cstheme="majorBidi"/>
          <w:b w:val="0"/>
          <w:bCs w:val="0"/>
          <w:color w:val="0D0D0D" w:themeColor="text1" w:themeTint="F2"/>
        </w:rPr>
        <w:t>E DHE PËRFSHIRJA E GRUPEVE TË INTERESIT</w:t>
      </w:r>
      <w:bookmarkEnd w:id="62"/>
      <w:bookmarkEnd w:id="63"/>
      <w:bookmarkEnd w:id="64"/>
    </w:p>
    <w:p w14:paraId="26E38B9C" w14:textId="2655B774" w:rsidR="00CB464E" w:rsidRPr="00770F9D" w:rsidRDefault="00F468C9"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Përgatitja e ERP </w:t>
      </w:r>
      <w:r w:rsidR="003F4C96" w:rsidRPr="00770F9D">
        <w:rPr>
          <w:rFonts w:ascii="Garamond" w:hAnsi="Garamond" w:cstheme="majorBidi"/>
          <w:color w:val="0D0D0D" w:themeColor="text1" w:themeTint="F2"/>
        </w:rPr>
        <w:t>2023–2025</w:t>
      </w:r>
      <w:r w:rsidRPr="00770F9D">
        <w:rPr>
          <w:rFonts w:ascii="Garamond" w:hAnsi="Garamond" w:cstheme="majorBidi"/>
          <w:color w:val="0D0D0D" w:themeColor="text1" w:themeTint="F2"/>
        </w:rPr>
        <w:t xml:space="preserve"> u bashkërendua nga Ministria e Financave dhe Ekonomisë në bashkëpunim të ngushtë me Ministrinë e Infrastrukturës dhe Energjisë, Ministrinë e Shëndetësisë dhe Mbrojtjes Sociale, Ministrinë e Arsimit dhe Sportit, Ministrinë e Turizmit dhe Mjedisit, Ministrinë e Bujqësisë dhe Zhvillimit Rural, Bankën e Shqipërisë, Drejtorinë e Përgjithshme të Tatimeve dhe INSTAT</w:t>
      </w:r>
      <w:r w:rsidR="00375394">
        <w:rPr>
          <w:rFonts w:ascii="Garamond" w:hAnsi="Garamond" w:cstheme="majorBidi"/>
          <w:color w:val="0D0D0D" w:themeColor="text1" w:themeTint="F2"/>
        </w:rPr>
        <w:t>-in</w:t>
      </w:r>
      <w:r w:rsidRPr="00770F9D">
        <w:rPr>
          <w:rFonts w:ascii="Garamond" w:hAnsi="Garamond" w:cstheme="majorBidi"/>
          <w:color w:val="0D0D0D" w:themeColor="text1" w:themeTint="F2"/>
        </w:rPr>
        <w:t>.</w:t>
      </w:r>
    </w:p>
    <w:p w14:paraId="0E69DF19" w14:textId="78C4DDBE" w:rsidR="00F468C9" w:rsidRPr="00770F9D" w:rsidRDefault="00F468C9" w:rsidP="00400806">
      <w:pPr>
        <w:snapToGrid w:val="0"/>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Urdhri i Kryeministrit nr. 107, dt. 6.8.2019</w:t>
      </w:r>
      <w:r w:rsidR="001179CD">
        <w:rPr>
          <w:rFonts w:ascii="Garamond" w:hAnsi="Garamond" w:cstheme="majorBidi"/>
          <w:color w:val="0D0D0D" w:themeColor="text1" w:themeTint="F2"/>
        </w:rPr>
        <w:t>,</w:t>
      </w:r>
      <w:r w:rsidRPr="00770F9D">
        <w:rPr>
          <w:rFonts w:ascii="Garamond" w:hAnsi="Garamond" w:cstheme="majorBidi"/>
          <w:color w:val="0D0D0D" w:themeColor="text1" w:themeTint="F2"/>
        </w:rPr>
        <w:t xml:space="preserve"> përcakton kornizën për koordinimin e procesit të ERP në nivelin kombëtar dhe ngarkon Ministrin e Financave dhe Ekonomisë me funksionin e Koordinatorit Kombëtar të ERP për Shqipërinë. Gjithashtu, urdhri parashikon krijimin e grupit të nivelit të lartë ndërministror dhe sekretariatit teknik ndërinstitucional për të koordinuar procesin. Koordinimi institucional është përmirësuar në disa mënyra. Një shkallë më e lartë e pronësisë dhe përgjegjësisë institucionale ndaj reformave të propozuara është më e qartë, kryesisht si rezultat i përcaktimit të detyrave, funksioneve dhe përgjegjësive të secilit institucion raportues, bazuar në dispozitat e urdhrit.</w:t>
      </w:r>
    </w:p>
    <w:p w14:paraId="3FDE7430" w14:textId="7F4F3955" w:rsidR="00F468C9" w:rsidRPr="00770F9D" w:rsidRDefault="001179CD" w:rsidP="00400806">
      <w:pPr>
        <w:snapToGrid w:val="0"/>
        <w:ind w:firstLine="284"/>
        <w:jc w:val="both"/>
        <w:rPr>
          <w:rFonts w:ascii="Garamond" w:hAnsi="Garamond" w:cstheme="majorBidi"/>
          <w:color w:val="0D0D0D" w:themeColor="text1" w:themeTint="F2"/>
        </w:rPr>
      </w:pPr>
      <w:r>
        <w:rPr>
          <w:rFonts w:ascii="Garamond" w:hAnsi="Garamond" w:cstheme="majorBidi"/>
          <w:color w:val="0D0D0D" w:themeColor="text1" w:themeTint="F2"/>
        </w:rPr>
        <w:t>Draft</w:t>
      </w:r>
      <w:r w:rsidR="00A96811">
        <w:rPr>
          <w:rFonts w:ascii="Garamond" w:hAnsi="Garamond" w:cstheme="majorBidi"/>
          <w:color w:val="0D0D0D" w:themeColor="text1" w:themeTint="F2"/>
        </w:rPr>
        <w:t>-</w:t>
      </w:r>
      <w:r w:rsidR="00F468C9" w:rsidRPr="00770F9D">
        <w:rPr>
          <w:rFonts w:ascii="Garamond" w:hAnsi="Garamond" w:cstheme="majorBidi"/>
          <w:color w:val="0D0D0D" w:themeColor="text1" w:themeTint="F2"/>
        </w:rPr>
        <w:t xml:space="preserve">ERP </w:t>
      </w:r>
      <w:r w:rsidR="003F4C96" w:rsidRPr="00770F9D">
        <w:rPr>
          <w:rFonts w:ascii="Garamond" w:hAnsi="Garamond" w:cstheme="majorBidi"/>
          <w:color w:val="0D0D0D" w:themeColor="text1" w:themeTint="F2"/>
        </w:rPr>
        <w:t>2023–2025</w:t>
      </w:r>
      <w:r w:rsidR="00F468C9" w:rsidRPr="00770F9D">
        <w:rPr>
          <w:rFonts w:ascii="Garamond" w:hAnsi="Garamond" w:cstheme="majorBidi"/>
          <w:color w:val="0D0D0D" w:themeColor="text1" w:themeTint="F2"/>
        </w:rPr>
        <w:t xml:space="preserve"> u publikua në faqen zyrtare të Ministrisë së Financave dhe Ekonomisë (lidhja: </w:t>
      </w:r>
      <w:hyperlink r:id="rId74" w:history="1">
        <w:r w:rsidR="00756B3E" w:rsidRPr="00770F9D">
          <w:rPr>
            <w:rStyle w:val="Hyperlink"/>
            <w:rFonts w:ascii="Garamond" w:hAnsi="Garamond" w:cstheme="majorBidi"/>
            <w:color w:val="0D0D0D" w:themeColor="text1" w:themeTint="F2"/>
            <w:u w:val="none"/>
          </w:rPr>
          <w:t>https://financa.gov.al/ftese-per-konsultim-te-gjere-te-draft-programit-te-reformave-ekonomike-</w:t>
        </w:r>
        <w:r w:rsidR="003F4C96" w:rsidRPr="00770F9D">
          <w:rPr>
            <w:rStyle w:val="Hyperlink"/>
            <w:rFonts w:ascii="Garamond" w:hAnsi="Garamond" w:cstheme="majorBidi"/>
            <w:color w:val="0D0D0D" w:themeColor="text1" w:themeTint="F2"/>
            <w:u w:val="none"/>
          </w:rPr>
          <w:t>2023–2025</w:t>
        </w:r>
        <w:r w:rsidR="00756B3E" w:rsidRPr="00770F9D">
          <w:rPr>
            <w:rStyle w:val="Hyperlink"/>
            <w:rFonts w:ascii="Garamond" w:hAnsi="Garamond" w:cstheme="majorBidi"/>
            <w:color w:val="0D0D0D" w:themeColor="text1" w:themeTint="F2"/>
            <w:u w:val="none"/>
          </w:rPr>
          <w:t>-erp/</w:t>
        </w:r>
      </w:hyperlink>
      <w:r w:rsidR="00F468C9" w:rsidRPr="00770F9D">
        <w:rPr>
          <w:rFonts w:ascii="Garamond" w:hAnsi="Garamond" w:cstheme="majorBidi"/>
          <w:color w:val="0D0D0D" w:themeColor="text1" w:themeTint="F2"/>
        </w:rPr>
        <w:t>) për konsultim të gjerë nga grupet e ndryshme të interesit, nga data 16 dhjetor 2022 deri më 6 janar 2023.</w:t>
      </w:r>
      <w:r w:rsidR="00A96811">
        <w:rPr>
          <w:rFonts w:ascii="Garamond" w:hAnsi="Garamond" w:cstheme="majorBidi"/>
          <w:color w:val="0D0D0D" w:themeColor="text1" w:themeTint="F2"/>
        </w:rPr>
        <w:t xml:space="preserve"> Gjithashtu</w:t>
      </w:r>
      <w:r w:rsidR="003319D4" w:rsidRPr="00770F9D">
        <w:rPr>
          <w:rFonts w:ascii="Garamond" w:hAnsi="Garamond" w:cstheme="majorBidi"/>
          <w:color w:val="0D0D0D" w:themeColor="text1" w:themeTint="F2"/>
        </w:rPr>
        <w:t xml:space="preserve"> u shfrytëzuan resurset e Sekretariatit të Këshillit të Investimeve për të zgjeruar procesin e konsultimit publik. Krahas, projektakti miratues i ERP</w:t>
      </w:r>
      <w:r w:rsidR="00A96811">
        <w:rPr>
          <w:rFonts w:ascii="Garamond" w:hAnsi="Garamond" w:cstheme="majorBidi"/>
          <w:color w:val="0D0D0D" w:themeColor="text1" w:themeTint="F2"/>
        </w:rPr>
        <w:t>-së</w:t>
      </w:r>
      <w:r w:rsidR="003319D4" w:rsidRPr="00770F9D">
        <w:rPr>
          <w:rFonts w:ascii="Garamond" w:hAnsi="Garamond" w:cstheme="majorBidi"/>
          <w:color w:val="0D0D0D" w:themeColor="text1" w:themeTint="F2"/>
        </w:rPr>
        <w:t xml:space="preserve"> u publikua në regjistrin elektronik të njoftimit dhe konsultimit</w:t>
      </w:r>
      <w:r w:rsidR="00B64EF3" w:rsidRPr="00770F9D">
        <w:rPr>
          <w:rFonts w:ascii="Garamond" w:hAnsi="Garamond" w:cstheme="majorBidi"/>
          <w:color w:val="0D0D0D" w:themeColor="text1" w:themeTint="F2"/>
        </w:rPr>
        <w:t xml:space="preserve"> në bazë të ligjit nr. 146/2014 (</w:t>
      </w:r>
      <w:hyperlink r:id="rId75" w:history="1">
        <w:r w:rsidR="00B64EF3" w:rsidRPr="00770F9D">
          <w:rPr>
            <w:rStyle w:val="Hyperlink"/>
            <w:rFonts w:ascii="Garamond" w:hAnsi="Garamond" w:cstheme="majorBidi"/>
            <w:u w:val="none"/>
          </w:rPr>
          <w:t>https://konsultimipublik.gov.al/Konsultime/Detaje/596</w:t>
        </w:r>
      </w:hyperlink>
      <w:r w:rsidR="00B64EF3" w:rsidRPr="00770F9D">
        <w:rPr>
          <w:rFonts w:ascii="Garamond" w:hAnsi="Garamond" w:cstheme="majorBidi"/>
        </w:rPr>
        <w:t>).</w:t>
      </w:r>
    </w:p>
    <w:p w14:paraId="5A231362" w14:textId="03C4B393" w:rsidR="00171FFE" w:rsidRPr="00770F9D" w:rsidRDefault="00F468C9" w:rsidP="00400806">
      <w:pPr>
        <w:ind w:firstLine="284"/>
        <w:jc w:val="both"/>
        <w:rPr>
          <w:rFonts w:ascii="Garamond" w:hAnsi="Garamond" w:cstheme="majorBidi"/>
          <w:color w:val="0D0D0D" w:themeColor="text1" w:themeTint="F2"/>
        </w:rPr>
      </w:pPr>
      <w:r w:rsidRPr="00770F9D">
        <w:rPr>
          <w:rFonts w:ascii="Garamond" w:hAnsi="Garamond" w:cstheme="majorBidi"/>
          <w:color w:val="0D0D0D" w:themeColor="text1" w:themeTint="F2"/>
        </w:rPr>
        <w:t xml:space="preserve">Programi i Reformave Ekonomike </w:t>
      </w:r>
      <w:r w:rsidR="003F4C96" w:rsidRPr="00770F9D">
        <w:rPr>
          <w:rFonts w:ascii="Garamond" w:hAnsi="Garamond" w:cstheme="majorBidi"/>
          <w:color w:val="0D0D0D" w:themeColor="text1" w:themeTint="F2"/>
        </w:rPr>
        <w:t>2023–2025</w:t>
      </w:r>
      <w:r w:rsidRPr="00770F9D">
        <w:rPr>
          <w:rFonts w:ascii="Garamond" w:hAnsi="Garamond" w:cstheme="majorBidi"/>
          <w:color w:val="0D0D0D" w:themeColor="text1" w:themeTint="F2"/>
        </w:rPr>
        <w:t xml:space="preserve"> miratohet me vendim të Këshillit të</w:t>
      </w:r>
      <w:r w:rsidR="00756B3E" w:rsidRPr="00770F9D">
        <w:rPr>
          <w:rFonts w:ascii="Garamond" w:hAnsi="Garamond" w:cstheme="majorBidi"/>
          <w:color w:val="0D0D0D" w:themeColor="text1" w:themeTint="F2"/>
        </w:rPr>
        <w:t xml:space="preserve"> Ministrave dhe </w:t>
      </w:r>
      <w:r w:rsidRPr="00770F9D">
        <w:rPr>
          <w:rFonts w:ascii="Garamond" w:hAnsi="Garamond" w:cstheme="majorBidi"/>
          <w:color w:val="0D0D0D" w:themeColor="text1" w:themeTint="F2"/>
        </w:rPr>
        <w:t xml:space="preserve">transmetohet </w:t>
      </w:r>
      <w:r w:rsidR="00756B3E" w:rsidRPr="00770F9D">
        <w:rPr>
          <w:rFonts w:ascii="Garamond" w:hAnsi="Garamond" w:cstheme="majorBidi"/>
          <w:color w:val="0D0D0D" w:themeColor="text1" w:themeTint="F2"/>
        </w:rPr>
        <w:t xml:space="preserve">te </w:t>
      </w:r>
      <w:r w:rsidRPr="00770F9D">
        <w:rPr>
          <w:rFonts w:ascii="Garamond" w:hAnsi="Garamond" w:cstheme="majorBidi"/>
          <w:color w:val="0D0D0D" w:themeColor="text1" w:themeTint="F2"/>
        </w:rPr>
        <w:t>Komisi</w:t>
      </w:r>
      <w:r w:rsidR="00756B3E" w:rsidRPr="00770F9D">
        <w:rPr>
          <w:rFonts w:ascii="Garamond" w:hAnsi="Garamond" w:cstheme="majorBidi"/>
          <w:color w:val="0D0D0D" w:themeColor="text1" w:themeTint="F2"/>
        </w:rPr>
        <w:t>oni</w:t>
      </w:r>
      <w:r w:rsidRPr="00770F9D">
        <w:rPr>
          <w:rFonts w:ascii="Garamond" w:hAnsi="Garamond" w:cstheme="majorBidi"/>
          <w:color w:val="0D0D0D" w:themeColor="text1" w:themeTint="F2"/>
        </w:rPr>
        <w:t xml:space="preserve"> Evropian brenda datës 31 janar 2023.</w:t>
      </w:r>
    </w:p>
    <w:p w14:paraId="0EAB82CD" w14:textId="77777777" w:rsidR="00171FFE" w:rsidRPr="00770F9D" w:rsidRDefault="00171FFE" w:rsidP="00400806">
      <w:pPr>
        <w:snapToGrid w:val="0"/>
        <w:ind w:firstLine="284"/>
        <w:jc w:val="both"/>
        <w:rPr>
          <w:rFonts w:ascii="Garamond" w:hAnsi="Garamond" w:cstheme="majorBidi"/>
          <w:color w:val="0D0D0D" w:themeColor="text1" w:themeTint="F2"/>
        </w:rPr>
      </w:pPr>
    </w:p>
    <w:p w14:paraId="5073377A" w14:textId="77777777" w:rsidR="00056076" w:rsidRDefault="00EF6BA9" w:rsidP="0042406F">
      <w:pPr>
        <w:snapToGrid w:val="0"/>
        <w:ind w:firstLine="284"/>
        <w:jc w:val="center"/>
        <w:rPr>
          <w:rFonts w:ascii="Garamond" w:hAnsi="Garamond" w:cstheme="majorBidi"/>
          <w:color w:val="0D0D0D" w:themeColor="text1" w:themeTint="F2"/>
        </w:rPr>
      </w:pPr>
      <w:r w:rsidRPr="00770F9D">
        <w:rPr>
          <w:rFonts w:ascii="Garamond" w:hAnsi="Garamond" w:cstheme="majorBidi"/>
          <w:noProof/>
          <w:color w:val="0D0D0D" w:themeColor="text1" w:themeTint="F2"/>
          <w:lang w:eastAsia="sq-AL"/>
        </w:rPr>
        <w:drawing>
          <wp:anchor distT="0" distB="0" distL="114300" distR="114300" simplePos="0" relativeHeight="251658285" behindDoc="0" locked="0" layoutInCell="1" allowOverlap="1" wp14:anchorId="5EF7B495" wp14:editId="6D1B9C59">
            <wp:simplePos x="0" y="0"/>
            <wp:positionH relativeFrom="column">
              <wp:posOffset>357784</wp:posOffset>
            </wp:positionH>
            <wp:positionV relativeFrom="paragraph">
              <wp:posOffset>610</wp:posOffset>
            </wp:positionV>
            <wp:extent cx="5211519" cy="4297913"/>
            <wp:effectExtent l="0" t="0" r="8255" b="7620"/>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55.jpg"/>
                    <pic:cNvPicPr/>
                  </pic:nvPicPr>
                  <pic:blipFill rotWithShape="1">
                    <a:blip r:embed="rId76" cstate="print">
                      <a:extLst>
                        <a:ext uri="{28A0092B-C50C-407E-A947-70E740481C1C}">
                          <a14:useLocalDpi xmlns:a14="http://schemas.microsoft.com/office/drawing/2010/main" val="0"/>
                        </a:ext>
                      </a:extLst>
                    </a:blip>
                    <a:srcRect l="1948" t="6611" r="34161" b="18871"/>
                    <a:stretch/>
                  </pic:blipFill>
                  <pic:spPr bwMode="auto">
                    <a:xfrm>
                      <a:off x="0" y="0"/>
                      <a:ext cx="5211519" cy="429791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70F9D">
        <w:rPr>
          <w:rFonts w:ascii="Garamond" w:hAnsi="Garamond" w:cstheme="majorBidi"/>
          <w:noProof/>
          <w:color w:val="0D0D0D" w:themeColor="text1" w:themeTint="F2"/>
          <w:lang w:eastAsia="sq-AL"/>
        </w:rPr>
        <w:drawing>
          <wp:inline distT="0" distB="0" distL="0" distR="0" wp14:anchorId="1BD534DF" wp14:editId="7C2EB482">
            <wp:extent cx="5161669" cy="2677015"/>
            <wp:effectExtent l="0" t="0" r="127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56.jpg"/>
                    <pic:cNvPicPr/>
                  </pic:nvPicPr>
                  <pic:blipFill rotWithShape="1">
                    <a:blip r:embed="rId77" cstate="print">
                      <a:extLst>
                        <a:ext uri="{28A0092B-C50C-407E-A947-70E740481C1C}">
                          <a14:useLocalDpi xmlns:a14="http://schemas.microsoft.com/office/drawing/2010/main" val="0"/>
                        </a:ext>
                      </a:extLst>
                    </a:blip>
                    <a:srcRect l="2993" t="6686" r="34283" b="46796"/>
                    <a:stretch/>
                  </pic:blipFill>
                  <pic:spPr bwMode="auto">
                    <a:xfrm>
                      <a:off x="0" y="0"/>
                      <a:ext cx="5161669" cy="2677015"/>
                    </a:xfrm>
                    <a:prstGeom prst="rect">
                      <a:avLst/>
                    </a:prstGeom>
                    <a:ln>
                      <a:noFill/>
                    </a:ln>
                    <a:extLst>
                      <a:ext uri="{53640926-AAD7-44D8-BBD7-CCE9431645EC}">
                        <a14:shadowObscured xmlns:a14="http://schemas.microsoft.com/office/drawing/2010/main"/>
                      </a:ext>
                    </a:extLst>
                  </pic:spPr>
                </pic:pic>
              </a:graphicData>
            </a:graphic>
          </wp:inline>
        </w:drawing>
      </w:r>
      <w:r w:rsidRPr="00770F9D">
        <w:rPr>
          <w:rFonts w:ascii="Garamond" w:hAnsi="Garamond" w:cstheme="majorBidi"/>
          <w:noProof/>
          <w:color w:val="0D0D0D" w:themeColor="text1" w:themeTint="F2"/>
          <w:lang w:eastAsia="sq-AL"/>
        </w:rPr>
        <w:drawing>
          <wp:inline distT="0" distB="0" distL="0" distR="0" wp14:anchorId="4583F3D7" wp14:editId="6AF78A8F">
            <wp:extent cx="5738028" cy="5217129"/>
            <wp:effectExtent l="0" t="0" r="0"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57.jpg"/>
                    <pic:cNvPicPr/>
                  </pic:nvPicPr>
                  <pic:blipFill rotWithShape="1">
                    <a:blip r:embed="rId78" cstate="print">
                      <a:extLst>
                        <a:ext uri="{28A0092B-C50C-407E-A947-70E740481C1C}">
                          <a14:useLocalDpi xmlns:a14="http://schemas.microsoft.com/office/drawing/2010/main" val="0"/>
                        </a:ext>
                      </a:extLst>
                    </a:blip>
                    <a:srcRect l="1655" t="6887" r="29681" b="4821"/>
                    <a:stretch/>
                  </pic:blipFill>
                  <pic:spPr bwMode="auto">
                    <a:xfrm>
                      <a:off x="0" y="0"/>
                      <a:ext cx="5738028" cy="5217129"/>
                    </a:xfrm>
                    <a:prstGeom prst="rect">
                      <a:avLst/>
                    </a:prstGeom>
                    <a:ln>
                      <a:noFill/>
                    </a:ln>
                    <a:extLst>
                      <a:ext uri="{53640926-AAD7-44D8-BBD7-CCE9431645EC}">
                        <a14:shadowObscured xmlns:a14="http://schemas.microsoft.com/office/drawing/2010/main"/>
                      </a:ext>
                    </a:extLst>
                  </pic:spPr>
                </pic:pic>
              </a:graphicData>
            </a:graphic>
          </wp:inline>
        </w:drawing>
      </w:r>
      <w:r w:rsidRPr="00770F9D">
        <w:rPr>
          <w:rFonts w:ascii="Garamond" w:hAnsi="Garamond" w:cstheme="majorBidi"/>
          <w:noProof/>
          <w:color w:val="0D0D0D" w:themeColor="text1" w:themeTint="F2"/>
          <w:lang w:eastAsia="sq-AL"/>
        </w:rPr>
        <w:drawing>
          <wp:inline distT="0" distB="0" distL="0" distR="0" wp14:anchorId="5FBA30FA" wp14:editId="14CF21D3">
            <wp:extent cx="5772501" cy="477193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58.jpg"/>
                    <pic:cNvPicPr/>
                  </pic:nvPicPr>
                  <pic:blipFill rotWithShape="1">
                    <a:blip r:embed="rId79" cstate="print">
                      <a:extLst>
                        <a:ext uri="{28A0092B-C50C-407E-A947-70E740481C1C}">
                          <a14:useLocalDpi xmlns:a14="http://schemas.microsoft.com/office/drawing/2010/main" val="0"/>
                        </a:ext>
                      </a:extLst>
                    </a:blip>
                    <a:srcRect l="2240" t="6336" r="32018" b="16805"/>
                    <a:stretch/>
                  </pic:blipFill>
                  <pic:spPr bwMode="auto">
                    <a:xfrm>
                      <a:off x="0" y="0"/>
                      <a:ext cx="5775291" cy="4774241"/>
                    </a:xfrm>
                    <a:prstGeom prst="rect">
                      <a:avLst/>
                    </a:prstGeom>
                    <a:ln>
                      <a:noFill/>
                    </a:ln>
                    <a:extLst>
                      <a:ext uri="{53640926-AAD7-44D8-BBD7-CCE9431645EC}">
                        <a14:shadowObscured xmlns:a14="http://schemas.microsoft.com/office/drawing/2010/main"/>
                      </a:ext>
                    </a:extLst>
                  </pic:spPr>
                </pic:pic>
              </a:graphicData>
            </a:graphic>
          </wp:inline>
        </w:drawing>
      </w:r>
      <w:r w:rsidRPr="00770F9D">
        <w:rPr>
          <w:rFonts w:ascii="Garamond" w:hAnsi="Garamond" w:cstheme="majorBidi"/>
          <w:noProof/>
          <w:color w:val="0D0D0D" w:themeColor="text1" w:themeTint="F2"/>
          <w:lang w:eastAsia="sq-AL"/>
        </w:rPr>
        <w:drawing>
          <wp:inline distT="0" distB="0" distL="0" distR="0" wp14:anchorId="4BEF4755" wp14:editId="5F65466A">
            <wp:extent cx="6193237" cy="5974763"/>
            <wp:effectExtent l="0" t="0" r="0" b="698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59.jpg"/>
                    <pic:cNvPicPr/>
                  </pic:nvPicPr>
                  <pic:blipFill rotWithShape="1">
                    <a:blip r:embed="rId80" cstate="print">
                      <a:extLst>
                        <a:ext uri="{28A0092B-C50C-407E-A947-70E740481C1C}">
                          <a14:useLocalDpi xmlns:a14="http://schemas.microsoft.com/office/drawing/2010/main" val="0"/>
                        </a:ext>
                      </a:extLst>
                    </a:blip>
                    <a:srcRect l="2240" t="7162" r="34258" b="6199"/>
                    <a:stretch/>
                  </pic:blipFill>
                  <pic:spPr bwMode="auto">
                    <a:xfrm>
                      <a:off x="0" y="0"/>
                      <a:ext cx="6196028" cy="5977455"/>
                    </a:xfrm>
                    <a:prstGeom prst="rect">
                      <a:avLst/>
                    </a:prstGeom>
                    <a:ln>
                      <a:noFill/>
                    </a:ln>
                    <a:extLst>
                      <a:ext uri="{53640926-AAD7-44D8-BBD7-CCE9431645EC}">
                        <a14:shadowObscured xmlns:a14="http://schemas.microsoft.com/office/drawing/2010/main"/>
                      </a:ext>
                    </a:extLst>
                  </pic:spPr>
                </pic:pic>
              </a:graphicData>
            </a:graphic>
          </wp:inline>
        </w:drawing>
      </w:r>
      <w:r w:rsidRPr="00770F9D">
        <w:rPr>
          <w:rFonts w:ascii="Garamond" w:hAnsi="Garamond" w:cstheme="majorBidi"/>
          <w:noProof/>
          <w:color w:val="0D0D0D" w:themeColor="text1" w:themeTint="F2"/>
          <w:lang w:eastAsia="sq-AL"/>
        </w:rPr>
        <w:drawing>
          <wp:inline distT="0" distB="0" distL="0" distR="0" wp14:anchorId="76CA550B" wp14:editId="481E5339">
            <wp:extent cx="4583220" cy="1356634"/>
            <wp:effectExtent l="0" t="0" r="825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60.jpg"/>
                    <pic:cNvPicPr/>
                  </pic:nvPicPr>
                  <pic:blipFill rotWithShape="1">
                    <a:blip r:embed="rId81" cstate="print">
                      <a:extLst>
                        <a:ext uri="{28A0092B-C50C-407E-A947-70E740481C1C}">
                          <a14:useLocalDpi xmlns:a14="http://schemas.microsoft.com/office/drawing/2010/main" val="0"/>
                        </a:ext>
                      </a:extLst>
                    </a:blip>
                    <a:srcRect l="3481" t="6612" r="23472" b="62809"/>
                    <a:stretch/>
                  </pic:blipFill>
                  <pic:spPr bwMode="auto">
                    <a:xfrm>
                      <a:off x="0" y="0"/>
                      <a:ext cx="4601610" cy="1362077"/>
                    </a:xfrm>
                    <a:prstGeom prst="rect">
                      <a:avLst/>
                    </a:prstGeom>
                    <a:ln>
                      <a:noFill/>
                    </a:ln>
                    <a:extLst>
                      <a:ext uri="{53640926-AAD7-44D8-BBD7-CCE9431645EC}">
                        <a14:shadowObscured xmlns:a14="http://schemas.microsoft.com/office/drawing/2010/main"/>
                      </a:ext>
                    </a:extLst>
                  </pic:spPr>
                </pic:pic>
              </a:graphicData>
            </a:graphic>
          </wp:inline>
        </w:drawing>
      </w:r>
      <w:r w:rsidRPr="00770F9D">
        <w:rPr>
          <w:rFonts w:ascii="Garamond" w:hAnsi="Garamond" w:cstheme="majorBidi"/>
          <w:noProof/>
          <w:color w:val="0D0D0D" w:themeColor="text1" w:themeTint="F2"/>
          <w:lang w:eastAsia="sq-AL"/>
        </w:rPr>
        <w:drawing>
          <wp:inline distT="0" distB="0" distL="0" distR="0" wp14:anchorId="523C0306" wp14:editId="6D7B49D5">
            <wp:extent cx="4803292" cy="4863711"/>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61.jpg"/>
                    <pic:cNvPicPr/>
                  </pic:nvPicPr>
                  <pic:blipFill rotWithShape="1">
                    <a:blip r:embed="rId82" cstate="print">
                      <a:extLst>
                        <a:ext uri="{28A0092B-C50C-407E-A947-70E740481C1C}">
                          <a14:useLocalDpi xmlns:a14="http://schemas.microsoft.com/office/drawing/2010/main" val="0"/>
                        </a:ext>
                      </a:extLst>
                    </a:blip>
                    <a:srcRect l="3020" t="7025" r="35037" b="4269"/>
                    <a:stretch/>
                  </pic:blipFill>
                  <pic:spPr bwMode="auto">
                    <a:xfrm>
                      <a:off x="0" y="0"/>
                      <a:ext cx="4803483" cy="4863905"/>
                    </a:xfrm>
                    <a:prstGeom prst="rect">
                      <a:avLst/>
                    </a:prstGeom>
                    <a:ln>
                      <a:noFill/>
                    </a:ln>
                    <a:extLst>
                      <a:ext uri="{53640926-AAD7-44D8-BBD7-CCE9431645EC}">
                        <a14:shadowObscured xmlns:a14="http://schemas.microsoft.com/office/drawing/2010/main"/>
                      </a:ext>
                    </a:extLst>
                  </pic:spPr>
                </pic:pic>
              </a:graphicData>
            </a:graphic>
          </wp:inline>
        </w:drawing>
      </w:r>
      <w:r w:rsidRPr="00770F9D">
        <w:rPr>
          <w:rFonts w:ascii="Garamond" w:hAnsi="Garamond" w:cstheme="majorBidi"/>
          <w:noProof/>
          <w:color w:val="0D0D0D" w:themeColor="text1" w:themeTint="F2"/>
          <w:lang w:eastAsia="sq-AL"/>
        </w:rPr>
        <w:drawing>
          <wp:anchor distT="0" distB="0" distL="114300" distR="114300" simplePos="0" relativeHeight="251658284" behindDoc="0" locked="0" layoutInCell="1" allowOverlap="1" wp14:anchorId="31163D05" wp14:editId="079507A4">
            <wp:simplePos x="0" y="0"/>
            <wp:positionH relativeFrom="column">
              <wp:posOffset>-573661</wp:posOffset>
            </wp:positionH>
            <wp:positionV relativeFrom="paragraph">
              <wp:posOffset>0</wp:posOffset>
            </wp:positionV>
            <wp:extent cx="7056802" cy="4852491"/>
            <wp:effectExtent l="0" t="0" r="0" b="5715"/>
            <wp:wrapTopAndBottom/>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62.jpg"/>
                    <pic:cNvPicPr/>
                  </pic:nvPicPr>
                  <pic:blipFill rotWithShape="1">
                    <a:blip r:embed="rId83" cstate="print">
                      <a:extLst>
                        <a:ext uri="{28A0092B-C50C-407E-A947-70E740481C1C}">
                          <a14:useLocalDpi xmlns:a14="http://schemas.microsoft.com/office/drawing/2010/main" val="0"/>
                        </a:ext>
                      </a:extLst>
                    </a:blip>
                    <a:srcRect l="3116" t="6335" r="5526" b="4822"/>
                    <a:stretch/>
                  </pic:blipFill>
                  <pic:spPr bwMode="auto">
                    <a:xfrm>
                      <a:off x="0" y="0"/>
                      <a:ext cx="7056802" cy="485249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70F9D">
        <w:rPr>
          <w:rFonts w:ascii="Garamond" w:hAnsi="Garamond" w:cstheme="majorBidi"/>
          <w:noProof/>
          <w:color w:val="0D0D0D" w:themeColor="text1" w:themeTint="F2"/>
          <w:lang w:eastAsia="sq-AL"/>
        </w:rPr>
        <w:drawing>
          <wp:inline distT="0" distB="0" distL="0" distR="0" wp14:anchorId="13002AD3" wp14:editId="3302FDE2">
            <wp:extent cx="4386271" cy="4448535"/>
            <wp:effectExtent l="0" t="0" r="0"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63.jpg"/>
                    <pic:cNvPicPr/>
                  </pic:nvPicPr>
                  <pic:blipFill rotWithShape="1">
                    <a:blip r:embed="rId84" cstate="print">
                      <a:extLst>
                        <a:ext uri="{28A0092B-C50C-407E-A947-70E740481C1C}">
                          <a14:useLocalDpi xmlns:a14="http://schemas.microsoft.com/office/drawing/2010/main" val="0"/>
                        </a:ext>
                      </a:extLst>
                    </a:blip>
                    <a:srcRect l="3214" t="6381" r="35038" b="4439"/>
                    <a:stretch/>
                  </pic:blipFill>
                  <pic:spPr bwMode="auto">
                    <a:xfrm>
                      <a:off x="0" y="0"/>
                      <a:ext cx="4388821" cy="4451121"/>
                    </a:xfrm>
                    <a:prstGeom prst="rect">
                      <a:avLst/>
                    </a:prstGeom>
                    <a:ln>
                      <a:noFill/>
                    </a:ln>
                    <a:extLst>
                      <a:ext uri="{53640926-AAD7-44D8-BBD7-CCE9431645EC}">
                        <a14:shadowObscured xmlns:a14="http://schemas.microsoft.com/office/drawing/2010/main"/>
                      </a:ext>
                    </a:extLst>
                  </pic:spPr>
                </pic:pic>
              </a:graphicData>
            </a:graphic>
          </wp:inline>
        </w:drawing>
      </w:r>
      <w:r w:rsidRPr="00770F9D">
        <w:rPr>
          <w:rFonts w:ascii="Garamond" w:hAnsi="Garamond" w:cstheme="majorBidi"/>
          <w:noProof/>
          <w:color w:val="0D0D0D" w:themeColor="text1" w:themeTint="F2"/>
          <w:lang w:eastAsia="sq-AL"/>
        </w:rPr>
        <w:drawing>
          <wp:inline distT="0" distB="0" distL="0" distR="0" wp14:anchorId="61CD6AF9" wp14:editId="6130BDED">
            <wp:extent cx="4942248" cy="3772946"/>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64.jpg"/>
                    <pic:cNvPicPr/>
                  </pic:nvPicPr>
                  <pic:blipFill rotWithShape="1">
                    <a:blip r:embed="rId85" cstate="print">
                      <a:extLst>
                        <a:ext uri="{28A0092B-C50C-407E-A947-70E740481C1C}">
                          <a14:useLocalDpi xmlns:a14="http://schemas.microsoft.com/office/drawing/2010/main" val="0"/>
                        </a:ext>
                      </a:extLst>
                    </a:blip>
                    <a:srcRect l="3020" t="6336" r="35232" b="26997"/>
                    <a:stretch/>
                  </pic:blipFill>
                  <pic:spPr bwMode="auto">
                    <a:xfrm>
                      <a:off x="0" y="0"/>
                      <a:ext cx="4942447" cy="3773098"/>
                    </a:xfrm>
                    <a:prstGeom prst="rect">
                      <a:avLst/>
                    </a:prstGeom>
                    <a:ln>
                      <a:noFill/>
                    </a:ln>
                    <a:extLst>
                      <a:ext uri="{53640926-AAD7-44D8-BBD7-CCE9431645EC}">
                        <a14:shadowObscured xmlns:a14="http://schemas.microsoft.com/office/drawing/2010/main"/>
                      </a:ext>
                    </a:extLst>
                  </pic:spPr>
                </pic:pic>
              </a:graphicData>
            </a:graphic>
          </wp:inline>
        </w:drawing>
      </w:r>
      <w:r w:rsidRPr="00770F9D">
        <w:rPr>
          <w:rFonts w:ascii="Garamond" w:hAnsi="Garamond" w:cstheme="majorBidi"/>
          <w:noProof/>
          <w:color w:val="0D0D0D" w:themeColor="text1" w:themeTint="F2"/>
          <w:lang w:eastAsia="sq-AL"/>
        </w:rPr>
        <w:drawing>
          <wp:inline distT="0" distB="0" distL="0" distR="0" wp14:anchorId="74203D54" wp14:editId="60089722">
            <wp:extent cx="6621952" cy="4308339"/>
            <wp:effectExtent l="0" t="0" r="762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65.jpg"/>
                    <pic:cNvPicPr/>
                  </pic:nvPicPr>
                  <pic:blipFill rotWithShape="1">
                    <a:blip r:embed="rId86" cstate="print">
                      <a:extLst>
                        <a:ext uri="{28A0092B-C50C-407E-A947-70E740481C1C}">
                          <a14:useLocalDpi xmlns:a14="http://schemas.microsoft.com/office/drawing/2010/main" val="0"/>
                        </a:ext>
                      </a:extLst>
                    </a:blip>
                    <a:srcRect l="2411" t="6887" r="2532" b="5647"/>
                    <a:stretch/>
                  </pic:blipFill>
                  <pic:spPr bwMode="auto">
                    <a:xfrm>
                      <a:off x="0" y="0"/>
                      <a:ext cx="6621952" cy="4308339"/>
                    </a:xfrm>
                    <a:prstGeom prst="rect">
                      <a:avLst/>
                    </a:prstGeom>
                    <a:ln>
                      <a:noFill/>
                    </a:ln>
                    <a:extLst>
                      <a:ext uri="{53640926-AAD7-44D8-BBD7-CCE9431645EC}">
                        <a14:shadowObscured xmlns:a14="http://schemas.microsoft.com/office/drawing/2010/main"/>
                      </a:ext>
                    </a:extLst>
                  </pic:spPr>
                </pic:pic>
              </a:graphicData>
            </a:graphic>
          </wp:inline>
        </w:drawing>
      </w:r>
      <w:r w:rsidRPr="00770F9D">
        <w:rPr>
          <w:rFonts w:ascii="Garamond" w:hAnsi="Garamond" w:cstheme="majorBidi"/>
          <w:noProof/>
          <w:color w:val="0D0D0D" w:themeColor="text1" w:themeTint="F2"/>
          <w:lang w:eastAsia="sq-AL"/>
        </w:rPr>
        <w:drawing>
          <wp:inline distT="0" distB="0" distL="0" distR="0" wp14:anchorId="0B5AD0F4" wp14:editId="42E094C5">
            <wp:extent cx="4790783" cy="3173727"/>
            <wp:effectExtent l="0" t="0" r="0" b="825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66.jpg"/>
                    <pic:cNvPicPr/>
                  </pic:nvPicPr>
                  <pic:blipFill rotWithShape="1">
                    <a:blip r:embed="rId87" cstate="print">
                      <a:extLst>
                        <a:ext uri="{28A0092B-C50C-407E-A947-70E740481C1C}">
                          <a14:useLocalDpi xmlns:a14="http://schemas.microsoft.com/office/drawing/2010/main" val="0"/>
                        </a:ext>
                      </a:extLst>
                    </a:blip>
                    <a:srcRect l="2728" t="3305" r="27733" b="31543"/>
                    <a:stretch/>
                  </pic:blipFill>
                  <pic:spPr bwMode="auto">
                    <a:xfrm>
                      <a:off x="0" y="0"/>
                      <a:ext cx="4790976" cy="3173855"/>
                    </a:xfrm>
                    <a:prstGeom prst="rect">
                      <a:avLst/>
                    </a:prstGeom>
                    <a:ln>
                      <a:noFill/>
                    </a:ln>
                    <a:extLst>
                      <a:ext uri="{53640926-AAD7-44D8-BBD7-CCE9431645EC}">
                        <a14:shadowObscured xmlns:a14="http://schemas.microsoft.com/office/drawing/2010/main"/>
                      </a:ext>
                    </a:extLst>
                  </pic:spPr>
                </pic:pic>
              </a:graphicData>
            </a:graphic>
          </wp:inline>
        </w:drawing>
      </w:r>
      <w:r w:rsidR="004F4A64" w:rsidRPr="00770F9D">
        <w:rPr>
          <w:rFonts w:ascii="Garamond" w:hAnsi="Garamond" w:cstheme="majorBidi"/>
          <w:noProof/>
          <w:color w:val="0D0D0D" w:themeColor="text1" w:themeTint="F2"/>
          <w:lang w:eastAsia="sq-AL"/>
        </w:rPr>
        <w:drawing>
          <wp:inline distT="0" distB="0" distL="0" distR="0" wp14:anchorId="3BB4229C" wp14:editId="70538DC8">
            <wp:extent cx="4756841" cy="4308339"/>
            <wp:effectExtent l="0" t="0" r="571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67.jpg"/>
                    <pic:cNvPicPr/>
                  </pic:nvPicPr>
                  <pic:blipFill rotWithShape="1">
                    <a:blip r:embed="rId88" cstate="print">
                      <a:extLst>
                        <a:ext uri="{28A0092B-C50C-407E-A947-70E740481C1C}">
                          <a14:useLocalDpi xmlns:a14="http://schemas.microsoft.com/office/drawing/2010/main" val="0"/>
                        </a:ext>
                      </a:extLst>
                    </a:blip>
                    <a:srcRect l="2143" t="6612" r="29681" b="6060"/>
                    <a:stretch/>
                  </pic:blipFill>
                  <pic:spPr bwMode="auto">
                    <a:xfrm>
                      <a:off x="0" y="0"/>
                      <a:ext cx="4757030" cy="4308510"/>
                    </a:xfrm>
                    <a:prstGeom prst="rect">
                      <a:avLst/>
                    </a:prstGeom>
                    <a:ln>
                      <a:noFill/>
                    </a:ln>
                    <a:extLst>
                      <a:ext uri="{53640926-AAD7-44D8-BBD7-CCE9431645EC}">
                        <a14:shadowObscured xmlns:a14="http://schemas.microsoft.com/office/drawing/2010/main"/>
                      </a:ext>
                    </a:extLst>
                  </pic:spPr>
                </pic:pic>
              </a:graphicData>
            </a:graphic>
          </wp:inline>
        </w:drawing>
      </w:r>
    </w:p>
    <w:p w14:paraId="59E0E426" w14:textId="77777777" w:rsidR="00056076" w:rsidRDefault="00056076" w:rsidP="0042406F">
      <w:pPr>
        <w:snapToGrid w:val="0"/>
        <w:ind w:firstLine="284"/>
        <w:jc w:val="center"/>
        <w:rPr>
          <w:rFonts w:ascii="Garamond" w:hAnsi="Garamond" w:cstheme="majorBidi"/>
          <w:color w:val="0D0D0D" w:themeColor="text1" w:themeTint="F2"/>
        </w:rPr>
      </w:pPr>
    </w:p>
    <w:p w14:paraId="64C5B109" w14:textId="239D680A" w:rsidR="00EB1E05" w:rsidRPr="00770F9D" w:rsidRDefault="00056076" w:rsidP="0042406F">
      <w:pPr>
        <w:snapToGrid w:val="0"/>
        <w:ind w:firstLine="284"/>
        <w:jc w:val="center"/>
        <w:rPr>
          <w:rFonts w:ascii="Garamond" w:hAnsi="Garamond" w:cstheme="majorBidi"/>
          <w:color w:val="0D0D0D" w:themeColor="text1" w:themeTint="F2"/>
        </w:rPr>
      </w:pPr>
      <w:r w:rsidRPr="00770F9D">
        <w:rPr>
          <w:rFonts w:ascii="Garamond" w:hAnsi="Garamond" w:cstheme="majorBidi"/>
          <w:noProof/>
          <w:color w:val="0D0D0D" w:themeColor="text1" w:themeTint="F2"/>
          <w:lang w:eastAsia="sq-AL"/>
        </w:rPr>
        <w:drawing>
          <wp:inline distT="0" distB="0" distL="0" distR="0" wp14:anchorId="68AD0020" wp14:editId="4FEACA2E">
            <wp:extent cx="4936792" cy="4224192"/>
            <wp:effectExtent l="0" t="0" r="0" b="508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68.jpg"/>
                    <pic:cNvPicPr/>
                  </pic:nvPicPr>
                  <pic:blipFill rotWithShape="1">
                    <a:blip r:embed="rId89" cstate="print">
                      <a:extLst>
                        <a:ext uri="{28A0092B-C50C-407E-A947-70E740481C1C}">
                          <a14:useLocalDpi xmlns:a14="http://schemas.microsoft.com/office/drawing/2010/main" val="0"/>
                        </a:ext>
                      </a:extLst>
                    </a:blip>
                    <a:srcRect l="2800" t="6887" r="31994" b="14205"/>
                    <a:stretch/>
                  </pic:blipFill>
                  <pic:spPr bwMode="auto">
                    <a:xfrm>
                      <a:off x="0" y="0"/>
                      <a:ext cx="4948077" cy="4233848"/>
                    </a:xfrm>
                    <a:prstGeom prst="rect">
                      <a:avLst/>
                    </a:prstGeom>
                    <a:ln>
                      <a:noFill/>
                    </a:ln>
                    <a:extLst>
                      <a:ext uri="{53640926-AAD7-44D8-BBD7-CCE9431645EC}">
                        <a14:shadowObscured xmlns:a14="http://schemas.microsoft.com/office/drawing/2010/main"/>
                      </a:ext>
                    </a:extLst>
                  </pic:spPr>
                </pic:pic>
              </a:graphicData>
            </a:graphic>
          </wp:inline>
        </w:drawing>
      </w:r>
      <w:r w:rsidR="00EF6BA9" w:rsidRPr="00770F9D">
        <w:rPr>
          <w:rFonts w:ascii="Garamond" w:hAnsi="Garamond" w:cstheme="majorBidi"/>
          <w:noProof/>
          <w:color w:val="0D0D0D" w:themeColor="text1" w:themeTint="F2"/>
          <w:lang w:eastAsia="sq-AL"/>
        </w:rPr>
        <w:drawing>
          <wp:inline distT="0" distB="0" distL="0" distR="0" wp14:anchorId="22819242" wp14:editId="040ABC80">
            <wp:extent cx="5663820" cy="3801340"/>
            <wp:effectExtent l="0" t="0" r="0" b="889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69.jpg"/>
                    <pic:cNvPicPr/>
                  </pic:nvPicPr>
                  <pic:blipFill rotWithShape="1">
                    <a:blip r:embed="rId90" cstate="print">
                      <a:extLst>
                        <a:ext uri="{28A0092B-C50C-407E-A947-70E740481C1C}">
                          <a14:useLocalDpi xmlns:a14="http://schemas.microsoft.com/office/drawing/2010/main" val="0"/>
                        </a:ext>
                      </a:extLst>
                    </a:blip>
                    <a:srcRect l="2727" t="6336" r="3385" b="4546"/>
                    <a:stretch/>
                  </pic:blipFill>
                  <pic:spPr bwMode="auto">
                    <a:xfrm>
                      <a:off x="0" y="0"/>
                      <a:ext cx="5667148" cy="3803573"/>
                    </a:xfrm>
                    <a:prstGeom prst="rect">
                      <a:avLst/>
                    </a:prstGeom>
                    <a:ln>
                      <a:noFill/>
                    </a:ln>
                    <a:extLst>
                      <a:ext uri="{53640926-AAD7-44D8-BBD7-CCE9431645EC}">
                        <a14:shadowObscured xmlns:a14="http://schemas.microsoft.com/office/drawing/2010/main"/>
                      </a:ext>
                    </a:extLst>
                  </pic:spPr>
                </pic:pic>
              </a:graphicData>
            </a:graphic>
          </wp:inline>
        </w:drawing>
      </w:r>
      <w:r w:rsidR="00EF6BA9" w:rsidRPr="00770F9D">
        <w:rPr>
          <w:rFonts w:ascii="Garamond" w:hAnsi="Garamond" w:cstheme="majorBidi"/>
          <w:noProof/>
          <w:color w:val="0D0D0D" w:themeColor="text1" w:themeTint="F2"/>
          <w:lang w:eastAsia="sq-AL"/>
        </w:rPr>
        <w:drawing>
          <wp:inline distT="0" distB="0" distL="0" distR="0" wp14:anchorId="56146B9D" wp14:editId="719E1140">
            <wp:extent cx="5544254" cy="459444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70.jpg"/>
                    <pic:cNvPicPr/>
                  </pic:nvPicPr>
                  <pic:blipFill rotWithShape="1">
                    <a:blip r:embed="rId91" cstate="print">
                      <a:extLst>
                        <a:ext uri="{28A0092B-C50C-407E-A947-70E740481C1C}">
                          <a14:useLocalDpi xmlns:a14="http://schemas.microsoft.com/office/drawing/2010/main" val="0"/>
                        </a:ext>
                      </a:extLst>
                    </a:blip>
                    <a:srcRect l="3020" t="6380" r="23642" b="7074"/>
                    <a:stretch/>
                  </pic:blipFill>
                  <pic:spPr bwMode="auto">
                    <a:xfrm>
                      <a:off x="0" y="0"/>
                      <a:ext cx="5544477" cy="4594625"/>
                    </a:xfrm>
                    <a:prstGeom prst="rect">
                      <a:avLst/>
                    </a:prstGeom>
                    <a:ln>
                      <a:noFill/>
                    </a:ln>
                    <a:extLst>
                      <a:ext uri="{53640926-AAD7-44D8-BBD7-CCE9431645EC}">
                        <a14:shadowObscured xmlns:a14="http://schemas.microsoft.com/office/drawing/2010/main"/>
                      </a:ext>
                    </a:extLst>
                  </pic:spPr>
                </pic:pic>
              </a:graphicData>
            </a:graphic>
          </wp:inline>
        </w:drawing>
      </w:r>
      <w:r w:rsidR="00EF6BA9" w:rsidRPr="00770F9D">
        <w:rPr>
          <w:rFonts w:ascii="Garamond" w:hAnsi="Garamond" w:cstheme="majorBidi"/>
          <w:noProof/>
          <w:color w:val="0D0D0D" w:themeColor="text1" w:themeTint="F2"/>
          <w:lang w:eastAsia="sq-AL"/>
        </w:rPr>
        <w:drawing>
          <wp:inline distT="0" distB="0" distL="0" distR="0" wp14:anchorId="5BA0E9DF" wp14:editId="1B2AEA68">
            <wp:extent cx="4943361" cy="4190532"/>
            <wp:effectExtent l="0" t="0" r="0" b="63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71.jpg"/>
                    <pic:cNvPicPr/>
                  </pic:nvPicPr>
                  <pic:blipFill rotWithShape="1">
                    <a:blip r:embed="rId92" cstate="print">
                      <a:extLst>
                        <a:ext uri="{28A0092B-C50C-407E-A947-70E740481C1C}">
                          <a14:useLocalDpi xmlns:a14="http://schemas.microsoft.com/office/drawing/2010/main" val="0"/>
                        </a:ext>
                      </a:extLst>
                    </a:blip>
                    <a:srcRect l="3508" t="6473" r="24226" b="6887"/>
                    <a:stretch/>
                  </pic:blipFill>
                  <pic:spPr bwMode="auto">
                    <a:xfrm>
                      <a:off x="0" y="0"/>
                      <a:ext cx="4943560" cy="4190701"/>
                    </a:xfrm>
                    <a:prstGeom prst="rect">
                      <a:avLst/>
                    </a:prstGeom>
                    <a:ln>
                      <a:noFill/>
                    </a:ln>
                    <a:extLst>
                      <a:ext uri="{53640926-AAD7-44D8-BBD7-CCE9431645EC}">
                        <a14:shadowObscured xmlns:a14="http://schemas.microsoft.com/office/drawing/2010/main"/>
                      </a:ext>
                    </a:extLst>
                  </pic:spPr>
                </pic:pic>
              </a:graphicData>
            </a:graphic>
          </wp:inline>
        </w:drawing>
      </w:r>
      <w:r w:rsidR="00EF6BA9" w:rsidRPr="00770F9D">
        <w:rPr>
          <w:rFonts w:ascii="Garamond" w:hAnsi="Garamond" w:cstheme="majorBidi"/>
          <w:noProof/>
          <w:color w:val="0D0D0D" w:themeColor="text1" w:themeTint="F2"/>
          <w:lang w:eastAsia="sq-AL"/>
        </w:rPr>
        <w:drawing>
          <wp:inline distT="0" distB="0" distL="0" distR="0" wp14:anchorId="2CFDF49F" wp14:editId="11B1AE1F">
            <wp:extent cx="5008728" cy="4210334"/>
            <wp:effectExtent l="0" t="0" r="190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72.jpg"/>
                    <pic:cNvPicPr/>
                  </pic:nvPicPr>
                  <pic:blipFill rotWithShape="1">
                    <a:blip r:embed="rId93" cstate="print">
                      <a:extLst>
                        <a:ext uri="{28A0092B-C50C-407E-A947-70E740481C1C}">
                          <a14:useLocalDpi xmlns:a14="http://schemas.microsoft.com/office/drawing/2010/main" val="0"/>
                        </a:ext>
                      </a:extLst>
                    </a:blip>
                    <a:srcRect l="3409" t="6749" r="22278" b="3581"/>
                    <a:stretch/>
                  </pic:blipFill>
                  <pic:spPr bwMode="auto">
                    <a:xfrm>
                      <a:off x="0" y="0"/>
                      <a:ext cx="5012068" cy="4213142"/>
                    </a:xfrm>
                    <a:prstGeom prst="rect">
                      <a:avLst/>
                    </a:prstGeom>
                    <a:ln>
                      <a:noFill/>
                    </a:ln>
                    <a:extLst>
                      <a:ext uri="{53640926-AAD7-44D8-BBD7-CCE9431645EC}">
                        <a14:shadowObscured xmlns:a14="http://schemas.microsoft.com/office/drawing/2010/main"/>
                      </a:ext>
                    </a:extLst>
                  </pic:spPr>
                </pic:pic>
              </a:graphicData>
            </a:graphic>
          </wp:inline>
        </w:drawing>
      </w:r>
      <w:r w:rsidR="00EF6BA9" w:rsidRPr="00770F9D">
        <w:rPr>
          <w:rFonts w:ascii="Garamond" w:hAnsi="Garamond" w:cstheme="majorBidi"/>
          <w:noProof/>
          <w:color w:val="0D0D0D" w:themeColor="text1" w:themeTint="F2"/>
          <w:lang w:eastAsia="sq-AL"/>
        </w:rPr>
        <w:drawing>
          <wp:inline distT="0" distB="0" distL="0" distR="0" wp14:anchorId="08437F68" wp14:editId="35C3DC9A">
            <wp:extent cx="5691117" cy="2424977"/>
            <wp:effectExtent l="0" t="0" r="508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73.jpg"/>
                    <pic:cNvPicPr/>
                  </pic:nvPicPr>
                  <pic:blipFill rotWithShape="1">
                    <a:blip r:embed="rId94" cstate="print">
                      <a:extLst>
                        <a:ext uri="{28A0092B-C50C-407E-A947-70E740481C1C}">
                          <a14:useLocalDpi xmlns:a14="http://schemas.microsoft.com/office/drawing/2010/main" val="0"/>
                        </a:ext>
                      </a:extLst>
                    </a:blip>
                    <a:srcRect l="3409" t="6749" r="23447" b="49174"/>
                    <a:stretch/>
                  </pic:blipFill>
                  <pic:spPr bwMode="auto">
                    <a:xfrm>
                      <a:off x="0" y="0"/>
                      <a:ext cx="5692710" cy="2425656"/>
                    </a:xfrm>
                    <a:prstGeom prst="rect">
                      <a:avLst/>
                    </a:prstGeom>
                    <a:ln>
                      <a:noFill/>
                    </a:ln>
                    <a:extLst>
                      <a:ext uri="{53640926-AAD7-44D8-BBD7-CCE9431645EC}">
                        <a14:shadowObscured xmlns:a14="http://schemas.microsoft.com/office/drawing/2010/main"/>
                      </a:ext>
                    </a:extLst>
                  </pic:spPr>
                </pic:pic>
              </a:graphicData>
            </a:graphic>
          </wp:inline>
        </w:drawing>
      </w:r>
      <w:bookmarkStart w:id="65" w:name="_GoBack"/>
      <w:r w:rsidR="00EF6BA9" w:rsidRPr="00770F9D">
        <w:rPr>
          <w:rFonts w:ascii="Garamond" w:hAnsi="Garamond" w:cstheme="majorBidi"/>
          <w:noProof/>
          <w:color w:val="0D0D0D" w:themeColor="text1" w:themeTint="F2"/>
          <w:lang w:eastAsia="sq-AL"/>
        </w:rPr>
        <w:drawing>
          <wp:inline distT="0" distB="0" distL="0" distR="0" wp14:anchorId="55AD6AC5" wp14:editId="036DEE42">
            <wp:extent cx="5706560" cy="7904231"/>
            <wp:effectExtent l="0" t="0" r="8890" b="190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74.jpg"/>
                    <pic:cNvPicPr/>
                  </pic:nvPicPr>
                  <pic:blipFill rotWithShape="1">
                    <a:blip r:embed="rId95" cstate="print">
                      <a:extLst>
                        <a:ext uri="{28A0092B-C50C-407E-A947-70E740481C1C}">
                          <a14:useLocalDpi xmlns:a14="http://schemas.microsoft.com/office/drawing/2010/main" val="0"/>
                        </a:ext>
                      </a:extLst>
                    </a:blip>
                    <a:srcRect l="5240" t="5781" r="4480" b="5850"/>
                    <a:stretch/>
                  </pic:blipFill>
                  <pic:spPr bwMode="auto">
                    <a:xfrm>
                      <a:off x="0" y="0"/>
                      <a:ext cx="5706418" cy="7904035"/>
                    </a:xfrm>
                    <a:prstGeom prst="rect">
                      <a:avLst/>
                    </a:prstGeom>
                    <a:ln>
                      <a:noFill/>
                    </a:ln>
                    <a:extLst>
                      <a:ext uri="{53640926-AAD7-44D8-BBD7-CCE9431645EC}">
                        <a14:shadowObscured xmlns:a14="http://schemas.microsoft.com/office/drawing/2010/main"/>
                      </a:ext>
                    </a:extLst>
                  </pic:spPr>
                </pic:pic>
              </a:graphicData>
            </a:graphic>
          </wp:inline>
        </w:drawing>
      </w:r>
      <w:bookmarkEnd w:id="65"/>
      <w:r w:rsidR="00EF6BA9" w:rsidRPr="00770F9D">
        <w:rPr>
          <w:rFonts w:ascii="Garamond" w:hAnsi="Garamond" w:cstheme="majorBidi"/>
          <w:noProof/>
          <w:color w:val="0D0D0D" w:themeColor="text1" w:themeTint="F2"/>
          <w:lang w:eastAsia="sq-AL"/>
        </w:rPr>
        <w:drawing>
          <wp:inline distT="0" distB="0" distL="0" distR="0" wp14:anchorId="0A64AEE3" wp14:editId="372DC926">
            <wp:extent cx="5674033" cy="8050086"/>
            <wp:effectExtent l="0" t="0" r="3175" b="825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75.jpg"/>
                    <pic:cNvPicPr/>
                  </pic:nvPicPr>
                  <pic:blipFill rotWithShape="1">
                    <a:blip r:embed="rId96" cstate="print">
                      <a:extLst>
                        <a:ext uri="{28A0092B-C50C-407E-A947-70E740481C1C}">
                          <a14:useLocalDpi xmlns:a14="http://schemas.microsoft.com/office/drawing/2010/main" val="0"/>
                        </a:ext>
                      </a:extLst>
                    </a:blip>
                    <a:srcRect l="6135" t="6466" r="4971" b="5378"/>
                    <a:stretch/>
                  </pic:blipFill>
                  <pic:spPr bwMode="auto">
                    <a:xfrm>
                      <a:off x="0" y="0"/>
                      <a:ext cx="5684911" cy="8065520"/>
                    </a:xfrm>
                    <a:prstGeom prst="rect">
                      <a:avLst/>
                    </a:prstGeom>
                    <a:ln>
                      <a:noFill/>
                    </a:ln>
                    <a:extLst>
                      <a:ext uri="{53640926-AAD7-44D8-BBD7-CCE9431645EC}">
                        <a14:shadowObscured xmlns:a14="http://schemas.microsoft.com/office/drawing/2010/main"/>
                      </a:ext>
                    </a:extLst>
                  </pic:spPr>
                </pic:pic>
              </a:graphicData>
            </a:graphic>
          </wp:inline>
        </w:drawing>
      </w:r>
      <w:r w:rsidR="00EF6BA9" w:rsidRPr="00770F9D">
        <w:rPr>
          <w:rFonts w:ascii="Garamond" w:hAnsi="Garamond" w:cstheme="majorBidi"/>
          <w:noProof/>
          <w:color w:val="0D0D0D" w:themeColor="text1" w:themeTint="F2"/>
          <w:lang w:eastAsia="sq-AL"/>
        </w:rPr>
        <w:drawing>
          <wp:inline distT="0" distB="0" distL="0" distR="0" wp14:anchorId="510E7BC6" wp14:editId="515C8B63">
            <wp:extent cx="6135517" cy="8437164"/>
            <wp:effectExtent l="0" t="0" r="0" b="254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76.jpg"/>
                    <pic:cNvPicPr/>
                  </pic:nvPicPr>
                  <pic:blipFill rotWithShape="1">
                    <a:blip r:embed="rId97" cstate="print">
                      <a:extLst>
                        <a:ext uri="{28A0092B-C50C-407E-A947-70E740481C1C}">
                          <a14:useLocalDpi xmlns:a14="http://schemas.microsoft.com/office/drawing/2010/main" val="0"/>
                        </a:ext>
                      </a:extLst>
                    </a:blip>
                    <a:srcRect l="5259" t="6562" r="4657" b="5594"/>
                    <a:stretch/>
                  </pic:blipFill>
                  <pic:spPr bwMode="auto">
                    <a:xfrm>
                      <a:off x="0" y="0"/>
                      <a:ext cx="6135364" cy="8436954"/>
                    </a:xfrm>
                    <a:prstGeom prst="rect">
                      <a:avLst/>
                    </a:prstGeom>
                    <a:ln>
                      <a:noFill/>
                    </a:ln>
                    <a:extLst>
                      <a:ext uri="{53640926-AAD7-44D8-BBD7-CCE9431645EC}">
                        <a14:shadowObscured xmlns:a14="http://schemas.microsoft.com/office/drawing/2010/main"/>
                      </a:ext>
                    </a:extLst>
                  </pic:spPr>
                </pic:pic>
              </a:graphicData>
            </a:graphic>
          </wp:inline>
        </w:drawing>
      </w:r>
      <w:r w:rsidR="00EF6BA9" w:rsidRPr="00770F9D">
        <w:rPr>
          <w:rFonts w:ascii="Garamond" w:hAnsi="Garamond" w:cstheme="majorBidi"/>
          <w:noProof/>
          <w:color w:val="0D0D0D" w:themeColor="text1" w:themeTint="F2"/>
          <w:lang w:eastAsia="sq-AL"/>
        </w:rPr>
        <w:drawing>
          <wp:inline distT="0" distB="0" distL="0" distR="0" wp14:anchorId="510875DC" wp14:editId="14B0E16C">
            <wp:extent cx="5523185" cy="7702278"/>
            <wp:effectExtent l="0" t="0" r="190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77.jpg"/>
                    <pic:cNvPicPr/>
                  </pic:nvPicPr>
                  <pic:blipFill rotWithShape="1">
                    <a:blip r:embed="rId98" cstate="print">
                      <a:extLst>
                        <a:ext uri="{28A0092B-C50C-407E-A947-70E740481C1C}">
                          <a14:useLocalDpi xmlns:a14="http://schemas.microsoft.com/office/drawing/2010/main" val="0"/>
                        </a:ext>
                      </a:extLst>
                    </a:blip>
                    <a:srcRect l="5064" t="6263" r="5825" b="5919"/>
                    <a:stretch/>
                  </pic:blipFill>
                  <pic:spPr bwMode="auto">
                    <a:xfrm>
                      <a:off x="0" y="0"/>
                      <a:ext cx="5523047" cy="7702086"/>
                    </a:xfrm>
                    <a:prstGeom prst="rect">
                      <a:avLst/>
                    </a:prstGeom>
                    <a:ln>
                      <a:noFill/>
                    </a:ln>
                    <a:extLst>
                      <a:ext uri="{53640926-AAD7-44D8-BBD7-CCE9431645EC}">
                        <a14:shadowObscured xmlns:a14="http://schemas.microsoft.com/office/drawing/2010/main"/>
                      </a:ext>
                    </a:extLst>
                  </pic:spPr>
                </pic:pic>
              </a:graphicData>
            </a:graphic>
          </wp:inline>
        </w:drawing>
      </w:r>
      <w:r w:rsidR="00EF6BA9" w:rsidRPr="00770F9D">
        <w:rPr>
          <w:rFonts w:ascii="Garamond" w:hAnsi="Garamond" w:cstheme="majorBidi"/>
          <w:noProof/>
          <w:color w:val="0D0D0D" w:themeColor="text1" w:themeTint="F2"/>
          <w:lang w:eastAsia="sq-AL"/>
        </w:rPr>
        <w:drawing>
          <wp:inline distT="0" distB="0" distL="0" distR="0" wp14:anchorId="5F6B5881" wp14:editId="409CE5B6">
            <wp:extent cx="6041689" cy="8308138"/>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78.jpg"/>
                    <pic:cNvPicPr/>
                  </pic:nvPicPr>
                  <pic:blipFill rotWithShape="1">
                    <a:blip r:embed="rId99" cstate="print">
                      <a:extLst>
                        <a:ext uri="{28A0092B-C50C-407E-A947-70E740481C1C}">
                          <a14:useLocalDpi xmlns:a14="http://schemas.microsoft.com/office/drawing/2010/main" val="0"/>
                        </a:ext>
                      </a:extLst>
                    </a:blip>
                    <a:srcRect l="5551" t="5920" r="4364" b="6538"/>
                    <a:stretch/>
                  </pic:blipFill>
                  <pic:spPr bwMode="auto">
                    <a:xfrm>
                      <a:off x="0" y="0"/>
                      <a:ext cx="6041539" cy="8307931"/>
                    </a:xfrm>
                    <a:prstGeom prst="rect">
                      <a:avLst/>
                    </a:prstGeom>
                    <a:ln>
                      <a:noFill/>
                    </a:ln>
                    <a:extLst>
                      <a:ext uri="{53640926-AAD7-44D8-BBD7-CCE9431645EC}">
                        <a14:shadowObscured xmlns:a14="http://schemas.microsoft.com/office/drawing/2010/main"/>
                      </a:ext>
                    </a:extLst>
                  </pic:spPr>
                </pic:pic>
              </a:graphicData>
            </a:graphic>
          </wp:inline>
        </w:drawing>
      </w:r>
      <w:r w:rsidR="00EF6BA9" w:rsidRPr="00770F9D">
        <w:rPr>
          <w:rFonts w:ascii="Garamond" w:hAnsi="Garamond" w:cstheme="majorBidi"/>
          <w:noProof/>
          <w:color w:val="0D0D0D" w:themeColor="text1" w:themeTint="F2"/>
          <w:lang w:eastAsia="sq-AL"/>
        </w:rPr>
        <w:drawing>
          <wp:inline distT="0" distB="0" distL="0" distR="0" wp14:anchorId="2F703A87" wp14:editId="75D733C4">
            <wp:extent cx="5891337" cy="8139843"/>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79.jpg"/>
                    <pic:cNvPicPr/>
                  </pic:nvPicPr>
                  <pic:blipFill rotWithShape="1">
                    <a:blip r:embed="rId100" cstate="print">
                      <a:extLst>
                        <a:ext uri="{28A0092B-C50C-407E-A947-70E740481C1C}">
                          <a14:useLocalDpi xmlns:a14="http://schemas.microsoft.com/office/drawing/2010/main" val="0"/>
                        </a:ext>
                      </a:extLst>
                    </a:blip>
                    <a:srcRect l="4966" t="5986" r="3682" b="4818"/>
                    <a:stretch/>
                  </pic:blipFill>
                  <pic:spPr bwMode="auto">
                    <a:xfrm>
                      <a:off x="0" y="0"/>
                      <a:ext cx="5891190" cy="8139640"/>
                    </a:xfrm>
                    <a:prstGeom prst="rect">
                      <a:avLst/>
                    </a:prstGeom>
                    <a:ln>
                      <a:noFill/>
                    </a:ln>
                    <a:extLst>
                      <a:ext uri="{53640926-AAD7-44D8-BBD7-CCE9431645EC}">
                        <a14:shadowObscured xmlns:a14="http://schemas.microsoft.com/office/drawing/2010/main"/>
                      </a:ext>
                    </a:extLst>
                  </pic:spPr>
                </pic:pic>
              </a:graphicData>
            </a:graphic>
          </wp:inline>
        </w:drawing>
      </w:r>
      <w:r w:rsidR="00EF6BA9" w:rsidRPr="00770F9D">
        <w:rPr>
          <w:rFonts w:ascii="Garamond" w:hAnsi="Garamond" w:cstheme="majorBidi"/>
          <w:noProof/>
          <w:color w:val="0D0D0D" w:themeColor="text1" w:themeTint="F2"/>
          <w:lang w:eastAsia="sq-AL"/>
        </w:rPr>
        <w:drawing>
          <wp:inline distT="0" distB="0" distL="0" distR="0" wp14:anchorId="6ACF78E7" wp14:editId="008EC53F">
            <wp:extent cx="5495092" cy="7752766"/>
            <wp:effectExtent l="0" t="0" r="0" b="63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80.jpg"/>
                    <pic:cNvPicPr/>
                  </pic:nvPicPr>
                  <pic:blipFill rotWithShape="1">
                    <a:blip r:embed="rId101" cstate="print">
                      <a:extLst>
                        <a:ext uri="{28A0092B-C50C-407E-A947-70E740481C1C}">
                          <a14:useLocalDpi xmlns:a14="http://schemas.microsoft.com/office/drawing/2010/main" val="0"/>
                        </a:ext>
                      </a:extLst>
                    </a:blip>
                    <a:srcRect l="6331" t="6056" r="5727" b="6263"/>
                    <a:stretch/>
                  </pic:blipFill>
                  <pic:spPr bwMode="auto">
                    <a:xfrm>
                      <a:off x="0" y="0"/>
                      <a:ext cx="5494955" cy="7752573"/>
                    </a:xfrm>
                    <a:prstGeom prst="rect">
                      <a:avLst/>
                    </a:prstGeom>
                    <a:ln>
                      <a:noFill/>
                    </a:ln>
                    <a:extLst>
                      <a:ext uri="{53640926-AAD7-44D8-BBD7-CCE9431645EC}">
                        <a14:shadowObscured xmlns:a14="http://schemas.microsoft.com/office/drawing/2010/main"/>
                      </a:ext>
                    </a:extLst>
                  </pic:spPr>
                </pic:pic>
              </a:graphicData>
            </a:graphic>
          </wp:inline>
        </w:drawing>
      </w:r>
      <w:r w:rsidR="00EF6BA9" w:rsidRPr="00770F9D">
        <w:rPr>
          <w:rFonts w:ascii="Garamond" w:hAnsi="Garamond" w:cstheme="majorBidi"/>
          <w:noProof/>
          <w:color w:val="0D0D0D" w:themeColor="text1" w:themeTint="F2"/>
          <w:lang w:eastAsia="sq-AL"/>
        </w:rPr>
        <w:drawing>
          <wp:inline distT="0" distB="0" distL="0" distR="0" wp14:anchorId="1C04854E" wp14:editId="5181FEB6">
            <wp:extent cx="5803687" cy="8100575"/>
            <wp:effectExtent l="0" t="0" r="698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81.jpg"/>
                    <pic:cNvPicPr/>
                  </pic:nvPicPr>
                  <pic:blipFill rotWithShape="1">
                    <a:blip r:embed="rId102" cstate="print">
                      <a:extLst>
                        <a:ext uri="{28A0092B-C50C-407E-A947-70E740481C1C}">
                          <a14:useLocalDpi xmlns:a14="http://schemas.microsoft.com/office/drawing/2010/main" val="0"/>
                        </a:ext>
                      </a:extLst>
                    </a:blip>
                    <a:srcRect l="6994" t="6193" r="5649" b="7639"/>
                    <a:stretch/>
                  </pic:blipFill>
                  <pic:spPr bwMode="auto">
                    <a:xfrm>
                      <a:off x="0" y="0"/>
                      <a:ext cx="5803543" cy="8100374"/>
                    </a:xfrm>
                    <a:prstGeom prst="rect">
                      <a:avLst/>
                    </a:prstGeom>
                    <a:ln>
                      <a:noFill/>
                    </a:ln>
                    <a:extLst>
                      <a:ext uri="{53640926-AAD7-44D8-BBD7-CCE9431645EC}">
                        <a14:shadowObscured xmlns:a14="http://schemas.microsoft.com/office/drawing/2010/main"/>
                      </a:ext>
                    </a:extLst>
                  </pic:spPr>
                </pic:pic>
              </a:graphicData>
            </a:graphic>
          </wp:inline>
        </w:drawing>
      </w:r>
      <w:r w:rsidR="00EF6BA9" w:rsidRPr="00770F9D">
        <w:rPr>
          <w:rFonts w:ascii="Garamond" w:hAnsi="Garamond" w:cstheme="majorBidi"/>
          <w:noProof/>
          <w:color w:val="0D0D0D" w:themeColor="text1" w:themeTint="F2"/>
          <w:lang w:eastAsia="sq-AL"/>
        </w:rPr>
        <w:drawing>
          <wp:inline distT="0" distB="0" distL="0" distR="0" wp14:anchorId="7BD0CBF9" wp14:editId="5A4A38D4">
            <wp:extent cx="5755646" cy="7960329"/>
            <wp:effectExtent l="0" t="0" r="0" b="317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82.jpg"/>
                    <pic:cNvPicPr/>
                  </pic:nvPicPr>
                  <pic:blipFill rotWithShape="1">
                    <a:blip r:embed="rId103" cstate="print">
                      <a:extLst>
                        <a:ext uri="{28A0092B-C50C-407E-A947-70E740481C1C}">
                          <a14:useLocalDpi xmlns:a14="http://schemas.microsoft.com/office/drawing/2010/main" val="0"/>
                        </a:ext>
                      </a:extLst>
                    </a:blip>
                    <a:srcRect l="5259" t="5919" r="3975" b="5368"/>
                    <a:stretch/>
                  </pic:blipFill>
                  <pic:spPr bwMode="auto">
                    <a:xfrm>
                      <a:off x="0" y="0"/>
                      <a:ext cx="5755502" cy="7960130"/>
                    </a:xfrm>
                    <a:prstGeom prst="rect">
                      <a:avLst/>
                    </a:prstGeom>
                    <a:ln>
                      <a:noFill/>
                    </a:ln>
                    <a:extLst>
                      <a:ext uri="{53640926-AAD7-44D8-BBD7-CCE9431645EC}">
                        <a14:shadowObscured xmlns:a14="http://schemas.microsoft.com/office/drawing/2010/main"/>
                      </a:ext>
                    </a:extLst>
                  </pic:spPr>
                </pic:pic>
              </a:graphicData>
            </a:graphic>
          </wp:inline>
        </w:drawing>
      </w:r>
      <w:r w:rsidR="00EF6BA9" w:rsidRPr="00770F9D">
        <w:rPr>
          <w:rFonts w:ascii="Garamond" w:hAnsi="Garamond" w:cstheme="majorBidi"/>
          <w:noProof/>
          <w:color w:val="0D0D0D" w:themeColor="text1" w:themeTint="F2"/>
          <w:lang w:eastAsia="sq-AL"/>
        </w:rPr>
        <w:drawing>
          <wp:inline distT="0" distB="0" distL="0" distR="0" wp14:anchorId="7C33472B" wp14:editId="5C07492C">
            <wp:extent cx="6293089" cy="6978611"/>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83.jpg"/>
                    <pic:cNvPicPr/>
                  </pic:nvPicPr>
                  <pic:blipFill rotWithShape="1">
                    <a:blip r:embed="rId104" cstate="print">
                      <a:extLst>
                        <a:ext uri="{28A0092B-C50C-407E-A947-70E740481C1C}">
                          <a14:useLocalDpi xmlns:a14="http://schemas.microsoft.com/office/drawing/2010/main" val="0"/>
                        </a:ext>
                      </a:extLst>
                    </a:blip>
                    <a:srcRect l="5843" t="6125" r="4754" b="23813"/>
                    <a:stretch/>
                  </pic:blipFill>
                  <pic:spPr bwMode="auto">
                    <a:xfrm>
                      <a:off x="0" y="0"/>
                      <a:ext cx="6292931" cy="6978436"/>
                    </a:xfrm>
                    <a:prstGeom prst="rect">
                      <a:avLst/>
                    </a:prstGeom>
                    <a:ln>
                      <a:noFill/>
                    </a:ln>
                    <a:extLst>
                      <a:ext uri="{53640926-AAD7-44D8-BBD7-CCE9431645EC}">
                        <a14:shadowObscured xmlns:a14="http://schemas.microsoft.com/office/drawing/2010/main"/>
                      </a:ext>
                    </a:extLst>
                  </pic:spPr>
                </pic:pic>
              </a:graphicData>
            </a:graphic>
          </wp:inline>
        </w:drawing>
      </w:r>
      <w:r w:rsidR="00EF6BA9" w:rsidRPr="00770F9D">
        <w:rPr>
          <w:rFonts w:ascii="Garamond" w:hAnsi="Garamond" w:cstheme="majorBidi"/>
          <w:noProof/>
          <w:color w:val="0D0D0D" w:themeColor="text1" w:themeTint="F2"/>
          <w:lang w:eastAsia="sq-AL"/>
        </w:rPr>
        <w:drawing>
          <wp:inline distT="0" distB="0" distL="0" distR="0" wp14:anchorId="5EFA21AF" wp14:editId="107912AB">
            <wp:extent cx="5865602" cy="7831303"/>
            <wp:effectExtent l="0" t="0" r="190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84.jpg"/>
                    <pic:cNvPicPr/>
                  </pic:nvPicPr>
                  <pic:blipFill rotWithShape="1">
                    <a:blip r:embed="rId105" cstate="print">
                      <a:extLst>
                        <a:ext uri="{28A0092B-C50C-407E-A947-70E740481C1C}">
                          <a14:useLocalDpi xmlns:a14="http://schemas.microsoft.com/office/drawing/2010/main" val="0"/>
                        </a:ext>
                      </a:extLst>
                    </a:blip>
                    <a:srcRect l="4772" t="6469" r="4558" b="7983"/>
                    <a:stretch/>
                  </pic:blipFill>
                  <pic:spPr bwMode="auto">
                    <a:xfrm>
                      <a:off x="0" y="0"/>
                      <a:ext cx="5865456" cy="7831108"/>
                    </a:xfrm>
                    <a:prstGeom prst="rect">
                      <a:avLst/>
                    </a:prstGeom>
                    <a:ln>
                      <a:noFill/>
                    </a:ln>
                    <a:extLst>
                      <a:ext uri="{53640926-AAD7-44D8-BBD7-CCE9431645EC}">
                        <a14:shadowObscured xmlns:a14="http://schemas.microsoft.com/office/drawing/2010/main"/>
                      </a:ext>
                    </a:extLst>
                  </pic:spPr>
                </pic:pic>
              </a:graphicData>
            </a:graphic>
          </wp:inline>
        </w:drawing>
      </w:r>
      <w:r w:rsidR="00EF6BA9" w:rsidRPr="00770F9D">
        <w:rPr>
          <w:rFonts w:ascii="Garamond" w:hAnsi="Garamond" w:cstheme="majorBidi"/>
          <w:noProof/>
          <w:color w:val="0D0D0D" w:themeColor="text1" w:themeTint="F2"/>
          <w:lang w:eastAsia="sq-AL"/>
        </w:rPr>
        <w:drawing>
          <wp:inline distT="0" distB="0" distL="0" distR="0" wp14:anchorId="12020A7D" wp14:editId="32D0C980">
            <wp:extent cx="6005160" cy="7960329"/>
            <wp:effectExtent l="0" t="0" r="0" b="317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85.jpg"/>
                    <pic:cNvPicPr/>
                  </pic:nvPicPr>
                  <pic:blipFill rotWithShape="1">
                    <a:blip r:embed="rId106" cstate="print">
                      <a:extLst>
                        <a:ext uri="{28A0092B-C50C-407E-A947-70E740481C1C}">
                          <a14:useLocalDpi xmlns:a14="http://schemas.microsoft.com/office/drawing/2010/main" val="0"/>
                        </a:ext>
                      </a:extLst>
                    </a:blip>
                    <a:srcRect l="3701" t="7296" r="4169" b="6400"/>
                    <a:stretch/>
                  </pic:blipFill>
                  <pic:spPr bwMode="auto">
                    <a:xfrm>
                      <a:off x="0" y="0"/>
                      <a:ext cx="6005011" cy="7960131"/>
                    </a:xfrm>
                    <a:prstGeom prst="rect">
                      <a:avLst/>
                    </a:prstGeom>
                    <a:ln>
                      <a:noFill/>
                    </a:ln>
                    <a:extLst>
                      <a:ext uri="{53640926-AAD7-44D8-BBD7-CCE9431645EC}">
                        <a14:shadowObscured xmlns:a14="http://schemas.microsoft.com/office/drawing/2010/main"/>
                      </a:ext>
                    </a:extLst>
                  </pic:spPr>
                </pic:pic>
              </a:graphicData>
            </a:graphic>
          </wp:inline>
        </w:drawing>
      </w:r>
      <w:r w:rsidR="00EF6BA9" w:rsidRPr="00770F9D">
        <w:rPr>
          <w:rFonts w:ascii="Garamond" w:hAnsi="Garamond" w:cstheme="majorBidi"/>
          <w:noProof/>
          <w:color w:val="0D0D0D" w:themeColor="text1" w:themeTint="F2"/>
          <w:lang w:eastAsia="sq-AL"/>
        </w:rPr>
        <w:drawing>
          <wp:inline distT="0" distB="0" distL="0" distR="0" wp14:anchorId="0B5C7302" wp14:editId="6695CD09">
            <wp:extent cx="6123610" cy="7584472"/>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86.jpg"/>
                    <pic:cNvPicPr/>
                  </pic:nvPicPr>
                  <pic:blipFill rotWithShape="1">
                    <a:blip r:embed="rId107" cstate="print">
                      <a:extLst>
                        <a:ext uri="{28A0092B-C50C-407E-A947-70E740481C1C}">
                          <a14:useLocalDpi xmlns:a14="http://schemas.microsoft.com/office/drawing/2010/main" val="0"/>
                        </a:ext>
                      </a:extLst>
                    </a:blip>
                    <a:srcRect l="5162" t="5987" r="5436" b="15761"/>
                    <a:stretch/>
                  </pic:blipFill>
                  <pic:spPr bwMode="auto">
                    <a:xfrm>
                      <a:off x="0" y="0"/>
                      <a:ext cx="6123458" cy="7584283"/>
                    </a:xfrm>
                    <a:prstGeom prst="rect">
                      <a:avLst/>
                    </a:prstGeom>
                    <a:ln>
                      <a:noFill/>
                    </a:ln>
                    <a:extLst>
                      <a:ext uri="{53640926-AAD7-44D8-BBD7-CCE9431645EC}">
                        <a14:shadowObscured xmlns:a14="http://schemas.microsoft.com/office/drawing/2010/main"/>
                      </a:ext>
                    </a:extLst>
                  </pic:spPr>
                </pic:pic>
              </a:graphicData>
            </a:graphic>
          </wp:inline>
        </w:drawing>
      </w:r>
      <w:r w:rsidR="00EF6BA9" w:rsidRPr="00770F9D">
        <w:rPr>
          <w:rFonts w:ascii="Garamond" w:hAnsi="Garamond" w:cstheme="majorBidi"/>
          <w:noProof/>
          <w:color w:val="0D0D0D" w:themeColor="text1" w:themeTint="F2"/>
          <w:lang w:eastAsia="sq-AL"/>
        </w:rPr>
        <w:drawing>
          <wp:inline distT="0" distB="0" distL="0" distR="0" wp14:anchorId="3041BBB3" wp14:editId="179A9BF0">
            <wp:extent cx="6306375" cy="7455446"/>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87.jpg"/>
                    <pic:cNvPicPr/>
                  </pic:nvPicPr>
                  <pic:blipFill rotWithShape="1">
                    <a:blip r:embed="rId108" cstate="print">
                      <a:extLst>
                        <a:ext uri="{28A0092B-C50C-407E-A947-70E740481C1C}">
                          <a14:useLocalDpi xmlns:a14="http://schemas.microsoft.com/office/drawing/2010/main" val="0"/>
                        </a:ext>
                      </a:extLst>
                    </a:blip>
                    <a:srcRect l="4383" t="6469" r="4754" b="17619"/>
                    <a:stretch/>
                  </pic:blipFill>
                  <pic:spPr bwMode="auto">
                    <a:xfrm>
                      <a:off x="0" y="0"/>
                      <a:ext cx="6306218" cy="7455261"/>
                    </a:xfrm>
                    <a:prstGeom prst="rect">
                      <a:avLst/>
                    </a:prstGeom>
                    <a:ln>
                      <a:noFill/>
                    </a:ln>
                    <a:extLst>
                      <a:ext uri="{53640926-AAD7-44D8-BBD7-CCE9431645EC}">
                        <a14:shadowObscured xmlns:a14="http://schemas.microsoft.com/office/drawing/2010/main"/>
                      </a:ext>
                    </a:extLst>
                  </pic:spPr>
                </pic:pic>
              </a:graphicData>
            </a:graphic>
          </wp:inline>
        </w:drawing>
      </w:r>
      <w:r w:rsidR="00EF6BA9" w:rsidRPr="00770F9D">
        <w:rPr>
          <w:rFonts w:ascii="Garamond" w:hAnsi="Garamond" w:cstheme="majorBidi"/>
          <w:noProof/>
          <w:color w:val="0D0D0D" w:themeColor="text1" w:themeTint="F2"/>
          <w:lang w:eastAsia="sq-AL"/>
        </w:rPr>
        <w:drawing>
          <wp:inline distT="0" distB="0" distL="0" distR="0" wp14:anchorId="0DAD1D90" wp14:editId="3E6AB110">
            <wp:extent cx="5954951" cy="8156673"/>
            <wp:effectExtent l="0" t="0" r="825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88.jpg"/>
                    <pic:cNvPicPr/>
                  </pic:nvPicPr>
                  <pic:blipFill rotWithShape="1">
                    <a:blip r:embed="rId109" cstate="print">
                      <a:extLst>
                        <a:ext uri="{28A0092B-C50C-407E-A947-70E740481C1C}">
                          <a14:useLocalDpi xmlns:a14="http://schemas.microsoft.com/office/drawing/2010/main" val="0"/>
                        </a:ext>
                      </a:extLst>
                    </a:blip>
                    <a:srcRect l="4772" t="5437" r="5143" b="7364"/>
                    <a:stretch/>
                  </pic:blipFill>
                  <pic:spPr bwMode="auto">
                    <a:xfrm>
                      <a:off x="0" y="0"/>
                      <a:ext cx="5954803" cy="8156470"/>
                    </a:xfrm>
                    <a:prstGeom prst="rect">
                      <a:avLst/>
                    </a:prstGeom>
                    <a:ln>
                      <a:noFill/>
                    </a:ln>
                    <a:extLst>
                      <a:ext uri="{53640926-AAD7-44D8-BBD7-CCE9431645EC}">
                        <a14:shadowObscured xmlns:a14="http://schemas.microsoft.com/office/drawing/2010/main"/>
                      </a:ext>
                    </a:extLst>
                  </pic:spPr>
                </pic:pic>
              </a:graphicData>
            </a:graphic>
          </wp:inline>
        </w:drawing>
      </w:r>
      <w:r w:rsidR="00EF6BA9" w:rsidRPr="00770F9D">
        <w:rPr>
          <w:rFonts w:ascii="Garamond" w:hAnsi="Garamond" w:cstheme="majorBidi"/>
          <w:noProof/>
          <w:color w:val="0D0D0D" w:themeColor="text1" w:themeTint="F2"/>
          <w:lang w:eastAsia="sq-AL"/>
        </w:rPr>
        <w:drawing>
          <wp:inline distT="0" distB="0" distL="0" distR="0" wp14:anchorId="1BA44762" wp14:editId="2C488DFB">
            <wp:extent cx="5959206" cy="8263259"/>
            <wp:effectExtent l="0" t="0" r="3810" b="4445"/>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89.jpg"/>
                    <pic:cNvPicPr/>
                  </pic:nvPicPr>
                  <pic:blipFill rotWithShape="1">
                    <a:blip r:embed="rId110" cstate="print">
                      <a:extLst>
                        <a:ext uri="{28A0092B-C50C-407E-A947-70E740481C1C}">
                          <a14:useLocalDpi xmlns:a14="http://schemas.microsoft.com/office/drawing/2010/main" val="0"/>
                        </a:ext>
                      </a:extLst>
                    </a:blip>
                    <a:srcRect l="5552" t="6194" r="5532" b="6676"/>
                    <a:stretch/>
                  </pic:blipFill>
                  <pic:spPr bwMode="auto">
                    <a:xfrm>
                      <a:off x="0" y="0"/>
                      <a:ext cx="5965590" cy="8272112"/>
                    </a:xfrm>
                    <a:prstGeom prst="rect">
                      <a:avLst/>
                    </a:prstGeom>
                    <a:ln>
                      <a:noFill/>
                    </a:ln>
                    <a:extLst>
                      <a:ext uri="{53640926-AAD7-44D8-BBD7-CCE9431645EC}">
                        <a14:shadowObscured xmlns:a14="http://schemas.microsoft.com/office/drawing/2010/main"/>
                      </a:ext>
                    </a:extLst>
                  </pic:spPr>
                </pic:pic>
              </a:graphicData>
            </a:graphic>
          </wp:inline>
        </w:drawing>
      </w:r>
      <w:r w:rsidR="00EF6BA9" w:rsidRPr="00770F9D">
        <w:rPr>
          <w:rFonts w:ascii="Garamond" w:hAnsi="Garamond" w:cstheme="majorBidi"/>
          <w:noProof/>
          <w:color w:val="0D0D0D" w:themeColor="text1" w:themeTint="F2"/>
          <w:lang w:eastAsia="sq-AL"/>
        </w:rPr>
        <w:drawing>
          <wp:inline distT="0" distB="0" distL="0" distR="0" wp14:anchorId="07027B12" wp14:editId="795D7599">
            <wp:extent cx="5919008" cy="8106184"/>
            <wp:effectExtent l="0" t="0" r="5715" b="952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90.jpg"/>
                    <pic:cNvPicPr/>
                  </pic:nvPicPr>
                  <pic:blipFill rotWithShape="1">
                    <a:blip r:embed="rId111" cstate="print">
                      <a:extLst>
                        <a:ext uri="{28A0092B-C50C-407E-A947-70E740481C1C}">
                          <a14:useLocalDpi xmlns:a14="http://schemas.microsoft.com/office/drawing/2010/main" val="0"/>
                        </a:ext>
                      </a:extLst>
                    </a:blip>
                    <a:srcRect l="5746" t="6332" r="5435" b="7708"/>
                    <a:stretch/>
                  </pic:blipFill>
                  <pic:spPr bwMode="auto">
                    <a:xfrm>
                      <a:off x="0" y="0"/>
                      <a:ext cx="5925358" cy="8114881"/>
                    </a:xfrm>
                    <a:prstGeom prst="rect">
                      <a:avLst/>
                    </a:prstGeom>
                    <a:ln>
                      <a:noFill/>
                    </a:ln>
                    <a:extLst>
                      <a:ext uri="{53640926-AAD7-44D8-BBD7-CCE9431645EC}">
                        <a14:shadowObscured xmlns:a14="http://schemas.microsoft.com/office/drawing/2010/main"/>
                      </a:ext>
                    </a:extLst>
                  </pic:spPr>
                </pic:pic>
              </a:graphicData>
            </a:graphic>
          </wp:inline>
        </w:drawing>
      </w:r>
      <w:r w:rsidR="00EF6BA9" w:rsidRPr="00770F9D">
        <w:rPr>
          <w:rFonts w:ascii="Garamond" w:hAnsi="Garamond" w:cstheme="majorBidi"/>
          <w:noProof/>
          <w:color w:val="0D0D0D" w:themeColor="text1" w:themeTint="F2"/>
          <w:lang w:eastAsia="sq-AL"/>
        </w:rPr>
        <w:drawing>
          <wp:inline distT="0" distB="0" distL="0" distR="0" wp14:anchorId="288D0A62" wp14:editId="7233F76F">
            <wp:extent cx="5756153" cy="7881792"/>
            <wp:effectExtent l="0" t="0" r="0" b="508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91.jpg"/>
                    <pic:cNvPicPr/>
                  </pic:nvPicPr>
                  <pic:blipFill rotWithShape="1">
                    <a:blip r:embed="rId112" cstate="print">
                      <a:extLst>
                        <a:ext uri="{28A0092B-C50C-407E-A947-70E740481C1C}">
                          <a14:useLocalDpi xmlns:a14="http://schemas.microsoft.com/office/drawing/2010/main" val="0"/>
                        </a:ext>
                      </a:extLst>
                    </a:blip>
                    <a:srcRect l="5648" t="6400" r="4949" b="7089"/>
                    <a:stretch/>
                  </pic:blipFill>
                  <pic:spPr bwMode="auto">
                    <a:xfrm>
                      <a:off x="0" y="0"/>
                      <a:ext cx="5756009" cy="7881595"/>
                    </a:xfrm>
                    <a:prstGeom prst="rect">
                      <a:avLst/>
                    </a:prstGeom>
                    <a:ln>
                      <a:noFill/>
                    </a:ln>
                    <a:extLst>
                      <a:ext uri="{53640926-AAD7-44D8-BBD7-CCE9431645EC}">
                        <a14:shadowObscured xmlns:a14="http://schemas.microsoft.com/office/drawing/2010/main"/>
                      </a:ext>
                    </a:extLst>
                  </pic:spPr>
                </pic:pic>
              </a:graphicData>
            </a:graphic>
          </wp:inline>
        </w:drawing>
      </w:r>
      <w:r w:rsidR="00EF6BA9" w:rsidRPr="00770F9D">
        <w:rPr>
          <w:rFonts w:ascii="Garamond" w:hAnsi="Garamond" w:cstheme="majorBidi"/>
          <w:noProof/>
          <w:color w:val="0D0D0D" w:themeColor="text1" w:themeTint="F2"/>
          <w:lang w:eastAsia="sq-AL"/>
        </w:rPr>
        <w:drawing>
          <wp:inline distT="0" distB="0" distL="0" distR="0" wp14:anchorId="11C1B76B" wp14:editId="75162EA0">
            <wp:extent cx="5470358" cy="7399348"/>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92.jpg"/>
                    <pic:cNvPicPr/>
                  </pic:nvPicPr>
                  <pic:blipFill rotWithShape="1">
                    <a:blip r:embed="rId113" cstate="print">
                      <a:extLst>
                        <a:ext uri="{28A0092B-C50C-407E-A947-70E740481C1C}">
                          <a14:useLocalDpi xmlns:a14="http://schemas.microsoft.com/office/drawing/2010/main" val="0"/>
                        </a:ext>
                      </a:extLst>
                    </a:blip>
                    <a:srcRect l="4285" t="6539" r="4852" b="6607"/>
                    <a:stretch/>
                  </pic:blipFill>
                  <pic:spPr bwMode="auto">
                    <a:xfrm>
                      <a:off x="0" y="0"/>
                      <a:ext cx="5470221" cy="7399163"/>
                    </a:xfrm>
                    <a:prstGeom prst="rect">
                      <a:avLst/>
                    </a:prstGeom>
                    <a:ln>
                      <a:noFill/>
                    </a:ln>
                    <a:extLst>
                      <a:ext uri="{53640926-AAD7-44D8-BBD7-CCE9431645EC}">
                        <a14:shadowObscured xmlns:a14="http://schemas.microsoft.com/office/drawing/2010/main"/>
                      </a:ext>
                    </a:extLst>
                  </pic:spPr>
                </pic:pic>
              </a:graphicData>
            </a:graphic>
          </wp:inline>
        </w:drawing>
      </w:r>
      <w:r w:rsidR="00EF6BA9" w:rsidRPr="00770F9D">
        <w:rPr>
          <w:rFonts w:ascii="Garamond" w:hAnsi="Garamond" w:cstheme="majorBidi"/>
          <w:noProof/>
          <w:color w:val="0D0D0D" w:themeColor="text1" w:themeTint="F2"/>
          <w:lang w:eastAsia="sq-AL"/>
        </w:rPr>
        <w:drawing>
          <wp:inline distT="0" distB="0" distL="0" distR="0" wp14:anchorId="1ACBEEA1" wp14:editId="4CF82A31">
            <wp:extent cx="6345868" cy="6333483"/>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93.jpg"/>
                    <pic:cNvPicPr/>
                  </pic:nvPicPr>
                  <pic:blipFill rotWithShape="1">
                    <a:blip r:embed="rId114" cstate="print">
                      <a:extLst>
                        <a:ext uri="{28A0092B-C50C-407E-A947-70E740481C1C}">
                          <a14:useLocalDpi xmlns:a14="http://schemas.microsoft.com/office/drawing/2010/main" val="0"/>
                        </a:ext>
                      </a:extLst>
                    </a:blip>
                    <a:srcRect l="6135" t="6400" r="6043" b="31659"/>
                    <a:stretch/>
                  </pic:blipFill>
                  <pic:spPr bwMode="auto">
                    <a:xfrm>
                      <a:off x="0" y="0"/>
                      <a:ext cx="6352768" cy="6340370"/>
                    </a:xfrm>
                    <a:prstGeom prst="rect">
                      <a:avLst/>
                    </a:prstGeom>
                    <a:ln>
                      <a:noFill/>
                    </a:ln>
                    <a:extLst>
                      <a:ext uri="{53640926-AAD7-44D8-BBD7-CCE9431645EC}">
                        <a14:shadowObscured xmlns:a14="http://schemas.microsoft.com/office/drawing/2010/main"/>
                      </a:ext>
                    </a:extLst>
                  </pic:spPr>
                </pic:pic>
              </a:graphicData>
            </a:graphic>
          </wp:inline>
        </w:drawing>
      </w:r>
      <w:r w:rsidR="00EF6BA9" w:rsidRPr="00770F9D">
        <w:rPr>
          <w:rFonts w:ascii="Garamond" w:hAnsi="Garamond" w:cstheme="majorBidi"/>
          <w:noProof/>
          <w:color w:val="0D0D0D" w:themeColor="text1" w:themeTint="F2"/>
          <w:lang w:eastAsia="sq-AL"/>
        </w:rPr>
        <w:drawing>
          <wp:inline distT="0" distB="0" distL="0" distR="0" wp14:anchorId="059DBD24" wp14:editId="3A2F4D31">
            <wp:extent cx="6048020" cy="8319357"/>
            <wp:effectExtent l="0" t="0" r="0" b="571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94.jpg"/>
                    <pic:cNvPicPr/>
                  </pic:nvPicPr>
                  <pic:blipFill rotWithShape="1">
                    <a:blip r:embed="rId115" cstate="print">
                      <a:extLst>
                        <a:ext uri="{28A0092B-C50C-407E-A947-70E740481C1C}">
                          <a14:useLocalDpi xmlns:a14="http://schemas.microsoft.com/office/drawing/2010/main" val="0"/>
                        </a:ext>
                      </a:extLst>
                    </a:blip>
                    <a:srcRect l="5941" t="6056" r="5630" b="7983"/>
                    <a:stretch/>
                  </pic:blipFill>
                  <pic:spPr bwMode="auto">
                    <a:xfrm>
                      <a:off x="0" y="0"/>
                      <a:ext cx="6047869" cy="8319150"/>
                    </a:xfrm>
                    <a:prstGeom prst="rect">
                      <a:avLst/>
                    </a:prstGeom>
                    <a:ln>
                      <a:noFill/>
                    </a:ln>
                    <a:extLst>
                      <a:ext uri="{53640926-AAD7-44D8-BBD7-CCE9431645EC}">
                        <a14:shadowObscured xmlns:a14="http://schemas.microsoft.com/office/drawing/2010/main"/>
                      </a:ext>
                    </a:extLst>
                  </pic:spPr>
                </pic:pic>
              </a:graphicData>
            </a:graphic>
          </wp:inline>
        </w:drawing>
      </w:r>
      <w:r w:rsidR="00EF6BA9" w:rsidRPr="00770F9D">
        <w:rPr>
          <w:rFonts w:ascii="Garamond" w:hAnsi="Garamond" w:cstheme="majorBidi"/>
          <w:noProof/>
          <w:color w:val="0D0D0D" w:themeColor="text1" w:themeTint="F2"/>
          <w:lang w:eastAsia="sq-AL"/>
        </w:rPr>
        <w:drawing>
          <wp:inline distT="0" distB="0" distL="0" distR="0" wp14:anchorId="6F1709F3" wp14:editId="66789953">
            <wp:extent cx="5725720" cy="7898621"/>
            <wp:effectExtent l="0" t="0" r="8890" b="762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95.jpg"/>
                    <pic:cNvPicPr/>
                  </pic:nvPicPr>
                  <pic:blipFill rotWithShape="1">
                    <a:blip r:embed="rId116" cstate="print">
                      <a:extLst>
                        <a:ext uri="{28A0092B-C50C-407E-A947-70E740481C1C}">
                          <a14:useLocalDpi xmlns:a14="http://schemas.microsoft.com/office/drawing/2010/main" val="0"/>
                        </a:ext>
                      </a:extLst>
                    </a:blip>
                    <a:srcRect l="5552" t="6125" r="5143" b="6814"/>
                    <a:stretch/>
                  </pic:blipFill>
                  <pic:spPr bwMode="auto">
                    <a:xfrm>
                      <a:off x="0" y="0"/>
                      <a:ext cx="5725578" cy="7898424"/>
                    </a:xfrm>
                    <a:prstGeom prst="rect">
                      <a:avLst/>
                    </a:prstGeom>
                    <a:ln>
                      <a:noFill/>
                    </a:ln>
                    <a:extLst>
                      <a:ext uri="{53640926-AAD7-44D8-BBD7-CCE9431645EC}">
                        <a14:shadowObscured xmlns:a14="http://schemas.microsoft.com/office/drawing/2010/main"/>
                      </a:ext>
                    </a:extLst>
                  </pic:spPr>
                </pic:pic>
              </a:graphicData>
            </a:graphic>
          </wp:inline>
        </w:drawing>
      </w:r>
      <w:r w:rsidR="00EF6BA9" w:rsidRPr="00770F9D">
        <w:rPr>
          <w:rFonts w:ascii="Garamond" w:hAnsi="Garamond" w:cstheme="majorBidi"/>
          <w:noProof/>
          <w:color w:val="0D0D0D" w:themeColor="text1" w:themeTint="F2"/>
          <w:lang w:eastAsia="sq-AL"/>
        </w:rPr>
        <w:drawing>
          <wp:inline distT="0" distB="0" distL="0" distR="0" wp14:anchorId="37014922" wp14:editId="62B1DE71">
            <wp:extent cx="5798517" cy="7898621"/>
            <wp:effectExtent l="0" t="0" r="0" b="762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96.jpg"/>
                    <pic:cNvPicPr/>
                  </pic:nvPicPr>
                  <pic:blipFill rotWithShape="1">
                    <a:blip r:embed="rId117" cstate="print">
                      <a:extLst>
                        <a:ext uri="{28A0092B-C50C-407E-A947-70E740481C1C}">
                          <a14:useLocalDpi xmlns:a14="http://schemas.microsoft.com/office/drawing/2010/main" val="0"/>
                        </a:ext>
                      </a:extLst>
                    </a:blip>
                    <a:srcRect l="4674" t="5230" r="4169" b="7020"/>
                    <a:stretch/>
                  </pic:blipFill>
                  <pic:spPr bwMode="auto">
                    <a:xfrm>
                      <a:off x="0" y="0"/>
                      <a:ext cx="5798373" cy="7898424"/>
                    </a:xfrm>
                    <a:prstGeom prst="rect">
                      <a:avLst/>
                    </a:prstGeom>
                    <a:ln>
                      <a:noFill/>
                    </a:ln>
                    <a:extLst>
                      <a:ext uri="{53640926-AAD7-44D8-BBD7-CCE9431645EC}">
                        <a14:shadowObscured xmlns:a14="http://schemas.microsoft.com/office/drawing/2010/main"/>
                      </a:ext>
                    </a:extLst>
                  </pic:spPr>
                </pic:pic>
              </a:graphicData>
            </a:graphic>
          </wp:inline>
        </w:drawing>
      </w:r>
      <w:r w:rsidR="00EF6BA9" w:rsidRPr="00770F9D">
        <w:rPr>
          <w:rFonts w:ascii="Garamond" w:hAnsi="Garamond" w:cstheme="majorBidi"/>
          <w:noProof/>
          <w:color w:val="0D0D0D" w:themeColor="text1" w:themeTint="F2"/>
          <w:lang w:eastAsia="sq-AL"/>
        </w:rPr>
        <w:drawing>
          <wp:inline distT="0" distB="0" distL="0" distR="0" wp14:anchorId="5B15CF5F" wp14:editId="52DBDFE0">
            <wp:extent cx="6099436" cy="8274479"/>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97.jpg"/>
                    <pic:cNvPicPr/>
                  </pic:nvPicPr>
                  <pic:blipFill rotWithShape="1">
                    <a:blip r:embed="rId118" cstate="print">
                      <a:extLst>
                        <a:ext uri="{28A0092B-C50C-407E-A947-70E740481C1C}">
                          <a14:useLocalDpi xmlns:a14="http://schemas.microsoft.com/office/drawing/2010/main" val="0"/>
                        </a:ext>
                      </a:extLst>
                    </a:blip>
                    <a:srcRect l="5162" t="6379" r="5533" b="8299"/>
                    <a:stretch/>
                  </pic:blipFill>
                  <pic:spPr bwMode="auto">
                    <a:xfrm>
                      <a:off x="0" y="0"/>
                      <a:ext cx="6099284" cy="8274273"/>
                    </a:xfrm>
                    <a:prstGeom prst="rect">
                      <a:avLst/>
                    </a:prstGeom>
                    <a:ln>
                      <a:noFill/>
                    </a:ln>
                    <a:extLst>
                      <a:ext uri="{53640926-AAD7-44D8-BBD7-CCE9431645EC}">
                        <a14:shadowObscured xmlns:a14="http://schemas.microsoft.com/office/drawing/2010/main"/>
                      </a:ext>
                    </a:extLst>
                  </pic:spPr>
                </pic:pic>
              </a:graphicData>
            </a:graphic>
          </wp:inline>
        </w:drawing>
      </w:r>
      <w:r w:rsidR="00EF6BA9" w:rsidRPr="00770F9D">
        <w:rPr>
          <w:rFonts w:ascii="Garamond" w:hAnsi="Garamond" w:cstheme="majorBidi"/>
          <w:noProof/>
          <w:color w:val="0D0D0D" w:themeColor="text1" w:themeTint="F2"/>
          <w:lang w:eastAsia="sq-AL"/>
        </w:rPr>
        <w:drawing>
          <wp:inline distT="0" distB="0" distL="0" distR="0" wp14:anchorId="64A289BC" wp14:editId="4A24B7F9">
            <wp:extent cx="5934559" cy="7831303"/>
            <wp:effectExtent l="0" t="0" r="9525"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98.jpg"/>
                    <pic:cNvPicPr/>
                  </pic:nvPicPr>
                  <pic:blipFill rotWithShape="1">
                    <a:blip r:embed="rId119" cstate="print">
                      <a:extLst>
                        <a:ext uri="{28A0092B-C50C-407E-A947-70E740481C1C}">
                          <a14:useLocalDpi xmlns:a14="http://schemas.microsoft.com/office/drawing/2010/main" val="0"/>
                        </a:ext>
                      </a:extLst>
                    </a:blip>
                    <a:srcRect l="5648" t="5782" r="4462" b="10392"/>
                    <a:stretch/>
                  </pic:blipFill>
                  <pic:spPr bwMode="auto">
                    <a:xfrm>
                      <a:off x="0" y="0"/>
                      <a:ext cx="5934411" cy="7831108"/>
                    </a:xfrm>
                    <a:prstGeom prst="rect">
                      <a:avLst/>
                    </a:prstGeom>
                    <a:ln>
                      <a:noFill/>
                    </a:ln>
                    <a:extLst>
                      <a:ext uri="{53640926-AAD7-44D8-BBD7-CCE9431645EC}">
                        <a14:shadowObscured xmlns:a14="http://schemas.microsoft.com/office/drawing/2010/main"/>
                      </a:ext>
                    </a:extLst>
                  </pic:spPr>
                </pic:pic>
              </a:graphicData>
            </a:graphic>
          </wp:inline>
        </w:drawing>
      </w:r>
      <w:r w:rsidR="00EF6BA9" w:rsidRPr="00770F9D">
        <w:rPr>
          <w:rFonts w:ascii="Garamond" w:hAnsi="Garamond" w:cstheme="majorBidi"/>
          <w:noProof/>
          <w:color w:val="0D0D0D" w:themeColor="text1" w:themeTint="F2"/>
          <w:lang w:eastAsia="sq-AL"/>
        </w:rPr>
        <w:drawing>
          <wp:inline distT="0" distB="0" distL="0" distR="0" wp14:anchorId="4810A4AF" wp14:editId="465DE71C">
            <wp:extent cx="6452579" cy="7758376"/>
            <wp:effectExtent l="0" t="0" r="5715"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199.jpg"/>
                    <pic:cNvPicPr/>
                  </pic:nvPicPr>
                  <pic:blipFill rotWithShape="1">
                    <a:blip r:embed="rId120" cstate="print">
                      <a:extLst>
                        <a:ext uri="{28A0092B-C50C-407E-A947-70E740481C1C}">
                          <a14:useLocalDpi xmlns:a14="http://schemas.microsoft.com/office/drawing/2010/main" val="0"/>
                        </a:ext>
                      </a:extLst>
                    </a:blip>
                    <a:srcRect l="5161" t="5231" r="4365" b="17894"/>
                    <a:stretch/>
                  </pic:blipFill>
                  <pic:spPr bwMode="auto">
                    <a:xfrm>
                      <a:off x="0" y="0"/>
                      <a:ext cx="6452418" cy="7758183"/>
                    </a:xfrm>
                    <a:prstGeom prst="rect">
                      <a:avLst/>
                    </a:prstGeom>
                    <a:ln>
                      <a:noFill/>
                    </a:ln>
                    <a:extLst>
                      <a:ext uri="{53640926-AAD7-44D8-BBD7-CCE9431645EC}">
                        <a14:shadowObscured xmlns:a14="http://schemas.microsoft.com/office/drawing/2010/main"/>
                      </a:ext>
                    </a:extLst>
                  </pic:spPr>
                </pic:pic>
              </a:graphicData>
            </a:graphic>
          </wp:inline>
        </w:drawing>
      </w:r>
      <w:r w:rsidR="00EF6BA9" w:rsidRPr="00770F9D">
        <w:rPr>
          <w:rFonts w:ascii="Garamond" w:hAnsi="Garamond" w:cstheme="majorBidi"/>
          <w:noProof/>
          <w:color w:val="0D0D0D" w:themeColor="text1" w:themeTint="F2"/>
          <w:lang w:eastAsia="sq-AL"/>
        </w:rPr>
        <w:drawing>
          <wp:inline distT="0" distB="0" distL="0" distR="0" wp14:anchorId="689EEFAF" wp14:editId="1229B2A6">
            <wp:extent cx="6508369" cy="5598597"/>
            <wp:effectExtent l="0" t="0" r="6985" b="254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i i Reformave Ekonomike ERP 2023-2025 20022023_Page_200.jpg"/>
                    <pic:cNvPicPr/>
                  </pic:nvPicPr>
                  <pic:blipFill rotWithShape="1">
                    <a:blip r:embed="rId121" cstate="print">
                      <a:extLst>
                        <a:ext uri="{28A0092B-C50C-407E-A947-70E740481C1C}">
                          <a14:useLocalDpi xmlns:a14="http://schemas.microsoft.com/office/drawing/2010/main" val="0"/>
                        </a:ext>
                      </a:extLst>
                    </a:blip>
                    <a:srcRect l="4674" t="5987" r="4754" b="38954"/>
                    <a:stretch/>
                  </pic:blipFill>
                  <pic:spPr bwMode="auto">
                    <a:xfrm>
                      <a:off x="0" y="0"/>
                      <a:ext cx="6508369" cy="5598597"/>
                    </a:xfrm>
                    <a:prstGeom prst="rect">
                      <a:avLst/>
                    </a:prstGeom>
                    <a:ln>
                      <a:noFill/>
                    </a:ln>
                    <a:extLst>
                      <a:ext uri="{53640926-AAD7-44D8-BBD7-CCE9431645EC}">
                        <a14:shadowObscured xmlns:a14="http://schemas.microsoft.com/office/drawing/2010/main"/>
                      </a:ext>
                    </a:extLst>
                  </pic:spPr>
                </pic:pic>
              </a:graphicData>
            </a:graphic>
          </wp:inline>
        </w:drawing>
      </w:r>
    </w:p>
    <w:p w14:paraId="0F2599D0" w14:textId="77777777" w:rsidR="00EB1E05" w:rsidRPr="00770F9D" w:rsidRDefault="00EB1E05" w:rsidP="005674F2">
      <w:pPr>
        <w:snapToGrid w:val="0"/>
        <w:ind w:firstLine="284"/>
        <w:jc w:val="both"/>
        <w:rPr>
          <w:rFonts w:ascii="Garamond" w:hAnsi="Garamond" w:cstheme="majorBidi"/>
          <w:color w:val="0D0D0D" w:themeColor="text1" w:themeTint="F2"/>
        </w:rPr>
      </w:pPr>
    </w:p>
    <w:p w14:paraId="06AFA18C" w14:textId="16A57519" w:rsidR="00EF5C0C" w:rsidRPr="00770F9D" w:rsidRDefault="00EF5C0C" w:rsidP="00B072D9">
      <w:pPr>
        <w:pStyle w:val="Heading1"/>
        <w:snapToGrid w:val="0"/>
        <w:ind w:left="0" w:firstLine="284"/>
        <w:rPr>
          <w:rFonts w:ascii="Garamond" w:hAnsi="Garamond" w:cstheme="majorBidi"/>
          <w:color w:val="0D0D0D" w:themeColor="text1" w:themeTint="F2"/>
        </w:rPr>
      </w:pPr>
    </w:p>
    <w:p w14:paraId="3AEA0BF6" w14:textId="77777777" w:rsidR="00EC7775" w:rsidRPr="00770F9D" w:rsidRDefault="00EC7775">
      <w:pPr>
        <w:pStyle w:val="Heading1"/>
        <w:snapToGrid w:val="0"/>
        <w:ind w:left="0" w:firstLine="284"/>
        <w:rPr>
          <w:rFonts w:ascii="Garamond" w:hAnsi="Garamond" w:cstheme="majorBidi"/>
          <w:color w:val="0D0D0D" w:themeColor="text1" w:themeTint="F2"/>
        </w:rPr>
      </w:pPr>
    </w:p>
    <w:sectPr w:rsidR="00EC7775" w:rsidRPr="00770F9D" w:rsidSect="00B072D9">
      <w:footerReference w:type="even" r:id="rId122"/>
      <w:footerReference w:type="default" r:id="rId123"/>
      <w:footerReference w:type="first" r:id="rId124"/>
      <w:pgSz w:w="11907" w:h="16839" w:code="9"/>
      <w:pgMar w:top="1418" w:right="1418" w:bottom="1418" w:left="1418" w:header="1304"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1CCE9B" w14:textId="77777777" w:rsidR="00056076" w:rsidRDefault="00056076" w:rsidP="00DF1828">
      <w:r>
        <w:separator/>
      </w:r>
    </w:p>
  </w:endnote>
  <w:endnote w:type="continuationSeparator" w:id="0">
    <w:p w14:paraId="69614D70" w14:textId="77777777" w:rsidR="00056076" w:rsidRDefault="00056076" w:rsidP="00DF1828">
      <w:r>
        <w:continuationSeparator/>
      </w:r>
    </w:p>
  </w:endnote>
  <w:endnote w:type="continuationNotice" w:id="1">
    <w:p w14:paraId="623AAFB0" w14:textId="77777777" w:rsidR="00056076" w:rsidRDefault="000560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onotype Sorts">
    <w:altName w:val="Segoe UI Symbol"/>
    <w:panose1 w:val="00000000000000000000"/>
    <w:charset w:val="02"/>
    <w:family w:val="auto"/>
    <w:notTrueType/>
    <w:pitch w:val="variable"/>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ARS Maquette Pro">
    <w:altName w:val="ARS Maquette Pro"/>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MingLiU-ExtB">
    <w:panose1 w:val="02020500000000000000"/>
    <w:charset w:val="88"/>
    <w:family w:val="roman"/>
    <w:pitch w:val="variable"/>
    <w:sig w:usb0="8000002F" w:usb1="0A080008" w:usb2="00000010" w:usb3="00000000" w:csb0="00100001" w:csb1="00000000"/>
  </w:font>
  <w:font w:name="Century Schoolbook">
    <w:panose1 w:val="0204060405050502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Noto Sans CJK SC Regular">
    <w:altName w:val="Times New Roman"/>
    <w:charset w:val="01"/>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A05C9D" w14:textId="77777777" w:rsidR="00056076" w:rsidRDefault="00056076" w:rsidP="008252D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0DD843" w14:textId="77777777" w:rsidR="00056076" w:rsidRDefault="00056076" w:rsidP="008252D6">
    <w:pPr>
      <w:pStyle w:val="Footer"/>
      <w:ind w:right="360"/>
    </w:pPr>
  </w:p>
  <w:p w14:paraId="792E6B76" w14:textId="77777777" w:rsidR="00056076" w:rsidRDefault="0005607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1393471"/>
      <w:docPartObj>
        <w:docPartGallery w:val="Page Numbers (Bottom of Page)"/>
        <w:docPartUnique/>
      </w:docPartObj>
    </w:sdtPr>
    <w:sdtEndPr>
      <w:rPr>
        <w:noProof/>
      </w:rPr>
    </w:sdtEndPr>
    <w:sdtContent>
      <w:p w14:paraId="21117213" w14:textId="28E6650D" w:rsidR="00056076" w:rsidRDefault="00056076">
        <w:pPr>
          <w:pStyle w:val="Footer"/>
          <w:jc w:val="right"/>
        </w:pPr>
        <w:r>
          <w:fldChar w:fldCharType="begin"/>
        </w:r>
        <w:r>
          <w:instrText xml:space="preserve"> PAGE   \* MERGEFORMAT </w:instrText>
        </w:r>
        <w:r>
          <w:fldChar w:fldCharType="separate"/>
        </w:r>
        <w:r w:rsidR="001F4DE7">
          <w:rPr>
            <w:noProof/>
          </w:rPr>
          <w:t>174</w:t>
        </w:r>
        <w:r>
          <w:rPr>
            <w:noProof/>
          </w:rPr>
          <w:fldChar w:fldCharType="end"/>
        </w:r>
      </w:p>
    </w:sdtContent>
  </w:sdt>
  <w:p w14:paraId="41B744D6" w14:textId="77777777" w:rsidR="00056076" w:rsidRPr="005E3616" w:rsidRDefault="00056076" w:rsidP="003319D4">
    <w:pPr>
      <w:pStyle w:val="Foote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BC854F" w14:textId="77777777" w:rsidR="00056076" w:rsidRPr="00F62243" w:rsidRDefault="00056076" w:rsidP="00F41347">
    <w:pPr>
      <w:pStyle w:val="Footer"/>
      <w:jc w:val="right"/>
      <w:rPr>
        <w:rFonts w:asciiTheme="majorBidi" w:hAnsiTheme="majorBidi" w:cstheme="majorBid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3966A5" w14:textId="77777777" w:rsidR="00056076" w:rsidRDefault="00056076" w:rsidP="00DF1828">
      <w:r>
        <w:separator/>
      </w:r>
    </w:p>
  </w:footnote>
  <w:footnote w:type="continuationSeparator" w:id="0">
    <w:p w14:paraId="5D5215BE" w14:textId="77777777" w:rsidR="00056076" w:rsidRDefault="00056076" w:rsidP="00DF1828">
      <w:r>
        <w:continuationSeparator/>
      </w:r>
    </w:p>
  </w:footnote>
  <w:footnote w:type="continuationNotice" w:id="1">
    <w:p w14:paraId="24DA5C43" w14:textId="77777777" w:rsidR="00056076" w:rsidRDefault="00056076"/>
  </w:footnote>
  <w:footnote w:id="2">
    <w:p w14:paraId="6F7A414D" w14:textId="1EAFA60F" w:rsidR="00056076" w:rsidRPr="00447CFE" w:rsidRDefault="00056076" w:rsidP="004E67AE">
      <w:pPr>
        <w:pStyle w:val="FootnoteText"/>
        <w:rPr>
          <w:rFonts w:ascii="Garamond" w:hAnsi="Garamond" w:cstheme="majorBidi"/>
        </w:rPr>
      </w:pPr>
      <w:r w:rsidRPr="00447CFE">
        <w:rPr>
          <w:rStyle w:val="FootnoteReference"/>
          <w:rFonts w:ascii="Garamond" w:hAnsi="Garamond" w:cstheme="majorBidi"/>
        </w:rPr>
        <w:footnoteRef/>
      </w:r>
      <w:r>
        <w:rPr>
          <w:rFonts w:ascii="Garamond" w:hAnsi="Garamond" w:cstheme="majorBidi"/>
        </w:rPr>
        <w:t xml:space="preserve"> </w:t>
      </w:r>
      <w:r w:rsidRPr="00447CFE">
        <w:rPr>
          <w:rFonts w:ascii="Garamond" w:hAnsi="Garamond" w:cstheme="majorBidi"/>
        </w:rPr>
        <w:t>Pa përfshirë</w:t>
      </w:r>
      <w:r>
        <w:rPr>
          <w:rFonts w:ascii="Garamond" w:hAnsi="Garamond" w:cstheme="majorBidi"/>
        </w:rPr>
        <w:t xml:space="preserve"> </w:t>
      </w:r>
      <w:r w:rsidRPr="00447CFE">
        <w:rPr>
          <w:rFonts w:ascii="Garamond" w:hAnsi="Garamond" w:cstheme="majorBidi"/>
        </w:rPr>
        <w:t>detyrimet e prapambetura</w:t>
      </w:r>
      <w:r>
        <w:rPr>
          <w:rFonts w:ascii="Garamond" w:hAnsi="Garamond" w:cstheme="majorBidi"/>
        </w:rPr>
        <w:t xml:space="preserve"> </w:t>
      </w:r>
      <w:r w:rsidRPr="00447CFE">
        <w:rPr>
          <w:rFonts w:ascii="Garamond" w:hAnsi="Garamond" w:cstheme="majorBidi"/>
        </w:rPr>
        <w:t>të</w:t>
      </w:r>
      <w:r>
        <w:rPr>
          <w:rFonts w:ascii="Garamond" w:hAnsi="Garamond" w:cstheme="majorBidi"/>
        </w:rPr>
        <w:t xml:space="preserve"> </w:t>
      </w:r>
      <w:r w:rsidRPr="00447CFE">
        <w:rPr>
          <w:rFonts w:ascii="Garamond" w:hAnsi="Garamond" w:cstheme="majorBidi"/>
        </w:rPr>
        <w:t>ujësjellës</w:t>
      </w:r>
      <w:r>
        <w:rPr>
          <w:rFonts w:ascii="Garamond" w:hAnsi="Garamond" w:cstheme="majorBidi"/>
        </w:rPr>
        <w:t>-</w:t>
      </w:r>
      <w:r w:rsidRPr="00447CFE">
        <w:rPr>
          <w:rFonts w:ascii="Garamond" w:hAnsi="Garamond" w:cstheme="majorBidi"/>
        </w:rPr>
        <w:t>kanalizime</w:t>
      </w:r>
      <w:r>
        <w:rPr>
          <w:rFonts w:ascii="Garamond" w:hAnsi="Garamond" w:cstheme="majorBidi"/>
        </w:rPr>
        <w:t xml:space="preserve">ve </w:t>
      </w:r>
      <w:r w:rsidRPr="00447CFE">
        <w:rPr>
          <w:rFonts w:ascii="Garamond" w:hAnsi="Garamond" w:cstheme="majorBidi"/>
        </w:rPr>
        <w:t>dhe</w:t>
      </w:r>
      <w:r>
        <w:rPr>
          <w:rFonts w:ascii="Garamond" w:hAnsi="Garamond" w:cstheme="majorBidi"/>
        </w:rPr>
        <w:t xml:space="preserve"> </w:t>
      </w:r>
      <w:r w:rsidRPr="00447CFE">
        <w:rPr>
          <w:rFonts w:ascii="Garamond" w:hAnsi="Garamond" w:cstheme="majorBidi"/>
        </w:rPr>
        <w:t>universiteteve</w:t>
      </w:r>
      <w:r>
        <w:rPr>
          <w:rFonts w:ascii="Garamond" w:hAnsi="Garamond" w:cstheme="majorBidi"/>
        </w:rPr>
        <w:t>.</w:t>
      </w:r>
    </w:p>
  </w:footnote>
  <w:footnote w:id="3">
    <w:p w14:paraId="40282C6C" w14:textId="29F3B037" w:rsidR="00056076" w:rsidRPr="003A3F5E" w:rsidRDefault="00056076" w:rsidP="009D5D31">
      <w:pPr>
        <w:jc w:val="both"/>
        <w:rPr>
          <w:rFonts w:ascii="Garamond" w:hAnsi="Garamond" w:cstheme="majorBidi"/>
          <w:sz w:val="22"/>
          <w:szCs w:val="22"/>
        </w:rPr>
      </w:pPr>
      <w:r w:rsidRPr="003A3F5E">
        <w:rPr>
          <w:rStyle w:val="FootnoteReference"/>
          <w:rFonts w:ascii="Garamond" w:hAnsi="Garamond" w:cstheme="majorBidi"/>
          <w:sz w:val="20"/>
          <w:szCs w:val="22"/>
        </w:rPr>
        <w:footnoteRef/>
      </w:r>
      <w:r>
        <w:rPr>
          <w:rFonts w:ascii="Garamond" w:hAnsi="Garamond" w:cstheme="majorBidi"/>
          <w:sz w:val="20"/>
          <w:szCs w:val="22"/>
        </w:rPr>
        <w:t xml:space="preserve"> </w:t>
      </w:r>
      <w:r w:rsidRPr="003A3F5E">
        <w:rPr>
          <w:rFonts w:ascii="Garamond" w:hAnsi="Garamond" w:cstheme="majorBidi"/>
          <w:sz w:val="20"/>
          <w:szCs w:val="22"/>
        </w:rPr>
        <w:t>Treguesit</w:t>
      </w:r>
      <w:r>
        <w:rPr>
          <w:rFonts w:ascii="Garamond" w:hAnsi="Garamond" w:cstheme="majorBidi"/>
          <w:sz w:val="20"/>
          <w:szCs w:val="22"/>
        </w:rPr>
        <w:t xml:space="preserve"> </w:t>
      </w:r>
      <w:r w:rsidRPr="003A3F5E">
        <w:rPr>
          <w:rFonts w:ascii="Garamond" w:hAnsi="Garamond" w:cstheme="majorBidi"/>
          <w:sz w:val="20"/>
          <w:szCs w:val="22"/>
        </w:rPr>
        <w:t>për</w:t>
      </w:r>
      <w:r>
        <w:rPr>
          <w:rFonts w:ascii="Garamond" w:hAnsi="Garamond" w:cstheme="majorBidi"/>
          <w:sz w:val="20"/>
          <w:szCs w:val="22"/>
        </w:rPr>
        <w:t xml:space="preserve"> </w:t>
      </w:r>
      <w:r w:rsidRPr="003A3F5E">
        <w:rPr>
          <w:rFonts w:ascii="Garamond" w:hAnsi="Garamond" w:cstheme="majorBidi"/>
          <w:sz w:val="20"/>
          <w:szCs w:val="22"/>
        </w:rPr>
        <w:t>afrues</w:t>
      </w:r>
      <w:r>
        <w:rPr>
          <w:rFonts w:ascii="Garamond" w:hAnsi="Garamond" w:cstheme="majorBidi"/>
          <w:sz w:val="20"/>
          <w:szCs w:val="22"/>
        </w:rPr>
        <w:t xml:space="preserve"> </w:t>
      </w:r>
      <w:r w:rsidRPr="003A3F5E">
        <w:rPr>
          <w:rFonts w:ascii="Garamond" w:hAnsi="Garamond" w:cstheme="majorBidi"/>
          <w:sz w:val="20"/>
          <w:szCs w:val="22"/>
        </w:rPr>
        <w:t>për</w:t>
      </w:r>
      <w:r>
        <w:rPr>
          <w:rFonts w:ascii="Garamond" w:hAnsi="Garamond" w:cstheme="majorBidi"/>
          <w:sz w:val="20"/>
          <w:szCs w:val="22"/>
        </w:rPr>
        <w:t xml:space="preserve"> </w:t>
      </w:r>
      <w:r w:rsidRPr="003A3F5E">
        <w:rPr>
          <w:rFonts w:ascii="Garamond" w:hAnsi="Garamond" w:cstheme="majorBidi"/>
          <w:sz w:val="20"/>
          <w:szCs w:val="22"/>
        </w:rPr>
        <w:t>produktivitetin e punës, kostot e punës</w:t>
      </w:r>
      <w:r>
        <w:rPr>
          <w:rFonts w:ascii="Garamond" w:hAnsi="Garamond" w:cstheme="majorBidi"/>
          <w:sz w:val="20"/>
          <w:szCs w:val="22"/>
        </w:rPr>
        <w:t xml:space="preserve"> </w:t>
      </w:r>
      <w:r w:rsidRPr="003A3F5E">
        <w:rPr>
          <w:rFonts w:ascii="Garamond" w:hAnsi="Garamond" w:cstheme="majorBidi"/>
          <w:sz w:val="20"/>
          <w:szCs w:val="22"/>
        </w:rPr>
        <w:t>për</w:t>
      </w:r>
      <w:r>
        <w:rPr>
          <w:rFonts w:ascii="Garamond" w:hAnsi="Garamond" w:cstheme="majorBidi"/>
          <w:sz w:val="20"/>
          <w:szCs w:val="22"/>
        </w:rPr>
        <w:t xml:space="preserve"> </w:t>
      </w:r>
      <w:r w:rsidRPr="003A3F5E">
        <w:rPr>
          <w:rFonts w:ascii="Garamond" w:hAnsi="Garamond" w:cstheme="majorBidi"/>
          <w:sz w:val="20"/>
          <w:szCs w:val="22"/>
        </w:rPr>
        <w:t>njësi</w:t>
      </w:r>
      <w:r>
        <w:rPr>
          <w:rFonts w:ascii="Garamond" w:hAnsi="Garamond" w:cstheme="majorBidi"/>
          <w:sz w:val="20"/>
          <w:szCs w:val="22"/>
        </w:rPr>
        <w:t xml:space="preserve"> </w:t>
      </w:r>
      <w:r w:rsidRPr="003A3F5E">
        <w:rPr>
          <w:rFonts w:ascii="Garamond" w:hAnsi="Garamond" w:cstheme="majorBidi"/>
          <w:sz w:val="20"/>
          <w:szCs w:val="22"/>
        </w:rPr>
        <w:t>dhe</w:t>
      </w:r>
      <w:r>
        <w:rPr>
          <w:rFonts w:ascii="Garamond" w:hAnsi="Garamond" w:cstheme="majorBidi"/>
          <w:sz w:val="20"/>
          <w:szCs w:val="22"/>
        </w:rPr>
        <w:t xml:space="preserve"> </w:t>
      </w:r>
      <w:r w:rsidRPr="003A3F5E">
        <w:rPr>
          <w:rFonts w:ascii="Garamond" w:hAnsi="Garamond" w:cstheme="majorBidi"/>
          <w:sz w:val="20"/>
          <w:szCs w:val="22"/>
        </w:rPr>
        <w:t>pagën</w:t>
      </w:r>
      <w:r>
        <w:rPr>
          <w:rFonts w:ascii="Garamond" w:hAnsi="Garamond" w:cstheme="majorBidi"/>
          <w:sz w:val="20"/>
          <w:szCs w:val="22"/>
        </w:rPr>
        <w:t xml:space="preserve"> </w:t>
      </w:r>
      <w:r w:rsidRPr="003A3F5E">
        <w:rPr>
          <w:rFonts w:ascii="Garamond" w:hAnsi="Garamond" w:cstheme="majorBidi"/>
          <w:sz w:val="20"/>
          <w:szCs w:val="22"/>
        </w:rPr>
        <w:t>mesatare</w:t>
      </w:r>
      <w:r>
        <w:rPr>
          <w:rFonts w:ascii="Garamond" w:hAnsi="Garamond" w:cstheme="majorBidi"/>
          <w:sz w:val="20"/>
          <w:szCs w:val="22"/>
        </w:rPr>
        <w:t xml:space="preserve"> </w:t>
      </w:r>
      <w:r w:rsidRPr="003A3F5E">
        <w:rPr>
          <w:rFonts w:ascii="Garamond" w:hAnsi="Garamond" w:cstheme="majorBidi"/>
          <w:sz w:val="20"/>
          <w:szCs w:val="22"/>
        </w:rPr>
        <w:t>bazohen</w:t>
      </w:r>
      <w:r>
        <w:rPr>
          <w:rFonts w:ascii="Garamond" w:hAnsi="Garamond" w:cstheme="majorBidi"/>
          <w:sz w:val="20"/>
          <w:szCs w:val="22"/>
        </w:rPr>
        <w:t xml:space="preserve"> </w:t>
      </w:r>
      <w:r w:rsidRPr="003A3F5E">
        <w:rPr>
          <w:rFonts w:ascii="Garamond" w:hAnsi="Garamond" w:cstheme="majorBidi"/>
          <w:sz w:val="20"/>
          <w:szCs w:val="22"/>
        </w:rPr>
        <w:t>mbi</w:t>
      </w:r>
      <w:r>
        <w:rPr>
          <w:rFonts w:ascii="Garamond" w:hAnsi="Garamond" w:cstheme="majorBidi"/>
          <w:sz w:val="20"/>
          <w:szCs w:val="22"/>
        </w:rPr>
        <w:t xml:space="preserve"> </w:t>
      </w:r>
      <w:r w:rsidRPr="003A3F5E">
        <w:rPr>
          <w:rFonts w:ascii="Garamond" w:hAnsi="Garamond" w:cstheme="majorBidi"/>
          <w:sz w:val="20"/>
          <w:szCs w:val="22"/>
        </w:rPr>
        <w:t>t</w:t>
      </w:r>
      <w:r>
        <w:rPr>
          <w:rFonts w:ascii="Garamond" w:hAnsi="Garamond" w:cstheme="majorBidi"/>
          <w:sz w:val="20"/>
          <w:szCs w:val="22"/>
        </w:rPr>
        <w:t xml:space="preserve"> </w:t>
      </w:r>
      <w:r w:rsidRPr="003A3F5E">
        <w:rPr>
          <w:rFonts w:ascii="Garamond" w:hAnsi="Garamond" w:cstheme="majorBidi"/>
          <w:sz w:val="20"/>
          <w:szCs w:val="22"/>
        </w:rPr>
        <w:t>ëdhënat e Llogarive</w:t>
      </w:r>
      <w:r>
        <w:rPr>
          <w:rFonts w:ascii="Garamond" w:hAnsi="Garamond" w:cstheme="majorBidi"/>
          <w:sz w:val="20"/>
          <w:szCs w:val="22"/>
        </w:rPr>
        <w:t xml:space="preserve"> </w:t>
      </w:r>
      <w:r w:rsidRPr="003A3F5E">
        <w:rPr>
          <w:rFonts w:ascii="Garamond" w:hAnsi="Garamond" w:cstheme="majorBidi"/>
          <w:sz w:val="20"/>
          <w:szCs w:val="22"/>
        </w:rPr>
        <w:t>Kombëtare, Punësimit</w:t>
      </w:r>
      <w:r>
        <w:rPr>
          <w:rFonts w:ascii="Garamond" w:hAnsi="Garamond" w:cstheme="majorBidi"/>
          <w:sz w:val="20"/>
          <w:szCs w:val="22"/>
        </w:rPr>
        <w:t xml:space="preserve"> </w:t>
      </w:r>
      <w:r w:rsidRPr="003A3F5E">
        <w:rPr>
          <w:rFonts w:ascii="Garamond" w:hAnsi="Garamond" w:cstheme="majorBidi"/>
          <w:sz w:val="20"/>
          <w:szCs w:val="22"/>
        </w:rPr>
        <w:t>dhe</w:t>
      </w:r>
      <w:r>
        <w:rPr>
          <w:rFonts w:ascii="Garamond" w:hAnsi="Garamond" w:cstheme="majorBidi"/>
          <w:sz w:val="20"/>
          <w:szCs w:val="22"/>
        </w:rPr>
        <w:t xml:space="preserve"> </w:t>
      </w:r>
      <w:r w:rsidRPr="003A3F5E">
        <w:rPr>
          <w:rFonts w:ascii="Garamond" w:hAnsi="Garamond" w:cstheme="majorBidi"/>
          <w:sz w:val="20"/>
          <w:szCs w:val="22"/>
        </w:rPr>
        <w:t>Pagave</w:t>
      </w:r>
      <w:r>
        <w:rPr>
          <w:rFonts w:ascii="Garamond" w:hAnsi="Garamond" w:cstheme="majorBidi"/>
          <w:sz w:val="20"/>
          <w:szCs w:val="22"/>
        </w:rPr>
        <w:t xml:space="preserve"> </w:t>
      </w:r>
      <w:r w:rsidRPr="003A3F5E">
        <w:rPr>
          <w:rFonts w:ascii="Garamond" w:hAnsi="Garamond" w:cstheme="majorBidi"/>
          <w:sz w:val="20"/>
          <w:szCs w:val="22"/>
        </w:rPr>
        <w:t>dhe</w:t>
      </w:r>
      <w:r>
        <w:rPr>
          <w:rFonts w:ascii="Garamond" w:hAnsi="Garamond" w:cstheme="majorBidi"/>
          <w:sz w:val="20"/>
          <w:szCs w:val="22"/>
        </w:rPr>
        <w:t xml:space="preserve"> </w:t>
      </w:r>
      <w:r w:rsidRPr="003A3F5E">
        <w:rPr>
          <w:rFonts w:ascii="Garamond" w:hAnsi="Garamond" w:cstheme="majorBidi"/>
          <w:sz w:val="20"/>
          <w:szCs w:val="22"/>
        </w:rPr>
        <w:t>vlerësohen</w:t>
      </w:r>
      <w:r>
        <w:rPr>
          <w:rFonts w:ascii="Garamond" w:hAnsi="Garamond" w:cstheme="majorBidi"/>
          <w:sz w:val="20"/>
          <w:szCs w:val="22"/>
        </w:rPr>
        <w:t xml:space="preserve"> </w:t>
      </w:r>
      <w:r w:rsidRPr="003A3F5E">
        <w:rPr>
          <w:rFonts w:ascii="Garamond" w:hAnsi="Garamond" w:cstheme="majorBidi"/>
          <w:sz w:val="20"/>
          <w:szCs w:val="22"/>
        </w:rPr>
        <w:t>për</w:t>
      </w:r>
      <w:r>
        <w:rPr>
          <w:rFonts w:ascii="Garamond" w:hAnsi="Garamond" w:cstheme="majorBidi"/>
          <w:sz w:val="20"/>
          <w:szCs w:val="22"/>
        </w:rPr>
        <w:t xml:space="preserve"> </w:t>
      </w:r>
      <w:r w:rsidRPr="003A3F5E">
        <w:rPr>
          <w:rFonts w:ascii="Garamond" w:hAnsi="Garamond" w:cstheme="majorBidi"/>
          <w:sz w:val="20"/>
          <w:szCs w:val="22"/>
        </w:rPr>
        <w:t>sektorin</w:t>
      </w:r>
      <w:r>
        <w:rPr>
          <w:rFonts w:ascii="Garamond" w:hAnsi="Garamond" w:cstheme="majorBidi"/>
          <w:sz w:val="20"/>
          <w:szCs w:val="22"/>
        </w:rPr>
        <w:t xml:space="preserve"> </w:t>
      </w:r>
      <w:r w:rsidRPr="003A3F5E">
        <w:rPr>
          <w:rFonts w:ascii="Garamond" w:hAnsi="Garamond" w:cstheme="majorBidi"/>
          <w:sz w:val="20"/>
          <w:szCs w:val="22"/>
        </w:rPr>
        <w:t>privat pa degën e Bujqësisë (INSTAT, publikimet</w:t>
      </w:r>
      <w:r>
        <w:rPr>
          <w:rFonts w:ascii="Garamond" w:hAnsi="Garamond" w:cstheme="majorBidi"/>
          <w:sz w:val="20"/>
          <w:szCs w:val="22"/>
        </w:rPr>
        <w:t xml:space="preserve"> </w:t>
      </w:r>
      <w:r w:rsidRPr="003A3F5E">
        <w:rPr>
          <w:rFonts w:ascii="Garamond" w:hAnsi="Garamond" w:cstheme="majorBidi"/>
          <w:sz w:val="20"/>
          <w:szCs w:val="22"/>
        </w:rPr>
        <w:t>më</w:t>
      </w:r>
      <w:r>
        <w:rPr>
          <w:rFonts w:ascii="Garamond" w:hAnsi="Garamond" w:cstheme="majorBidi"/>
          <w:sz w:val="20"/>
          <w:szCs w:val="22"/>
        </w:rPr>
        <w:t xml:space="preserve"> </w:t>
      </w:r>
      <w:r w:rsidRPr="003A3F5E">
        <w:rPr>
          <w:rFonts w:ascii="Garamond" w:hAnsi="Garamond" w:cstheme="majorBidi"/>
          <w:sz w:val="20"/>
          <w:szCs w:val="22"/>
        </w:rPr>
        <w:t>të</w:t>
      </w:r>
      <w:r>
        <w:rPr>
          <w:rFonts w:ascii="Garamond" w:hAnsi="Garamond" w:cstheme="majorBidi"/>
          <w:sz w:val="20"/>
          <w:szCs w:val="22"/>
        </w:rPr>
        <w:t xml:space="preserve"> </w:t>
      </w:r>
      <w:r w:rsidRPr="003A3F5E">
        <w:rPr>
          <w:rFonts w:ascii="Garamond" w:hAnsi="Garamond" w:cstheme="majorBidi"/>
          <w:sz w:val="20"/>
          <w:szCs w:val="22"/>
        </w:rPr>
        <w:t>fundit</w:t>
      </w:r>
      <w:r>
        <w:rPr>
          <w:rFonts w:ascii="Garamond" w:hAnsi="Garamond" w:cstheme="majorBidi"/>
          <w:sz w:val="20"/>
          <w:szCs w:val="22"/>
        </w:rPr>
        <w:t xml:space="preserve"> </w:t>
      </w:r>
      <w:r w:rsidRPr="003A3F5E">
        <w:rPr>
          <w:rFonts w:ascii="Garamond" w:hAnsi="Garamond" w:cstheme="majorBidi"/>
          <w:sz w:val="20"/>
          <w:szCs w:val="22"/>
        </w:rPr>
        <w:t xml:space="preserve">për 2022Q2). </w:t>
      </w:r>
    </w:p>
  </w:footnote>
  <w:footnote w:id="4">
    <w:p w14:paraId="603CF20A" w14:textId="61ED70A8" w:rsidR="00056076" w:rsidRPr="0027139F" w:rsidRDefault="00056076" w:rsidP="00261A2D">
      <w:pPr>
        <w:pStyle w:val="FootnoteText"/>
        <w:rPr>
          <w:rFonts w:ascii="Garamond" w:hAnsi="Garamond" w:cstheme="majorBidi"/>
          <w:szCs w:val="22"/>
        </w:rPr>
      </w:pPr>
      <w:r w:rsidRPr="0027139F">
        <w:rPr>
          <w:rStyle w:val="FootnoteReference"/>
          <w:rFonts w:ascii="Garamond" w:hAnsi="Garamond" w:cstheme="majorBidi"/>
          <w:szCs w:val="22"/>
        </w:rPr>
        <w:footnoteRef/>
      </w:r>
      <w:r>
        <w:rPr>
          <w:rFonts w:ascii="Garamond" w:hAnsi="Garamond" w:cstheme="majorBidi"/>
          <w:szCs w:val="22"/>
        </w:rPr>
        <w:t xml:space="preserve"> </w:t>
      </w:r>
      <w:r w:rsidRPr="0027139F">
        <w:rPr>
          <w:rFonts w:ascii="Garamond" w:hAnsi="Garamond" w:cstheme="majorBidi"/>
          <w:szCs w:val="22"/>
        </w:rPr>
        <w:t>Një</w:t>
      </w:r>
      <w:r>
        <w:rPr>
          <w:rFonts w:ascii="Garamond" w:hAnsi="Garamond" w:cstheme="majorBidi"/>
          <w:szCs w:val="22"/>
        </w:rPr>
        <w:t xml:space="preserve"> </w:t>
      </w:r>
      <w:r w:rsidRPr="0027139F">
        <w:rPr>
          <w:rFonts w:ascii="Garamond" w:hAnsi="Garamond" w:cstheme="majorBidi"/>
          <w:szCs w:val="22"/>
        </w:rPr>
        <w:t>tregues</w:t>
      </w:r>
      <w:r>
        <w:rPr>
          <w:rFonts w:ascii="Garamond" w:hAnsi="Garamond" w:cstheme="majorBidi"/>
          <w:szCs w:val="22"/>
        </w:rPr>
        <w:t xml:space="preserve"> </w:t>
      </w:r>
      <w:r w:rsidRPr="0027139F">
        <w:rPr>
          <w:rFonts w:ascii="Garamond" w:hAnsi="Garamond" w:cstheme="majorBidi"/>
          <w:szCs w:val="22"/>
        </w:rPr>
        <w:t>alternativ</w:t>
      </w:r>
      <w:r>
        <w:rPr>
          <w:rFonts w:ascii="Garamond" w:hAnsi="Garamond" w:cstheme="majorBidi"/>
          <w:szCs w:val="22"/>
        </w:rPr>
        <w:t xml:space="preserve"> </w:t>
      </w:r>
      <w:r w:rsidRPr="0027139F">
        <w:rPr>
          <w:rFonts w:ascii="Garamond" w:hAnsi="Garamond" w:cstheme="majorBidi"/>
          <w:szCs w:val="22"/>
        </w:rPr>
        <w:t>për</w:t>
      </w:r>
      <w:r>
        <w:rPr>
          <w:rFonts w:ascii="Garamond" w:hAnsi="Garamond" w:cstheme="majorBidi"/>
          <w:szCs w:val="22"/>
        </w:rPr>
        <w:t xml:space="preserve"> </w:t>
      </w:r>
      <w:r w:rsidRPr="0027139F">
        <w:rPr>
          <w:rFonts w:ascii="Garamond" w:hAnsi="Garamond" w:cstheme="majorBidi"/>
          <w:szCs w:val="22"/>
        </w:rPr>
        <w:t>inflacionin</w:t>
      </w:r>
      <w:r>
        <w:rPr>
          <w:rFonts w:ascii="Garamond" w:hAnsi="Garamond" w:cstheme="majorBidi"/>
          <w:szCs w:val="22"/>
        </w:rPr>
        <w:t xml:space="preserve"> </w:t>
      </w:r>
      <w:r w:rsidRPr="0027139F">
        <w:rPr>
          <w:rFonts w:ascii="Garamond" w:hAnsi="Garamond" w:cstheme="majorBidi"/>
          <w:szCs w:val="22"/>
        </w:rPr>
        <w:t>bazë (përjashtuar</w:t>
      </w:r>
      <w:r>
        <w:rPr>
          <w:rFonts w:ascii="Garamond" w:hAnsi="Garamond" w:cstheme="majorBidi"/>
          <w:szCs w:val="22"/>
        </w:rPr>
        <w:t xml:space="preserve"> </w:t>
      </w:r>
      <w:r w:rsidRPr="0027139F">
        <w:rPr>
          <w:rFonts w:ascii="Garamond" w:hAnsi="Garamond" w:cstheme="majorBidi"/>
          <w:szCs w:val="22"/>
        </w:rPr>
        <w:t>ushqimet), i</w:t>
      </w:r>
      <w:r>
        <w:rPr>
          <w:rFonts w:ascii="Garamond" w:hAnsi="Garamond" w:cstheme="majorBidi"/>
          <w:szCs w:val="22"/>
        </w:rPr>
        <w:t xml:space="preserve"> </w:t>
      </w:r>
      <w:r w:rsidRPr="0027139F">
        <w:rPr>
          <w:rFonts w:ascii="Garamond" w:hAnsi="Garamond" w:cstheme="majorBidi"/>
          <w:szCs w:val="22"/>
        </w:rPr>
        <w:t>cili</w:t>
      </w:r>
      <w:r>
        <w:rPr>
          <w:rFonts w:ascii="Garamond" w:hAnsi="Garamond" w:cstheme="majorBidi"/>
          <w:szCs w:val="22"/>
        </w:rPr>
        <w:t xml:space="preserve"> </w:t>
      </w:r>
      <w:r w:rsidRPr="0027139F">
        <w:rPr>
          <w:rFonts w:ascii="Garamond" w:hAnsi="Garamond" w:cstheme="majorBidi"/>
          <w:szCs w:val="22"/>
        </w:rPr>
        <w:t>përbën 44% të</w:t>
      </w:r>
      <w:r>
        <w:rPr>
          <w:rFonts w:ascii="Garamond" w:hAnsi="Garamond" w:cstheme="majorBidi"/>
          <w:szCs w:val="22"/>
        </w:rPr>
        <w:t xml:space="preserve"> </w:t>
      </w:r>
      <w:r w:rsidRPr="0027139F">
        <w:rPr>
          <w:rFonts w:ascii="Garamond" w:hAnsi="Garamond" w:cstheme="majorBidi"/>
          <w:szCs w:val="22"/>
        </w:rPr>
        <w:t>shportës</w:t>
      </w:r>
      <w:r>
        <w:rPr>
          <w:rFonts w:ascii="Garamond" w:hAnsi="Garamond" w:cstheme="majorBidi"/>
          <w:szCs w:val="22"/>
        </w:rPr>
        <w:t xml:space="preserve"> </w:t>
      </w:r>
      <w:r w:rsidRPr="0027139F">
        <w:rPr>
          <w:rFonts w:ascii="Garamond" w:hAnsi="Garamond" w:cstheme="majorBidi"/>
          <w:szCs w:val="22"/>
        </w:rPr>
        <w:t xml:space="preserve">së IÇK-së. </w:t>
      </w:r>
    </w:p>
  </w:footnote>
  <w:footnote w:id="5">
    <w:p w14:paraId="1D1E5C6D" w14:textId="553ACDE9" w:rsidR="00056076" w:rsidRPr="0027139F" w:rsidRDefault="00056076" w:rsidP="00A054E3">
      <w:pPr>
        <w:pStyle w:val="FootnoteText"/>
        <w:jc w:val="both"/>
        <w:rPr>
          <w:rFonts w:ascii="Garamond" w:hAnsi="Garamond" w:cstheme="majorBidi"/>
        </w:rPr>
      </w:pPr>
      <w:r w:rsidRPr="0027139F">
        <w:rPr>
          <w:rStyle w:val="FootnoteReference"/>
          <w:rFonts w:ascii="Garamond" w:hAnsi="Garamond" w:cstheme="majorBidi"/>
        </w:rPr>
        <w:footnoteRef/>
      </w:r>
      <w:r>
        <w:rPr>
          <w:rFonts w:ascii="Garamond" w:hAnsi="Garamond" w:cstheme="majorBidi"/>
        </w:rPr>
        <w:t xml:space="preserve"> </w:t>
      </w:r>
      <w:r w:rsidRPr="0027139F">
        <w:rPr>
          <w:rFonts w:ascii="Garamond" w:hAnsi="Garamond" w:cstheme="majorBidi"/>
        </w:rPr>
        <w:t>Kursi real efektivi</w:t>
      </w:r>
      <w:r>
        <w:rPr>
          <w:rFonts w:ascii="Garamond" w:hAnsi="Garamond" w:cstheme="majorBidi"/>
        </w:rPr>
        <w:t xml:space="preserve"> i </w:t>
      </w:r>
      <w:r w:rsidRPr="0027139F">
        <w:rPr>
          <w:rFonts w:ascii="Garamond" w:hAnsi="Garamond" w:cstheme="majorBidi"/>
        </w:rPr>
        <w:t>këmbimit</w:t>
      </w:r>
      <w:r>
        <w:rPr>
          <w:rFonts w:ascii="Garamond" w:hAnsi="Garamond" w:cstheme="majorBidi"/>
        </w:rPr>
        <w:t xml:space="preserve"> </w:t>
      </w:r>
      <w:r w:rsidRPr="0027139F">
        <w:rPr>
          <w:rFonts w:ascii="Garamond" w:hAnsi="Garamond" w:cstheme="majorBidi"/>
        </w:rPr>
        <w:t>llogaritet</w:t>
      </w:r>
      <w:r>
        <w:rPr>
          <w:rFonts w:ascii="Garamond" w:hAnsi="Garamond" w:cstheme="majorBidi"/>
        </w:rPr>
        <w:t xml:space="preserve"> </w:t>
      </w:r>
      <w:r w:rsidRPr="0027139F">
        <w:rPr>
          <w:rFonts w:ascii="Garamond" w:hAnsi="Garamond" w:cstheme="majorBidi"/>
        </w:rPr>
        <w:t>si</w:t>
      </w:r>
      <w:r>
        <w:rPr>
          <w:rFonts w:ascii="Garamond" w:hAnsi="Garamond" w:cstheme="majorBidi"/>
        </w:rPr>
        <w:t xml:space="preserve"> </w:t>
      </w:r>
      <w:r w:rsidRPr="0027139F">
        <w:rPr>
          <w:rFonts w:ascii="Garamond" w:hAnsi="Garamond" w:cstheme="majorBidi"/>
        </w:rPr>
        <w:t>indeksi</w:t>
      </w:r>
      <w:r>
        <w:rPr>
          <w:rFonts w:ascii="Garamond" w:hAnsi="Garamond" w:cstheme="majorBidi"/>
        </w:rPr>
        <w:t xml:space="preserve"> </w:t>
      </w:r>
      <w:r w:rsidRPr="0027139F">
        <w:rPr>
          <w:rFonts w:ascii="Garamond" w:hAnsi="Garamond" w:cstheme="majorBidi"/>
        </w:rPr>
        <w:t>peshuar me tregtinë</w:t>
      </w:r>
      <w:r>
        <w:rPr>
          <w:rFonts w:ascii="Garamond" w:hAnsi="Garamond" w:cstheme="majorBidi"/>
        </w:rPr>
        <w:t xml:space="preserve"> </w:t>
      </w:r>
      <w:r w:rsidRPr="0027139F">
        <w:rPr>
          <w:rFonts w:ascii="Garamond" w:hAnsi="Garamond" w:cstheme="majorBidi"/>
        </w:rPr>
        <w:t>sipas 5 partnerëve</w:t>
      </w:r>
      <w:r>
        <w:rPr>
          <w:rFonts w:ascii="Garamond" w:hAnsi="Garamond" w:cstheme="majorBidi"/>
        </w:rPr>
        <w:t xml:space="preserve"> </w:t>
      </w:r>
      <w:r w:rsidRPr="0027139F">
        <w:rPr>
          <w:rFonts w:ascii="Garamond" w:hAnsi="Garamond" w:cstheme="majorBidi"/>
        </w:rPr>
        <w:t>kryesorë</w:t>
      </w:r>
      <w:r>
        <w:rPr>
          <w:rFonts w:ascii="Garamond" w:hAnsi="Garamond" w:cstheme="majorBidi"/>
        </w:rPr>
        <w:t xml:space="preserve"> </w:t>
      </w:r>
      <w:r w:rsidRPr="0027139F">
        <w:rPr>
          <w:rFonts w:ascii="Garamond" w:hAnsi="Garamond" w:cstheme="majorBidi"/>
        </w:rPr>
        <w:t>tregtarë: Italia, Greqia, Gjermania, Kina dhe</w:t>
      </w:r>
      <w:r>
        <w:rPr>
          <w:rFonts w:ascii="Garamond" w:hAnsi="Garamond" w:cstheme="majorBidi"/>
        </w:rPr>
        <w:t xml:space="preserve"> </w:t>
      </w:r>
      <w:r w:rsidRPr="0027139F">
        <w:rPr>
          <w:rFonts w:ascii="Garamond" w:hAnsi="Garamond" w:cstheme="majorBidi"/>
        </w:rPr>
        <w:t>Turqia. Rritja e vlerës</w:t>
      </w:r>
      <w:r>
        <w:rPr>
          <w:rFonts w:ascii="Garamond" w:hAnsi="Garamond" w:cstheme="majorBidi"/>
        </w:rPr>
        <w:t xml:space="preserve"> </w:t>
      </w:r>
      <w:r w:rsidRPr="0027139F">
        <w:rPr>
          <w:rFonts w:ascii="Garamond" w:hAnsi="Garamond" w:cstheme="majorBidi"/>
        </w:rPr>
        <w:t>së</w:t>
      </w:r>
      <w:r>
        <w:rPr>
          <w:rFonts w:ascii="Garamond" w:hAnsi="Garamond" w:cstheme="majorBidi"/>
        </w:rPr>
        <w:t xml:space="preserve"> </w:t>
      </w:r>
      <w:r w:rsidRPr="0027139F">
        <w:rPr>
          <w:rFonts w:ascii="Garamond" w:hAnsi="Garamond" w:cstheme="majorBidi"/>
        </w:rPr>
        <w:t>indeksit</w:t>
      </w:r>
      <w:r>
        <w:rPr>
          <w:rFonts w:ascii="Garamond" w:hAnsi="Garamond" w:cstheme="majorBidi"/>
        </w:rPr>
        <w:t xml:space="preserve"> </w:t>
      </w:r>
      <w:r w:rsidRPr="0027139F">
        <w:rPr>
          <w:rFonts w:ascii="Garamond" w:hAnsi="Garamond" w:cstheme="majorBidi"/>
        </w:rPr>
        <w:t>nënkupton</w:t>
      </w:r>
      <w:r>
        <w:rPr>
          <w:rFonts w:ascii="Garamond" w:hAnsi="Garamond" w:cstheme="majorBidi"/>
        </w:rPr>
        <w:t xml:space="preserve"> </w:t>
      </w:r>
      <w:r w:rsidRPr="0027139F">
        <w:rPr>
          <w:rFonts w:ascii="Garamond" w:hAnsi="Garamond" w:cstheme="majorBidi"/>
        </w:rPr>
        <w:t>nënçmim</w:t>
      </w:r>
      <w:r>
        <w:rPr>
          <w:rFonts w:ascii="Garamond" w:hAnsi="Garamond" w:cstheme="majorBidi"/>
        </w:rPr>
        <w:t xml:space="preserve"> </w:t>
      </w:r>
      <w:r w:rsidRPr="0027139F">
        <w:rPr>
          <w:rFonts w:ascii="Garamond" w:hAnsi="Garamond" w:cstheme="majorBidi"/>
        </w:rPr>
        <w:t>të</w:t>
      </w:r>
      <w:r>
        <w:rPr>
          <w:rFonts w:ascii="Garamond" w:hAnsi="Garamond" w:cstheme="majorBidi"/>
        </w:rPr>
        <w:t xml:space="preserve"> </w:t>
      </w:r>
      <w:r w:rsidRPr="0027139F">
        <w:rPr>
          <w:rFonts w:ascii="Garamond" w:hAnsi="Garamond" w:cstheme="majorBidi"/>
        </w:rPr>
        <w:t>monedhës</w:t>
      </w:r>
      <w:r>
        <w:rPr>
          <w:rFonts w:ascii="Garamond" w:hAnsi="Garamond" w:cstheme="majorBidi"/>
        </w:rPr>
        <w:t xml:space="preserve"> </w:t>
      </w:r>
      <w:r w:rsidRPr="0027139F">
        <w:rPr>
          <w:rFonts w:ascii="Garamond" w:hAnsi="Garamond" w:cstheme="majorBidi"/>
        </w:rPr>
        <w:t>vend</w:t>
      </w:r>
      <w:r>
        <w:rPr>
          <w:rFonts w:ascii="Garamond" w:hAnsi="Garamond" w:cstheme="majorBidi"/>
        </w:rPr>
        <w:t>ë</w:t>
      </w:r>
      <w:r w:rsidRPr="0027139F">
        <w:rPr>
          <w:rFonts w:ascii="Garamond" w:hAnsi="Garamond" w:cstheme="majorBidi"/>
        </w:rPr>
        <w:t>se.</w:t>
      </w:r>
    </w:p>
  </w:footnote>
  <w:footnote w:id="6">
    <w:p w14:paraId="30CC7F91" w14:textId="51BE0C6E" w:rsidR="00056076" w:rsidRPr="00653843" w:rsidRDefault="00056076" w:rsidP="0027139F">
      <w:pPr>
        <w:pStyle w:val="FootnoteText"/>
        <w:jc w:val="both"/>
        <w:rPr>
          <w:rFonts w:asciiTheme="majorBidi" w:hAnsiTheme="majorBidi" w:cstheme="majorBidi"/>
          <w:sz w:val="22"/>
          <w:szCs w:val="22"/>
        </w:rPr>
      </w:pPr>
      <w:r w:rsidRPr="0027139F">
        <w:rPr>
          <w:rStyle w:val="FootnoteReference"/>
          <w:rFonts w:ascii="Garamond" w:hAnsi="Garamond" w:cstheme="majorBidi"/>
        </w:rPr>
        <w:footnoteRef/>
      </w:r>
      <w:r w:rsidRPr="0027139F">
        <w:rPr>
          <w:rFonts w:ascii="Garamond" w:hAnsi="Garamond" w:cstheme="majorBidi"/>
        </w:rPr>
        <w:t xml:space="preserve"> Shih</w:t>
      </w:r>
      <w:r>
        <w:rPr>
          <w:rFonts w:ascii="Garamond" w:hAnsi="Garamond" w:cstheme="majorBidi"/>
        </w:rPr>
        <w:t>:</w:t>
      </w:r>
      <w:r w:rsidRPr="0027139F">
        <w:rPr>
          <w:rFonts w:ascii="Garamond" w:hAnsi="Garamond" w:cstheme="majorBidi"/>
        </w:rPr>
        <w:t xml:space="preserve"> </w:t>
      </w:r>
      <w:hyperlink r:id="rId1" w:history="1">
        <w:r w:rsidRPr="0027139F">
          <w:rPr>
            <w:rStyle w:val="Hyperlink"/>
            <w:rFonts w:ascii="Garamond" w:hAnsi="Garamond" w:cstheme="majorBidi"/>
          </w:rPr>
          <w:t>http://go.worldbank.org/KQCHUD4JN0</w:t>
        </w:r>
      </w:hyperlink>
      <w:r>
        <w:rPr>
          <w:rStyle w:val="Hyperlink"/>
          <w:rFonts w:ascii="Garamond" w:hAnsi="Garamond" w:cstheme="majorBidi"/>
        </w:rPr>
        <w:t xml:space="preserve"> </w:t>
      </w:r>
      <w:r w:rsidRPr="0027139F">
        <w:rPr>
          <w:rFonts w:ascii="Garamond" w:hAnsi="Garamond" w:cstheme="majorBidi"/>
        </w:rPr>
        <w:t>për</w:t>
      </w:r>
      <w:r>
        <w:rPr>
          <w:rFonts w:ascii="Garamond" w:hAnsi="Garamond" w:cstheme="majorBidi"/>
        </w:rPr>
        <w:t xml:space="preserve"> </w:t>
      </w:r>
      <w:r w:rsidRPr="0027139F">
        <w:rPr>
          <w:rFonts w:ascii="Garamond" w:hAnsi="Garamond" w:cstheme="majorBidi"/>
        </w:rPr>
        <w:t>një</w:t>
      </w:r>
      <w:r>
        <w:rPr>
          <w:rFonts w:ascii="Garamond" w:hAnsi="Garamond" w:cstheme="majorBidi"/>
        </w:rPr>
        <w:t xml:space="preserve"> </w:t>
      </w:r>
      <w:r w:rsidRPr="0027139F">
        <w:rPr>
          <w:rFonts w:ascii="Garamond" w:hAnsi="Garamond" w:cstheme="majorBidi"/>
        </w:rPr>
        <w:t>diskutim</w:t>
      </w:r>
      <w:r>
        <w:rPr>
          <w:rFonts w:ascii="Garamond" w:hAnsi="Garamond" w:cstheme="majorBidi"/>
        </w:rPr>
        <w:t xml:space="preserve"> </w:t>
      </w:r>
      <w:r w:rsidRPr="0027139F">
        <w:rPr>
          <w:rFonts w:ascii="Garamond" w:hAnsi="Garamond" w:cstheme="majorBidi"/>
        </w:rPr>
        <w:t>mbi PKT-të.</w:t>
      </w:r>
    </w:p>
  </w:footnote>
  <w:footnote w:id="7">
    <w:p w14:paraId="30469978" w14:textId="7480DCDB" w:rsidR="00056076" w:rsidRPr="0027139F" w:rsidRDefault="00056076" w:rsidP="0027139F">
      <w:pPr>
        <w:rPr>
          <w:rFonts w:ascii="Garamond" w:hAnsi="Garamond" w:cstheme="majorBidi"/>
          <w:sz w:val="20"/>
          <w:szCs w:val="22"/>
        </w:rPr>
      </w:pPr>
      <w:r w:rsidRPr="0027139F">
        <w:rPr>
          <w:rStyle w:val="FootnoteReference"/>
          <w:rFonts w:ascii="Garamond" w:hAnsi="Garamond" w:cstheme="majorBidi"/>
          <w:sz w:val="20"/>
          <w:szCs w:val="22"/>
        </w:rPr>
        <w:footnoteRef/>
      </w:r>
      <w:r>
        <w:rPr>
          <w:rFonts w:ascii="Garamond" w:hAnsi="Garamond" w:cstheme="majorBidi"/>
          <w:sz w:val="20"/>
          <w:szCs w:val="22"/>
        </w:rPr>
        <w:t xml:space="preserve"> </w:t>
      </w:r>
      <w:r w:rsidRPr="0027139F">
        <w:rPr>
          <w:rFonts w:ascii="Garamond" w:hAnsi="Garamond" w:cstheme="majorBidi"/>
          <w:sz w:val="20"/>
          <w:szCs w:val="22"/>
        </w:rPr>
        <w:t>Raportet e rezervës</w:t>
      </w:r>
      <w:r>
        <w:rPr>
          <w:rFonts w:ascii="Garamond" w:hAnsi="Garamond" w:cstheme="majorBidi"/>
          <w:sz w:val="20"/>
          <w:szCs w:val="22"/>
        </w:rPr>
        <w:t xml:space="preserve"> </w:t>
      </w:r>
      <w:r w:rsidRPr="0027139F">
        <w:rPr>
          <w:rFonts w:ascii="Garamond" w:hAnsi="Garamond" w:cstheme="majorBidi"/>
          <w:sz w:val="20"/>
          <w:szCs w:val="22"/>
        </w:rPr>
        <w:t>ndaj</w:t>
      </w:r>
      <w:r>
        <w:rPr>
          <w:rFonts w:ascii="Garamond" w:hAnsi="Garamond" w:cstheme="majorBidi"/>
          <w:sz w:val="20"/>
          <w:szCs w:val="22"/>
        </w:rPr>
        <w:t xml:space="preserve"> </w:t>
      </w:r>
      <w:r w:rsidRPr="0027139F">
        <w:rPr>
          <w:rFonts w:ascii="Garamond" w:hAnsi="Garamond" w:cstheme="majorBidi"/>
          <w:sz w:val="20"/>
          <w:szCs w:val="22"/>
        </w:rPr>
        <w:t>borxhit</w:t>
      </w:r>
      <w:r>
        <w:rPr>
          <w:rFonts w:ascii="Garamond" w:hAnsi="Garamond" w:cstheme="majorBidi"/>
          <w:sz w:val="20"/>
          <w:szCs w:val="22"/>
        </w:rPr>
        <w:t xml:space="preserve"> </w:t>
      </w:r>
      <w:r w:rsidRPr="0027139F">
        <w:rPr>
          <w:rFonts w:ascii="Garamond" w:hAnsi="Garamond" w:cstheme="majorBidi"/>
          <w:sz w:val="20"/>
          <w:szCs w:val="22"/>
        </w:rPr>
        <w:t>afatshkurtër, janë</w:t>
      </w:r>
      <w:r>
        <w:rPr>
          <w:rFonts w:ascii="Garamond" w:hAnsi="Garamond" w:cstheme="majorBidi"/>
          <w:sz w:val="20"/>
          <w:szCs w:val="22"/>
        </w:rPr>
        <w:t xml:space="preserve"> </w:t>
      </w:r>
      <w:r w:rsidRPr="0027139F">
        <w:rPr>
          <w:rFonts w:ascii="Garamond" w:hAnsi="Garamond" w:cstheme="majorBidi"/>
          <w:sz w:val="20"/>
          <w:szCs w:val="22"/>
        </w:rPr>
        <w:t>rillogaritur</w:t>
      </w:r>
      <w:r>
        <w:rPr>
          <w:rFonts w:ascii="Garamond" w:hAnsi="Garamond" w:cstheme="majorBidi"/>
          <w:sz w:val="20"/>
          <w:szCs w:val="22"/>
        </w:rPr>
        <w:t xml:space="preserve"> </w:t>
      </w:r>
      <w:r w:rsidRPr="0027139F">
        <w:rPr>
          <w:rFonts w:ascii="Garamond" w:hAnsi="Garamond" w:cstheme="majorBidi"/>
          <w:sz w:val="20"/>
          <w:szCs w:val="22"/>
        </w:rPr>
        <w:t>sipas</w:t>
      </w:r>
      <w:r>
        <w:rPr>
          <w:rFonts w:ascii="Garamond" w:hAnsi="Garamond" w:cstheme="majorBidi"/>
          <w:sz w:val="20"/>
          <w:szCs w:val="22"/>
        </w:rPr>
        <w:t xml:space="preserve"> </w:t>
      </w:r>
      <w:r w:rsidRPr="0027139F">
        <w:rPr>
          <w:rFonts w:ascii="Garamond" w:hAnsi="Garamond" w:cstheme="majorBidi"/>
          <w:sz w:val="20"/>
          <w:szCs w:val="22"/>
        </w:rPr>
        <w:t>rishikimeve</w:t>
      </w:r>
      <w:r>
        <w:rPr>
          <w:rFonts w:ascii="Garamond" w:hAnsi="Garamond" w:cstheme="majorBidi"/>
          <w:sz w:val="20"/>
          <w:szCs w:val="22"/>
        </w:rPr>
        <w:t xml:space="preserve"> </w:t>
      </w:r>
      <w:r w:rsidRPr="0027139F">
        <w:rPr>
          <w:rFonts w:ascii="Garamond" w:hAnsi="Garamond" w:cstheme="majorBidi"/>
          <w:sz w:val="20"/>
          <w:szCs w:val="22"/>
        </w:rPr>
        <w:t>në</w:t>
      </w:r>
      <w:r>
        <w:rPr>
          <w:rFonts w:ascii="Garamond" w:hAnsi="Garamond" w:cstheme="majorBidi"/>
          <w:sz w:val="20"/>
          <w:szCs w:val="22"/>
        </w:rPr>
        <w:t xml:space="preserve"> </w:t>
      </w:r>
      <w:r w:rsidRPr="0027139F">
        <w:rPr>
          <w:rFonts w:ascii="Garamond" w:hAnsi="Garamond" w:cstheme="majorBidi"/>
          <w:sz w:val="20"/>
          <w:szCs w:val="22"/>
        </w:rPr>
        <w:t>statistikat e borxhit</w:t>
      </w:r>
      <w:r>
        <w:rPr>
          <w:rFonts w:ascii="Garamond" w:hAnsi="Garamond" w:cstheme="majorBidi"/>
          <w:sz w:val="20"/>
          <w:szCs w:val="22"/>
        </w:rPr>
        <w:t xml:space="preserve"> </w:t>
      </w:r>
      <w:r w:rsidRPr="0027139F">
        <w:rPr>
          <w:rFonts w:ascii="Garamond" w:hAnsi="Garamond" w:cstheme="majorBidi"/>
          <w:sz w:val="20"/>
          <w:szCs w:val="22"/>
        </w:rPr>
        <w:t>afatshkurtër.</w:t>
      </w:r>
    </w:p>
  </w:footnote>
  <w:footnote w:id="8">
    <w:p w14:paraId="1F7A687D" w14:textId="3937C0B0" w:rsidR="00056076" w:rsidRPr="00653843" w:rsidRDefault="00056076" w:rsidP="0027139F">
      <w:pPr>
        <w:pStyle w:val="FootnoteText"/>
        <w:rPr>
          <w:rFonts w:asciiTheme="majorBidi" w:hAnsiTheme="majorBidi" w:cstheme="majorBidi"/>
          <w:sz w:val="22"/>
          <w:szCs w:val="22"/>
        </w:rPr>
      </w:pPr>
      <w:r w:rsidRPr="0027139F">
        <w:rPr>
          <w:rStyle w:val="FootnoteReference"/>
          <w:rFonts w:ascii="Garamond" w:hAnsi="Garamond" w:cstheme="majorBidi"/>
          <w:szCs w:val="22"/>
        </w:rPr>
        <w:footnoteRef/>
      </w:r>
      <w:r>
        <w:rPr>
          <w:rFonts w:ascii="Garamond" w:hAnsi="Garamond" w:cstheme="majorBidi"/>
          <w:szCs w:val="22"/>
        </w:rPr>
        <w:t xml:space="preserve"> </w:t>
      </w:r>
      <w:r w:rsidRPr="0027139F">
        <w:rPr>
          <w:rFonts w:ascii="Garamond" w:hAnsi="Garamond" w:cstheme="majorBidi"/>
          <w:szCs w:val="22"/>
        </w:rPr>
        <w:t>Bazuar</w:t>
      </w:r>
      <w:r>
        <w:rPr>
          <w:rFonts w:ascii="Garamond" w:hAnsi="Garamond" w:cstheme="majorBidi"/>
          <w:szCs w:val="22"/>
        </w:rPr>
        <w:t xml:space="preserve"> </w:t>
      </w:r>
      <w:r w:rsidRPr="0027139F">
        <w:rPr>
          <w:rFonts w:ascii="Garamond" w:hAnsi="Garamond" w:cstheme="majorBidi"/>
          <w:szCs w:val="22"/>
        </w:rPr>
        <w:t>në</w:t>
      </w:r>
      <w:r>
        <w:rPr>
          <w:rFonts w:ascii="Garamond" w:hAnsi="Garamond" w:cstheme="majorBidi"/>
          <w:szCs w:val="22"/>
        </w:rPr>
        <w:t xml:space="preserve"> </w:t>
      </w:r>
      <w:r w:rsidRPr="0027139F">
        <w:rPr>
          <w:rFonts w:ascii="Garamond" w:hAnsi="Garamond" w:cstheme="majorBidi"/>
          <w:szCs w:val="22"/>
        </w:rPr>
        <w:t>parashikimet e importeve</w:t>
      </w:r>
      <w:r>
        <w:rPr>
          <w:rFonts w:ascii="Garamond" w:hAnsi="Garamond" w:cstheme="majorBidi"/>
          <w:szCs w:val="22"/>
        </w:rPr>
        <w:t xml:space="preserve"> </w:t>
      </w:r>
      <w:r w:rsidRPr="0027139F">
        <w:rPr>
          <w:rFonts w:ascii="Garamond" w:hAnsi="Garamond" w:cstheme="majorBidi"/>
          <w:szCs w:val="22"/>
        </w:rPr>
        <w:t>dhe</w:t>
      </w:r>
      <w:r>
        <w:rPr>
          <w:rFonts w:ascii="Garamond" w:hAnsi="Garamond" w:cstheme="majorBidi"/>
          <w:szCs w:val="22"/>
        </w:rPr>
        <w:t xml:space="preserve"> </w:t>
      </w:r>
      <w:r w:rsidRPr="0027139F">
        <w:rPr>
          <w:rFonts w:ascii="Garamond" w:hAnsi="Garamond" w:cstheme="majorBidi"/>
          <w:szCs w:val="22"/>
        </w:rPr>
        <w:t>borxhit</w:t>
      </w:r>
      <w:r>
        <w:rPr>
          <w:rFonts w:ascii="Garamond" w:hAnsi="Garamond" w:cstheme="majorBidi"/>
          <w:szCs w:val="22"/>
        </w:rPr>
        <w:t xml:space="preserve"> t</w:t>
      </w:r>
      <w:r w:rsidRPr="0027139F">
        <w:rPr>
          <w:rFonts w:ascii="Garamond" w:hAnsi="Garamond" w:cstheme="majorBidi"/>
          <w:szCs w:val="22"/>
        </w:rPr>
        <w:t>ë</w:t>
      </w:r>
      <w:r>
        <w:rPr>
          <w:rFonts w:ascii="Garamond" w:hAnsi="Garamond" w:cstheme="majorBidi"/>
          <w:szCs w:val="22"/>
        </w:rPr>
        <w:t xml:space="preserve"> </w:t>
      </w:r>
      <w:r w:rsidRPr="0027139F">
        <w:rPr>
          <w:rFonts w:ascii="Garamond" w:hAnsi="Garamond" w:cstheme="majorBidi"/>
          <w:szCs w:val="22"/>
        </w:rPr>
        <w:t>jashtëm</w:t>
      </w:r>
      <w:r>
        <w:rPr>
          <w:rFonts w:ascii="Garamond" w:hAnsi="Garamond" w:cstheme="majorBidi"/>
          <w:szCs w:val="22"/>
        </w:rPr>
        <w:t xml:space="preserve"> </w:t>
      </w:r>
      <w:r w:rsidRPr="0027139F">
        <w:rPr>
          <w:rFonts w:ascii="Garamond" w:hAnsi="Garamond" w:cstheme="majorBidi"/>
          <w:szCs w:val="22"/>
        </w:rPr>
        <w:t>afatshkurtër</w:t>
      </w:r>
      <w:r>
        <w:rPr>
          <w:rFonts w:ascii="Garamond" w:hAnsi="Garamond" w:cstheme="majorBidi"/>
          <w:szCs w:val="22"/>
        </w:rPr>
        <w:t xml:space="preserve"> </w:t>
      </w:r>
      <w:r w:rsidRPr="0027139F">
        <w:rPr>
          <w:rFonts w:ascii="Garamond" w:hAnsi="Garamond" w:cstheme="majorBidi"/>
          <w:szCs w:val="22"/>
        </w:rPr>
        <w:t>në T3-2022.</w:t>
      </w:r>
    </w:p>
  </w:footnote>
  <w:footnote w:id="9">
    <w:p w14:paraId="3607395C" w14:textId="213E860B" w:rsidR="00056076" w:rsidRPr="0027139F" w:rsidRDefault="00056076" w:rsidP="007A2FF2">
      <w:pPr>
        <w:pStyle w:val="FootnoteText"/>
        <w:rPr>
          <w:rFonts w:ascii="Garamond" w:hAnsi="Garamond" w:cstheme="majorBidi"/>
        </w:rPr>
      </w:pPr>
      <w:r w:rsidRPr="0027139F">
        <w:rPr>
          <w:rStyle w:val="FootnoteReference"/>
          <w:rFonts w:ascii="Garamond" w:hAnsi="Garamond" w:cstheme="majorBidi"/>
        </w:rPr>
        <w:footnoteRef/>
      </w:r>
      <w:r>
        <w:rPr>
          <w:rFonts w:ascii="Garamond" w:hAnsi="Garamond" w:cstheme="majorBidi"/>
        </w:rPr>
        <w:t xml:space="preserve"> </w:t>
      </w:r>
      <w:r w:rsidRPr="0027139F">
        <w:rPr>
          <w:rFonts w:ascii="Garamond" w:hAnsi="Garamond" w:cstheme="majorBidi"/>
        </w:rPr>
        <w:t>Kërkesa minimale për instrumentet e kapitalit rregullator dhe detyrimet e pranuara që lidhet me zbatimin e ligjit nr.</w:t>
      </w:r>
      <w:r>
        <w:rPr>
          <w:rFonts w:ascii="Garamond" w:hAnsi="Garamond" w:cstheme="majorBidi"/>
        </w:rPr>
        <w:t xml:space="preserve"> </w:t>
      </w:r>
      <w:r w:rsidRPr="0027139F">
        <w:rPr>
          <w:rFonts w:ascii="Garamond" w:hAnsi="Garamond" w:cstheme="majorBidi"/>
        </w:rPr>
        <w:t>133/2016</w:t>
      </w:r>
      <w:r>
        <w:rPr>
          <w:rFonts w:ascii="Garamond" w:hAnsi="Garamond" w:cstheme="majorBidi"/>
        </w:rPr>
        <w:t xml:space="preserve">, </w:t>
      </w:r>
      <w:r w:rsidRPr="0027139F">
        <w:rPr>
          <w:rFonts w:ascii="Garamond" w:hAnsi="Garamond" w:cstheme="majorBidi"/>
        </w:rPr>
        <w:t>Për “rimëkëmbjen dhe ndërhyrjen e jashtëzakonshme në ba</w:t>
      </w:r>
      <w:r>
        <w:rPr>
          <w:rFonts w:ascii="Garamond" w:hAnsi="Garamond" w:cstheme="majorBidi"/>
        </w:rPr>
        <w:t>nka në Republikën e Shqipërisë”</w:t>
      </w:r>
      <w:r w:rsidRPr="0027139F">
        <w:rPr>
          <w:rFonts w:ascii="Garamond" w:hAnsi="Garamond" w:cstheme="majorBidi"/>
        </w:rPr>
        <w:t>.</w:t>
      </w:r>
    </w:p>
  </w:footnote>
  <w:footnote w:id="10">
    <w:p w14:paraId="4E304FDE" w14:textId="5EBB42DA" w:rsidR="00056076" w:rsidRPr="0098612C" w:rsidRDefault="00056076" w:rsidP="001E0947">
      <w:pPr>
        <w:pStyle w:val="FootnoteText"/>
        <w:jc w:val="both"/>
        <w:rPr>
          <w:rFonts w:ascii="Garamond" w:hAnsi="Garamond" w:cstheme="majorBidi"/>
          <w:sz w:val="22"/>
          <w:szCs w:val="22"/>
        </w:rPr>
      </w:pPr>
      <w:r w:rsidRPr="0098612C">
        <w:rPr>
          <w:rStyle w:val="FootnoteReference"/>
          <w:rFonts w:ascii="Garamond" w:hAnsi="Garamond" w:cstheme="majorBidi"/>
          <w:szCs w:val="22"/>
        </w:rPr>
        <w:footnoteRef/>
      </w:r>
      <w:r>
        <w:rPr>
          <w:rFonts w:ascii="Garamond" w:hAnsi="Garamond" w:cstheme="majorBidi"/>
          <w:szCs w:val="22"/>
        </w:rPr>
        <w:t xml:space="preserve"> </w:t>
      </w:r>
      <w:r w:rsidRPr="0098612C">
        <w:rPr>
          <w:rFonts w:ascii="Garamond" w:hAnsi="Garamond" w:cstheme="majorBidi"/>
          <w:szCs w:val="22"/>
        </w:rPr>
        <w:t>R</w:t>
      </w:r>
      <w:r>
        <w:rPr>
          <w:rFonts w:ascii="Garamond" w:hAnsi="Garamond" w:cstheme="majorBidi"/>
          <w:szCs w:val="22"/>
        </w:rPr>
        <w:t>regulli origjinal sanksiononte “</w:t>
      </w:r>
      <w:r w:rsidRPr="0098612C">
        <w:rPr>
          <w:rFonts w:ascii="Garamond" w:hAnsi="Garamond" w:cstheme="majorBidi"/>
          <w:szCs w:val="22"/>
        </w:rPr>
        <w:t>që prej 2023</w:t>
      </w:r>
      <w:r>
        <w:rPr>
          <w:rFonts w:ascii="Garamond" w:hAnsi="Garamond" w:cstheme="majorBidi"/>
          <w:szCs w:val="22"/>
        </w:rPr>
        <w:t>-shit”</w:t>
      </w:r>
      <w:r w:rsidRPr="0098612C">
        <w:rPr>
          <w:rFonts w:ascii="Garamond" w:hAnsi="Garamond" w:cstheme="majorBidi"/>
          <w:szCs w:val="22"/>
        </w:rPr>
        <w:t>, por më pas kjo u ndryshua sërish në korrik të 2021</w:t>
      </w:r>
      <w:r>
        <w:rPr>
          <w:rFonts w:ascii="Garamond" w:hAnsi="Garamond" w:cstheme="majorBidi"/>
          <w:szCs w:val="22"/>
        </w:rPr>
        <w:t>-shit</w:t>
      </w:r>
      <w:r w:rsidRPr="0098612C">
        <w:rPr>
          <w:rFonts w:ascii="Garamond" w:hAnsi="Garamond" w:cstheme="majorBidi"/>
          <w:szCs w:val="22"/>
        </w:rPr>
        <w:t xml:space="preserve"> dhe u bë “që prej</w:t>
      </w:r>
      <w:r>
        <w:rPr>
          <w:rFonts w:ascii="Garamond" w:hAnsi="Garamond" w:cstheme="majorBidi"/>
          <w:szCs w:val="22"/>
        </w:rPr>
        <w:t xml:space="preserve"> </w:t>
      </w:r>
      <w:r w:rsidRPr="0098612C">
        <w:rPr>
          <w:rFonts w:ascii="Garamond" w:hAnsi="Garamond" w:cstheme="majorBidi"/>
          <w:szCs w:val="22"/>
        </w:rPr>
        <w:t>2024</w:t>
      </w:r>
      <w:r>
        <w:rPr>
          <w:rFonts w:ascii="Garamond" w:hAnsi="Garamond" w:cstheme="majorBidi"/>
          <w:szCs w:val="22"/>
        </w:rPr>
        <w:t>-s</w:t>
      </w:r>
      <w:r w:rsidRPr="0098612C">
        <w:rPr>
          <w:rFonts w:ascii="Garamond" w:hAnsi="Garamond" w:cstheme="majorBidi"/>
          <w:szCs w:val="22"/>
        </w:rPr>
        <w:t>”.</w:t>
      </w:r>
    </w:p>
  </w:footnote>
  <w:footnote w:id="11">
    <w:p w14:paraId="73B6CCFD" w14:textId="1B4A0B6D" w:rsidR="00056076" w:rsidRPr="00C07742" w:rsidRDefault="00056076" w:rsidP="00C07742">
      <w:pPr>
        <w:ind w:firstLine="284"/>
        <w:jc w:val="both"/>
        <w:rPr>
          <w:rFonts w:ascii="Garamond" w:hAnsi="Garamond"/>
          <w:sz w:val="20"/>
          <w:szCs w:val="20"/>
          <w:lang w:val="en-US"/>
        </w:rPr>
      </w:pPr>
      <w:r w:rsidRPr="00C07742">
        <w:rPr>
          <w:rStyle w:val="FootnoteReference"/>
          <w:rFonts w:ascii="Garamond" w:hAnsi="Garamond"/>
          <w:sz w:val="20"/>
          <w:szCs w:val="20"/>
        </w:rPr>
        <w:footnoteRef/>
      </w:r>
      <w:r w:rsidRPr="00C07742">
        <w:rPr>
          <w:rFonts w:ascii="Garamond" w:hAnsi="Garamond"/>
          <w:sz w:val="20"/>
          <w:szCs w:val="20"/>
        </w:rPr>
        <w:t xml:space="preserve"> </w:t>
      </w:r>
      <w:r w:rsidRPr="00C07742">
        <w:rPr>
          <w:rFonts w:ascii="Garamond" w:hAnsi="Garamond" w:cstheme="majorBidi"/>
          <w:i/>
          <w:iCs/>
          <w:color w:val="0D0D0D" w:themeColor="text1" w:themeTint="F2"/>
          <w:sz w:val="20"/>
          <w:szCs w:val="20"/>
        </w:rPr>
        <w:t xml:space="preserve">Linku për raportin “WEO” – </w:t>
      </w:r>
      <w:hyperlink r:id="rId2" w:history="1">
        <w:r w:rsidRPr="00EB216C">
          <w:rPr>
            <w:rStyle w:val="Hyperlink"/>
            <w:rFonts w:ascii="Garamond" w:hAnsi="Garamond" w:cstheme="majorBidi"/>
            <w:i/>
            <w:iCs/>
            <w:sz w:val="20"/>
            <w:szCs w:val="20"/>
          </w:rPr>
          <w:t>https://www.imf.org/en/Publications/WEO/weo-database/2022/October</w:t>
        </w:r>
      </w:hyperlink>
      <w:r>
        <w:rPr>
          <w:rFonts w:ascii="Garamond" w:hAnsi="Garamond" w:cstheme="majorBidi"/>
          <w:i/>
          <w:iCs/>
          <w:color w:val="0D0D0D" w:themeColor="text1" w:themeTint="F2"/>
          <w:sz w:val="20"/>
          <w:szCs w:val="20"/>
        </w:rPr>
        <w:t xml:space="preserve"> </w:t>
      </w:r>
    </w:p>
  </w:footnote>
  <w:footnote w:id="12">
    <w:p w14:paraId="2E74E27F" w14:textId="179F7FBA" w:rsidR="00056076" w:rsidRPr="00CE3FD7" w:rsidRDefault="00056076" w:rsidP="00CE3FD7">
      <w:pPr>
        <w:pStyle w:val="FootnoteText"/>
        <w:jc w:val="both"/>
        <w:rPr>
          <w:rFonts w:ascii="Garamond" w:hAnsi="Garamond" w:cstheme="majorBidi"/>
          <w:sz w:val="22"/>
          <w:szCs w:val="22"/>
        </w:rPr>
      </w:pPr>
      <w:r w:rsidRPr="00CE3FD7">
        <w:rPr>
          <w:rStyle w:val="FootnoteReference"/>
          <w:rFonts w:ascii="Garamond" w:hAnsi="Garamond" w:cstheme="majorBidi"/>
          <w:szCs w:val="22"/>
        </w:rPr>
        <w:footnoteRef/>
      </w:r>
      <w:r>
        <w:rPr>
          <w:rFonts w:ascii="Garamond" w:hAnsi="Garamond" w:cstheme="majorBidi"/>
          <w:szCs w:val="22"/>
        </w:rPr>
        <w:t xml:space="preserve"> </w:t>
      </w:r>
      <w:r w:rsidRPr="00CE3FD7">
        <w:rPr>
          <w:rFonts w:ascii="Garamond" w:hAnsi="Garamond" w:cstheme="majorBidi"/>
          <w:szCs w:val="22"/>
        </w:rPr>
        <w:t>Për shkak të mungesës së të dhënave dhe serive relativisht të shkurtra, në rastin e metodës së disagregimit disa prej elasticiteteve/koeficienteve të vlerësuar nuk ishin të rëndësishëm në nivelet konvencionale dhe u vendosën disa supozime.</w:t>
      </w:r>
    </w:p>
  </w:footnote>
  <w:footnote w:id="13">
    <w:p w14:paraId="5521FCB9" w14:textId="0C723FAE" w:rsidR="00056076" w:rsidRPr="00FB6FFC" w:rsidRDefault="00056076" w:rsidP="00FB6FFC">
      <w:pPr>
        <w:pStyle w:val="FootnoteText"/>
        <w:rPr>
          <w:rFonts w:ascii="Garamond" w:hAnsi="Garamond" w:cstheme="majorBidi"/>
          <w:sz w:val="22"/>
          <w:szCs w:val="22"/>
        </w:rPr>
      </w:pPr>
      <w:r w:rsidRPr="00FB6FFC">
        <w:rPr>
          <w:rStyle w:val="FootnoteReference"/>
          <w:rFonts w:ascii="Garamond" w:hAnsi="Garamond" w:cstheme="majorBidi"/>
          <w:szCs w:val="22"/>
        </w:rPr>
        <w:footnoteRef/>
      </w:r>
      <w:r>
        <w:rPr>
          <w:rFonts w:ascii="Garamond" w:hAnsi="Garamond" w:cstheme="majorBidi"/>
          <w:szCs w:val="22"/>
        </w:rPr>
        <w:t xml:space="preserve"> </w:t>
      </w:r>
      <w:r w:rsidRPr="00FB6FFC">
        <w:rPr>
          <w:rFonts w:ascii="Garamond" w:hAnsi="Garamond" w:cstheme="majorBidi"/>
          <w:szCs w:val="22"/>
        </w:rPr>
        <w:t>Korniza strukturore e paraqitjes së treguesve të performacës së rezultateve dhe produkteve dhe vlerave të synuara respektive të tyre.</w:t>
      </w:r>
    </w:p>
  </w:footnote>
  <w:footnote w:id="14">
    <w:p w14:paraId="084F153C" w14:textId="10F7B111" w:rsidR="00056076" w:rsidRPr="00413679" w:rsidRDefault="00056076" w:rsidP="00413679">
      <w:pPr>
        <w:pStyle w:val="FootnoteText"/>
        <w:rPr>
          <w:rFonts w:ascii="Garamond" w:hAnsi="Garamond" w:cstheme="majorBidi"/>
          <w:sz w:val="22"/>
          <w:szCs w:val="22"/>
          <w:lang w:val="fr-FR"/>
        </w:rPr>
      </w:pPr>
      <w:r w:rsidRPr="00413679">
        <w:rPr>
          <w:rStyle w:val="FootnoteReference"/>
          <w:rFonts w:ascii="Garamond" w:hAnsi="Garamond" w:cstheme="majorBidi"/>
          <w:szCs w:val="22"/>
        </w:rPr>
        <w:footnoteRef/>
      </w:r>
      <w:r w:rsidRPr="00413679">
        <w:rPr>
          <w:rFonts w:ascii="Garamond" w:hAnsi="Garamond" w:cstheme="majorBidi"/>
          <w:szCs w:val="22"/>
          <w:lang w:val="fr-FR"/>
        </w:rPr>
        <w:t xml:space="preserve"> SILC 2020, INSTAT , publikuar m</w:t>
      </w:r>
      <w:r>
        <w:rPr>
          <w:rFonts w:ascii="Garamond" w:hAnsi="Garamond" w:cstheme="majorBidi"/>
          <w:szCs w:val="22"/>
          <w:lang w:val="fr-FR"/>
        </w:rPr>
        <w:t>ë</w:t>
      </w:r>
      <w:r w:rsidRPr="00413679">
        <w:rPr>
          <w:rFonts w:ascii="Garamond" w:hAnsi="Garamond" w:cstheme="majorBidi"/>
          <w:szCs w:val="22"/>
          <w:lang w:val="fr-FR"/>
        </w:rPr>
        <w:t xml:space="preserve"> 22.12.2021</w:t>
      </w:r>
      <w:r>
        <w:rPr>
          <w:rFonts w:ascii="Garamond" w:hAnsi="Garamond" w:cstheme="majorBidi"/>
          <w:szCs w:val="22"/>
          <w:lang w:val="fr-FR"/>
        </w:rPr>
        <w:t>.</w:t>
      </w:r>
    </w:p>
  </w:footnote>
  <w:footnote w:id="15">
    <w:p w14:paraId="74D11911" w14:textId="38A90B60" w:rsidR="00056076" w:rsidRPr="002271D1" w:rsidRDefault="00056076" w:rsidP="002271D1">
      <w:pPr>
        <w:rPr>
          <w:rFonts w:ascii="Garamond" w:hAnsi="Garamond" w:cstheme="majorBidi"/>
          <w:color w:val="0C000F"/>
          <w:sz w:val="20"/>
          <w:szCs w:val="20"/>
          <w:shd w:val="clear" w:color="auto" w:fill="FFFFFF"/>
        </w:rPr>
      </w:pPr>
      <w:r w:rsidRPr="002271D1">
        <w:rPr>
          <w:rStyle w:val="FootnoteReference"/>
          <w:rFonts w:ascii="Garamond" w:hAnsi="Garamond" w:cstheme="majorBidi"/>
          <w:sz w:val="20"/>
          <w:szCs w:val="20"/>
        </w:rPr>
        <w:footnoteRef/>
      </w:r>
      <w:r>
        <w:t xml:space="preserve"> </w:t>
      </w:r>
      <w:hyperlink r:id="rId3" w:history="1">
        <w:r w:rsidRPr="002271D1">
          <w:rPr>
            <w:rStyle w:val="Hyperlink"/>
            <w:rFonts w:ascii="Garamond" w:hAnsi="Garamond" w:cstheme="majorBidi"/>
            <w:color w:val="auto"/>
            <w:sz w:val="20"/>
            <w:szCs w:val="20"/>
            <w:u w:val="none"/>
            <w:shd w:val="clear" w:color="auto" w:fill="FFFFFF"/>
          </w:rPr>
          <w:t>https://ec.europa.eu/neighbourhood-enlargement/sites/near/files/communication_on_wb_economic_and_investment_plan_october_2020_en.pdf</w:t>
        </w:r>
      </w:hyperlink>
    </w:p>
  </w:footnote>
  <w:footnote w:id="16">
    <w:p w14:paraId="14BB9983" w14:textId="60692464" w:rsidR="00056076" w:rsidRPr="00A67654" w:rsidRDefault="00056076" w:rsidP="00A67654">
      <w:pPr>
        <w:rPr>
          <w:rFonts w:ascii="Garamond" w:hAnsi="Garamond" w:cstheme="majorBidi"/>
          <w:sz w:val="20"/>
          <w:szCs w:val="20"/>
        </w:rPr>
      </w:pPr>
      <w:r w:rsidRPr="00A67654">
        <w:rPr>
          <w:rStyle w:val="FootnoteReference"/>
          <w:rFonts w:ascii="Garamond" w:hAnsi="Garamond" w:cstheme="majorBidi"/>
          <w:sz w:val="20"/>
          <w:szCs w:val="20"/>
        </w:rPr>
        <w:footnoteRef/>
      </w:r>
      <w:r>
        <w:rPr>
          <w:rFonts w:ascii="Garamond" w:hAnsi="Garamond" w:cstheme="majorBidi"/>
          <w:sz w:val="20"/>
          <w:szCs w:val="20"/>
        </w:rPr>
        <w:t xml:space="preserve"> </w:t>
      </w:r>
      <w:r w:rsidRPr="00A67654">
        <w:rPr>
          <w:rFonts w:ascii="Garamond" w:hAnsi="Garamond" w:cstheme="majorBidi"/>
          <w:sz w:val="20"/>
          <w:szCs w:val="20"/>
        </w:rPr>
        <w:t>Sipas studimit “Raporti rajonal për masat jotarifore në CEFTA</w:t>
      </w:r>
      <w:r>
        <w:rPr>
          <w:rFonts w:ascii="Garamond" w:hAnsi="Garamond" w:cstheme="majorBidi"/>
          <w:sz w:val="20"/>
          <w:szCs w:val="20"/>
        </w:rPr>
        <w:t>-n</w:t>
      </w:r>
      <w:r w:rsidRPr="00A67654">
        <w:rPr>
          <w:rFonts w:ascii="Garamond" w:hAnsi="Garamond" w:cstheme="majorBidi"/>
          <w:sz w:val="20"/>
          <w:szCs w:val="20"/>
        </w:rPr>
        <w:t>”</w:t>
      </w:r>
      <w:r>
        <w:rPr>
          <w:rFonts w:ascii="Garamond" w:hAnsi="Garamond" w:cstheme="majorBidi"/>
          <w:sz w:val="20"/>
          <w:szCs w:val="20"/>
        </w:rPr>
        <w:t>.</w:t>
      </w:r>
    </w:p>
    <w:p w14:paraId="7BFD05A3" w14:textId="77777777" w:rsidR="00056076" w:rsidRPr="00653843" w:rsidRDefault="00056076" w:rsidP="00845D1C">
      <w:pPr>
        <w:pStyle w:val="FootnoteText"/>
        <w:rPr>
          <w:rFonts w:asciiTheme="majorBidi" w:hAnsiTheme="majorBidi" w:cstheme="majorBidi"/>
          <w:sz w:val="22"/>
          <w:szCs w:val="22"/>
        </w:rPr>
      </w:pPr>
    </w:p>
  </w:footnote>
  <w:footnote w:id="17">
    <w:p w14:paraId="34CE3042" w14:textId="319B9838" w:rsidR="00056076" w:rsidRPr="00845A08" w:rsidRDefault="00056076" w:rsidP="00210E36">
      <w:pPr>
        <w:pStyle w:val="FootnoteText"/>
        <w:rPr>
          <w:rFonts w:ascii="Garamond" w:hAnsi="Garamond" w:cstheme="majorBidi"/>
        </w:rPr>
      </w:pPr>
      <w:r w:rsidRPr="00845A08">
        <w:rPr>
          <w:rStyle w:val="FootnoteReference"/>
          <w:rFonts w:ascii="Garamond" w:hAnsi="Garamond" w:cstheme="majorBidi"/>
        </w:rPr>
        <w:footnoteRef/>
      </w:r>
      <w:r w:rsidRPr="00845A08">
        <w:rPr>
          <w:rFonts w:ascii="Garamond" w:hAnsi="Garamond" w:cstheme="majorBidi"/>
          <w:color w:val="0D0D0D" w:themeColor="text1" w:themeTint="F2"/>
        </w:rPr>
        <w:t xml:space="preserve"> Në vitin 2020 ose vitin më të fundit 2023 (bazë vjetore).</w:t>
      </w:r>
    </w:p>
  </w:footnote>
  <w:footnote w:id="18">
    <w:p w14:paraId="651E1922" w14:textId="392B7C1A" w:rsidR="00056076" w:rsidRPr="00845A08" w:rsidRDefault="00056076" w:rsidP="00845A08">
      <w:pPr>
        <w:pStyle w:val="FootnoteText"/>
        <w:rPr>
          <w:rFonts w:ascii="Garamond" w:hAnsi="Garamond" w:cstheme="majorBidi"/>
        </w:rPr>
      </w:pPr>
      <w:r w:rsidRPr="00845A08">
        <w:rPr>
          <w:rStyle w:val="FootnoteReference"/>
          <w:rFonts w:ascii="Garamond" w:hAnsi="Garamond" w:cstheme="majorBidi"/>
        </w:rPr>
        <w:footnoteRef/>
      </w:r>
      <w:r w:rsidRPr="00845A08">
        <w:rPr>
          <w:rFonts w:ascii="Garamond" w:hAnsi="Garamond" w:cstheme="majorBidi"/>
          <w:color w:val="0D0D0D" w:themeColor="text1" w:themeTint="F2"/>
        </w:rPr>
        <w:t>Së paku, sikundër para pandemisë (viti 2018 deri në vitin 2019).</w:t>
      </w:r>
    </w:p>
  </w:footnote>
  <w:footnote w:id="19">
    <w:p w14:paraId="4EB7204A" w14:textId="553078ED" w:rsidR="00056076" w:rsidRPr="00845A08" w:rsidRDefault="00056076" w:rsidP="00210E36">
      <w:pPr>
        <w:pStyle w:val="FootnoteText"/>
        <w:rPr>
          <w:rFonts w:asciiTheme="majorBidi" w:hAnsiTheme="majorBidi" w:cstheme="majorBidi"/>
          <w:sz w:val="22"/>
          <w:szCs w:val="22"/>
        </w:rPr>
      </w:pPr>
      <w:r w:rsidRPr="00845A08">
        <w:rPr>
          <w:rStyle w:val="FootnoteReference"/>
          <w:rFonts w:ascii="Garamond" w:hAnsi="Garamond" w:cstheme="majorBidi"/>
        </w:rPr>
        <w:footnoteRef/>
      </w:r>
      <w:r w:rsidRPr="00845A08">
        <w:rPr>
          <w:rFonts w:ascii="Garamond" w:hAnsi="Garamond" w:cstheme="majorBidi"/>
          <w:color w:val="0D0D0D" w:themeColor="text1" w:themeTint="F2"/>
        </w:rPr>
        <w:t xml:space="preserve"> Niveli i BE-së, i vlerësuar</w:t>
      </w:r>
      <w:r>
        <w:rPr>
          <w:rFonts w:ascii="Garamond" w:hAnsi="Garamond" w:cstheme="majorBidi"/>
          <w:color w:val="0D0D0D" w:themeColor="text1" w:themeTint="F2"/>
        </w:rPr>
        <w:t xml:space="preserve"> </w:t>
      </w:r>
      <w:r w:rsidRPr="00845A08">
        <w:rPr>
          <w:rFonts w:ascii="Garamond" w:hAnsi="Garamond" w:cstheme="majorBidi"/>
          <w:color w:val="0D0D0D" w:themeColor="text1" w:themeTint="F2"/>
        </w:rPr>
        <w:t>përpara</w:t>
      </w:r>
      <w:r>
        <w:rPr>
          <w:rFonts w:ascii="Garamond" w:hAnsi="Garamond" w:cstheme="majorBidi"/>
          <w:color w:val="0D0D0D" w:themeColor="text1" w:themeTint="F2"/>
        </w:rPr>
        <w:t xml:space="preserve"> </w:t>
      </w:r>
      <w:r w:rsidRPr="00845A08">
        <w:rPr>
          <w:rFonts w:ascii="Garamond" w:hAnsi="Garamond" w:cstheme="majorBidi"/>
          <w:color w:val="0D0D0D" w:themeColor="text1" w:themeTint="F2"/>
        </w:rPr>
        <w:t>pandemisë COVID-19.</w:t>
      </w:r>
    </w:p>
  </w:footnote>
  <w:footnote w:id="20">
    <w:p w14:paraId="625EA926" w14:textId="5C71CA34" w:rsidR="00056076" w:rsidRPr="0028077A" w:rsidRDefault="00056076" w:rsidP="00D6685C">
      <w:pPr>
        <w:pStyle w:val="FootnoteText"/>
        <w:rPr>
          <w:rFonts w:ascii="Garamond" w:hAnsi="Garamond" w:cstheme="majorBidi"/>
        </w:rPr>
      </w:pPr>
      <w:r w:rsidRPr="0028077A">
        <w:rPr>
          <w:rStyle w:val="FootnoteReference"/>
          <w:rFonts w:ascii="Garamond" w:hAnsi="Garamond" w:cstheme="majorBidi"/>
        </w:rPr>
        <w:footnoteRef/>
      </w:r>
      <w:r>
        <w:rPr>
          <w:rFonts w:ascii="Garamond" w:hAnsi="Garamond" w:cstheme="majorBidi"/>
        </w:rPr>
        <w:t xml:space="preserve"> </w:t>
      </w:r>
      <w:r w:rsidRPr="0028077A">
        <w:rPr>
          <w:rFonts w:ascii="Garamond" w:hAnsi="Garamond" w:cstheme="majorBidi"/>
        </w:rPr>
        <w:t>Kosova, Bosnj</w:t>
      </w:r>
      <w:r>
        <w:rPr>
          <w:rFonts w:ascii="Garamond" w:hAnsi="Garamond" w:cstheme="majorBidi"/>
        </w:rPr>
        <w:t>ë</w:t>
      </w:r>
      <w:r w:rsidRPr="0028077A">
        <w:rPr>
          <w:rFonts w:ascii="Garamond" w:hAnsi="Garamond" w:cstheme="majorBidi"/>
        </w:rPr>
        <w:t>-Hercegovina, Maqedonia e Veriut, Mali i Zi, Serbia</w:t>
      </w:r>
      <w:r>
        <w:rPr>
          <w:rFonts w:ascii="Garamond" w:hAnsi="Garamond" w:cstheme="majorBidi"/>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8087654"/>
    <w:lvl w:ilvl="0">
      <w:start w:val="1"/>
      <w:numFmt w:val="bullet"/>
      <w:lvlText w:val=""/>
      <w:lvlJc w:val="left"/>
      <w:pPr>
        <w:tabs>
          <w:tab w:val="num" w:pos="360"/>
        </w:tabs>
        <w:ind w:left="360" w:hanging="360"/>
      </w:pPr>
      <w:rPr>
        <w:rFonts w:ascii="Symbol" w:hAnsi="Symbol" w:hint="default"/>
      </w:rPr>
    </w:lvl>
  </w:abstractNum>
  <w:abstractNum w:abstractNumId="1">
    <w:nsid w:val="00347DEB"/>
    <w:multiLevelType w:val="hybridMultilevel"/>
    <w:tmpl w:val="C9542CB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01280CEB"/>
    <w:multiLevelType w:val="hybridMultilevel"/>
    <w:tmpl w:val="6616D62E"/>
    <w:lvl w:ilvl="0" w:tplc="87C4E5CA">
      <w:numFmt w:val="bullet"/>
      <w:lvlText w:val="-"/>
      <w:lvlJc w:val="left"/>
      <w:pPr>
        <w:ind w:left="360" w:hanging="360"/>
      </w:pPr>
      <w:rPr>
        <w:rFonts w:ascii="Calibri" w:eastAsia="Times New Roman" w:hAnsi="Calibri" w:cs="Times New Roman"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
    <w:nsid w:val="01D16D2B"/>
    <w:multiLevelType w:val="hybridMultilevel"/>
    <w:tmpl w:val="AC5A78C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nsid w:val="02007A32"/>
    <w:multiLevelType w:val="hybridMultilevel"/>
    <w:tmpl w:val="A6EE8E3A"/>
    <w:lvl w:ilvl="0" w:tplc="08090019">
      <w:start w:val="1"/>
      <w:numFmt w:val="lowerLetter"/>
      <w:lvlText w:val="%1."/>
      <w:lvlJc w:val="left"/>
      <w:pPr>
        <w:ind w:left="2100" w:hanging="360"/>
      </w:pPr>
    </w:lvl>
    <w:lvl w:ilvl="1" w:tplc="041C0019">
      <w:start w:val="1"/>
      <w:numFmt w:val="lowerLetter"/>
      <w:lvlText w:val="%2."/>
      <w:lvlJc w:val="left"/>
      <w:pPr>
        <w:ind w:left="2820" w:hanging="360"/>
      </w:pPr>
    </w:lvl>
    <w:lvl w:ilvl="2" w:tplc="041C001B" w:tentative="1">
      <w:start w:val="1"/>
      <w:numFmt w:val="lowerRoman"/>
      <w:lvlText w:val="%3."/>
      <w:lvlJc w:val="right"/>
      <w:pPr>
        <w:ind w:left="3540" w:hanging="180"/>
      </w:pPr>
    </w:lvl>
    <w:lvl w:ilvl="3" w:tplc="041C000F" w:tentative="1">
      <w:start w:val="1"/>
      <w:numFmt w:val="decimal"/>
      <w:lvlText w:val="%4."/>
      <w:lvlJc w:val="left"/>
      <w:pPr>
        <w:ind w:left="4260" w:hanging="360"/>
      </w:pPr>
    </w:lvl>
    <w:lvl w:ilvl="4" w:tplc="041C0019" w:tentative="1">
      <w:start w:val="1"/>
      <w:numFmt w:val="lowerLetter"/>
      <w:lvlText w:val="%5."/>
      <w:lvlJc w:val="left"/>
      <w:pPr>
        <w:ind w:left="4980" w:hanging="360"/>
      </w:pPr>
    </w:lvl>
    <w:lvl w:ilvl="5" w:tplc="041C001B" w:tentative="1">
      <w:start w:val="1"/>
      <w:numFmt w:val="lowerRoman"/>
      <w:lvlText w:val="%6."/>
      <w:lvlJc w:val="right"/>
      <w:pPr>
        <w:ind w:left="5700" w:hanging="180"/>
      </w:pPr>
    </w:lvl>
    <w:lvl w:ilvl="6" w:tplc="041C000F" w:tentative="1">
      <w:start w:val="1"/>
      <w:numFmt w:val="decimal"/>
      <w:lvlText w:val="%7."/>
      <w:lvlJc w:val="left"/>
      <w:pPr>
        <w:ind w:left="6420" w:hanging="360"/>
      </w:pPr>
    </w:lvl>
    <w:lvl w:ilvl="7" w:tplc="041C0019" w:tentative="1">
      <w:start w:val="1"/>
      <w:numFmt w:val="lowerLetter"/>
      <w:lvlText w:val="%8."/>
      <w:lvlJc w:val="left"/>
      <w:pPr>
        <w:ind w:left="7140" w:hanging="360"/>
      </w:pPr>
    </w:lvl>
    <w:lvl w:ilvl="8" w:tplc="041C001B" w:tentative="1">
      <w:start w:val="1"/>
      <w:numFmt w:val="lowerRoman"/>
      <w:lvlText w:val="%9."/>
      <w:lvlJc w:val="right"/>
      <w:pPr>
        <w:ind w:left="7860" w:hanging="180"/>
      </w:pPr>
    </w:lvl>
  </w:abstractNum>
  <w:abstractNum w:abstractNumId="5">
    <w:nsid w:val="044625F7"/>
    <w:multiLevelType w:val="hybridMultilevel"/>
    <w:tmpl w:val="55C6F044"/>
    <w:lvl w:ilvl="0" w:tplc="9D8C9174">
      <w:numFmt w:val="bullet"/>
      <w:lvlText w:val="-"/>
      <w:lvlJc w:val="left"/>
      <w:pPr>
        <w:ind w:left="1440" w:hanging="360"/>
      </w:pPr>
      <w:rPr>
        <w:rFonts w:ascii="Calibri" w:eastAsia="Calibri" w:hAnsi="Calibri" w:cs="Times New Roman" w:hint="default"/>
        <w:b w:val="0"/>
        <w:bCs/>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6">
    <w:nsid w:val="04DB62F7"/>
    <w:multiLevelType w:val="hybridMultilevel"/>
    <w:tmpl w:val="58E258FC"/>
    <w:lvl w:ilvl="0" w:tplc="9D8C9174">
      <w:numFmt w:val="bullet"/>
      <w:lvlText w:val="-"/>
      <w:lvlJc w:val="left"/>
      <w:pPr>
        <w:ind w:left="1440" w:hanging="360"/>
      </w:pPr>
      <w:rPr>
        <w:rFonts w:ascii="Calibri" w:eastAsia="Calibri" w:hAnsi="Calibri" w:cs="Times New Roman" w:hint="default"/>
        <w:b w:val="0"/>
        <w:bCs/>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7">
    <w:nsid w:val="052210DD"/>
    <w:multiLevelType w:val="hybridMultilevel"/>
    <w:tmpl w:val="2A7659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5AB1D0A"/>
    <w:multiLevelType w:val="multilevel"/>
    <w:tmpl w:val="7BF6157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36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nsid w:val="062E52FD"/>
    <w:multiLevelType w:val="hybridMultilevel"/>
    <w:tmpl w:val="C9542CB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06767E70"/>
    <w:multiLevelType w:val="hybridMultilevel"/>
    <w:tmpl w:val="88DCD9E6"/>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nsid w:val="08611DF0"/>
    <w:multiLevelType w:val="hybridMultilevel"/>
    <w:tmpl w:val="41CC7B16"/>
    <w:lvl w:ilvl="0" w:tplc="FF0AD89E">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0B8E6F05"/>
    <w:multiLevelType w:val="hybridMultilevel"/>
    <w:tmpl w:val="5054FD0A"/>
    <w:lvl w:ilvl="0" w:tplc="2F10FA84">
      <w:start w:val="2"/>
      <w:numFmt w:val="bullet"/>
      <w:lvlText w:val="-"/>
      <w:lvlJc w:val="left"/>
      <w:pPr>
        <w:ind w:left="420" w:hanging="360"/>
      </w:pPr>
      <w:rPr>
        <w:rFonts w:ascii="Times New Roman" w:eastAsia="Times New Roman" w:hAnsi="Times New Roman" w:cs="Times New Roman" w:hint="default"/>
        <w:b/>
        <w:i w:val="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
    <w:nsid w:val="0D070303"/>
    <w:multiLevelType w:val="hybridMultilevel"/>
    <w:tmpl w:val="9740F898"/>
    <w:lvl w:ilvl="0" w:tplc="08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nsid w:val="0EA1676B"/>
    <w:multiLevelType w:val="hybridMultilevel"/>
    <w:tmpl w:val="BFCC97E2"/>
    <w:lvl w:ilvl="0" w:tplc="9D8C9174">
      <w:numFmt w:val="bullet"/>
      <w:lvlText w:val="-"/>
      <w:lvlJc w:val="left"/>
      <w:pPr>
        <w:ind w:left="1440" w:hanging="360"/>
      </w:pPr>
      <w:rPr>
        <w:rFonts w:ascii="Calibri" w:eastAsia="Calibri" w:hAnsi="Calibri" w:cs="Times New Roman"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nsid w:val="0F1B1E83"/>
    <w:multiLevelType w:val="hybridMultilevel"/>
    <w:tmpl w:val="B09E3A26"/>
    <w:lvl w:ilvl="0" w:tplc="FF0AD89E">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nsid w:val="10845813"/>
    <w:multiLevelType w:val="hybridMultilevel"/>
    <w:tmpl w:val="41CC7B16"/>
    <w:lvl w:ilvl="0" w:tplc="FF0AD89E">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115055CF"/>
    <w:multiLevelType w:val="hybridMultilevel"/>
    <w:tmpl w:val="78D04A02"/>
    <w:lvl w:ilvl="0" w:tplc="87C4E5CA">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11E76E75"/>
    <w:multiLevelType w:val="hybridMultilevel"/>
    <w:tmpl w:val="C9542CB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nsid w:val="12933518"/>
    <w:multiLevelType w:val="hybridMultilevel"/>
    <w:tmpl w:val="1E308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12F15A0D"/>
    <w:multiLevelType w:val="hybridMultilevel"/>
    <w:tmpl w:val="F574FDC6"/>
    <w:lvl w:ilvl="0" w:tplc="87C4E5CA">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13DC079F"/>
    <w:multiLevelType w:val="hybridMultilevel"/>
    <w:tmpl w:val="400A43B2"/>
    <w:lvl w:ilvl="0" w:tplc="E93C60F6">
      <w:start w:val="1"/>
      <w:numFmt w:val="lowerRoman"/>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2">
    <w:nsid w:val="13F149C3"/>
    <w:multiLevelType w:val="hybridMultilevel"/>
    <w:tmpl w:val="88DCD9E6"/>
    <w:lvl w:ilvl="0" w:tplc="0809000F">
      <w:start w:val="1"/>
      <w:numFmt w:val="decimal"/>
      <w:lvlText w:val="%1."/>
      <w:lvlJc w:val="left"/>
      <w:pPr>
        <w:ind w:left="644"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nsid w:val="15016AC6"/>
    <w:multiLevelType w:val="hybridMultilevel"/>
    <w:tmpl w:val="AC5A78C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nsid w:val="15423CC8"/>
    <w:multiLevelType w:val="hybridMultilevel"/>
    <w:tmpl w:val="3D3A2A0E"/>
    <w:lvl w:ilvl="0" w:tplc="08090019">
      <w:start w:val="1"/>
      <w:numFmt w:val="lowerLetter"/>
      <w:lvlText w:val="%1."/>
      <w:lvlJc w:val="left"/>
      <w:pPr>
        <w:ind w:left="720" w:hanging="360"/>
      </w:pPr>
    </w:lvl>
    <w:lvl w:ilvl="1" w:tplc="CF8E22CA">
      <w:start w:val="1"/>
      <w:numFmt w:val="lowerLetter"/>
      <w:lvlText w:val="%2."/>
      <w:lvlJc w:val="left"/>
      <w:pPr>
        <w:ind w:left="1440" w:hanging="360"/>
      </w:pPr>
      <w:rPr>
        <w:b w:val="0"/>
        <w:bCs/>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nsid w:val="155A4E08"/>
    <w:multiLevelType w:val="multilevel"/>
    <w:tmpl w:val="BF3AA88E"/>
    <w:lvl w:ilvl="0">
      <w:start w:val="1"/>
      <w:numFmt w:val="lowerLetter"/>
      <w:lvlText w:val="%1."/>
      <w:lvlJc w:val="left"/>
      <w:pPr>
        <w:tabs>
          <w:tab w:val="num" w:pos="0"/>
        </w:tabs>
        <w:ind w:left="360" w:hanging="360"/>
      </w:pPr>
    </w:lvl>
    <w:lvl w:ilvl="1">
      <w:start w:val="1"/>
      <w:numFmt w:val="lowerLetter"/>
      <w:lvlText w:val="%2."/>
      <w:lvlJc w:val="left"/>
      <w:pPr>
        <w:tabs>
          <w:tab w:val="num" w:pos="0"/>
        </w:tabs>
        <w:ind w:left="36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nsid w:val="156D21AE"/>
    <w:multiLevelType w:val="hybridMultilevel"/>
    <w:tmpl w:val="9B465F16"/>
    <w:lvl w:ilvl="0" w:tplc="87C4E5CA">
      <w:numFmt w:val="bullet"/>
      <w:lvlText w:val="-"/>
      <w:lvlJc w:val="left"/>
      <w:pPr>
        <w:ind w:left="360" w:hanging="360"/>
      </w:pPr>
      <w:rPr>
        <w:rFonts w:ascii="Calibri" w:eastAsia="Times New Roman" w:hAnsi="Calibri"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15A17275"/>
    <w:multiLevelType w:val="hybridMultilevel"/>
    <w:tmpl w:val="9740F898"/>
    <w:lvl w:ilvl="0" w:tplc="08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nsid w:val="16E87191"/>
    <w:multiLevelType w:val="hybridMultilevel"/>
    <w:tmpl w:val="C9542CB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nsid w:val="18F11211"/>
    <w:multiLevelType w:val="hybridMultilevel"/>
    <w:tmpl w:val="C9542CB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nsid w:val="1AB1290E"/>
    <w:multiLevelType w:val="hybridMultilevel"/>
    <w:tmpl w:val="9740F898"/>
    <w:lvl w:ilvl="0" w:tplc="08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nsid w:val="1B2B0424"/>
    <w:multiLevelType w:val="hybridMultilevel"/>
    <w:tmpl w:val="9740F898"/>
    <w:lvl w:ilvl="0" w:tplc="08090019">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nsid w:val="1B373343"/>
    <w:multiLevelType w:val="hybridMultilevel"/>
    <w:tmpl w:val="B09E3A26"/>
    <w:lvl w:ilvl="0" w:tplc="FF0AD89E">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nsid w:val="1BBD5A84"/>
    <w:multiLevelType w:val="hybridMultilevel"/>
    <w:tmpl w:val="88DCD9E6"/>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nsid w:val="1C0D55F3"/>
    <w:multiLevelType w:val="hybridMultilevel"/>
    <w:tmpl w:val="9740F898"/>
    <w:lvl w:ilvl="0" w:tplc="08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nsid w:val="1CE82DB8"/>
    <w:multiLevelType w:val="hybridMultilevel"/>
    <w:tmpl w:val="60AAEAE4"/>
    <w:lvl w:ilvl="0" w:tplc="8E62C2E8">
      <w:numFmt w:val="bullet"/>
      <w:lvlText w:val="-"/>
      <w:lvlJc w:val="left"/>
      <w:pPr>
        <w:ind w:left="360" w:hanging="360"/>
      </w:pPr>
      <w:rPr>
        <w:rFonts w:ascii="Cambria" w:eastAsia="Times New Roman" w:hAnsi="Cambria"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nsid w:val="1E696B76"/>
    <w:multiLevelType w:val="hybridMultilevel"/>
    <w:tmpl w:val="DB0ABE8A"/>
    <w:lvl w:ilvl="0" w:tplc="87C4E5CA">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1E9E4A0D"/>
    <w:multiLevelType w:val="hybridMultilevel"/>
    <w:tmpl w:val="4C6C6396"/>
    <w:lvl w:ilvl="0" w:tplc="87C4E5CA">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1EC23684"/>
    <w:multiLevelType w:val="hybridMultilevel"/>
    <w:tmpl w:val="9740F898"/>
    <w:lvl w:ilvl="0" w:tplc="08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9">
    <w:nsid w:val="1FF129A2"/>
    <w:multiLevelType w:val="multilevel"/>
    <w:tmpl w:val="AC90BCB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20842655"/>
    <w:multiLevelType w:val="hybridMultilevel"/>
    <w:tmpl w:val="94BA2BE8"/>
    <w:lvl w:ilvl="0" w:tplc="9D8C9174">
      <w:numFmt w:val="bullet"/>
      <w:lvlText w:val="-"/>
      <w:lvlJc w:val="left"/>
      <w:pPr>
        <w:ind w:left="1440" w:hanging="360"/>
      </w:pPr>
      <w:rPr>
        <w:rFonts w:ascii="Calibri" w:eastAsia="Calibri" w:hAnsi="Calibri" w:cs="Times New Roman"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41">
    <w:nsid w:val="20F33701"/>
    <w:multiLevelType w:val="hybridMultilevel"/>
    <w:tmpl w:val="9740F898"/>
    <w:lvl w:ilvl="0" w:tplc="08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2">
    <w:nsid w:val="22107C1F"/>
    <w:multiLevelType w:val="hybridMultilevel"/>
    <w:tmpl w:val="DFDA4E7E"/>
    <w:lvl w:ilvl="0" w:tplc="87C4E5CA">
      <w:numFmt w:val="bullet"/>
      <w:lvlText w:val="-"/>
      <w:lvlJc w:val="left"/>
      <w:pPr>
        <w:ind w:left="360" w:hanging="360"/>
      </w:pPr>
      <w:rPr>
        <w:rFonts w:ascii="Calibri" w:eastAsia="Times New Roman" w:hAnsi="Calibri"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nsid w:val="22EF60A7"/>
    <w:multiLevelType w:val="hybridMultilevel"/>
    <w:tmpl w:val="E0720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24A75F72"/>
    <w:multiLevelType w:val="hybridMultilevel"/>
    <w:tmpl w:val="EB14186E"/>
    <w:lvl w:ilvl="0" w:tplc="9D8C9174">
      <w:numFmt w:val="bullet"/>
      <w:lvlText w:val="-"/>
      <w:lvlJc w:val="left"/>
      <w:pPr>
        <w:ind w:left="720" w:hanging="360"/>
      </w:pPr>
      <w:rPr>
        <w:rFonts w:ascii="Calibri" w:eastAsia="Calibri" w:hAnsi="Calibri" w:cs="Times New Roman" w:hint="default"/>
      </w:rPr>
    </w:lvl>
    <w:lvl w:ilvl="1" w:tplc="FF0AD89E">
      <w:start w:val="1"/>
      <w:numFmt w:val="lowerLetter"/>
      <w:lvlText w:val="%2."/>
      <w:lvlJc w:val="left"/>
      <w:pPr>
        <w:ind w:left="1440" w:hanging="360"/>
      </w:pPr>
      <w:rPr>
        <w:b w:val="0"/>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5">
    <w:nsid w:val="268E4030"/>
    <w:multiLevelType w:val="hybridMultilevel"/>
    <w:tmpl w:val="88DCD9E6"/>
    <w:lvl w:ilvl="0" w:tplc="0809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6">
    <w:nsid w:val="2694325F"/>
    <w:multiLevelType w:val="hybridMultilevel"/>
    <w:tmpl w:val="3A4A82E0"/>
    <w:lvl w:ilvl="0" w:tplc="08090019">
      <w:start w:val="1"/>
      <w:numFmt w:val="lowerLetter"/>
      <w:lvlText w:val="%1."/>
      <w:lvlJc w:val="left"/>
      <w:pPr>
        <w:ind w:left="2100" w:hanging="360"/>
      </w:pPr>
    </w:lvl>
    <w:lvl w:ilvl="1" w:tplc="041C0019" w:tentative="1">
      <w:start w:val="1"/>
      <w:numFmt w:val="lowerLetter"/>
      <w:lvlText w:val="%2."/>
      <w:lvlJc w:val="left"/>
      <w:pPr>
        <w:ind w:left="2820" w:hanging="360"/>
      </w:pPr>
    </w:lvl>
    <w:lvl w:ilvl="2" w:tplc="041C001B" w:tentative="1">
      <w:start w:val="1"/>
      <w:numFmt w:val="lowerRoman"/>
      <w:lvlText w:val="%3."/>
      <w:lvlJc w:val="right"/>
      <w:pPr>
        <w:ind w:left="3540" w:hanging="180"/>
      </w:pPr>
    </w:lvl>
    <w:lvl w:ilvl="3" w:tplc="041C000F" w:tentative="1">
      <w:start w:val="1"/>
      <w:numFmt w:val="decimal"/>
      <w:lvlText w:val="%4."/>
      <w:lvlJc w:val="left"/>
      <w:pPr>
        <w:ind w:left="4260" w:hanging="360"/>
      </w:pPr>
    </w:lvl>
    <w:lvl w:ilvl="4" w:tplc="041C0019" w:tentative="1">
      <w:start w:val="1"/>
      <w:numFmt w:val="lowerLetter"/>
      <w:lvlText w:val="%5."/>
      <w:lvlJc w:val="left"/>
      <w:pPr>
        <w:ind w:left="4980" w:hanging="360"/>
      </w:pPr>
    </w:lvl>
    <w:lvl w:ilvl="5" w:tplc="041C001B" w:tentative="1">
      <w:start w:val="1"/>
      <w:numFmt w:val="lowerRoman"/>
      <w:lvlText w:val="%6."/>
      <w:lvlJc w:val="right"/>
      <w:pPr>
        <w:ind w:left="5700" w:hanging="180"/>
      </w:pPr>
    </w:lvl>
    <w:lvl w:ilvl="6" w:tplc="041C000F" w:tentative="1">
      <w:start w:val="1"/>
      <w:numFmt w:val="decimal"/>
      <w:lvlText w:val="%7."/>
      <w:lvlJc w:val="left"/>
      <w:pPr>
        <w:ind w:left="6420" w:hanging="360"/>
      </w:pPr>
    </w:lvl>
    <w:lvl w:ilvl="7" w:tplc="041C0019" w:tentative="1">
      <w:start w:val="1"/>
      <w:numFmt w:val="lowerLetter"/>
      <w:lvlText w:val="%8."/>
      <w:lvlJc w:val="left"/>
      <w:pPr>
        <w:ind w:left="7140" w:hanging="360"/>
      </w:pPr>
    </w:lvl>
    <w:lvl w:ilvl="8" w:tplc="041C001B" w:tentative="1">
      <w:start w:val="1"/>
      <w:numFmt w:val="lowerRoman"/>
      <w:lvlText w:val="%9."/>
      <w:lvlJc w:val="right"/>
      <w:pPr>
        <w:ind w:left="7860" w:hanging="180"/>
      </w:pPr>
    </w:lvl>
  </w:abstractNum>
  <w:abstractNum w:abstractNumId="47">
    <w:nsid w:val="27DB3F2B"/>
    <w:multiLevelType w:val="hybridMultilevel"/>
    <w:tmpl w:val="32401B46"/>
    <w:lvl w:ilvl="0" w:tplc="87C4E5CA">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27EE20DD"/>
    <w:multiLevelType w:val="hybridMultilevel"/>
    <w:tmpl w:val="88DCD9E6"/>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9">
    <w:nsid w:val="28B13956"/>
    <w:multiLevelType w:val="hybridMultilevel"/>
    <w:tmpl w:val="37A03C3A"/>
    <w:lvl w:ilvl="0" w:tplc="9D8C9174">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nsid w:val="29710315"/>
    <w:multiLevelType w:val="hybridMultilevel"/>
    <w:tmpl w:val="88DCD9E6"/>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1">
    <w:nsid w:val="29793BFA"/>
    <w:multiLevelType w:val="hybridMultilevel"/>
    <w:tmpl w:val="B09E3A26"/>
    <w:lvl w:ilvl="0" w:tplc="FF0AD89E">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2">
    <w:nsid w:val="2A426C5B"/>
    <w:multiLevelType w:val="hybridMultilevel"/>
    <w:tmpl w:val="A23AFF4C"/>
    <w:lvl w:ilvl="0" w:tplc="B01A63F2">
      <w:start w:val="1"/>
      <w:numFmt w:val="lowerLetter"/>
      <w:lvlText w:val="%1."/>
      <w:lvlJc w:val="left"/>
      <w:pPr>
        <w:ind w:left="1440" w:hanging="360"/>
      </w:pPr>
      <w:rPr>
        <w:b/>
        <w:bCs/>
      </w:rPr>
    </w:lvl>
    <w:lvl w:ilvl="1" w:tplc="041C0019">
      <w:start w:val="1"/>
      <w:numFmt w:val="lowerLetter"/>
      <w:lvlText w:val="%2."/>
      <w:lvlJc w:val="left"/>
      <w:pPr>
        <w:ind w:left="1440" w:hanging="360"/>
      </w:pPr>
    </w:lvl>
    <w:lvl w:ilvl="2" w:tplc="964081E8">
      <w:start w:val="1"/>
      <w:numFmt w:val="lowerRoman"/>
      <w:lvlText w:val="%3."/>
      <w:lvlJc w:val="right"/>
      <w:pPr>
        <w:ind w:left="2160" w:hanging="180"/>
      </w:pPr>
      <w:rPr>
        <w:b w:val="0"/>
        <w:bCs/>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3">
    <w:nsid w:val="2C0860A8"/>
    <w:multiLevelType w:val="hybridMultilevel"/>
    <w:tmpl w:val="B4221A6A"/>
    <w:lvl w:ilvl="0" w:tplc="87C4E5CA">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nsid w:val="2C5B564D"/>
    <w:multiLevelType w:val="hybridMultilevel"/>
    <w:tmpl w:val="27B016E8"/>
    <w:lvl w:ilvl="0" w:tplc="08090019">
      <w:start w:val="1"/>
      <w:numFmt w:val="lowerLetter"/>
      <w:lvlText w:val="%1."/>
      <w:lvlJc w:val="left"/>
      <w:pPr>
        <w:ind w:left="720" w:hanging="360"/>
      </w:pPr>
    </w:lvl>
    <w:lvl w:ilvl="1" w:tplc="19D205D4">
      <w:start w:val="1"/>
      <w:numFmt w:val="lowerLetter"/>
      <w:lvlText w:val="%2."/>
      <w:lvlJc w:val="left"/>
      <w:pPr>
        <w:ind w:left="1440" w:hanging="360"/>
      </w:pPr>
      <w:rPr>
        <w:b w:val="0"/>
        <w:bCs/>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5">
    <w:nsid w:val="2CCF31C7"/>
    <w:multiLevelType w:val="hybridMultilevel"/>
    <w:tmpl w:val="B624307C"/>
    <w:lvl w:ilvl="0" w:tplc="9D8C9174">
      <w:numFmt w:val="bullet"/>
      <w:lvlText w:val="-"/>
      <w:lvlJc w:val="left"/>
      <w:pPr>
        <w:ind w:left="1440" w:hanging="360"/>
      </w:pPr>
      <w:rPr>
        <w:rFonts w:ascii="Calibri" w:eastAsia="Calibri" w:hAnsi="Calibri" w:cs="Times New Roman"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6">
    <w:nsid w:val="2D530892"/>
    <w:multiLevelType w:val="hybridMultilevel"/>
    <w:tmpl w:val="9B162010"/>
    <w:lvl w:ilvl="0" w:tplc="08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7">
    <w:nsid w:val="2DC35409"/>
    <w:multiLevelType w:val="hybridMultilevel"/>
    <w:tmpl w:val="5B90305E"/>
    <w:lvl w:ilvl="0" w:tplc="87C4E5CA">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nsid w:val="2E163B0D"/>
    <w:multiLevelType w:val="hybridMultilevel"/>
    <w:tmpl w:val="88DCD9E6"/>
    <w:lvl w:ilvl="0" w:tplc="0809000F">
      <w:start w:val="1"/>
      <w:numFmt w:val="decimal"/>
      <w:lvlText w:val="%1."/>
      <w:lvlJc w:val="left"/>
      <w:pPr>
        <w:ind w:left="36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9">
    <w:nsid w:val="2E244A80"/>
    <w:multiLevelType w:val="hybridMultilevel"/>
    <w:tmpl w:val="A5BA444E"/>
    <w:lvl w:ilvl="0" w:tplc="FC2241DA">
      <w:numFmt w:val="bullet"/>
      <w:lvlText w:val=""/>
      <w:lvlJc w:val="left"/>
      <w:pPr>
        <w:ind w:left="720" w:hanging="360"/>
      </w:pPr>
      <w:rPr>
        <w:rFonts w:ascii="Symbol" w:eastAsia="MS Mincho"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30A433F8"/>
    <w:multiLevelType w:val="hybridMultilevel"/>
    <w:tmpl w:val="9740F898"/>
    <w:lvl w:ilvl="0" w:tplc="08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1">
    <w:nsid w:val="30AA29E2"/>
    <w:multiLevelType w:val="hybridMultilevel"/>
    <w:tmpl w:val="EB3E7042"/>
    <w:lvl w:ilvl="0" w:tplc="0409000B">
      <w:start w:val="1"/>
      <w:numFmt w:val="bullet"/>
      <w:lvlText w:val=""/>
      <w:lvlJc w:val="left"/>
      <w:pPr>
        <w:ind w:left="720" w:hanging="360"/>
      </w:pPr>
      <w:rPr>
        <w:rFonts w:ascii="Wingdings" w:hAnsi="Wingdings" w:hint="default"/>
      </w:rPr>
    </w:lvl>
    <w:lvl w:ilvl="1" w:tplc="87C4E5CA">
      <w:numFmt w:val="bullet"/>
      <w:lvlText w:val="-"/>
      <w:lvlJc w:val="left"/>
      <w:pPr>
        <w:ind w:left="1440" w:hanging="360"/>
      </w:pPr>
      <w:rPr>
        <w:rFonts w:ascii="Calibri" w:eastAsia="Times New Roman" w:hAnsi="Calibri"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31AA06C5"/>
    <w:multiLevelType w:val="hybridMultilevel"/>
    <w:tmpl w:val="CE5E6684"/>
    <w:lvl w:ilvl="0" w:tplc="87C4E5CA">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nsid w:val="32B1703C"/>
    <w:multiLevelType w:val="hybridMultilevel"/>
    <w:tmpl w:val="026E90CE"/>
    <w:lvl w:ilvl="0" w:tplc="87C4E5CA">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nsid w:val="32C74A43"/>
    <w:multiLevelType w:val="hybridMultilevel"/>
    <w:tmpl w:val="4EB881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nsid w:val="33406C4F"/>
    <w:multiLevelType w:val="hybridMultilevel"/>
    <w:tmpl w:val="C9542CB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6">
    <w:nsid w:val="341A7C7B"/>
    <w:multiLevelType w:val="hybridMultilevel"/>
    <w:tmpl w:val="C9542CB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7">
    <w:nsid w:val="35C458D7"/>
    <w:multiLevelType w:val="hybridMultilevel"/>
    <w:tmpl w:val="AC5A78C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8">
    <w:nsid w:val="372F4505"/>
    <w:multiLevelType w:val="hybridMultilevel"/>
    <w:tmpl w:val="A6EE8E3A"/>
    <w:lvl w:ilvl="0" w:tplc="08090019">
      <w:start w:val="1"/>
      <w:numFmt w:val="lowerLetter"/>
      <w:lvlText w:val="%1."/>
      <w:lvlJc w:val="left"/>
      <w:pPr>
        <w:ind w:left="2100" w:hanging="360"/>
      </w:pPr>
    </w:lvl>
    <w:lvl w:ilvl="1" w:tplc="041C0019" w:tentative="1">
      <w:start w:val="1"/>
      <w:numFmt w:val="lowerLetter"/>
      <w:lvlText w:val="%2."/>
      <w:lvlJc w:val="left"/>
      <w:pPr>
        <w:ind w:left="2820" w:hanging="360"/>
      </w:pPr>
    </w:lvl>
    <w:lvl w:ilvl="2" w:tplc="041C001B" w:tentative="1">
      <w:start w:val="1"/>
      <w:numFmt w:val="lowerRoman"/>
      <w:lvlText w:val="%3."/>
      <w:lvlJc w:val="right"/>
      <w:pPr>
        <w:ind w:left="3540" w:hanging="180"/>
      </w:pPr>
    </w:lvl>
    <w:lvl w:ilvl="3" w:tplc="041C000F" w:tentative="1">
      <w:start w:val="1"/>
      <w:numFmt w:val="decimal"/>
      <w:lvlText w:val="%4."/>
      <w:lvlJc w:val="left"/>
      <w:pPr>
        <w:ind w:left="4260" w:hanging="360"/>
      </w:pPr>
    </w:lvl>
    <w:lvl w:ilvl="4" w:tplc="041C0019" w:tentative="1">
      <w:start w:val="1"/>
      <w:numFmt w:val="lowerLetter"/>
      <w:lvlText w:val="%5."/>
      <w:lvlJc w:val="left"/>
      <w:pPr>
        <w:ind w:left="4980" w:hanging="360"/>
      </w:pPr>
    </w:lvl>
    <w:lvl w:ilvl="5" w:tplc="041C001B" w:tentative="1">
      <w:start w:val="1"/>
      <w:numFmt w:val="lowerRoman"/>
      <w:lvlText w:val="%6."/>
      <w:lvlJc w:val="right"/>
      <w:pPr>
        <w:ind w:left="5700" w:hanging="180"/>
      </w:pPr>
    </w:lvl>
    <w:lvl w:ilvl="6" w:tplc="041C000F" w:tentative="1">
      <w:start w:val="1"/>
      <w:numFmt w:val="decimal"/>
      <w:lvlText w:val="%7."/>
      <w:lvlJc w:val="left"/>
      <w:pPr>
        <w:ind w:left="6420" w:hanging="360"/>
      </w:pPr>
    </w:lvl>
    <w:lvl w:ilvl="7" w:tplc="041C0019" w:tentative="1">
      <w:start w:val="1"/>
      <w:numFmt w:val="lowerLetter"/>
      <w:lvlText w:val="%8."/>
      <w:lvlJc w:val="left"/>
      <w:pPr>
        <w:ind w:left="7140" w:hanging="360"/>
      </w:pPr>
    </w:lvl>
    <w:lvl w:ilvl="8" w:tplc="041C001B" w:tentative="1">
      <w:start w:val="1"/>
      <w:numFmt w:val="lowerRoman"/>
      <w:lvlText w:val="%9."/>
      <w:lvlJc w:val="right"/>
      <w:pPr>
        <w:ind w:left="7860" w:hanging="180"/>
      </w:pPr>
    </w:lvl>
  </w:abstractNum>
  <w:abstractNum w:abstractNumId="69">
    <w:nsid w:val="37F44150"/>
    <w:multiLevelType w:val="multilevel"/>
    <w:tmpl w:val="D36A0986"/>
    <w:lvl w:ilvl="0">
      <w:start w:val="1"/>
      <w:numFmt w:val="lowerLetter"/>
      <w:lvlText w:val="%1."/>
      <w:lvlJc w:val="left"/>
      <w:pPr>
        <w:tabs>
          <w:tab w:val="num" w:pos="0"/>
        </w:tabs>
        <w:ind w:left="1080"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38043DBF"/>
    <w:multiLevelType w:val="hybridMultilevel"/>
    <w:tmpl w:val="2D1CF45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nsid w:val="382E70AE"/>
    <w:multiLevelType w:val="hybridMultilevel"/>
    <w:tmpl w:val="1556F32C"/>
    <w:lvl w:ilvl="0" w:tplc="E422AF9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38B713FB"/>
    <w:multiLevelType w:val="hybridMultilevel"/>
    <w:tmpl w:val="28E8D960"/>
    <w:lvl w:ilvl="0" w:tplc="E48ECD62">
      <w:start w:val="1"/>
      <w:numFmt w:val="lowerLetter"/>
      <w:lvlText w:val="%1."/>
      <w:lvlJc w:val="left"/>
      <w:pPr>
        <w:ind w:left="1080" w:hanging="360"/>
      </w:pPr>
      <w:rPr>
        <w:b w:val="0"/>
        <w:bCs/>
      </w:rPr>
    </w:lvl>
    <w:lvl w:ilvl="1" w:tplc="04090019">
      <w:start w:val="1"/>
      <w:numFmt w:val="lowerLetter"/>
      <w:lvlText w:val="%2."/>
      <w:lvlJc w:val="left"/>
      <w:pPr>
        <w:ind w:left="1800" w:hanging="360"/>
      </w:pPr>
    </w:lvl>
    <w:lvl w:ilvl="2" w:tplc="927066E6">
      <w:start w:val="1"/>
      <w:numFmt w:val="lowerRoman"/>
      <w:lvlText w:val="%3."/>
      <w:lvlJc w:val="right"/>
      <w:pPr>
        <w:ind w:left="2520" w:hanging="180"/>
      </w:pPr>
      <w:rPr>
        <w:b w:val="0"/>
        <w:bCs/>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nsid w:val="39826947"/>
    <w:multiLevelType w:val="hybridMultilevel"/>
    <w:tmpl w:val="32B6E472"/>
    <w:lvl w:ilvl="0" w:tplc="87C4E5CA">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nsid w:val="398F5B5F"/>
    <w:multiLevelType w:val="hybridMultilevel"/>
    <w:tmpl w:val="D390B47A"/>
    <w:lvl w:ilvl="0" w:tplc="08090019">
      <w:start w:val="1"/>
      <w:numFmt w:val="lowerLetter"/>
      <w:lvlText w:val="%1."/>
      <w:lvlJc w:val="left"/>
      <w:pPr>
        <w:ind w:left="720" w:hanging="360"/>
      </w:pPr>
    </w:lvl>
    <w:lvl w:ilvl="1" w:tplc="4D288EE6">
      <w:start w:val="1"/>
      <w:numFmt w:val="lowerLetter"/>
      <w:lvlText w:val="%2."/>
      <w:lvlJc w:val="left"/>
      <w:pPr>
        <w:ind w:left="1440" w:hanging="360"/>
      </w:pPr>
      <w:rPr>
        <w:b w:val="0"/>
        <w:bCs/>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5">
    <w:nsid w:val="3A410582"/>
    <w:multiLevelType w:val="hybridMultilevel"/>
    <w:tmpl w:val="EFE0E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77">
    <w:nsid w:val="3AE0655D"/>
    <w:multiLevelType w:val="hybridMultilevel"/>
    <w:tmpl w:val="AC5A78C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8">
    <w:nsid w:val="3AE10E41"/>
    <w:multiLevelType w:val="multilevel"/>
    <w:tmpl w:val="01F434E6"/>
    <w:lvl w:ilvl="0">
      <w:start w:val="1"/>
      <w:numFmt w:val="lowerLetter"/>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3CDB671A"/>
    <w:multiLevelType w:val="multilevel"/>
    <w:tmpl w:val="5E90519A"/>
    <w:lvl w:ilvl="0">
      <w:start w:val="1"/>
      <w:numFmt w:val="lowerLett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80">
    <w:nsid w:val="3D9A0C7C"/>
    <w:multiLevelType w:val="multilevel"/>
    <w:tmpl w:val="24C2B35A"/>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nsid w:val="3E173606"/>
    <w:multiLevelType w:val="hybridMultilevel"/>
    <w:tmpl w:val="B09E3A26"/>
    <w:lvl w:ilvl="0" w:tplc="FF0AD89E">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2">
    <w:nsid w:val="3E795A01"/>
    <w:multiLevelType w:val="hybridMultilevel"/>
    <w:tmpl w:val="54385F16"/>
    <w:lvl w:ilvl="0" w:tplc="9D8C9174">
      <w:numFmt w:val="bullet"/>
      <w:lvlText w:val="-"/>
      <w:lvlJc w:val="left"/>
      <w:pPr>
        <w:ind w:left="1440" w:hanging="360"/>
      </w:pPr>
      <w:rPr>
        <w:rFonts w:ascii="Calibri" w:eastAsia="Calibri" w:hAnsi="Calibri" w:cs="Times New Roman"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83">
    <w:nsid w:val="3F427A93"/>
    <w:multiLevelType w:val="hybridMultilevel"/>
    <w:tmpl w:val="58E4BDBC"/>
    <w:lvl w:ilvl="0" w:tplc="87C4E5CA">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nsid w:val="4090030A"/>
    <w:multiLevelType w:val="multilevel"/>
    <w:tmpl w:val="85DE2B84"/>
    <w:lvl w:ilvl="0">
      <w:numFmt w:val="bullet"/>
      <w:lvlText w:val="-"/>
      <w:lvlJc w:val="left"/>
      <w:pPr>
        <w:ind w:left="360" w:hanging="360"/>
      </w:pPr>
      <w:rPr>
        <w:rFonts w:ascii="Calibri" w:eastAsia="Times New Roman" w:hAnsi="Calibri" w:cs="Times New Roman" w:hint="default"/>
      </w:rPr>
    </w:lvl>
    <w:lvl w:ilvl="1">
      <w:start w:val="1"/>
      <w:numFmt w:val="none"/>
      <w:lvlText w:val="6.3"/>
      <w:lvlJc w:val="left"/>
      <w:pPr>
        <w:ind w:left="36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85">
    <w:nsid w:val="409D14A8"/>
    <w:multiLevelType w:val="hybridMultilevel"/>
    <w:tmpl w:val="88DCD9E6"/>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6">
    <w:nsid w:val="411465B7"/>
    <w:multiLevelType w:val="multilevel"/>
    <w:tmpl w:val="BFA0E776"/>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nsid w:val="41441222"/>
    <w:multiLevelType w:val="hybridMultilevel"/>
    <w:tmpl w:val="0A0CC876"/>
    <w:lvl w:ilvl="0" w:tplc="FF0AD89E">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8">
    <w:nsid w:val="42451498"/>
    <w:multiLevelType w:val="hybridMultilevel"/>
    <w:tmpl w:val="9740F898"/>
    <w:lvl w:ilvl="0" w:tplc="08090019">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9">
    <w:nsid w:val="42916541"/>
    <w:multiLevelType w:val="hybridMultilevel"/>
    <w:tmpl w:val="9740F898"/>
    <w:lvl w:ilvl="0" w:tplc="08090019">
      <w:start w:val="1"/>
      <w:numFmt w:val="lowerLetter"/>
      <w:lvlText w:val="%1."/>
      <w:lvlJc w:val="left"/>
      <w:pPr>
        <w:ind w:left="644" w:hanging="360"/>
      </w:pPr>
    </w:lvl>
    <w:lvl w:ilvl="1" w:tplc="041C0019">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90">
    <w:nsid w:val="42DC2111"/>
    <w:multiLevelType w:val="hybridMultilevel"/>
    <w:tmpl w:val="77125352"/>
    <w:lvl w:ilvl="0" w:tplc="9D8C9174">
      <w:numFmt w:val="bullet"/>
      <w:lvlText w:val="-"/>
      <w:lvlJc w:val="left"/>
      <w:pPr>
        <w:ind w:left="1440" w:hanging="360"/>
      </w:pPr>
      <w:rPr>
        <w:rFonts w:ascii="Calibri" w:eastAsia="Calibri" w:hAnsi="Calibri" w:cs="Times New Roman"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1">
    <w:nsid w:val="43537F72"/>
    <w:multiLevelType w:val="hybridMultilevel"/>
    <w:tmpl w:val="2E82872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2">
    <w:nsid w:val="43B71437"/>
    <w:multiLevelType w:val="hybridMultilevel"/>
    <w:tmpl w:val="B09E3A26"/>
    <w:lvl w:ilvl="0" w:tplc="FF0AD89E">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3">
    <w:nsid w:val="450230F6"/>
    <w:multiLevelType w:val="hybridMultilevel"/>
    <w:tmpl w:val="13DC60EE"/>
    <w:lvl w:ilvl="0" w:tplc="87C4E5CA">
      <w:numFmt w:val="bullet"/>
      <w:lvlText w:val="-"/>
      <w:lvlJc w:val="left"/>
      <w:pPr>
        <w:ind w:left="360" w:hanging="360"/>
      </w:pPr>
      <w:rPr>
        <w:rFonts w:ascii="Calibri" w:eastAsia="Times New Roman" w:hAnsi="Calibri" w:cs="Times New Roman"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94">
    <w:nsid w:val="450C2120"/>
    <w:multiLevelType w:val="hybridMultilevel"/>
    <w:tmpl w:val="9740F898"/>
    <w:lvl w:ilvl="0" w:tplc="08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5">
    <w:nsid w:val="45A47362"/>
    <w:multiLevelType w:val="multilevel"/>
    <w:tmpl w:val="922ADC02"/>
    <w:lvl w:ilvl="0">
      <w:numFmt w:val="bullet"/>
      <w:lvlText w:val="-"/>
      <w:lvlJc w:val="left"/>
      <w:pPr>
        <w:tabs>
          <w:tab w:val="num" w:pos="0"/>
        </w:tabs>
        <w:ind w:left="1080" w:hanging="360"/>
      </w:pPr>
      <w:rPr>
        <w:rFonts w:ascii="Calibri" w:eastAsia="Calibri" w:hAnsi="Calibri"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nsid w:val="463A72E4"/>
    <w:multiLevelType w:val="hybridMultilevel"/>
    <w:tmpl w:val="54C45936"/>
    <w:lvl w:ilvl="0" w:tplc="9D8C9174">
      <w:numFmt w:val="bullet"/>
      <w:lvlText w:val="-"/>
      <w:lvlJc w:val="left"/>
      <w:pPr>
        <w:ind w:left="720" w:hanging="360"/>
      </w:pPr>
      <w:rPr>
        <w:rFonts w:ascii="Calibri" w:eastAsia="Calibri" w:hAnsi="Calibri" w:cs="Times New Roman" w:hint="default"/>
      </w:rPr>
    </w:lvl>
    <w:lvl w:ilvl="1" w:tplc="F3B4FE9A">
      <w:start w:val="1"/>
      <w:numFmt w:val="lowerLetter"/>
      <w:lvlText w:val="%2."/>
      <w:lvlJc w:val="left"/>
      <w:pPr>
        <w:ind w:left="1440" w:hanging="360"/>
      </w:pPr>
      <w:rPr>
        <w:b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nsid w:val="47913A4E"/>
    <w:multiLevelType w:val="hybridMultilevel"/>
    <w:tmpl w:val="C9542CB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8">
    <w:nsid w:val="49515F75"/>
    <w:multiLevelType w:val="hybridMultilevel"/>
    <w:tmpl w:val="C9542CB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9">
    <w:nsid w:val="49F62F11"/>
    <w:multiLevelType w:val="hybridMultilevel"/>
    <w:tmpl w:val="9740F898"/>
    <w:lvl w:ilvl="0" w:tplc="08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0">
    <w:nsid w:val="4C261D84"/>
    <w:multiLevelType w:val="hybridMultilevel"/>
    <w:tmpl w:val="0A0CC876"/>
    <w:lvl w:ilvl="0" w:tplc="FF0AD89E">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1">
    <w:nsid w:val="4C8717F7"/>
    <w:multiLevelType w:val="hybridMultilevel"/>
    <w:tmpl w:val="88DCD9E6"/>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2">
    <w:nsid w:val="4CE956A7"/>
    <w:multiLevelType w:val="hybridMultilevel"/>
    <w:tmpl w:val="0A302EF6"/>
    <w:lvl w:ilvl="0" w:tplc="0409001B">
      <w:start w:val="1"/>
      <w:numFmt w:val="lowerRoman"/>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3">
    <w:nsid w:val="4CFD5717"/>
    <w:multiLevelType w:val="hybridMultilevel"/>
    <w:tmpl w:val="2D487E44"/>
    <w:lvl w:ilvl="0" w:tplc="87C4E5CA">
      <w:numFmt w:val="bullet"/>
      <w:lvlText w:val="-"/>
      <w:lvlJc w:val="left"/>
      <w:pPr>
        <w:ind w:left="117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nsid w:val="4D4A67F0"/>
    <w:multiLevelType w:val="hybridMultilevel"/>
    <w:tmpl w:val="88DCD9E6"/>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5">
    <w:nsid w:val="4DB6059E"/>
    <w:multiLevelType w:val="hybridMultilevel"/>
    <w:tmpl w:val="C9542CB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6">
    <w:nsid w:val="4F6B09E4"/>
    <w:multiLevelType w:val="hybridMultilevel"/>
    <w:tmpl w:val="3ACAD9A6"/>
    <w:lvl w:ilvl="0" w:tplc="E93C60F6">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7">
    <w:nsid w:val="4F924935"/>
    <w:multiLevelType w:val="hybridMultilevel"/>
    <w:tmpl w:val="AC5A78C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8">
    <w:nsid w:val="501F0285"/>
    <w:multiLevelType w:val="hybridMultilevel"/>
    <w:tmpl w:val="B4D61D9C"/>
    <w:lvl w:ilvl="0" w:tplc="87C4E5CA">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nsid w:val="50AB6B5E"/>
    <w:multiLevelType w:val="hybridMultilevel"/>
    <w:tmpl w:val="8FBE11B8"/>
    <w:lvl w:ilvl="0" w:tplc="87C4E5CA">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0">
    <w:nsid w:val="521E1E9F"/>
    <w:multiLevelType w:val="hybridMultilevel"/>
    <w:tmpl w:val="E6B073C8"/>
    <w:lvl w:ilvl="0" w:tplc="87C4E5CA">
      <w:numFmt w:val="bullet"/>
      <w:lvlText w:val="-"/>
      <w:lvlJc w:val="left"/>
      <w:pPr>
        <w:ind w:left="360" w:hanging="360"/>
      </w:pPr>
      <w:rPr>
        <w:rFonts w:ascii="Calibri" w:eastAsia="Times New Roman" w:hAnsi="Calibri"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1">
    <w:nsid w:val="53EA05C8"/>
    <w:multiLevelType w:val="hybridMultilevel"/>
    <w:tmpl w:val="C9542CB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2">
    <w:nsid w:val="541D260B"/>
    <w:multiLevelType w:val="hybridMultilevel"/>
    <w:tmpl w:val="5C549E4C"/>
    <w:lvl w:ilvl="0" w:tplc="87C4E5CA">
      <w:numFmt w:val="bullet"/>
      <w:lvlText w:val="-"/>
      <w:lvlJc w:val="left"/>
      <w:pPr>
        <w:ind w:left="360" w:hanging="360"/>
      </w:pPr>
      <w:rPr>
        <w:rFonts w:ascii="Calibri" w:eastAsia="Times New Roman" w:hAnsi="Calibri"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3">
    <w:nsid w:val="54726C74"/>
    <w:multiLevelType w:val="hybridMultilevel"/>
    <w:tmpl w:val="C8BEA23E"/>
    <w:lvl w:ilvl="0" w:tplc="87C4E5CA">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4">
    <w:nsid w:val="55C52584"/>
    <w:multiLevelType w:val="hybridMultilevel"/>
    <w:tmpl w:val="88DCD9E6"/>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5">
    <w:nsid w:val="59555DC0"/>
    <w:multiLevelType w:val="hybridMultilevel"/>
    <w:tmpl w:val="AC5A78C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6">
    <w:nsid w:val="595A09F8"/>
    <w:multiLevelType w:val="hybridMultilevel"/>
    <w:tmpl w:val="A6EE8E3A"/>
    <w:lvl w:ilvl="0" w:tplc="08090019">
      <w:start w:val="1"/>
      <w:numFmt w:val="lowerLetter"/>
      <w:lvlText w:val="%1."/>
      <w:lvlJc w:val="left"/>
      <w:pPr>
        <w:ind w:left="2100" w:hanging="360"/>
      </w:pPr>
    </w:lvl>
    <w:lvl w:ilvl="1" w:tplc="041C0019" w:tentative="1">
      <w:start w:val="1"/>
      <w:numFmt w:val="lowerLetter"/>
      <w:lvlText w:val="%2."/>
      <w:lvlJc w:val="left"/>
      <w:pPr>
        <w:ind w:left="2820" w:hanging="360"/>
      </w:pPr>
    </w:lvl>
    <w:lvl w:ilvl="2" w:tplc="041C001B" w:tentative="1">
      <w:start w:val="1"/>
      <w:numFmt w:val="lowerRoman"/>
      <w:lvlText w:val="%3."/>
      <w:lvlJc w:val="right"/>
      <w:pPr>
        <w:ind w:left="3540" w:hanging="180"/>
      </w:pPr>
    </w:lvl>
    <w:lvl w:ilvl="3" w:tplc="041C000F" w:tentative="1">
      <w:start w:val="1"/>
      <w:numFmt w:val="decimal"/>
      <w:lvlText w:val="%4."/>
      <w:lvlJc w:val="left"/>
      <w:pPr>
        <w:ind w:left="4260" w:hanging="360"/>
      </w:pPr>
    </w:lvl>
    <w:lvl w:ilvl="4" w:tplc="041C0019" w:tentative="1">
      <w:start w:val="1"/>
      <w:numFmt w:val="lowerLetter"/>
      <w:lvlText w:val="%5."/>
      <w:lvlJc w:val="left"/>
      <w:pPr>
        <w:ind w:left="4980" w:hanging="360"/>
      </w:pPr>
    </w:lvl>
    <w:lvl w:ilvl="5" w:tplc="041C001B" w:tentative="1">
      <w:start w:val="1"/>
      <w:numFmt w:val="lowerRoman"/>
      <w:lvlText w:val="%6."/>
      <w:lvlJc w:val="right"/>
      <w:pPr>
        <w:ind w:left="5700" w:hanging="180"/>
      </w:pPr>
    </w:lvl>
    <w:lvl w:ilvl="6" w:tplc="041C000F" w:tentative="1">
      <w:start w:val="1"/>
      <w:numFmt w:val="decimal"/>
      <w:lvlText w:val="%7."/>
      <w:lvlJc w:val="left"/>
      <w:pPr>
        <w:ind w:left="6420" w:hanging="360"/>
      </w:pPr>
    </w:lvl>
    <w:lvl w:ilvl="7" w:tplc="041C0019" w:tentative="1">
      <w:start w:val="1"/>
      <w:numFmt w:val="lowerLetter"/>
      <w:lvlText w:val="%8."/>
      <w:lvlJc w:val="left"/>
      <w:pPr>
        <w:ind w:left="7140" w:hanging="360"/>
      </w:pPr>
    </w:lvl>
    <w:lvl w:ilvl="8" w:tplc="041C001B" w:tentative="1">
      <w:start w:val="1"/>
      <w:numFmt w:val="lowerRoman"/>
      <w:lvlText w:val="%9."/>
      <w:lvlJc w:val="right"/>
      <w:pPr>
        <w:ind w:left="7860" w:hanging="180"/>
      </w:pPr>
    </w:lvl>
  </w:abstractNum>
  <w:abstractNum w:abstractNumId="117">
    <w:nsid w:val="59736B4F"/>
    <w:multiLevelType w:val="hybridMultilevel"/>
    <w:tmpl w:val="9740F898"/>
    <w:lvl w:ilvl="0" w:tplc="08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8">
    <w:nsid w:val="59C361CC"/>
    <w:multiLevelType w:val="hybridMultilevel"/>
    <w:tmpl w:val="3A4A82E0"/>
    <w:lvl w:ilvl="0" w:tplc="08090019">
      <w:start w:val="1"/>
      <w:numFmt w:val="lowerLetter"/>
      <w:lvlText w:val="%1."/>
      <w:lvlJc w:val="left"/>
      <w:pPr>
        <w:ind w:left="2100" w:hanging="360"/>
      </w:pPr>
    </w:lvl>
    <w:lvl w:ilvl="1" w:tplc="041C0019" w:tentative="1">
      <w:start w:val="1"/>
      <w:numFmt w:val="lowerLetter"/>
      <w:lvlText w:val="%2."/>
      <w:lvlJc w:val="left"/>
      <w:pPr>
        <w:ind w:left="2820" w:hanging="360"/>
      </w:pPr>
    </w:lvl>
    <w:lvl w:ilvl="2" w:tplc="041C001B" w:tentative="1">
      <w:start w:val="1"/>
      <w:numFmt w:val="lowerRoman"/>
      <w:lvlText w:val="%3."/>
      <w:lvlJc w:val="right"/>
      <w:pPr>
        <w:ind w:left="3540" w:hanging="180"/>
      </w:pPr>
    </w:lvl>
    <w:lvl w:ilvl="3" w:tplc="041C000F" w:tentative="1">
      <w:start w:val="1"/>
      <w:numFmt w:val="decimal"/>
      <w:lvlText w:val="%4."/>
      <w:lvlJc w:val="left"/>
      <w:pPr>
        <w:ind w:left="4260" w:hanging="360"/>
      </w:pPr>
    </w:lvl>
    <w:lvl w:ilvl="4" w:tplc="041C0019" w:tentative="1">
      <w:start w:val="1"/>
      <w:numFmt w:val="lowerLetter"/>
      <w:lvlText w:val="%5."/>
      <w:lvlJc w:val="left"/>
      <w:pPr>
        <w:ind w:left="4980" w:hanging="360"/>
      </w:pPr>
    </w:lvl>
    <w:lvl w:ilvl="5" w:tplc="041C001B" w:tentative="1">
      <w:start w:val="1"/>
      <w:numFmt w:val="lowerRoman"/>
      <w:lvlText w:val="%6."/>
      <w:lvlJc w:val="right"/>
      <w:pPr>
        <w:ind w:left="5700" w:hanging="180"/>
      </w:pPr>
    </w:lvl>
    <w:lvl w:ilvl="6" w:tplc="041C000F" w:tentative="1">
      <w:start w:val="1"/>
      <w:numFmt w:val="decimal"/>
      <w:lvlText w:val="%7."/>
      <w:lvlJc w:val="left"/>
      <w:pPr>
        <w:ind w:left="6420" w:hanging="360"/>
      </w:pPr>
    </w:lvl>
    <w:lvl w:ilvl="7" w:tplc="041C0019" w:tentative="1">
      <w:start w:val="1"/>
      <w:numFmt w:val="lowerLetter"/>
      <w:lvlText w:val="%8."/>
      <w:lvlJc w:val="left"/>
      <w:pPr>
        <w:ind w:left="7140" w:hanging="360"/>
      </w:pPr>
    </w:lvl>
    <w:lvl w:ilvl="8" w:tplc="041C001B" w:tentative="1">
      <w:start w:val="1"/>
      <w:numFmt w:val="lowerRoman"/>
      <w:lvlText w:val="%9."/>
      <w:lvlJc w:val="right"/>
      <w:pPr>
        <w:ind w:left="7860" w:hanging="180"/>
      </w:pPr>
    </w:lvl>
  </w:abstractNum>
  <w:abstractNum w:abstractNumId="119">
    <w:nsid w:val="5A041625"/>
    <w:multiLevelType w:val="hybridMultilevel"/>
    <w:tmpl w:val="E4E00126"/>
    <w:lvl w:ilvl="0" w:tplc="5022A1C8">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0">
    <w:nsid w:val="5A251152"/>
    <w:multiLevelType w:val="hybridMultilevel"/>
    <w:tmpl w:val="3262230E"/>
    <w:lvl w:ilvl="0" w:tplc="9D8C9174">
      <w:numFmt w:val="bullet"/>
      <w:lvlText w:val="-"/>
      <w:lvlJc w:val="left"/>
      <w:pPr>
        <w:ind w:left="1146" w:hanging="360"/>
      </w:pPr>
      <w:rPr>
        <w:rFonts w:ascii="Calibri" w:eastAsia="Calibri" w:hAnsi="Calibri" w:cs="Times New Roman" w:hint="default"/>
      </w:rPr>
    </w:lvl>
    <w:lvl w:ilvl="1" w:tplc="041C0003" w:tentative="1">
      <w:start w:val="1"/>
      <w:numFmt w:val="bullet"/>
      <w:lvlText w:val="o"/>
      <w:lvlJc w:val="left"/>
      <w:pPr>
        <w:ind w:left="1866" w:hanging="360"/>
      </w:pPr>
      <w:rPr>
        <w:rFonts w:ascii="Courier New" w:hAnsi="Courier New" w:cs="Courier New" w:hint="default"/>
      </w:rPr>
    </w:lvl>
    <w:lvl w:ilvl="2" w:tplc="041C0005" w:tentative="1">
      <w:start w:val="1"/>
      <w:numFmt w:val="bullet"/>
      <w:lvlText w:val=""/>
      <w:lvlJc w:val="left"/>
      <w:pPr>
        <w:ind w:left="2586" w:hanging="360"/>
      </w:pPr>
      <w:rPr>
        <w:rFonts w:ascii="Wingdings" w:hAnsi="Wingdings" w:hint="default"/>
      </w:rPr>
    </w:lvl>
    <w:lvl w:ilvl="3" w:tplc="041C0001" w:tentative="1">
      <w:start w:val="1"/>
      <w:numFmt w:val="bullet"/>
      <w:lvlText w:val=""/>
      <w:lvlJc w:val="left"/>
      <w:pPr>
        <w:ind w:left="3306" w:hanging="360"/>
      </w:pPr>
      <w:rPr>
        <w:rFonts w:ascii="Symbol" w:hAnsi="Symbol" w:hint="default"/>
      </w:rPr>
    </w:lvl>
    <w:lvl w:ilvl="4" w:tplc="041C0003" w:tentative="1">
      <w:start w:val="1"/>
      <w:numFmt w:val="bullet"/>
      <w:lvlText w:val="o"/>
      <w:lvlJc w:val="left"/>
      <w:pPr>
        <w:ind w:left="4026" w:hanging="360"/>
      </w:pPr>
      <w:rPr>
        <w:rFonts w:ascii="Courier New" w:hAnsi="Courier New" w:cs="Courier New" w:hint="default"/>
      </w:rPr>
    </w:lvl>
    <w:lvl w:ilvl="5" w:tplc="041C0005" w:tentative="1">
      <w:start w:val="1"/>
      <w:numFmt w:val="bullet"/>
      <w:lvlText w:val=""/>
      <w:lvlJc w:val="left"/>
      <w:pPr>
        <w:ind w:left="4746" w:hanging="360"/>
      </w:pPr>
      <w:rPr>
        <w:rFonts w:ascii="Wingdings" w:hAnsi="Wingdings" w:hint="default"/>
      </w:rPr>
    </w:lvl>
    <w:lvl w:ilvl="6" w:tplc="041C0001" w:tentative="1">
      <w:start w:val="1"/>
      <w:numFmt w:val="bullet"/>
      <w:lvlText w:val=""/>
      <w:lvlJc w:val="left"/>
      <w:pPr>
        <w:ind w:left="5466" w:hanging="360"/>
      </w:pPr>
      <w:rPr>
        <w:rFonts w:ascii="Symbol" w:hAnsi="Symbol" w:hint="default"/>
      </w:rPr>
    </w:lvl>
    <w:lvl w:ilvl="7" w:tplc="041C0003" w:tentative="1">
      <w:start w:val="1"/>
      <w:numFmt w:val="bullet"/>
      <w:lvlText w:val="o"/>
      <w:lvlJc w:val="left"/>
      <w:pPr>
        <w:ind w:left="6186" w:hanging="360"/>
      </w:pPr>
      <w:rPr>
        <w:rFonts w:ascii="Courier New" w:hAnsi="Courier New" w:cs="Courier New" w:hint="default"/>
      </w:rPr>
    </w:lvl>
    <w:lvl w:ilvl="8" w:tplc="041C0005" w:tentative="1">
      <w:start w:val="1"/>
      <w:numFmt w:val="bullet"/>
      <w:lvlText w:val=""/>
      <w:lvlJc w:val="left"/>
      <w:pPr>
        <w:ind w:left="6906" w:hanging="360"/>
      </w:pPr>
      <w:rPr>
        <w:rFonts w:ascii="Wingdings" w:hAnsi="Wingdings" w:hint="default"/>
      </w:rPr>
    </w:lvl>
  </w:abstractNum>
  <w:abstractNum w:abstractNumId="121">
    <w:nsid w:val="5B9F3171"/>
    <w:multiLevelType w:val="hybridMultilevel"/>
    <w:tmpl w:val="9A0A0BD2"/>
    <w:lvl w:ilvl="0" w:tplc="08090019">
      <w:start w:val="1"/>
      <w:numFmt w:val="lowerLetter"/>
      <w:lvlText w:val="%1."/>
      <w:lvlJc w:val="left"/>
      <w:pPr>
        <w:ind w:left="2100" w:hanging="360"/>
      </w:pPr>
    </w:lvl>
    <w:lvl w:ilvl="1" w:tplc="B10E0040">
      <w:numFmt w:val="bullet"/>
      <w:lvlText w:val="•"/>
      <w:lvlJc w:val="left"/>
      <w:pPr>
        <w:ind w:left="2820" w:hanging="360"/>
      </w:pPr>
      <w:rPr>
        <w:rFonts w:ascii="Times New Roman" w:eastAsia="Calibri" w:hAnsi="Times New Roman" w:cs="Times New Roman" w:hint="default"/>
      </w:rPr>
    </w:lvl>
    <w:lvl w:ilvl="2" w:tplc="041C001B" w:tentative="1">
      <w:start w:val="1"/>
      <w:numFmt w:val="lowerRoman"/>
      <w:lvlText w:val="%3."/>
      <w:lvlJc w:val="right"/>
      <w:pPr>
        <w:ind w:left="3540" w:hanging="180"/>
      </w:pPr>
    </w:lvl>
    <w:lvl w:ilvl="3" w:tplc="041C000F" w:tentative="1">
      <w:start w:val="1"/>
      <w:numFmt w:val="decimal"/>
      <w:lvlText w:val="%4."/>
      <w:lvlJc w:val="left"/>
      <w:pPr>
        <w:ind w:left="4260" w:hanging="360"/>
      </w:pPr>
    </w:lvl>
    <w:lvl w:ilvl="4" w:tplc="041C0019" w:tentative="1">
      <w:start w:val="1"/>
      <w:numFmt w:val="lowerLetter"/>
      <w:lvlText w:val="%5."/>
      <w:lvlJc w:val="left"/>
      <w:pPr>
        <w:ind w:left="4980" w:hanging="360"/>
      </w:pPr>
    </w:lvl>
    <w:lvl w:ilvl="5" w:tplc="041C001B" w:tentative="1">
      <w:start w:val="1"/>
      <w:numFmt w:val="lowerRoman"/>
      <w:lvlText w:val="%6."/>
      <w:lvlJc w:val="right"/>
      <w:pPr>
        <w:ind w:left="5700" w:hanging="180"/>
      </w:pPr>
    </w:lvl>
    <w:lvl w:ilvl="6" w:tplc="041C000F" w:tentative="1">
      <w:start w:val="1"/>
      <w:numFmt w:val="decimal"/>
      <w:lvlText w:val="%7."/>
      <w:lvlJc w:val="left"/>
      <w:pPr>
        <w:ind w:left="6420" w:hanging="360"/>
      </w:pPr>
    </w:lvl>
    <w:lvl w:ilvl="7" w:tplc="041C0019" w:tentative="1">
      <w:start w:val="1"/>
      <w:numFmt w:val="lowerLetter"/>
      <w:lvlText w:val="%8."/>
      <w:lvlJc w:val="left"/>
      <w:pPr>
        <w:ind w:left="7140" w:hanging="360"/>
      </w:pPr>
    </w:lvl>
    <w:lvl w:ilvl="8" w:tplc="041C001B" w:tentative="1">
      <w:start w:val="1"/>
      <w:numFmt w:val="lowerRoman"/>
      <w:lvlText w:val="%9."/>
      <w:lvlJc w:val="right"/>
      <w:pPr>
        <w:ind w:left="7860" w:hanging="180"/>
      </w:pPr>
    </w:lvl>
  </w:abstractNum>
  <w:abstractNum w:abstractNumId="122">
    <w:nsid w:val="5C7D69CA"/>
    <w:multiLevelType w:val="multilevel"/>
    <w:tmpl w:val="4FC4946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36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3">
    <w:nsid w:val="5D4A1D28"/>
    <w:multiLevelType w:val="hybridMultilevel"/>
    <w:tmpl w:val="931AEF10"/>
    <w:lvl w:ilvl="0" w:tplc="87C4E5CA">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4">
    <w:nsid w:val="5D8169F4"/>
    <w:multiLevelType w:val="hybridMultilevel"/>
    <w:tmpl w:val="3A4A82E0"/>
    <w:lvl w:ilvl="0" w:tplc="08090019">
      <w:start w:val="1"/>
      <w:numFmt w:val="lowerLetter"/>
      <w:lvlText w:val="%1."/>
      <w:lvlJc w:val="left"/>
      <w:pPr>
        <w:ind w:left="2100" w:hanging="360"/>
      </w:pPr>
    </w:lvl>
    <w:lvl w:ilvl="1" w:tplc="041C0019" w:tentative="1">
      <w:start w:val="1"/>
      <w:numFmt w:val="lowerLetter"/>
      <w:lvlText w:val="%2."/>
      <w:lvlJc w:val="left"/>
      <w:pPr>
        <w:ind w:left="2820" w:hanging="360"/>
      </w:pPr>
    </w:lvl>
    <w:lvl w:ilvl="2" w:tplc="041C001B" w:tentative="1">
      <w:start w:val="1"/>
      <w:numFmt w:val="lowerRoman"/>
      <w:lvlText w:val="%3."/>
      <w:lvlJc w:val="right"/>
      <w:pPr>
        <w:ind w:left="3540" w:hanging="180"/>
      </w:pPr>
    </w:lvl>
    <w:lvl w:ilvl="3" w:tplc="041C000F" w:tentative="1">
      <w:start w:val="1"/>
      <w:numFmt w:val="decimal"/>
      <w:lvlText w:val="%4."/>
      <w:lvlJc w:val="left"/>
      <w:pPr>
        <w:ind w:left="4260" w:hanging="360"/>
      </w:pPr>
    </w:lvl>
    <w:lvl w:ilvl="4" w:tplc="041C0019" w:tentative="1">
      <w:start w:val="1"/>
      <w:numFmt w:val="lowerLetter"/>
      <w:lvlText w:val="%5."/>
      <w:lvlJc w:val="left"/>
      <w:pPr>
        <w:ind w:left="4980" w:hanging="360"/>
      </w:pPr>
    </w:lvl>
    <w:lvl w:ilvl="5" w:tplc="041C001B" w:tentative="1">
      <w:start w:val="1"/>
      <w:numFmt w:val="lowerRoman"/>
      <w:lvlText w:val="%6."/>
      <w:lvlJc w:val="right"/>
      <w:pPr>
        <w:ind w:left="5700" w:hanging="180"/>
      </w:pPr>
    </w:lvl>
    <w:lvl w:ilvl="6" w:tplc="041C000F" w:tentative="1">
      <w:start w:val="1"/>
      <w:numFmt w:val="decimal"/>
      <w:lvlText w:val="%7."/>
      <w:lvlJc w:val="left"/>
      <w:pPr>
        <w:ind w:left="6420" w:hanging="360"/>
      </w:pPr>
    </w:lvl>
    <w:lvl w:ilvl="7" w:tplc="041C0019" w:tentative="1">
      <w:start w:val="1"/>
      <w:numFmt w:val="lowerLetter"/>
      <w:lvlText w:val="%8."/>
      <w:lvlJc w:val="left"/>
      <w:pPr>
        <w:ind w:left="7140" w:hanging="360"/>
      </w:pPr>
    </w:lvl>
    <w:lvl w:ilvl="8" w:tplc="041C001B" w:tentative="1">
      <w:start w:val="1"/>
      <w:numFmt w:val="lowerRoman"/>
      <w:lvlText w:val="%9."/>
      <w:lvlJc w:val="right"/>
      <w:pPr>
        <w:ind w:left="7860" w:hanging="180"/>
      </w:pPr>
    </w:lvl>
  </w:abstractNum>
  <w:abstractNum w:abstractNumId="125">
    <w:nsid w:val="5D955C6A"/>
    <w:multiLevelType w:val="hybridMultilevel"/>
    <w:tmpl w:val="1076E6DA"/>
    <w:lvl w:ilvl="0" w:tplc="87C4E5CA">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nsid w:val="5DCD4BDF"/>
    <w:multiLevelType w:val="hybridMultilevel"/>
    <w:tmpl w:val="DBE0D1F2"/>
    <w:lvl w:ilvl="0" w:tplc="87C4E5CA">
      <w:numFmt w:val="bullet"/>
      <w:lvlText w:val="-"/>
      <w:lvlJc w:val="left"/>
      <w:pPr>
        <w:ind w:left="1004" w:hanging="360"/>
      </w:pPr>
      <w:rPr>
        <w:rFonts w:ascii="Calibri" w:eastAsia="Times New Roman" w:hAnsi="Calibri"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7">
    <w:nsid w:val="5F325AC5"/>
    <w:multiLevelType w:val="hybridMultilevel"/>
    <w:tmpl w:val="590EE886"/>
    <w:lvl w:ilvl="0" w:tplc="E422AF96">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nsid w:val="607C481C"/>
    <w:multiLevelType w:val="hybridMultilevel"/>
    <w:tmpl w:val="B09E3A26"/>
    <w:lvl w:ilvl="0" w:tplc="FF0AD89E">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9">
    <w:nsid w:val="61110510"/>
    <w:multiLevelType w:val="hybridMultilevel"/>
    <w:tmpl w:val="C9542CB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0">
    <w:nsid w:val="61CC0CF1"/>
    <w:multiLevelType w:val="hybridMultilevel"/>
    <w:tmpl w:val="88DCD9E6"/>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1">
    <w:nsid w:val="62191C29"/>
    <w:multiLevelType w:val="hybridMultilevel"/>
    <w:tmpl w:val="B09E3A26"/>
    <w:lvl w:ilvl="0" w:tplc="FF0AD89E">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2">
    <w:nsid w:val="62F478A4"/>
    <w:multiLevelType w:val="hybridMultilevel"/>
    <w:tmpl w:val="A6EE8E3A"/>
    <w:lvl w:ilvl="0" w:tplc="08090019">
      <w:start w:val="1"/>
      <w:numFmt w:val="lowerLetter"/>
      <w:lvlText w:val="%1."/>
      <w:lvlJc w:val="left"/>
      <w:pPr>
        <w:ind w:left="2100" w:hanging="360"/>
      </w:pPr>
    </w:lvl>
    <w:lvl w:ilvl="1" w:tplc="041C0019" w:tentative="1">
      <w:start w:val="1"/>
      <w:numFmt w:val="lowerLetter"/>
      <w:lvlText w:val="%2."/>
      <w:lvlJc w:val="left"/>
      <w:pPr>
        <w:ind w:left="2820" w:hanging="360"/>
      </w:pPr>
    </w:lvl>
    <w:lvl w:ilvl="2" w:tplc="041C001B" w:tentative="1">
      <w:start w:val="1"/>
      <w:numFmt w:val="lowerRoman"/>
      <w:lvlText w:val="%3."/>
      <w:lvlJc w:val="right"/>
      <w:pPr>
        <w:ind w:left="3540" w:hanging="180"/>
      </w:pPr>
    </w:lvl>
    <w:lvl w:ilvl="3" w:tplc="041C000F" w:tentative="1">
      <w:start w:val="1"/>
      <w:numFmt w:val="decimal"/>
      <w:lvlText w:val="%4."/>
      <w:lvlJc w:val="left"/>
      <w:pPr>
        <w:ind w:left="4260" w:hanging="360"/>
      </w:pPr>
    </w:lvl>
    <w:lvl w:ilvl="4" w:tplc="041C0019" w:tentative="1">
      <w:start w:val="1"/>
      <w:numFmt w:val="lowerLetter"/>
      <w:lvlText w:val="%5."/>
      <w:lvlJc w:val="left"/>
      <w:pPr>
        <w:ind w:left="4980" w:hanging="360"/>
      </w:pPr>
    </w:lvl>
    <w:lvl w:ilvl="5" w:tplc="041C001B" w:tentative="1">
      <w:start w:val="1"/>
      <w:numFmt w:val="lowerRoman"/>
      <w:lvlText w:val="%6."/>
      <w:lvlJc w:val="right"/>
      <w:pPr>
        <w:ind w:left="5700" w:hanging="180"/>
      </w:pPr>
    </w:lvl>
    <w:lvl w:ilvl="6" w:tplc="041C000F" w:tentative="1">
      <w:start w:val="1"/>
      <w:numFmt w:val="decimal"/>
      <w:lvlText w:val="%7."/>
      <w:lvlJc w:val="left"/>
      <w:pPr>
        <w:ind w:left="6420" w:hanging="360"/>
      </w:pPr>
    </w:lvl>
    <w:lvl w:ilvl="7" w:tplc="041C0019" w:tentative="1">
      <w:start w:val="1"/>
      <w:numFmt w:val="lowerLetter"/>
      <w:lvlText w:val="%8."/>
      <w:lvlJc w:val="left"/>
      <w:pPr>
        <w:ind w:left="7140" w:hanging="360"/>
      </w:pPr>
    </w:lvl>
    <w:lvl w:ilvl="8" w:tplc="041C001B" w:tentative="1">
      <w:start w:val="1"/>
      <w:numFmt w:val="lowerRoman"/>
      <w:lvlText w:val="%9."/>
      <w:lvlJc w:val="right"/>
      <w:pPr>
        <w:ind w:left="7860" w:hanging="180"/>
      </w:pPr>
    </w:lvl>
  </w:abstractNum>
  <w:abstractNum w:abstractNumId="133">
    <w:nsid w:val="633243FF"/>
    <w:multiLevelType w:val="hybridMultilevel"/>
    <w:tmpl w:val="AC5A78C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4">
    <w:nsid w:val="635576F3"/>
    <w:multiLevelType w:val="hybridMultilevel"/>
    <w:tmpl w:val="3A4A82E0"/>
    <w:lvl w:ilvl="0" w:tplc="08090019">
      <w:start w:val="1"/>
      <w:numFmt w:val="lowerLetter"/>
      <w:lvlText w:val="%1."/>
      <w:lvlJc w:val="left"/>
      <w:pPr>
        <w:ind w:left="2100" w:hanging="360"/>
      </w:pPr>
    </w:lvl>
    <w:lvl w:ilvl="1" w:tplc="041C0019" w:tentative="1">
      <w:start w:val="1"/>
      <w:numFmt w:val="lowerLetter"/>
      <w:lvlText w:val="%2."/>
      <w:lvlJc w:val="left"/>
      <w:pPr>
        <w:ind w:left="2820" w:hanging="360"/>
      </w:pPr>
    </w:lvl>
    <w:lvl w:ilvl="2" w:tplc="041C001B" w:tentative="1">
      <w:start w:val="1"/>
      <w:numFmt w:val="lowerRoman"/>
      <w:lvlText w:val="%3."/>
      <w:lvlJc w:val="right"/>
      <w:pPr>
        <w:ind w:left="3540" w:hanging="180"/>
      </w:pPr>
    </w:lvl>
    <w:lvl w:ilvl="3" w:tplc="041C000F" w:tentative="1">
      <w:start w:val="1"/>
      <w:numFmt w:val="decimal"/>
      <w:lvlText w:val="%4."/>
      <w:lvlJc w:val="left"/>
      <w:pPr>
        <w:ind w:left="4260" w:hanging="360"/>
      </w:pPr>
    </w:lvl>
    <w:lvl w:ilvl="4" w:tplc="041C0019" w:tentative="1">
      <w:start w:val="1"/>
      <w:numFmt w:val="lowerLetter"/>
      <w:lvlText w:val="%5."/>
      <w:lvlJc w:val="left"/>
      <w:pPr>
        <w:ind w:left="4980" w:hanging="360"/>
      </w:pPr>
    </w:lvl>
    <w:lvl w:ilvl="5" w:tplc="041C001B" w:tentative="1">
      <w:start w:val="1"/>
      <w:numFmt w:val="lowerRoman"/>
      <w:lvlText w:val="%6."/>
      <w:lvlJc w:val="right"/>
      <w:pPr>
        <w:ind w:left="5700" w:hanging="180"/>
      </w:pPr>
    </w:lvl>
    <w:lvl w:ilvl="6" w:tplc="041C000F" w:tentative="1">
      <w:start w:val="1"/>
      <w:numFmt w:val="decimal"/>
      <w:lvlText w:val="%7."/>
      <w:lvlJc w:val="left"/>
      <w:pPr>
        <w:ind w:left="6420" w:hanging="360"/>
      </w:pPr>
    </w:lvl>
    <w:lvl w:ilvl="7" w:tplc="041C0019" w:tentative="1">
      <w:start w:val="1"/>
      <w:numFmt w:val="lowerLetter"/>
      <w:lvlText w:val="%8."/>
      <w:lvlJc w:val="left"/>
      <w:pPr>
        <w:ind w:left="7140" w:hanging="360"/>
      </w:pPr>
    </w:lvl>
    <w:lvl w:ilvl="8" w:tplc="041C001B" w:tentative="1">
      <w:start w:val="1"/>
      <w:numFmt w:val="lowerRoman"/>
      <w:lvlText w:val="%9."/>
      <w:lvlJc w:val="right"/>
      <w:pPr>
        <w:ind w:left="7860" w:hanging="180"/>
      </w:pPr>
    </w:lvl>
  </w:abstractNum>
  <w:abstractNum w:abstractNumId="135">
    <w:nsid w:val="65412F6D"/>
    <w:multiLevelType w:val="hybridMultilevel"/>
    <w:tmpl w:val="9740F898"/>
    <w:lvl w:ilvl="0" w:tplc="08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6">
    <w:nsid w:val="65F70845"/>
    <w:multiLevelType w:val="hybridMultilevel"/>
    <w:tmpl w:val="C67C0C4E"/>
    <w:lvl w:ilvl="0" w:tplc="87C4E5CA">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7">
    <w:nsid w:val="67D352B7"/>
    <w:multiLevelType w:val="multilevel"/>
    <w:tmpl w:val="FCD07B34"/>
    <w:lvl w:ilvl="0">
      <w:start w:val="1"/>
      <w:numFmt w:val="lowerLetter"/>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nsid w:val="68472CDF"/>
    <w:multiLevelType w:val="hybridMultilevel"/>
    <w:tmpl w:val="4A5E8BB4"/>
    <w:lvl w:ilvl="0" w:tplc="87C4E5CA">
      <w:numFmt w:val="bullet"/>
      <w:lvlText w:val="-"/>
      <w:lvlJc w:val="left"/>
      <w:pPr>
        <w:tabs>
          <w:tab w:val="num" w:pos="360"/>
        </w:tabs>
        <w:ind w:left="360" w:hanging="360"/>
      </w:pPr>
      <w:rPr>
        <w:rFonts w:ascii="Calibri" w:eastAsia="Times New Roman" w:hAnsi="Calibri"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9">
    <w:nsid w:val="684E4BDC"/>
    <w:multiLevelType w:val="hybridMultilevel"/>
    <w:tmpl w:val="80E0A99E"/>
    <w:lvl w:ilvl="0" w:tplc="08090019">
      <w:start w:val="1"/>
      <w:numFmt w:val="lowerLetter"/>
      <w:lvlText w:val="%1."/>
      <w:lvlJc w:val="left"/>
      <w:pPr>
        <w:ind w:left="720" w:hanging="360"/>
      </w:pPr>
    </w:lvl>
    <w:lvl w:ilvl="1" w:tplc="B0C88D22">
      <w:start w:val="1"/>
      <w:numFmt w:val="lowerLetter"/>
      <w:lvlText w:val="%2."/>
      <w:lvlJc w:val="left"/>
      <w:pPr>
        <w:ind w:left="1440" w:hanging="360"/>
      </w:pPr>
      <w:rPr>
        <w:b w:val="0"/>
        <w:bCs/>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0">
    <w:nsid w:val="68C1130F"/>
    <w:multiLevelType w:val="hybridMultilevel"/>
    <w:tmpl w:val="C9542CB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1">
    <w:nsid w:val="692920F0"/>
    <w:multiLevelType w:val="hybridMultilevel"/>
    <w:tmpl w:val="88DCD9E6"/>
    <w:lvl w:ilvl="0" w:tplc="0809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2">
    <w:nsid w:val="69971C03"/>
    <w:multiLevelType w:val="hybridMultilevel"/>
    <w:tmpl w:val="A51211A8"/>
    <w:lvl w:ilvl="0" w:tplc="9D8C9174">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3">
    <w:nsid w:val="69FB0F7F"/>
    <w:multiLevelType w:val="hybridMultilevel"/>
    <w:tmpl w:val="3A4A82E0"/>
    <w:lvl w:ilvl="0" w:tplc="08090019">
      <w:start w:val="1"/>
      <w:numFmt w:val="lowerLetter"/>
      <w:lvlText w:val="%1."/>
      <w:lvlJc w:val="left"/>
      <w:pPr>
        <w:ind w:left="786" w:hanging="360"/>
      </w:pPr>
    </w:lvl>
    <w:lvl w:ilvl="1" w:tplc="041C0019" w:tentative="1">
      <w:start w:val="1"/>
      <w:numFmt w:val="lowerLetter"/>
      <w:lvlText w:val="%2."/>
      <w:lvlJc w:val="left"/>
      <w:pPr>
        <w:ind w:left="2820" w:hanging="360"/>
      </w:pPr>
    </w:lvl>
    <w:lvl w:ilvl="2" w:tplc="041C001B" w:tentative="1">
      <w:start w:val="1"/>
      <w:numFmt w:val="lowerRoman"/>
      <w:lvlText w:val="%3."/>
      <w:lvlJc w:val="right"/>
      <w:pPr>
        <w:ind w:left="3540" w:hanging="180"/>
      </w:pPr>
    </w:lvl>
    <w:lvl w:ilvl="3" w:tplc="041C000F" w:tentative="1">
      <w:start w:val="1"/>
      <w:numFmt w:val="decimal"/>
      <w:lvlText w:val="%4."/>
      <w:lvlJc w:val="left"/>
      <w:pPr>
        <w:ind w:left="4260" w:hanging="360"/>
      </w:pPr>
    </w:lvl>
    <w:lvl w:ilvl="4" w:tplc="041C0019" w:tentative="1">
      <w:start w:val="1"/>
      <w:numFmt w:val="lowerLetter"/>
      <w:lvlText w:val="%5."/>
      <w:lvlJc w:val="left"/>
      <w:pPr>
        <w:ind w:left="4980" w:hanging="360"/>
      </w:pPr>
    </w:lvl>
    <w:lvl w:ilvl="5" w:tplc="041C001B" w:tentative="1">
      <w:start w:val="1"/>
      <w:numFmt w:val="lowerRoman"/>
      <w:lvlText w:val="%6."/>
      <w:lvlJc w:val="right"/>
      <w:pPr>
        <w:ind w:left="5700" w:hanging="180"/>
      </w:pPr>
    </w:lvl>
    <w:lvl w:ilvl="6" w:tplc="041C000F" w:tentative="1">
      <w:start w:val="1"/>
      <w:numFmt w:val="decimal"/>
      <w:lvlText w:val="%7."/>
      <w:lvlJc w:val="left"/>
      <w:pPr>
        <w:ind w:left="6420" w:hanging="360"/>
      </w:pPr>
    </w:lvl>
    <w:lvl w:ilvl="7" w:tplc="041C0019" w:tentative="1">
      <w:start w:val="1"/>
      <w:numFmt w:val="lowerLetter"/>
      <w:lvlText w:val="%8."/>
      <w:lvlJc w:val="left"/>
      <w:pPr>
        <w:ind w:left="7140" w:hanging="360"/>
      </w:pPr>
    </w:lvl>
    <w:lvl w:ilvl="8" w:tplc="041C001B" w:tentative="1">
      <w:start w:val="1"/>
      <w:numFmt w:val="lowerRoman"/>
      <w:lvlText w:val="%9."/>
      <w:lvlJc w:val="right"/>
      <w:pPr>
        <w:ind w:left="7860" w:hanging="180"/>
      </w:pPr>
    </w:lvl>
  </w:abstractNum>
  <w:abstractNum w:abstractNumId="144">
    <w:nsid w:val="6A3130CA"/>
    <w:multiLevelType w:val="multilevel"/>
    <w:tmpl w:val="CC7E7D78"/>
    <w:lvl w:ilvl="0">
      <w:start w:val="1"/>
      <w:numFmt w:val="decimal"/>
      <w:lvlText w:val="%1."/>
      <w:lvlJc w:val="left"/>
      <w:pPr>
        <w:tabs>
          <w:tab w:val="num" w:pos="720"/>
        </w:tabs>
        <w:ind w:left="720" w:hanging="360"/>
      </w:pPr>
      <w:rPr>
        <w:b/>
        <w:i w:val="0"/>
        <w:sz w:val="24"/>
        <w:szCs w:val="32"/>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45">
    <w:nsid w:val="6A672CB7"/>
    <w:multiLevelType w:val="hybridMultilevel"/>
    <w:tmpl w:val="2B908AB6"/>
    <w:lvl w:ilvl="0" w:tplc="FB28D34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FD08A58C">
      <w:start w:val="1"/>
      <w:numFmt w:val="lowerRoman"/>
      <w:lvlText w:val="%3."/>
      <w:lvlJc w:val="righ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nsid w:val="6C3049A2"/>
    <w:multiLevelType w:val="hybridMultilevel"/>
    <w:tmpl w:val="FD4E4228"/>
    <w:lvl w:ilvl="0" w:tplc="87C4E5CA">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7">
    <w:nsid w:val="6CCC2075"/>
    <w:multiLevelType w:val="hybridMultilevel"/>
    <w:tmpl w:val="D4262F54"/>
    <w:lvl w:ilvl="0" w:tplc="041C0019">
      <w:start w:val="1"/>
      <w:numFmt w:val="lowerLetter"/>
      <w:lvlText w:val="%1."/>
      <w:lvlJc w:val="left"/>
      <w:pPr>
        <w:ind w:left="144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8">
    <w:nsid w:val="6D1A416F"/>
    <w:multiLevelType w:val="hybridMultilevel"/>
    <w:tmpl w:val="EFA4E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nsid w:val="6D7622B9"/>
    <w:multiLevelType w:val="hybridMultilevel"/>
    <w:tmpl w:val="88DCD9E6"/>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0">
    <w:nsid w:val="6D913318"/>
    <w:multiLevelType w:val="multilevel"/>
    <w:tmpl w:val="B9EC044C"/>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360"/>
        </w:tabs>
        <w:ind w:left="1080" w:hanging="360"/>
      </w:pPr>
      <w:rPr>
        <w:rFonts w:ascii="Courier New" w:hAnsi="Courier New" w:cs="Courier New" w:hint="default"/>
      </w:rPr>
    </w:lvl>
    <w:lvl w:ilvl="2">
      <w:start w:val="1"/>
      <w:numFmt w:val="bullet"/>
      <w:lvlText w:val=""/>
      <w:lvlJc w:val="left"/>
      <w:pPr>
        <w:tabs>
          <w:tab w:val="num" w:pos="-360"/>
        </w:tabs>
        <w:ind w:left="1800" w:hanging="360"/>
      </w:pPr>
      <w:rPr>
        <w:rFonts w:ascii="Wingdings" w:hAnsi="Wingdings" w:cs="Wingdings" w:hint="default"/>
      </w:rPr>
    </w:lvl>
    <w:lvl w:ilvl="3">
      <w:start w:val="1"/>
      <w:numFmt w:val="bullet"/>
      <w:lvlText w:val=""/>
      <w:lvlJc w:val="left"/>
      <w:pPr>
        <w:tabs>
          <w:tab w:val="num" w:pos="-360"/>
        </w:tabs>
        <w:ind w:left="2520" w:hanging="360"/>
      </w:pPr>
      <w:rPr>
        <w:rFonts w:ascii="Symbol" w:hAnsi="Symbol" w:cs="Symbol" w:hint="default"/>
      </w:rPr>
    </w:lvl>
    <w:lvl w:ilvl="4">
      <w:start w:val="1"/>
      <w:numFmt w:val="bullet"/>
      <w:lvlText w:val="o"/>
      <w:lvlJc w:val="left"/>
      <w:pPr>
        <w:tabs>
          <w:tab w:val="num" w:pos="-360"/>
        </w:tabs>
        <w:ind w:left="3240" w:hanging="360"/>
      </w:pPr>
      <w:rPr>
        <w:rFonts w:ascii="Courier New" w:hAnsi="Courier New" w:cs="Courier New" w:hint="default"/>
      </w:rPr>
    </w:lvl>
    <w:lvl w:ilvl="5">
      <w:start w:val="1"/>
      <w:numFmt w:val="bullet"/>
      <w:lvlText w:val=""/>
      <w:lvlJc w:val="left"/>
      <w:pPr>
        <w:tabs>
          <w:tab w:val="num" w:pos="-360"/>
        </w:tabs>
        <w:ind w:left="3960" w:hanging="360"/>
      </w:pPr>
      <w:rPr>
        <w:rFonts w:ascii="Wingdings" w:hAnsi="Wingdings" w:cs="Wingdings" w:hint="default"/>
      </w:rPr>
    </w:lvl>
    <w:lvl w:ilvl="6">
      <w:start w:val="1"/>
      <w:numFmt w:val="bullet"/>
      <w:lvlText w:val=""/>
      <w:lvlJc w:val="left"/>
      <w:pPr>
        <w:tabs>
          <w:tab w:val="num" w:pos="-360"/>
        </w:tabs>
        <w:ind w:left="4680" w:hanging="360"/>
      </w:pPr>
      <w:rPr>
        <w:rFonts w:ascii="Symbol" w:hAnsi="Symbol" w:cs="Symbol" w:hint="default"/>
      </w:rPr>
    </w:lvl>
    <w:lvl w:ilvl="7">
      <w:start w:val="1"/>
      <w:numFmt w:val="bullet"/>
      <w:lvlText w:val="o"/>
      <w:lvlJc w:val="left"/>
      <w:pPr>
        <w:tabs>
          <w:tab w:val="num" w:pos="-360"/>
        </w:tabs>
        <w:ind w:left="5400" w:hanging="360"/>
      </w:pPr>
      <w:rPr>
        <w:rFonts w:ascii="Courier New" w:hAnsi="Courier New" w:cs="Courier New" w:hint="default"/>
      </w:rPr>
    </w:lvl>
    <w:lvl w:ilvl="8">
      <w:start w:val="1"/>
      <w:numFmt w:val="bullet"/>
      <w:lvlText w:val=""/>
      <w:lvlJc w:val="left"/>
      <w:pPr>
        <w:tabs>
          <w:tab w:val="num" w:pos="-360"/>
        </w:tabs>
        <w:ind w:left="6120" w:hanging="360"/>
      </w:pPr>
      <w:rPr>
        <w:rFonts w:ascii="Wingdings" w:hAnsi="Wingdings" w:cs="Wingdings" w:hint="default"/>
      </w:rPr>
    </w:lvl>
  </w:abstractNum>
  <w:abstractNum w:abstractNumId="151">
    <w:nsid w:val="6DBA5095"/>
    <w:multiLevelType w:val="hybridMultilevel"/>
    <w:tmpl w:val="88DCD9E6"/>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2">
    <w:nsid w:val="6DEC53D9"/>
    <w:multiLevelType w:val="hybridMultilevel"/>
    <w:tmpl w:val="AC5A78C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3">
    <w:nsid w:val="6DF232C1"/>
    <w:multiLevelType w:val="hybridMultilevel"/>
    <w:tmpl w:val="3A4A82E0"/>
    <w:lvl w:ilvl="0" w:tplc="08090019">
      <w:start w:val="1"/>
      <w:numFmt w:val="lowerLetter"/>
      <w:lvlText w:val="%1."/>
      <w:lvlJc w:val="left"/>
      <w:pPr>
        <w:ind w:left="2100" w:hanging="360"/>
      </w:pPr>
    </w:lvl>
    <w:lvl w:ilvl="1" w:tplc="041C0019" w:tentative="1">
      <w:start w:val="1"/>
      <w:numFmt w:val="lowerLetter"/>
      <w:lvlText w:val="%2."/>
      <w:lvlJc w:val="left"/>
      <w:pPr>
        <w:ind w:left="2820" w:hanging="360"/>
      </w:pPr>
    </w:lvl>
    <w:lvl w:ilvl="2" w:tplc="041C001B" w:tentative="1">
      <w:start w:val="1"/>
      <w:numFmt w:val="lowerRoman"/>
      <w:lvlText w:val="%3."/>
      <w:lvlJc w:val="right"/>
      <w:pPr>
        <w:ind w:left="3540" w:hanging="180"/>
      </w:pPr>
    </w:lvl>
    <w:lvl w:ilvl="3" w:tplc="041C000F" w:tentative="1">
      <w:start w:val="1"/>
      <w:numFmt w:val="decimal"/>
      <w:lvlText w:val="%4."/>
      <w:lvlJc w:val="left"/>
      <w:pPr>
        <w:ind w:left="4260" w:hanging="360"/>
      </w:pPr>
    </w:lvl>
    <w:lvl w:ilvl="4" w:tplc="041C0019" w:tentative="1">
      <w:start w:val="1"/>
      <w:numFmt w:val="lowerLetter"/>
      <w:lvlText w:val="%5."/>
      <w:lvlJc w:val="left"/>
      <w:pPr>
        <w:ind w:left="4980" w:hanging="360"/>
      </w:pPr>
    </w:lvl>
    <w:lvl w:ilvl="5" w:tplc="041C001B" w:tentative="1">
      <w:start w:val="1"/>
      <w:numFmt w:val="lowerRoman"/>
      <w:lvlText w:val="%6."/>
      <w:lvlJc w:val="right"/>
      <w:pPr>
        <w:ind w:left="5700" w:hanging="180"/>
      </w:pPr>
    </w:lvl>
    <w:lvl w:ilvl="6" w:tplc="041C000F" w:tentative="1">
      <w:start w:val="1"/>
      <w:numFmt w:val="decimal"/>
      <w:lvlText w:val="%7."/>
      <w:lvlJc w:val="left"/>
      <w:pPr>
        <w:ind w:left="6420" w:hanging="360"/>
      </w:pPr>
    </w:lvl>
    <w:lvl w:ilvl="7" w:tplc="041C0019" w:tentative="1">
      <w:start w:val="1"/>
      <w:numFmt w:val="lowerLetter"/>
      <w:lvlText w:val="%8."/>
      <w:lvlJc w:val="left"/>
      <w:pPr>
        <w:ind w:left="7140" w:hanging="360"/>
      </w:pPr>
    </w:lvl>
    <w:lvl w:ilvl="8" w:tplc="041C001B" w:tentative="1">
      <w:start w:val="1"/>
      <w:numFmt w:val="lowerRoman"/>
      <w:lvlText w:val="%9."/>
      <w:lvlJc w:val="right"/>
      <w:pPr>
        <w:ind w:left="7860" w:hanging="180"/>
      </w:pPr>
    </w:lvl>
  </w:abstractNum>
  <w:abstractNum w:abstractNumId="154">
    <w:nsid w:val="6EDF2D53"/>
    <w:multiLevelType w:val="hybridMultilevel"/>
    <w:tmpl w:val="2E82872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5">
    <w:nsid w:val="6F79516D"/>
    <w:multiLevelType w:val="hybridMultilevel"/>
    <w:tmpl w:val="1A244F40"/>
    <w:lvl w:ilvl="0" w:tplc="87C4E5CA">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6">
    <w:nsid w:val="6F8F130C"/>
    <w:multiLevelType w:val="hybridMultilevel"/>
    <w:tmpl w:val="88DCD9E6"/>
    <w:lvl w:ilvl="0" w:tplc="0809000F">
      <w:start w:val="1"/>
      <w:numFmt w:val="decimal"/>
      <w:lvlText w:val="%1."/>
      <w:lvlJc w:val="left"/>
      <w:pPr>
        <w:ind w:left="502"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7">
    <w:nsid w:val="6FBC55CD"/>
    <w:multiLevelType w:val="hybridMultilevel"/>
    <w:tmpl w:val="B09E3A26"/>
    <w:lvl w:ilvl="0" w:tplc="FF0AD89E">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8">
    <w:nsid w:val="6FD06076"/>
    <w:multiLevelType w:val="hybridMultilevel"/>
    <w:tmpl w:val="88DCD9E6"/>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9">
    <w:nsid w:val="714528DD"/>
    <w:multiLevelType w:val="hybridMultilevel"/>
    <w:tmpl w:val="AABEA614"/>
    <w:lvl w:ilvl="0" w:tplc="67CA514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nsid w:val="72237905"/>
    <w:multiLevelType w:val="hybridMultilevel"/>
    <w:tmpl w:val="AC5A78C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1">
    <w:nsid w:val="72A32CAF"/>
    <w:multiLevelType w:val="hybridMultilevel"/>
    <w:tmpl w:val="C9542CB2"/>
    <w:lvl w:ilvl="0" w:tplc="F3B4FE9A">
      <w:start w:val="1"/>
      <w:numFmt w:val="lowerLetter"/>
      <w:lvlText w:val="%1."/>
      <w:lvlJc w:val="left"/>
      <w:pPr>
        <w:ind w:left="1440" w:hanging="360"/>
      </w:pPr>
      <w:rPr>
        <w:b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2">
    <w:nsid w:val="730E3407"/>
    <w:multiLevelType w:val="hybridMultilevel"/>
    <w:tmpl w:val="A6EE8E3A"/>
    <w:lvl w:ilvl="0" w:tplc="08090019">
      <w:start w:val="1"/>
      <w:numFmt w:val="lowerLetter"/>
      <w:lvlText w:val="%1."/>
      <w:lvlJc w:val="left"/>
      <w:pPr>
        <w:ind w:left="2100" w:hanging="360"/>
      </w:pPr>
    </w:lvl>
    <w:lvl w:ilvl="1" w:tplc="041C0019" w:tentative="1">
      <w:start w:val="1"/>
      <w:numFmt w:val="lowerLetter"/>
      <w:lvlText w:val="%2."/>
      <w:lvlJc w:val="left"/>
      <w:pPr>
        <w:ind w:left="2820" w:hanging="360"/>
      </w:pPr>
    </w:lvl>
    <w:lvl w:ilvl="2" w:tplc="041C001B" w:tentative="1">
      <w:start w:val="1"/>
      <w:numFmt w:val="lowerRoman"/>
      <w:lvlText w:val="%3."/>
      <w:lvlJc w:val="right"/>
      <w:pPr>
        <w:ind w:left="3540" w:hanging="180"/>
      </w:pPr>
    </w:lvl>
    <w:lvl w:ilvl="3" w:tplc="041C000F" w:tentative="1">
      <w:start w:val="1"/>
      <w:numFmt w:val="decimal"/>
      <w:lvlText w:val="%4."/>
      <w:lvlJc w:val="left"/>
      <w:pPr>
        <w:ind w:left="4260" w:hanging="360"/>
      </w:pPr>
    </w:lvl>
    <w:lvl w:ilvl="4" w:tplc="041C0019" w:tentative="1">
      <w:start w:val="1"/>
      <w:numFmt w:val="lowerLetter"/>
      <w:lvlText w:val="%5."/>
      <w:lvlJc w:val="left"/>
      <w:pPr>
        <w:ind w:left="4980" w:hanging="360"/>
      </w:pPr>
    </w:lvl>
    <w:lvl w:ilvl="5" w:tplc="041C001B" w:tentative="1">
      <w:start w:val="1"/>
      <w:numFmt w:val="lowerRoman"/>
      <w:lvlText w:val="%6."/>
      <w:lvlJc w:val="right"/>
      <w:pPr>
        <w:ind w:left="5700" w:hanging="180"/>
      </w:pPr>
    </w:lvl>
    <w:lvl w:ilvl="6" w:tplc="041C000F" w:tentative="1">
      <w:start w:val="1"/>
      <w:numFmt w:val="decimal"/>
      <w:lvlText w:val="%7."/>
      <w:lvlJc w:val="left"/>
      <w:pPr>
        <w:ind w:left="6420" w:hanging="360"/>
      </w:pPr>
    </w:lvl>
    <w:lvl w:ilvl="7" w:tplc="041C0019" w:tentative="1">
      <w:start w:val="1"/>
      <w:numFmt w:val="lowerLetter"/>
      <w:lvlText w:val="%8."/>
      <w:lvlJc w:val="left"/>
      <w:pPr>
        <w:ind w:left="7140" w:hanging="360"/>
      </w:pPr>
    </w:lvl>
    <w:lvl w:ilvl="8" w:tplc="041C001B" w:tentative="1">
      <w:start w:val="1"/>
      <w:numFmt w:val="lowerRoman"/>
      <w:lvlText w:val="%9."/>
      <w:lvlJc w:val="right"/>
      <w:pPr>
        <w:ind w:left="7860" w:hanging="180"/>
      </w:pPr>
    </w:lvl>
  </w:abstractNum>
  <w:abstractNum w:abstractNumId="163">
    <w:nsid w:val="73166CA2"/>
    <w:multiLevelType w:val="hybridMultilevel"/>
    <w:tmpl w:val="42C269AE"/>
    <w:lvl w:ilvl="0" w:tplc="A8F66A3C">
      <w:start w:val="4"/>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4">
    <w:nsid w:val="75576354"/>
    <w:multiLevelType w:val="hybridMultilevel"/>
    <w:tmpl w:val="9740F898"/>
    <w:lvl w:ilvl="0" w:tplc="08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5">
    <w:nsid w:val="75B02E66"/>
    <w:multiLevelType w:val="multilevel"/>
    <w:tmpl w:val="041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6">
    <w:nsid w:val="75EB7711"/>
    <w:multiLevelType w:val="hybridMultilevel"/>
    <w:tmpl w:val="B09E3A26"/>
    <w:lvl w:ilvl="0" w:tplc="FF0AD89E">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7">
    <w:nsid w:val="773C147B"/>
    <w:multiLevelType w:val="hybridMultilevel"/>
    <w:tmpl w:val="B09E3A26"/>
    <w:lvl w:ilvl="0" w:tplc="FF0AD89E">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8">
    <w:nsid w:val="776833BF"/>
    <w:multiLevelType w:val="multilevel"/>
    <w:tmpl w:val="A78C20A4"/>
    <w:lvl w:ilvl="0">
      <w:start w:val="1"/>
      <w:numFmt w:val="decimal"/>
      <w:lvlText w:val="%1."/>
      <w:lvlJc w:val="left"/>
      <w:pPr>
        <w:tabs>
          <w:tab w:val="num" w:pos="0"/>
        </w:tabs>
        <w:ind w:left="720" w:hanging="360"/>
      </w:pPr>
      <w:rPr>
        <w:color w:val="0D0D0D"/>
        <w:lang w:val="en-GB"/>
      </w:rPr>
    </w:lvl>
    <w:lvl w:ilvl="1">
      <w:start w:val="1"/>
      <w:numFmt w:val="lowerLetter"/>
      <w:lvlText w:val="%2."/>
      <w:lvlJc w:val="left"/>
      <w:pPr>
        <w:tabs>
          <w:tab w:val="num" w:pos="0"/>
        </w:tabs>
        <w:ind w:left="360" w:hanging="360"/>
      </w:pPr>
      <w:rPr>
        <w:rFonts w:ascii="Times New Roman" w:hAnsi="Times New Roman" w:cs="Times New Roman"/>
        <w:color w:val="202124"/>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9">
    <w:nsid w:val="7791379B"/>
    <w:multiLevelType w:val="multilevel"/>
    <w:tmpl w:val="BFB62248"/>
    <w:lvl w:ilvl="0">
      <w:start w:val="1"/>
      <w:numFmt w:val="bullet"/>
      <w:pStyle w:val="ECABullets"/>
      <w:lvlText w:val=""/>
      <w:lvlJc w:val="left"/>
      <w:pPr>
        <w:tabs>
          <w:tab w:val="num" w:pos="1134"/>
        </w:tabs>
        <w:ind w:left="1134" w:hanging="567"/>
      </w:pPr>
      <w:rPr>
        <w:rFonts w:ascii="Monotype Sorts" w:hAnsi="Monotype Sorts" w:hint="default"/>
        <w:sz w:val="22"/>
      </w:rPr>
    </w:lvl>
    <w:lvl w:ilvl="1">
      <w:start w:val="1"/>
      <w:numFmt w:val="bullet"/>
      <w:pStyle w:val="ECABulletsSub"/>
      <w:lvlText w:val=""/>
      <w:lvlJc w:val="left"/>
      <w:pPr>
        <w:tabs>
          <w:tab w:val="num" w:pos="1701"/>
        </w:tabs>
        <w:ind w:left="1701" w:hanging="567"/>
      </w:pPr>
      <w:rPr>
        <w:rFonts w:ascii="Monotype Sorts" w:hAnsi="Monotype Sorts" w:hint="default"/>
        <w:sz w:val="16"/>
      </w:rPr>
    </w:lvl>
    <w:lvl w:ilvl="2">
      <w:start w:val="1"/>
      <w:numFmt w:val="bullet"/>
      <w:lvlRestart w:val="0"/>
      <w:pStyle w:val="ECABulletsSub"/>
      <w:lvlText w:val=""/>
      <w:lvlJc w:val="left"/>
      <w:pPr>
        <w:tabs>
          <w:tab w:val="num" w:pos="2268"/>
        </w:tabs>
        <w:ind w:left="2268" w:hanging="567"/>
      </w:pPr>
      <w:rPr>
        <w:rFonts w:ascii="Wingdings" w:hAnsi="Wingdings" w:hint="default"/>
        <w:sz w:val="16"/>
      </w:rPr>
    </w:lvl>
    <w:lvl w:ilvl="3">
      <w:start w:val="1"/>
      <w:numFmt w:val="none"/>
      <w:lvlText w:val=""/>
      <w:lvlJc w:val="left"/>
      <w:pPr>
        <w:tabs>
          <w:tab w:val="num" w:pos="0"/>
        </w:tabs>
        <w:ind w:left="2214" w:hanging="360"/>
      </w:pPr>
      <w:rPr>
        <w:rFonts w:ascii="Symbol" w:hAnsi="Symbol" w:hint="default"/>
      </w:rPr>
    </w:lvl>
    <w:lvl w:ilvl="4">
      <w:start w:val="1"/>
      <w:numFmt w:val="none"/>
      <w:lvlText w:val="o"/>
      <w:lvlJc w:val="left"/>
      <w:pPr>
        <w:tabs>
          <w:tab w:val="num" w:pos="0"/>
        </w:tabs>
        <w:ind w:left="2574" w:hanging="360"/>
      </w:pPr>
      <w:rPr>
        <w:rFonts w:ascii="Courier New" w:hAnsi="Courier New" w:hint="default"/>
      </w:rPr>
    </w:lvl>
    <w:lvl w:ilvl="5">
      <w:start w:val="1"/>
      <w:numFmt w:val="none"/>
      <w:lvlText w:val=""/>
      <w:lvlJc w:val="left"/>
      <w:pPr>
        <w:tabs>
          <w:tab w:val="num" w:pos="0"/>
        </w:tabs>
        <w:ind w:left="2934" w:hanging="360"/>
      </w:pPr>
      <w:rPr>
        <w:rFonts w:ascii="Wingdings" w:hAnsi="Wingdings" w:hint="default"/>
      </w:rPr>
    </w:lvl>
    <w:lvl w:ilvl="6">
      <w:start w:val="1"/>
      <w:numFmt w:val="none"/>
      <w:lvlText w:val=""/>
      <w:lvlJc w:val="left"/>
      <w:pPr>
        <w:tabs>
          <w:tab w:val="num" w:pos="0"/>
        </w:tabs>
        <w:ind w:left="3294" w:hanging="360"/>
      </w:pPr>
      <w:rPr>
        <w:rFonts w:ascii="Symbol" w:hAnsi="Symbol" w:hint="default"/>
      </w:rPr>
    </w:lvl>
    <w:lvl w:ilvl="7">
      <w:start w:val="1"/>
      <w:numFmt w:val="none"/>
      <w:lvlText w:val="o"/>
      <w:lvlJc w:val="left"/>
      <w:pPr>
        <w:tabs>
          <w:tab w:val="num" w:pos="0"/>
        </w:tabs>
        <w:ind w:left="3654" w:hanging="360"/>
      </w:pPr>
      <w:rPr>
        <w:rFonts w:ascii="Courier New" w:hAnsi="Courier New" w:hint="default"/>
      </w:rPr>
    </w:lvl>
    <w:lvl w:ilvl="8">
      <w:start w:val="1"/>
      <w:numFmt w:val="none"/>
      <w:lvlText w:val=""/>
      <w:lvlJc w:val="left"/>
      <w:pPr>
        <w:tabs>
          <w:tab w:val="num" w:pos="0"/>
        </w:tabs>
        <w:ind w:left="4014" w:hanging="360"/>
      </w:pPr>
      <w:rPr>
        <w:rFonts w:ascii="Wingdings" w:hAnsi="Wingdings" w:hint="default"/>
      </w:rPr>
    </w:lvl>
  </w:abstractNum>
  <w:abstractNum w:abstractNumId="170">
    <w:nsid w:val="7884270C"/>
    <w:multiLevelType w:val="hybridMultilevel"/>
    <w:tmpl w:val="AC5A78C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1">
    <w:nsid w:val="789E089B"/>
    <w:multiLevelType w:val="hybridMultilevel"/>
    <w:tmpl w:val="A6EE8E3A"/>
    <w:lvl w:ilvl="0" w:tplc="08090019">
      <w:start w:val="1"/>
      <w:numFmt w:val="lowerLetter"/>
      <w:lvlText w:val="%1."/>
      <w:lvlJc w:val="left"/>
      <w:pPr>
        <w:ind w:left="2100" w:hanging="360"/>
      </w:pPr>
    </w:lvl>
    <w:lvl w:ilvl="1" w:tplc="041C0019" w:tentative="1">
      <w:start w:val="1"/>
      <w:numFmt w:val="lowerLetter"/>
      <w:lvlText w:val="%2."/>
      <w:lvlJc w:val="left"/>
      <w:pPr>
        <w:ind w:left="2820" w:hanging="360"/>
      </w:pPr>
    </w:lvl>
    <w:lvl w:ilvl="2" w:tplc="041C001B" w:tentative="1">
      <w:start w:val="1"/>
      <w:numFmt w:val="lowerRoman"/>
      <w:lvlText w:val="%3."/>
      <w:lvlJc w:val="right"/>
      <w:pPr>
        <w:ind w:left="3540" w:hanging="180"/>
      </w:pPr>
    </w:lvl>
    <w:lvl w:ilvl="3" w:tplc="041C000F" w:tentative="1">
      <w:start w:val="1"/>
      <w:numFmt w:val="decimal"/>
      <w:lvlText w:val="%4."/>
      <w:lvlJc w:val="left"/>
      <w:pPr>
        <w:ind w:left="4260" w:hanging="360"/>
      </w:pPr>
    </w:lvl>
    <w:lvl w:ilvl="4" w:tplc="041C0019" w:tentative="1">
      <w:start w:val="1"/>
      <w:numFmt w:val="lowerLetter"/>
      <w:lvlText w:val="%5."/>
      <w:lvlJc w:val="left"/>
      <w:pPr>
        <w:ind w:left="4980" w:hanging="360"/>
      </w:pPr>
    </w:lvl>
    <w:lvl w:ilvl="5" w:tplc="041C001B" w:tentative="1">
      <w:start w:val="1"/>
      <w:numFmt w:val="lowerRoman"/>
      <w:lvlText w:val="%6."/>
      <w:lvlJc w:val="right"/>
      <w:pPr>
        <w:ind w:left="5700" w:hanging="180"/>
      </w:pPr>
    </w:lvl>
    <w:lvl w:ilvl="6" w:tplc="041C000F" w:tentative="1">
      <w:start w:val="1"/>
      <w:numFmt w:val="decimal"/>
      <w:lvlText w:val="%7."/>
      <w:lvlJc w:val="left"/>
      <w:pPr>
        <w:ind w:left="6420" w:hanging="360"/>
      </w:pPr>
    </w:lvl>
    <w:lvl w:ilvl="7" w:tplc="041C0019" w:tentative="1">
      <w:start w:val="1"/>
      <w:numFmt w:val="lowerLetter"/>
      <w:lvlText w:val="%8."/>
      <w:lvlJc w:val="left"/>
      <w:pPr>
        <w:ind w:left="7140" w:hanging="360"/>
      </w:pPr>
    </w:lvl>
    <w:lvl w:ilvl="8" w:tplc="041C001B" w:tentative="1">
      <w:start w:val="1"/>
      <w:numFmt w:val="lowerRoman"/>
      <w:lvlText w:val="%9."/>
      <w:lvlJc w:val="right"/>
      <w:pPr>
        <w:ind w:left="7860" w:hanging="180"/>
      </w:pPr>
    </w:lvl>
  </w:abstractNum>
  <w:abstractNum w:abstractNumId="172">
    <w:nsid w:val="78A06785"/>
    <w:multiLevelType w:val="hybridMultilevel"/>
    <w:tmpl w:val="611853E4"/>
    <w:lvl w:ilvl="0" w:tplc="9D8C9174">
      <w:numFmt w:val="bullet"/>
      <w:lvlText w:val="-"/>
      <w:lvlJc w:val="left"/>
      <w:pPr>
        <w:ind w:left="1004" w:hanging="360"/>
      </w:pPr>
      <w:rPr>
        <w:rFonts w:ascii="Calibri" w:eastAsia="Calibri" w:hAnsi="Calibri" w:cs="Times New Roman" w:hint="default"/>
        <w:b w:val="0"/>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3">
    <w:nsid w:val="78C57DCC"/>
    <w:multiLevelType w:val="hybridMultilevel"/>
    <w:tmpl w:val="390A7E12"/>
    <w:lvl w:ilvl="0" w:tplc="189C598E">
      <w:start w:val="1"/>
      <w:numFmt w:val="decimal"/>
      <w:pStyle w:val="Heading6"/>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4">
    <w:nsid w:val="795C1614"/>
    <w:multiLevelType w:val="hybridMultilevel"/>
    <w:tmpl w:val="9740F898"/>
    <w:lvl w:ilvl="0" w:tplc="08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5">
    <w:nsid w:val="79D073FC"/>
    <w:multiLevelType w:val="hybridMultilevel"/>
    <w:tmpl w:val="C9542CB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6">
    <w:nsid w:val="79ED5E77"/>
    <w:multiLevelType w:val="hybridMultilevel"/>
    <w:tmpl w:val="B09E3A26"/>
    <w:lvl w:ilvl="0" w:tplc="FF0AD89E">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7">
    <w:nsid w:val="7AD62477"/>
    <w:multiLevelType w:val="hybridMultilevel"/>
    <w:tmpl w:val="965A8EE6"/>
    <w:lvl w:ilvl="0" w:tplc="04090001">
      <w:start w:val="1"/>
      <w:numFmt w:val="bullet"/>
      <w:lvlText w:val=""/>
      <w:lvlJc w:val="left"/>
      <w:pPr>
        <w:ind w:left="367" w:hanging="360"/>
      </w:pPr>
      <w:rPr>
        <w:rFonts w:ascii="Symbol" w:hAnsi="Symbol" w:hint="default"/>
      </w:rPr>
    </w:lvl>
    <w:lvl w:ilvl="1" w:tplc="04090003" w:tentative="1">
      <w:start w:val="1"/>
      <w:numFmt w:val="bullet"/>
      <w:lvlText w:val="o"/>
      <w:lvlJc w:val="left"/>
      <w:pPr>
        <w:ind w:left="727" w:hanging="360"/>
      </w:pPr>
      <w:rPr>
        <w:rFonts w:ascii="Courier New" w:hAnsi="Courier New" w:cs="Courier New" w:hint="default"/>
      </w:rPr>
    </w:lvl>
    <w:lvl w:ilvl="2" w:tplc="04090005" w:tentative="1">
      <w:start w:val="1"/>
      <w:numFmt w:val="bullet"/>
      <w:lvlText w:val=""/>
      <w:lvlJc w:val="left"/>
      <w:pPr>
        <w:ind w:left="1447" w:hanging="360"/>
      </w:pPr>
      <w:rPr>
        <w:rFonts w:ascii="Wingdings" w:hAnsi="Wingdings" w:hint="default"/>
      </w:rPr>
    </w:lvl>
    <w:lvl w:ilvl="3" w:tplc="04090001" w:tentative="1">
      <w:start w:val="1"/>
      <w:numFmt w:val="bullet"/>
      <w:lvlText w:val=""/>
      <w:lvlJc w:val="left"/>
      <w:pPr>
        <w:ind w:left="2167" w:hanging="360"/>
      </w:pPr>
      <w:rPr>
        <w:rFonts w:ascii="Symbol" w:hAnsi="Symbol" w:hint="default"/>
      </w:rPr>
    </w:lvl>
    <w:lvl w:ilvl="4" w:tplc="04090003" w:tentative="1">
      <w:start w:val="1"/>
      <w:numFmt w:val="bullet"/>
      <w:lvlText w:val="o"/>
      <w:lvlJc w:val="left"/>
      <w:pPr>
        <w:ind w:left="2887" w:hanging="360"/>
      </w:pPr>
      <w:rPr>
        <w:rFonts w:ascii="Courier New" w:hAnsi="Courier New" w:cs="Courier New" w:hint="default"/>
      </w:rPr>
    </w:lvl>
    <w:lvl w:ilvl="5" w:tplc="04090005" w:tentative="1">
      <w:start w:val="1"/>
      <w:numFmt w:val="bullet"/>
      <w:lvlText w:val=""/>
      <w:lvlJc w:val="left"/>
      <w:pPr>
        <w:ind w:left="3607" w:hanging="360"/>
      </w:pPr>
      <w:rPr>
        <w:rFonts w:ascii="Wingdings" w:hAnsi="Wingdings" w:hint="default"/>
      </w:rPr>
    </w:lvl>
    <w:lvl w:ilvl="6" w:tplc="04090001" w:tentative="1">
      <w:start w:val="1"/>
      <w:numFmt w:val="bullet"/>
      <w:lvlText w:val=""/>
      <w:lvlJc w:val="left"/>
      <w:pPr>
        <w:ind w:left="4327" w:hanging="360"/>
      </w:pPr>
      <w:rPr>
        <w:rFonts w:ascii="Symbol" w:hAnsi="Symbol" w:hint="default"/>
      </w:rPr>
    </w:lvl>
    <w:lvl w:ilvl="7" w:tplc="04090003" w:tentative="1">
      <w:start w:val="1"/>
      <w:numFmt w:val="bullet"/>
      <w:lvlText w:val="o"/>
      <w:lvlJc w:val="left"/>
      <w:pPr>
        <w:ind w:left="5047" w:hanging="360"/>
      </w:pPr>
      <w:rPr>
        <w:rFonts w:ascii="Courier New" w:hAnsi="Courier New" w:cs="Courier New" w:hint="default"/>
      </w:rPr>
    </w:lvl>
    <w:lvl w:ilvl="8" w:tplc="04090005" w:tentative="1">
      <w:start w:val="1"/>
      <w:numFmt w:val="bullet"/>
      <w:lvlText w:val=""/>
      <w:lvlJc w:val="left"/>
      <w:pPr>
        <w:ind w:left="5767" w:hanging="360"/>
      </w:pPr>
      <w:rPr>
        <w:rFonts w:ascii="Wingdings" w:hAnsi="Wingdings" w:hint="default"/>
      </w:rPr>
    </w:lvl>
  </w:abstractNum>
  <w:abstractNum w:abstractNumId="178">
    <w:nsid w:val="7B6222F8"/>
    <w:multiLevelType w:val="multilevel"/>
    <w:tmpl w:val="74A663AA"/>
    <w:lvl w:ilvl="0">
      <w:start w:val="2"/>
      <w:numFmt w:val="bullet"/>
      <w:lvlText w:val="-"/>
      <w:lvlJc w:val="left"/>
      <w:pPr>
        <w:tabs>
          <w:tab w:val="num" w:pos="0"/>
        </w:tabs>
        <w:ind w:left="720" w:hanging="360"/>
      </w:pPr>
      <w:rPr>
        <w:rFonts w:ascii="Times New Roman" w:hAnsi="Times New Roman" w:cs="Times New Roman"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9">
    <w:nsid w:val="7B89129C"/>
    <w:multiLevelType w:val="hybridMultilevel"/>
    <w:tmpl w:val="88DCD9E6"/>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0">
    <w:nsid w:val="7C0218F4"/>
    <w:multiLevelType w:val="hybridMultilevel"/>
    <w:tmpl w:val="C9542CB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1">
    <w:nsid w:val="7C0D46B9"/>
    <w:multiLevelType w:val="multilevel"/>
    <w:tmpl w:val="D0C2380E"/>
    <w:lvl w:ilvl="0">
      <w:start w:val="1"/>
      <w:numFmt w:val="upperLetter"/>
      <w:lvlText w:val="%1."/>
      <w:lvlJc w:val="left"/>
      <w:pPr>
        <w:tabs>
          <w:tab w:val="num" w:pos="0"/>
        </w:tabs>
        <w:ind w:left="720" w:hanging="360"/>
      </w:pPr>
      <w:rPr>
        <w:b/>
        <w:bCs/>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2">
    <w:nsid w:val="7D9A61A6"/>
    <w:multiLevelType w:val="hybridMultilevel"/>
    <w:tmpl w:val="B782A946"/>
    <w:lvl w:ilvl="0" w:tplc="3C04F5C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nsid w:val="7E3F7FA9"/>
    <w:multiLevelType w:val="hybridMultilevel"/>
    <w:tmpl w:val="88DCD9E6"/>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4">
    <w:nsid w:val="7EB52F06"/>
    <w:multiLevelType w:val="hybridMultilevel"/>
    <w:tmpl w:val="D6D8A59A"/>
    <w:lvl w:ilvl="0" w:tplc="87C4E5CA">
      <w:numFmt w:val="bullet"/>
      <w:lvlText w:val="-"/>
      <w:lvlJc w:val="left"/>
      <w:pPr>
        <w:ind w:left="360" w:hanging="360"/>
      </w:pPr>
      <w:rPr>
        <w:rFonts w:ascii="Calibri" w:eastAsia="Times New Roman" w:hAnsi="Calibri"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5">
    <w:nsid w:val="7F8C65AB"/>
    <w:multiLevelType w:val="hybridMultilevel"/>
    <w:tmpl w:val="51105144"/>
    <w:lvl w:ilvl="0" w:tplc="E93C60F6">
      <w:start w:val="1"/>
      <w:numFmt w:val="lowerRoman"/>
      <w:lvlText w:val="%1."/>
      <w:lvlJc w:val="left"/>
      <w:pPr>
        <w:ind w:left="720" w:hanging="360"/>
      </w:pPr>
      <w:rPr>
        <w:rFonts w:hint="default"/>
      </w:rPr>
    </w:lvl>
    <w:lvl w:ilvl="1" w:tplc="E93C60F6">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nsid w:val="7FEA7A9E"/>
    <w:multiLevelType w:val="multilevel"/>
    <w:tmpl w:val="9B967AA4"/>
    <w:lvl w:ilvl="0">
      <w:start w:val="1"/>
      <w:numFmt w:val="decimal"/>
      <w:lvlText w:val="%1."/>
      <w:lvlJc w:val="left"/>
      <w:pPr>
        <w:tabs>
          <w:tab w:val="num" w:pos="-36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65"/>
  </w:num>
  <w:num w:numId="2">
    <w:abstractNumId w:val="76"/>
  </w:num>
  <w:num w:numId="3">
    <w:abstractNumId w:val="116"/>
  </w:num>
  <w:num w:numId="4">
    <w:abstractNumId w:val="44"/>
  </w:num>
  <w:num w:numId="5">
    <w:abstractNumId w:val="33"/>
  </w:num>
  <w:num w:numId="6">
    <w:abstractNumId w:val="173"/>
  </w:num>
  <w:num w:numId="7">
    <w:abstractNumId w:val="89"/>
  </w:num>
  <w:num w:numId="8">
    <w:abstractNumId w:val="96"/>
  </w:num>
  <w:num w:numId="9">
    <w:abstractNumId w:val="169"/>
  </w:num>
  <w:num w:numId="10">
    <w:abstractNumId w:val="175"/>
  </w:num>
  <w:num w:numId="11">
    <w:abstractNumId w:val="171"/>
  </w:num>
  <w:num w:numId="12">
    <w:abstractNumId w:val="183"/>
  </w:num>
  <w:num w:numId="13">
    <w:abstractNumId w:val="27"/>
  </w:num>
  <w:num w:numId="14">
    <w:abstractNumId w:val="74"/>
  </w:num>
  <w:num w:numId="15">
    <w:abstractNumId w:val="16"/>
  </w:num>
  <w:num w:numId="16">
    <w:abstractNumId w:val="101"/>
  </w:num>
  <w:num w:numId="17">
    <w:abstractNumId w:val="4"/>
  </w:num>
  <w:num w:numId="18">
    <w:abstractNumId w:val="68"/>
  </w:num>
  <w:num w:numId="19">
    <w:abstractNumId w:val="130"/>
  </w:num>
  <w:num w:numId="20">
    <w:abstractNumId w:val="31"/>
  </w:num>
  <w:num w:numId="21">
    <w:abstractNumId w:val="32"/>
  </w:num>
  <w:num w:numId="22">
    <w:abstractNumId w:val="119"/>
  </w:num>
  <w:num w:numId="23">
    <w:abstractNumId w:val="48"/>
  </w:num>
  <w:num w:numId="24">
    <w:abstractNumId w:val="164"/>
  </w:num>
  <w:num w:numId="25">
    <w:abstractNumId w:val="100"/>
  </w:num>
  <w:num w:numId="26">
    <w:abstractNumId w:val="154"/>
  </w:num>
  <w:num w:numId="27">
    <w:abstractNumId w:val="129"/>
  </w:num>
  <w:num w:numId="28">
    <w:abstractNumId w:val="156"/>
  </w:num>
  <w:num w:numId="29">
    <w:abstractNumId w:val="174"/>
  </w:num>
  <w:num w:numId="30">
    <w:abstractNumId w:val="87"/>
  </w:num>
  <w:num w:numId="31">
    <w:abstractNumId w:val="90"/>
  </w:num>
  <w:num w:numId="32">
    <w:abstractNumId w:val="111"/>
  </w:num>
  <w:num w:numId="33">
    <w:abstractNumId w:val="10"/>
  </w:num>
  <w:num w:numId="34">
    <w:abstractNumId w:val="117"/>
  </w:num>
  <w:num w:numId="35">
    <w:abstractNumId w:val="11"/>
  </w:num>
  <w:num w:numId="36">
    <w:abstractNumId w:val="91"/>
  </w:num>
  <w:num w:numId="37">
    <w:abstractNumId w:val="28"/>
  </w:num>
  <w:num w:numId="38">
    <w:abstractNumId w:val="45"/>
  </w:num>
  <w:num w:numId="39">
    <w:abstractNumId w:val="56"/>
  </w:num>
  <w:num w:numId="40">
    <w:abstractNumId w:val="1"/>
  </w:num>
  <w:num w:numId="41">
    <w:abstractNumId w:val="23"/>
  </w:num>
  <w:num w:numId="42">
    <w:abstractNumId w:val="18"/>
  </w:num>
  <w:num w:numId="43">
    <w:abstractNumId w:val="132"/>
  </w:num>
  <w:num w:numId="44">
    <w:abstractNumId w:val="158"/>
  </w:num>
  <w:num w:numId="45">
    <w:abstractNumId w:val="99"/>
  </w:num>
  <w:num w:numId="46">
    <w:abstractNumId w:val="131"/>
  </w:num>
  <w:num w:numId="47">
    <w:abstractNumId w:val="170"/>
  </w:num>
  <w:num w:numId="48">
    <w:abstractNumId w:val="66"/>
  </w:num>
  <w:num w:numId="49">
    <w:abstractNumId w:val="134"/>
  </w:num>
  <w:num w:numId="50">
    <w:abstractNumId w:val="167"/>
  </w:num>
  <w:num w:numId="51">
    <w:abstractNumId w:val="115"/>
  </w:num>
  <w:num w:numId="52">
    <w:abstractNumId w:val="105"/>
  </w:num>
  <w:num w:numId="53">
    <w:abstractNumId w:val="162"/>
  </w:num>
  <w:num w:numId="54">
    <w:abstractNumId w:val="149"/>
  </w:num>
  <w:num w:numId="55">
    <w:abstractNumId w:val="88"/>
  </w:num>
  <w:num w:numId="56">
    <w:abstractNumId w:val="92"/>
  </w:num>
  <w:num w:numId="57">
    <w:abstractNumId w:val="67"/>
  </w:num>
  <w:num w:numId="58">
    <w:abstractNumId w:val="161"/>
  </w:num>
  <w:num w:numId="59">
    <w:abstractNumId w:val="143"/>
  </w:num>
  <w:num w:numId="60">
    <w:abstractNumId w:val="114"/>
  </w:num>
  <w:num w:numId="61">
    <w:abstractNumId w:val="139"/>
  </w:num>
  <w:num w:numId="62">
    <w:abstractNumId w:val="147"/>
  </w:num>
  <w:num w:numId="63">
    <w:abstractNumId w:val="58"/>
  </w:num>
  <w:num w:numId="64">
    <w:abstractNumId w:val="34"/>
  </w:num>
  <w:num w:numId="65">
    <w:abstractNumId w:val="14"/>
  </w:num>
  <w:num w:numId="66">
    <w:abstractNumId w:val="40"/>
  </w:num>
  <w:num w:numId="67">
    <w:abstractNumId w:val="82"/>
  </w:num>
  <w:num w:numId="68">
    <w:abstractNumId w:val="121"/>
  </w:num>
  <w:num w:numId="69">
    <w:abstractNumId w:val="54"/>
  </w:num>
  <w:num w:numId="70">
    <w:abstractNumId w:val="15"/>
  </w:num>
  <w:num w:numId="71">
    <w:abstractNumId w:val="107"/>
  </w:num>
  <w:num w:numId="72">
    <w:abstractNumId w:val="97"/>
  </w:num>
  <w:num w:numId="73">
    <w:abstractNumId w:val="179"/>
  </w:num>
  <w:num w:numId="74">
    <w:abstractNumId w:val="153"/>
  </w:num>
  <w:num w:numId="75">
    <w:abstractNumId w:val="22"/>
  </w:num>
  <w:num w:numId="76">
    <w:abstractNumId w:val="94"/>
  </w:num>
  <w:num w:numId="77">
    <w:abstractNumId w:val="176"/>
  </w:num>
  <w:num w:numId="78">
    <w:abstractNumId w:val="133"/>
  </w:num>
  <w:num w:numId="79">
    <w:abstractNumId w:val="29"/>
  </w:num>
  <w:num w:numId="80">
    <w:abstractNumId w:val="46"/>
  </w:num>
  <w:num w:numId="81">
    <w:abstractNumId w:val="85"/>
  </w:num>
  <w:num w:numId="82">
    <w:abstractNumId w:val="38"/>
  </w:num>
  <w:num w:numId="83">
    <w:abstractNumId w:val="51"/>
  </w:num>
  <w:num w:numId="84">
    <w:abstractNumId w:val="98"/>
  </w:num>
  <w:num w:numId="85">
    <w:abstractNumId w:val="141"/>
  </w:num>
  <w:num w:numId="86">
    <w:abstractNumId w:val="30"/>
  </w:num>
  <w:num w:numId="87">
    <w:abstractNumId w:val="81"/>
  </w:num>
  <w:num w:numId="88">
    <w:abstractNumId w:val="3"/>
  </w:num>
  <w:num w:numId="89">
    <w:abstractNumId w:val="65"/>
  </w:num>
  <w:num w:numId="90">
    <w:abstractNumId w:val="50"/>
  </w:num>
  <w:num w:numId="91">
    <w:abstractNumId w:val="135"/>
  </w:num>
  <w:num w:numId="92">
    <w:abstractNumId w:val="166"/>
  </w:num>
  <w:num w:numId="93">
    <w:abstractNumId w:val="160"/>
  </w:num>
  <w:num w:numId="94">
    <w:abstractNumId w:val="140"/>
  </w:num>
  <w:num w:numId="95">
    <w:abstractNumId w:val="118"/>
  </w:num>
  <w:num w:numId="96">
    <w:abstractNumId w:val="124"/>
  </w:num>
  <w:num w:numId="97">
    <w:abstractNumId w:val="151"/>
  </w:num>
  <w:num w:numId="98">
    <w:abstractNumId w:val="41"/>
  </w:num>
  <w:num w:numId="99">
    <w:abstractNumId w:val="157"/>
  </w:num>
  <w:num w:numId="100">
    <w:abstractNumId w:val="104"/>
  </w:num>
  <w:num w:numId="101">
    <w:abstractNumId w:val="60"/>
  </w:num>
  <w:num w:numId="102">
    <w:abstractNumId w:val="128"/>
  </w:num>
  <w:num w:numId="103">
    <w:abstractNumId w:val="24"/>
  </w:num>
  <w:num w:numId="104">
    <w:abstractNumId w:val="13"/>
  </w:num>
  <w:num w:numId="105">
    <w:abstractNumId w:val="77"/>
  </w:num>
  <w:num w:numId="106">
    <w:abstractNumId w:val="180"/>
  </w:num>
  <w:num w:numId="107">
    <w:abstractNumId w:val="144"/>
  </w:num>
  <w:num w:numId="108">
    <w:abstractNumId w:val="181"/>
  </w:num>
  <w:num w:numId="109">
    <w:abstractNumId w:val="150"/>
  </w:num>
  <w:num w:numId="110">
    <w:abstractNumId w:val="186"/>
  </w:num>
  <w:num w:numId="111">
    <w:abstractNumId w:val="5"/>
  </w:num>
  <w:num w:numId="112">
    <w:abstractNumId w:val="6"/>
  </w:num>
  <w:num w:numId="113">
    <w:abstractNumId w:val="75"/>
  </w:num>
  <w:num w:numId="114">
    <w:abstractNumId w:val="172"/>
  </w:num>
  <w:num w:numId="115">
    <w:abstractNumId w:val="43"/>
  </w:num>
  <w:num w:numId="116">
    <w:abstractNumId w:val="148"/>
  </w:num>
  <w:num w:numId="117">
    <w:abstractNumId w:val="7"/>
  </w:num>
  <w:num w:numId="118">
    <w:abstractNumId w:val="70"/>
  </w:num>
  <w:num w:numId="119">
    <w:abstractNumId w:val="19"/>
  </w:num>
  <w:num w:numId="120">
    <w:abstractNumId w:val="152"/>
  </w:num>
  <w:num w:numId="121">
    <w:abstractNumId w:val="9"/>
  </w:num>
  <w:num w:numId="122">
    <w:abstractNumId w:val="182"/>
  </w:num>
  <w:num w:numId="123">
    <w:abstractNumId w:val="142"/>
  </w:num>
  <w:num w:numId="124">
    <w:abstractNumId w:val="52"/>
  </w:num>
  <w:num w:numId="125">
    <w:abstractNumId w:val="145"/>
  </w:num>
  <w:num w:numId="126">
    <w:abstractNumId w:val="72"/>
  </w:num>
  <w:num w:numId="127">
    <w:abstractNumId w:val="159"/>
  </w:num>
  <w:num w:numId="128">
    <w:abstractNumId w:val="49"/>
  </w:num>
  <w:num w:numId="129">
    <w:abstractNumId w:val="39"/>
  </w:num>
  <w:num w:numId="130">
    <w:abstractNumId w:val="80"/>
  </w:num>
  <w:num w:numId="131">
    <w:abstractNumId w:val="95"/>
  </w:num>
  <w:num w:numId="132">
    <w:abstractNumId w:val="69"/>
  </w:num>
  <w:num w:numId="133">
    <w:abstractNumId w:val="86"/>
  </w:num>
  <w:num w:numId="134">
    <w:abstractNumId w:val="178"/>
  </w:num>
  <w:num w:numId="135">
    <w:abstractNumId w:val="122"/>
  </w:num>
  <w:num w:numId="136">
    <w:abstractNumId w:val="8"/>
  </w:num>
  <w:num w:numId="137">
    <w:abstractNumId w:val="79"/>
  </w:num>
  <w:num w:numId="138">
    <w:abstractNumId w:val="137"/>
  </w:num>
  <w:num w:numId="139">
    <w:abstractNumId w:val="78"/>
  </w:num>
  <w:num w:numId="140">
    <w:abstractNumId w:val="25"/>
  </w:num>
  <w:num w:numId="141">
    <w:abstractNumId w:val="168"/>
  </w:num>
  <w:num w:numId="142">
    <w:abstractNumId w:val="127"/>
  </w:num>
  <w:num w:numId="143">
    <w:abstractNumId w:val="59"/>
  </w:num>
  <w:num w:numId="144">
    <w:abstractNumId w:val="71"/>
  </w:num>
  <w:num w:numId="145">
    <w:abstractNumId w:val="109"/>
  </w:num>
  <w:num w:numId="146">
    <w:abstractNumId w:val="83"/>
  </w:num>
  <w:num w:numId="147">
    <w:abstractNumId w:val="12"/>
  </w:num>
  <w:num w:numId="148">
    <w:abstractNumId w:val="37"/>
  </w:num>
  <w:num w:numId="149">
    <w:abstractNumId w:val="35"/>
  </w:num>
  <w:num w:numId="150">
    <w:abstractNumId w:val="62"/>
  </w:num>
  <w:num w:numId="151">
    <w:abstractNumId w:val="64"/>
  </w:num>
  <w:num w:numId="152">
    <w:abstractNumId w:val="163"/>
  </w:num>
  <w:num w:numId="153">
    <w:abstractNumId w:val="26"/>
  </w:num>
  <w:num w:numId="154">
    <w:abstractNumId w:val="136"/>
  </w:num>
  <w:num w:numId="155">
    <w:abstractNumId w:val="112"/>
  </w:num>
  <w:num w:numId="156">
    <w:abstractNumId w:val="63"/>
  </w:num>
  <w:num w:numId="157">
    <w:abstractNumId w:val="110"/>
  </w:num>
  <w:num w:numId="158">
    <w:abstractNumId w:val="108"/>
  </w:num>
  <w:num w:numId="159">
    <w:abstractNumId w:val="123"/>
  </w:num>
  <w:num w:numId="160">
    <w:abstractNumId w:val="84"/>
  </w:num>
  <w:num w:numId="161">
    <w:abstractNumId w:val="138"/>
  </w:num>
  <w:num w:numId="162">
    <w:abstractNumId w:val="2"/>
  </w:num>
  <w:num w:numId="163">
    <w:abstractNumId w:val="177"/>
  </w:num>
  <w:num w:numId="164">
    <w:abstractNumId w:val="102"/>
  </w:num>
  <w:num w:numId="165">
    <w:abstractNumId w:val="103"/>
  </w:num>
  <w:num w:numId="166">
    <w:abstractNumId w:val="185"/>
  </w:num>
  <w:num w:numId="167">
    <w:abstractNumId w:val="106"/>
  </w:num>
  <w:num w:numId="168">
    <w:abstractNumId w:val="21"/>
  </w:num>
  <w:num w:numId="169">
    <w:abstractNumId w:val="53"/>
  </w:num>
  <w:num w:numId="170">
    <w:abstractNumId w:val="155"/>
  </w:num>
  <w:num w:numId="171">
    <w:abstractNumId w:val="47"/>
  </w:num>
  <w:num w:numId="172">
    <w:abstractNumId w:val="126"/>
  </w:num>
  <w:num w:numId="173">
    <w:abstractNumId w:val="42"/>
  </w:num>
  <w:num w:numId="174">
    <w:abstractNumId w:val="146"/>
  </w:num>
  <w:num w:numId="175">
    <w:abstractNumId w:val="61"/>
  </w:num>
  <w:num w:numId="176">
    <w:abstractNumId w:val="57"/>
  </w:num>
  <w:num w:numId="177">
    <w:abstractNumId w:val="125"/>
  </w:num>
  <w:num w:numId="178">
    <w:abstractNumId w:val="73"/>
  </w:num>
  <w:num w:numId="179">
    <w:abstractNumId w:val="36"/>
  </w:num>
  <w:num w:numId="180">
    <w:abstractNumId w:val="20"/>
  </w:num>
  <w:num w:numId="181">
    <w:abstractNumId w:val="184"/>
  </w:num>
  <w:num w:numId="182">
    <w:abstractNumId w:val="93"/>
  </w:num>
  <w:num w:numId="183">
    <w:abstractNumId w:val="17"/>
  </w:num>
  <w:num w:numId="184">
    <w:abstractNumId w:val="113"/>
  </w:num>
  <w:num w:numId="185">
    <w:abstractNumId w:val="1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0"/>
  </w:num>
  <w:num w:numId="187">
    <w:abstractNumId w:val="76"/>
  </w:num>
  <w:num w:numId="188">
    <w:abstractNumId w:val="16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55"/>
  </w:num>
  <w:num w:numId="190">
    <w:abstractNumId w:val="120"/>
  </w:num>
  <w:numIdMacAtCleanup w:val="1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hideSpellingErrors/>
  <w:hideGrammaticalErrors/>
  <w:activeWritingStyle w:appName="MSWord" w:lang="en-GB" w:vendorID="64" w:dllVersion="6" w:nlCheck="1" w:checkStyle="1"/>
  <w:activeWritingStyle w:appName="MSWord" w:lang="en-US" w:vendorID="64" w:dllVersion="6" w:nlCheck="1" w:checkStyle="1"/>
  <w:activeWritingStyle w:appName="MSWord" w:lang="en-CA" w:vendorID="64" w:dllVersion="6" w:nlCheck="1" w:checkStyle="1"/>
  <w:activeWritingStyle w:appName="MSWord" w:lang="en-AU"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en-AU" w:vendorID="64" w:dllVersion="4096" w:nlCheck="1" w:checkStyle="0"/>
  <w:activeWritingStyle w:appName="MSWord" w:lang="fr-FR" w:vendorID="64" w:dllVersion="6" w:nlCheck="1" w:checkStyle="1"/>
  <w:activeWritingStyle w:appName="MSWord" w:lang="es-E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FR" w:vendorID="64" w:dllVersion="4096" w:nlCheck="1" w:checkStyle="0"/>
  <w:activeWritingStyle w:appName="MSWord" w:lang="fr-FR" w:vendorID="64" w:dllVersion="131078" w:nlCheck="1" w:checkStyle="1"/>
  <w:activeWritingStyle w:appName="MSWord" w:lang="en-US" w:vendorID="64" w:dllVersion="131078" w:nlCheck="1" w:checkStyle="1"/>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828"/>
    <w:rsid w:val="00000250"/>
    <w:rsid w:val="0000061B"/>
    <w:rsid w:val="00000803"/>
    <w:rsid w:val="0000098E"/>
    <w:rsid w:val="00000B37"/>
    <w:rsid w:val="00000CA7"/>
    <w:rsid w:val="000011FD"/>
    <w:rsid w:val="0000158C"/>
    <w:rsid w:val="00002520"/>
    <w:rsid w:val="00002F63"/>
    <w:rsid w:val="0000324D"/>
    <w:rsid w:val="00003690"/>
    <w:rsid w:val="00003932"/>
    <w:rsid w:val="00003A1B"/>
    <w:rsid w:val="00003B91"/>
    <w:rsid w:val="000046E1"/>
    <w:rsid w:val="00004ED7"/>
    <w:rsid w:val="00004EF2"/>
    <w:rsid w:val="00005493"/>
    <w:rsid w:val="0000572F"/>
    <w:rsid w:val="00005D22"/>
    <w:rsid w:val="00006158"/>
    <w:rsid w:val="000063B0"/>
    <w:rsid w:val="0000674E"/>
    <w:rsid w:val="00006B67"/>
    <w:rsid w:val="00006D38"/>
    <w:rsid w:val="00007052"/>
    <w:rsid w:val="00007073"/>
    <w:rsid w:val="000074E5"/>
    <w:rsid w:val="00007857"/>
    <w:rsid w:val="00007BF3"/>
    <w:rsid w:val="000100CB"/>
    <w:rsid w:val="00010B03"/>
    <w:rsid w:val="00010E38"/>
    <w:rsid w:val="00011192"/>
    <w:rsid w:val="0001123C"/>
    <w:rsid w:val="0001127B"/>
    <w:rsid w:val="00011282"/>
    <w:rsid w:val="00011C08"/>
    <w:rsid w:val="00011DB8"/>
    <w:rsid w:val="00011ECF"/>
    <w:rsid w:val="00011EDF"/>
    <w:rsid w:val="00012135"/>
    <w:rsid w:val="00013287"/>
    <w:rsid w:val="000133DD"/>
    <w:rsid w:val="0001460F"/>
    <w:rsid w:val="00014685"/>
    <w:rsid w:val="00014DD8"/>
    <w:rsid w:val="0001548F"/>
    <w:rsid w:val="0001581A"/>
    <w:rsid w:val="0001595B"/>
    <w:rsid w:val="0001595D"/>
    <w:rsid w:val="00015E10"/>
    <w:rsid w:val="00015EDA"/>
    <w:rsid w:val="00016979"/>
    <w:rsid w:val="00016B5B"/>
    <w:rsid w:val="00016D6D"/>
    <w:rsid w:val="00016E18"/>
    <w:rsid w:val="000177DE"/>
    <w:rsid w:val="00017E93"/>
    <w:rsid w:val="00017FE7"/>
    <w:rsid w:val="0002088B"/>
    <w:rsid w:val="00020EB1"/>
    <w:rsid w:val="000210DE"/>
    <w:rsid w:val="000212A4"/>
    <w:rsid w:val="000214DA"/>
    <w:rsid w:val="00021B3B"/>
    <w:rsid w:val="00022197"/>
    <w:rsid w:val="0002223C"/>
    <w:rsid w:val="0002383C"/>
    <w:rsid w:val="0002386F"/>
    <w:rsid w:val="000238F1"/>
    <w:rsid w:val="000239A9"/>
    <w:rsid w:val="00023B75"/>
    <w:rsid w:val="0002429A"/>
    <w:rsid w:val="00024EB7"/>
    <w:rsid w:val="000254C4"/>
    <w:rsid w:val="0002562B"/>
    <w:rsid w:val="0002620E"/>
    <w:rsid w:val="0002636C"/>
    <w:rsid w:val="00026791"/>
    <w:rsid w:val="0002691E"/>
    <w:rsid w:val="00026EFA"/>
    <w:rsid w:val="0003004C"/>
    <w:rsid w:val="00030EBE"/>
    <w:rsid w:val="000315A3"/>
    <w:rsid w:val="00032678"/>
    <w:rsid w:val="000329C2"/>
    <w:rsid w:val="00032C8B"/>
    <w:rsid w:val="00032E85"/>
    <w:rsid w:val="00032EF2"/>
    <w:rsid w:val="000330CC"/>
    <w:rsid w:val="00033137"/>
    <w:rsid w:val="000337D7"/>
    <w:rsid w:val="00033A09"/>
    <w:rsid w:val="00033D7D"/>
    <w:rsid w:val="00033DDD"/>
    <w:rsid w:val="0003477F"/>
    <w:rsid w:val="00034CC4"/>
    <w:rsid w:val="0003587C"/>
    <w:rsid w:val="00035A00"/>
    <w:rsid w:val="00036CD0"/>
    <w:rsid w:val="00037269"/>
    <w:rsid w:val="000375E8"/>
    <w:rsid w:val="00037CD9"/>
    <w:rsid w:val="00037E17"/>
    <w:rsid w:val="000405A7"/>
    <w:rsid w:val="000405C8"/>
    <w:rsid w:val="00040AA7"/>
    <w:rsid w:val="00040D7B"/>
    <w:rsid w:val="00040EBA"/>
    <w:rsid w:val="00041330"/>
    <w:rsid w:val="0004171D"/>
    <w:rsid w:val="00041D92"/>
    <w:rsid w:val="00041F5E"/>
    <w:rsid w:val="00042165"/>
    <w:rsid w:val="000421DF"/>
    <w:rsid w:val="000422B5"/>
    <w:rsid w:val="0004294D"/>
    <w:rsid w:val="000436E6"/>
    <w:rsid w:val="000441C3"/>
    <w:rsid w:val="00044AFB"/>
    <w:rsid w:val="00045A3F"/>
    <w:rsid w:val="00045DC5"/>
    <w:rsid w:val="00045F22"/>
    <w:rsid w:val="00046579"/>
    <w:rsid w:val="00046AF4"/>
    <w:rsid w:val="00046AFC"/>
    <w:rsid w:val="00046CCE"/>
    <w:rsid w:val="00046DDD"/>
    <w:rsid w:val="0004739A"/>
    <w:rsid w:val="0004743F"/>
    <w:rsid w:val="00047F29"/>
    <w:rsid w:val="000501EE"/>
    <w:rsid w:val="0005049F"/>
    <w:rsid w:val="00050531"/>
    <w:rsid w:val="00050E1C"/>
    <w:rsid w:val="00050E69"/>
    <w:rsid w:val="0005187B"/>
    <w:rsid w:val="000518D2"/>
    <w:rsid w:val="00051AD6"/>
    <w:rsid w:val="00051C0C"/>
    <w:rsid w:val="00051E32"/>
    <w:rsid w:val="0005231A"/>
    <w:rsid w:val="0005268D"/>
    <w:rsid w:val="00052870"/>
    <w:rsid w:val="00053022"/>
    <w:rsid w:val="0005368B"/>
    <w:rsid w:val="00053CEC"/>
    <w:rsid w:val="00053DBE"/>
    <w:rsid w:val="00053FC9"/>
    <w:rsid w:val="00054926"/>
    <w:rsid w:val="00054C35"/>
    <w:rsid w:val="00054C90"/>
    <w:rsid w:val="00055A91"/>
    <w:rsid w:val="00055C1A"/>
    <w:rsid w:val="00056076"/>
    <w:rsid w:val="000560A7"/>
    <w:rsid w:val="000563F0"/>
    <w:rsid w:val="000563FC"/>
    <w:rsid w:val="00056B6B"/>
    <w:rsid w:val="000574DD"/>
    <w:rsid w:val="00057608"/>
    <w:rsid w:val="00057932"/>
    <w:rsid w:val="00057A29"/>
    <w:rsid w:val="00057FAC"/>
    <w:rsid w:val="000601EA"/>
    <w:rsid w:val="00060FB2"/>
    <w:rsid w:val="00062119"/>
    <w:rsid w:val="00062539"/>
    <w:rsid w:val="00062754"/>
    <w:rsid w:val="00062A16"/>
    <w:rsid w:val="00062B73"/>
    <w:rsid w:val="00063231"/>
    <w:rsid w:val="00063580"/>
    <w:rsid w:val="000638B8"/>
    <w:rsid w:val="00063B97"/>
    <w:rsid w:val="000644F9"/>
    <w:rsid w:val="00064987"/>
    <w:rsid w:val="00064B3D"/>
    <w:rsid w:val="00064F6C"/>
    <w:rsid w:val="000655BE"/>
    <w:rsid w:val="00065C44"/>
    <w:rsid w:val="0006602B"/>
    <w:rsid w:val="0006626E"/>
    <w:rsid w:val="00066271"/>
    <w:rsid w:val="00066591"/>
    <w:rsid w:val="000665DC"/>
    <w:rsid w:val="00066658"/>
    <w:rsid w:val="00066677"/>
    <w:rsid w:val="00066693"/>
    <w:rsid w:val="00066B1A"/>
    <w:rsid w:val="00066E4A"/>
    <w:rsid w:val="00066F6E"/>
    <w:rsid w:val="00066FFC"/>
    <w:rsid w:val="00067A66"/>
    <w:rsid w:val="00067D2C"/>
    <w:rsid w:val="00070108"/>
    <w:rsid w:val="000709D8"/>
    <w:rsid w:val="00070A0F"/>
    <w:rsid w:val="000711D5"/>
    <w:rsid w:val="00071BE1"/>
    <w:rsid w:val="0007206E"/>
    <w:rsid w:val="0007206F"/>
    <w:rsid w:val="000722A6"/>
    <w:rsid w:val="0007230D"/>
    <w:rsid w:val="00072546"/>
    <w:rsid w:val="000725CE"/>
    <w:rsid w:val="0007299A"/>
    <w:rsid w:val="0007389A"/>
    <w:rsid w:val="000738FC"/>
    <w:rsid w:val="00073D7D"/>
    <w:rsid w:val="000740A4"/>
    <w:rsid w:val="0007422B"/>
    <w:rsid w:val="00074315"/>
    <w:rsid w:val="000746ED"/>
    <w:rsid w:val="0007478C"/>
    <w:rsid w:val="00075C05"/>
    <w:rsid w:val="00076575"/>
    <w:rsid w:val="00076D0F"/>
    <w:rsid w:val="00077163"/>
    <w:rsid w:val="00077344"/>
    <w:rsid w:val="00077A28"/>
    <w:rsid w:val="00080139"/>
    <w:rsid w:val="0008051D"/>
    <w:rsid w:val="00080594"/>
    <w:rsid w:val="000807F3"/>
    <w:rsid w:val="00081461"/>
    <w:rsid w:val="00081526"/>
    <w:rsid w:val="000815CC"/>
    <w:rsid w:val="00081B0E"/>
    <w:rsid w:val="00081F12"/>
    <w:rsid w:val="000821FA"/>
    <w:rsid w:val="00082619"/>
    <w:rsid w:val="0008284E"/>
    <w:rsid w:val="00082DA1"/>
    <w:rsid w:val="00083116"/>
    <w:rsid w:val="00083A8B"/>
    <w:rsid w:val="00083C67"/>
    <w:rsid w:val="00083E4E"/>
    <w:rsid w:val="00083FD4"/>
    <w:rsid w:val="00084992"/>
    <w:rsid w:val="00084BA0"/>
    <w:rsid w:val="00084E89"/>
    <w:rsid w:val="00084F56"/>
    <w:rsid w:val="00084FF2"/>
    <w:rsid w:val="0008512E"/>
    <w:rsid w:val="00085149"/>
    <w:rsid w:val="00085266"/>
    <w:rsid w:val="00085CB2"/>
    <w:rsid w:val="00086018"/>
    <w:rsid w:val="000862CF"/>
    <w:rsid w:val="000867CB"/>
    <w:rsid w:val="0008725F"/>
    <w:rsid w:val="000879FE"/>
    <w:rsid w:val="00087A02"/>
    <w:rsid w:val="00087B79"/>
    <w:rsid w:val="00087F85"/>
    <w:rsid w:val="0009031A"/>
    <w:rsid w:val="00090766"/>
    <w:rsid w:val="00090A66"/>
    <w:rsid w:val="00090AB3"/>
    <w:rsid w:val="00090D47"/>
    <w:rsid w:val="0009178B"/>
    <w:rsid w:val="00091945"/>
    <w:rsid w:val="00091B82"/>
    <w:rsid w:val="00091CD8"/>
    <w:rsid w:val="00091CE5"/>
    <w:rsid w:val="00092044"/>
    <w:rsid w:val="00092831"/>
    <w:rsid w:val="000928B5"/>
    <w:rsid w:val="000929CB"/>
    <w:rsid w:val="00092BE9"/>
    <w:rsid w:val="00092FA0"/>
    <w:rsid w:val="000933C1"/>
    <w:rsid w:val="00093617"/>
    <w:rsid w:val="0009388D"/>
    <w:rsid w:val="00093D65"/>
    <w:rsid w:val="00093FF5"/>
    <w:rsid w:val="000943BC"/>
    <w:rsid w:val="000943E0"/>
    <w:rsid w:val="0009453E"/>
    <w:rsid w:val="000948AA"/>
    <w:rsid w:val="00094A26"/>
    <w:rsid w:val="000952F5"/>
    <w:rsid w:val="00095A79"/>
    <w:rsid w:val="00096064"/>
    <w:rsid w:val="00096476"/>
    <w:rsid w:val="000964E1"/>
    <w:rsid w:val="0009653E"/>
    <w:rsid w:val="00096715"/>
    <w:rsid w:val="000969D0"/>
    <w:rsid w:val="00096B9B"/>
    <w:rsid w:val="000971AE"/>
    <w:rsid w:val="00097810"/>
    <w:rsid w:val="00097B17"/>
    <w:rsid w:val="00097D6A"/>
    <w:rsid w:val="00097F24"/>
    <w:rsid w:val="000A01CE"/>
    <w:rsid w:val="000A028E"/>
    <w:rsid w:val="000A0519"/>
    <w:rsid w:val="000A083E"/>
    <w:rsid w:val="000A0A8F"/>
    <w:rsid w:val="000A0CBC"/>
    <w:rsid w:val="000A0D67"/>
    <w:rsid w:val="000A0F26"/>
    <w:rsid w:val="000A1645"/>
    <w:rsid w:val="000A16A7"/>
    <w:rsid w:val="000A18E4"/>
    <w:rsid w:val="000A1A97"/>
    <w:rsid w:val="000A202E"/>
    <w:rsid w:val="000A2210"/>
    <w:rsid w:val="000A27DD"/>
    <w:rsid w:val="000A358F"/>
    <w:rsid w:val="000A3B0F"/>
    <w:rsid w:val="000A4635"/>
    <w:rsid w:val="000A4845"/>
    <w:rsid w:val="000A4FEE"/>
    <w:rsid w:val="000A506B"/>
    <w:rsid w:val="000A57DF"/>
    <w:rsid w:val="000A5D45"/>
    <w:rsid w:val="000A5FDC"/>
    <w:rsid w:val="000A6514"/>
    <w:rsid w:val="000A657F"/>
    <w:rsid w:val="000A66A6"/>
    <w:rsid w:val="000A67AF"/>
    <w:rsid w:val="000A6A98"/>
    <w:rsid w:val="000A6C40"/>
    <w:rsid w:val="000A6E1D"/>
    <w:rsid w:val="000A6E7C"/>
    <w:rsid w:val="000A742A"/>
    <w:rsid w:val="000A7B21"/>
    <w:rsid w:val="000B0320"/>
    <w:rsid w:val="000B0C45"/>
    <w:rsid w:val="000B136D"/>
    <w:rsid w:val="000B16F7"/>
    <w:rsid w:val="000B170E"/>
    <w:rsid w:val="000B17BB"/>
    <w:rsid w:val="000B1809"/>
    <w:rsid w:val="000B1EE6"/>
    <w:rsid w:val="000B1F76"/>
    <w:rsid w:val="000B2363"/>
    <w:rsid w:val="000B2A70"/>
    <w:rsid w:val="000B2FB0"/>
    <w:rsid w:val="000B4088"/>
    <w:rsid w:val="000B4CAD"/>
    <w:rsid w:val="000B4DA5"/>
    <w:rsid w:val="000B519D"/>
    <w:rsid w:val="000B71AE"/>
    <w:rsid w:val="000B71B0"/>
    <w:rsid w:val="000B7400"/>
    <w:rsid w:val="000B786B"/>
    <w:rsid w:val="000B7AA8"/>
    <w:rsid w:val="000B7AF7"/>
    <w:rsid w:val="000B7EEE"/>
    <w:rsid w:val="000B7F16"/>
    <w:rsid w:val="000C0638"/>
    <w:rsid w:val="000C09FD"/>
    <w:rsid w:val="000C0BF3"/>
    <w:rsid w:val="000C0D32"/>
    <w:rsid w:val="000C159B"/>
    <w:rsid w:val="000C2536"/>
    <w:rsid w:val="000C2A75"/>
    <w:rsid w:val="000C2B12"/>
    <w:rsid w:val="000C350C"/>
    <w:rsid w:val="000C359E"/>
    <w:rsid w:val="000C3C6B"/>
    <w:rsid w:val="000C414E"/>
    <w:rsid w:val="000C42C2"/>
    <w:rsid w:val="000C4C69"/>
    <w:rsid w:val="000C4D82"/>
    <w:rsid w:val="000C4ECA"/>
    <w:rsid w:val="000C513C"/>
    <w:rsid w:val="000C52B8"/>
    <w:rsid w:val="000C5721"/>
    <w:rsid w:val="000C58BA"/>
    <w:rsid w:val="000C5A14"/>
    <w:rsid w:val="000C5A52"/>
    <w:rsid w:val="000C65A8"/>
    <w:rsid w:val="000C66B1"/>
    <w:rsid w:val="000C6CE2"/>
    <w:rsid w:val="000C6D11"/>
    <w:rsid w:val="000C6EA2"/>
    <w:rsid w:val="000C7763"/>
    <w:rsid w:val="000C77E3"/>
    <w:rsid w:val="000C7FB1"/>
    <w:rsid w:val="000D007F"/>
    <w:rsid w:val="000D12AF"/>
    <w:rsid w:val="000D1377"/>
    <w:rsid w:val="000D169F"/>
    <w:rsid w:val="000D1A18"/>
    <w:rsid w:val="000D1BD0"/>
    <w:rsid w:val="000D1C96"/>
    <w:rsid w:val="000D1CA5"/>
    <w:rsid w:val="000D2101"/>
    <w:rsid w:val="000D2275"/>
    <w:rsid w:val="000D2545"/>
    <w:rsid w:val="000D25FA"/>
    <w:rsid w:val="000D29E1"/>
    <w:rsid w:val="000D2D1F"/>
    <w:rsid w:val="000D2F19"/>
    <w:rsid w:val="000D3619"/>
    <w:rsid w:val="000D3677"/>
    <w:rsid w:val="000D38C1"/>
    <w:rsid w:val="000D485C"/>
    <w:rsid w:val="000D4D70"/>
    <w:rsid w:val="000D5456"/>
    <w:rsid w:val="000D5E24"/>
    <w:rsid w:val="000D5F26"/>
    <w:rsid w:val="000D681A"/>
    <w:rsid w:val="000D6DE4"/>
    <w:rsid w:val="000D7076"/>
    <w:rsid w:val="000D732B"/>
    <w:rsid w:val="000D757C"/>
    <w:rsid w:val="000E0813"/>
    <w:rsid w:val="000E0828"/>
    <w:rsid w:val="000E0ACB"/>
    <w:rsid w:val="000E0EFF"/>
    <w:rsid w:val="000E134D"/>
    <w:rsid w:val="000E1673"/>
    <w:rsid w:val="000E1821"/>
    <w:rsid w:val="000E1FAD"/>
    <w:rsid w:val="000E23F6"/>
    <w:rsid w:val="000E24A7"/>
    <w:rsid w:val="000E2A30"/>
    <w:rsid w:val="000E2AD9"/>
    <w:rsid w:val="000E44D7"/>
    <w:rsid w:val="000E46AD"/>
    <w:rsid w:val="000E488F"/>
    <w:rsid w:val="000E4928"/>
    <w:rsid w:val="000E4AA6"/>
    <w:rsid w:val="000E5376"/>
    <w:rsid w:val="000E571E"/>
    <w:rsid w:val="000E5A32"/>
    <w:rsid w:val="000E5ADB"/>
    <w:rsid w:val="000E5C06"/>
    <w:rsid w:val="000E5F22"/>
    <w:rsid w:val="000E67B5"/>
    <w:rsid w:val="000E7751"/>
    <w:rsid w:val="000E787D"/>
    <w:rsid w:val="000E7D12"/>
    <w:rsid w:val="000F04DB"/>
    <w:rsid w:val="000F0D88"/>
    <w:rsid w:val="000F1FDA"/>
    <w:rsid w:val="000F231E"/>
    <w:rsid w:val="000F3032"/>
    <w:rsid w:val="000F3691"/>
    <w:rsid w:val="000F3FCB"/>
    <w:rsid w:val="000F48D6"/>
    <w:rsid w:val="000F4E5B"/>
    <w:rsid w:val="000F4FF1"/>
    <w:rsid w:val="000F59A2"/>
    <w:rsid w:val="000F60F1"/>
    <w:rsid w:val="000F612A"/>
    <w:rsid w:val="000F620F"/>
    <w:rsid w:val="000F627F"/>
    <w:rsid w:val="000F62B2"/>
    <w:rsid w:val="000F63EB"/>
    <w:rsid w:val="000F64AA"/>
    <w:rsid w:val="000F6C7F"/>
    <w:rsid w:val="000F6E00"/>
    <w:rsid w:val="000F6F7A"/>
    <w:rsid w:val="000F7161"/>
    <w:rsid w:val="000F72CC"/>
    <w:rsid w:val="000F73F4"/>
    <w:rsid w:val="000F741E"/>
    <w:rsid w:val="000F7764"/>
    <w:rsid w:val="000F779C"/>
    <w:rsid w:val="000F7E5A"/>
    <w:rsid w:val="00100759"/>
    <w:rsid w:val="00100D32"/>
    <w:rsid w:val="00100D62"/>
    <w:rsid w:val="00100F61"/>
    <w:rsid w:val="0010131C"/>
    <w:rsid w:val="00101DC1"/>
    <w:rsid w:val="00102247"/>
    <w:rsid w:val="001022C9"/>
    <w:rsid w:val="001024F7"/>
    <w:rsid w:val="0010365A"/>
    <w:rsid w:val="00103735"/>
    <w:rsid w:val="00103E0A"/>
    <w:rsid w:val="00103F3B"/>
    <w:rsid w:val="00104482"/>
    <w:rsid w:val="00104884"/>
    <w:rsid w:val="00105188"/>
    <w:rsid w:val="00105627"/>
    <w:rsid w:val="001056F1"/>
    <w:rsid w:val="00105775"/>
    <w:rsid w:val="00105DC6"/>
    <w:rsid w:val="001061C6"/>
    <w:rsid w:val="00106240"/>
    <w:rsid w:val="00106A3D"/>
    <w:rsid w:val="00106A7A"/>
    <w:rsid w:val="00106AA6"/>
    <w:rsid w:val="00106D3A"/>
    <w:rsid w:val="001071D0"/>
    <w:rsid w:val="001078D4"/>
    <w:rsid w:val="00107FF5"/>
    <w:rsid w:val="001103FE"/>
    <w:rsid w:val="0011058D"/>
    <w:rsid w:val="001105B6"/>
    <w:rsid w:val="001107B2"/>
    <w:rsid w:val="00110A76"/>
    <w:rsid w:val="00110CB4"/>
    <w:rsid w:val="00110E56"/>
    <w:rsid w:val="001113C8"/>
    <w:rsid w:val="00111599"/>
    <w:rsid w:val="00111626"/>
    <w:rsid w:val="00111673"/>
    <w:rsid w:val="0011189A"/>
    <w:rsid w:val="00111927"/>
    <w:rsid w:val="00111E11"/>
    <w:rsid w:val="00112431"/>
    <w:rsid w:val="0011265A"/>
    <w:rsid w:val="0011265F"/>
    <w:rsid w:val="00113323"/>
    <w:rsid w:val="00113F96"/>
    <w:rsid w:val="001140A5"/>
    <w:rsid w:val="001144B8"/>
    <w:rsid w:val="00114C58"/>
    <w:rsid w:val="00114D6B"/>
    <w:rsid w:val="00114E20"/>
    <w:rsid w:val="00114F9B"/>
    <w:rsid w:val="00116A63"/>
    <w:rsid w:val="00116E0D"/>
    <w:rsid w:val="00116FD4"/>
    <w:rsid w:val="00117465"/>
    <w:rsid w:val="00117714"/>
    <w:rsid w:val="001179CD"/>
    <w:rsid w:val="00120372"/>
    <w:rsid w:val="001209D5"/>
    <w:rsid w:val="00120E59"/>
    <w:rsid w:val="00121612"/>
    <w:rsid w:val="00121891"/>
    <w:rsid w:val="00121DEB"/>
    <w:rsid w:val="001221FC"/>
    <w:rsid w:val="00122305"/>
    <w:rsid w:val="001223FA"/>
    <w:rsid w:val="001228C0"/>
    <w:rsid w:val="00123243"/>
    <w:rsid w:val="00123A0A"/>
    <w:rsid w:val="00123C88"/>
    <w:rsid w:val="00123D6B"/>
    <w:rsid w:val="00124CED"/>
    <w:rsid w:val="001250D0"/>
    <w:rsid w:val="00125690"/>
    <w:rsid w:val="001258C3"/>
    <w:rsid w:val="00126440"/>
    <w:rsid w:val="00126648"/>
    <w:rsid w:val="0012672B"/>
    <w:rsid w:val="00126BB0"/>
    <w:rsid w:val="001271B5"/>
    <w:rsid w:val="00127613"/>
    <w:rsid w:val="00127E04"/>
    <w:rsid w:val="001301EA"/>
    <w:rsid w:val="00130644"/>
    <w:rsid w:val="00130D99"/>
    <w:rsid w:val="0013120F"/>
    <w:rsid w:val="00131374"/>
    <w:rsid w:val="00131451"/>
    <w:rsid w:val="001315B0"/>
    <w:rsid w:val="00131858"/>
    <w:rsid w:val="00131A51"/>
    <w:rsid w:val="00131C7B"/>
    <w:rsid w:val="00131F1C"/>
    <w:rsid w:val="00131F84"/>
    <w:rsid w:val="00132DB4"/>
    <w:rsid w:val="00132F84"/>
    <w:rsid w:val="00133033"/>
    <w:rsid w:val="0013367A"/>
    <w:rsid w:val="00133705"/>
    <w:rsid w:val="00134993"/>
    <w:rsid w:val="00134C82"/>
    <w:rsid w:val="00134E0B"/>
    <w:rsid w:val="0013509A"/>
    <w:rsid w:val="00135951"/>
    <w:rsid w:val="00135B3C"/>
    <w:rsid w:val="001363D7"/>
    <w:rsid w:val="00136489"/>
    <w:rsid w:val="00136D7D"/>
    <w:rsid w:val="001376AB"/>
    <w:rsid w:val="0013786A"/>
    <w:rsid w:val="00137D4B"/>
    <w:rsid w:val="00140CA7"/>
    <w:rsid w:val="00140FC7"/>
    <w:rsid w:val="00141929"/>
    <w:rsid w:val="00141D2A"/>
    <w:rsid w:val="00141F13"/>
    <w:rsid w:val="0014260A"/>
    <w:rsid w:val="00142C41"/>
    <w:rsid w:val="00142C9E"/>
    <w:rsid w:val="0014370E"/>
    <w:rsid w:val="001439AC"/>
    <w:rsid w:val="00144457"/>
    <w:rsid w:val="00144726"/>
    <w:rsid w:val="001449B8"/>
    <w:rsid w:val="00145036"/>
    <w:rsid w:val="0014543B"/>
    <w:rsid w:val="00145FFC"/>
    <w:rsid w:val="001460F5"/>
    <w:rsid w:val="00146700"/>
    <w:rsid w:val="00147A09"/>
    <w:rsid w:val="00147E11"/>
    <w:rsid w:val="001508E2"/>
    <w:rsid w:val="00151315"/>
    <w:rsid w:val="00151930"/>
    <w:rsid w:val="00151F1C"/>
    <w:rsid w:val="001521EB"/>
    <w:rsid w:val="00153459"/>
    <w:rsid w:val="00153A96"/>
    <w:rsid w:val="001546E5"/>
    <w:rsid w:val="0015496B"/>
    <w:rsid w:val="00154AD1"/>
    <w:rsid w:val="00154DB8"/>
    <w:rsid w:val="001550DD"/>
    <w:rsid w:val="0015555A"/>
    <w:rsid w:val="0015570C"/>
    <w:rsid w:val="00156064"/>
    <w:rsid w:val="0015613F"/>
    <w:rsid w:val="001561AA"/>
    <w:rsid w:val="0015663D"/>
    <w:rsid w:val="001568AF"/>
    <w:rsid w:val="00156BBD"/>
    <w:rsid w:val="00156FCD"/>
    <w:rsid w:val="00157013"/>
    <w:rsid w:val="00157791"/>
    <w:rsid w:val="001605CE"/>
    <w:rsid w:val="00160932"/>
    <w:rsid w:val="00160A1F"/>
    <w:rsid w:val="00161315"/>
    <w:rsid w:val="001613AD"/>
    <w:rsid w:val="001618B7"/>
    <w:rsid w:val="00161AC2"/>
    <w:rsid w:val="00162001"/>
    <w:rsid w:val="00162266"/>
    <w:rsid w:val="001623EC"/>
    <w:rsid w:val="001625C1"/>
    <w:rsid w:val="00162662"/>
    <w:rsid w:val="001627AC"/>
    <w:rsid w:val="00162FEF"/>
    <w:rsid w:val="0016335E"/>
    <w:rsid w:val="00163586"/>
    <w:rsid w:val="0016372A"/>
    <w:rsid w:val="00163AFF"/>
    <w:rsid w:val="0016436C"/>
    <w:rsid w:val="00164529"/>
    <w:rsid w:val="00164621"/>
    <w:rsid w:val="00165673"/>
    <w:rsid w:val="00165754"/>
    <w:rsid w:val="001657C1"/>
    <w:rsid w:val="0016608F"/>
    <w:rsid w:val="001664C8"/>
    <w:rsid w:val="001664E2"/>
    <w:rsid w:val="0016674B"/>
    <w:rsid w:val="001667B1"/>
    <w:rsid w:val="001669FC"/>
    <w:rsid w:val="00167094"/>
    <w:rsid w:val="00167177"/>
    <w:rsid w:val="0016733A"/>
    <w:rsid w:val="0016779E"/>
    <w:rsid w:val="00167872"/>
    <w:rsid w:val="001701B0"/>
    <w:rsid w:val="00170427"/>
    <w:rsid w:val="0017053F"/>
    <w:rsid w:val="00170BA2"/>
    <w:rsid w:val="00171727"/>
    <w:rsid w:val="00171B68"/>
    <w:rsid w:val="00171BD8"/>
    <w:rsid w:val="00171FFE"/>
    <w:rsid w:val="0017213C"/>
    <w:rsid w:val="00172F0B"/>
    <w:rsid w:val="0017311B"/>
    <w:rsid w:val="00173241"/>
    <w:rsid w:val="001736C3"/>
    <w:rsid w:val="00173A2C"/>
    <w:rsid w:val="001742B1"/>
    <w:rsid w:val="001745F1"/>
    <w:rsid w:val="00174680"/>
    <w:rsid w:val="00174C2E"/>
    <w:rsid w:val="00174F6F"/>
    <w:rsid w:val="00175891"/>
    <w:rsid w:val="00175E28"/>
    <w:rsid w:val="00176D04"/>
    <w:rsid w:val="00176E17"/>
    <w:rsid w:val="001770D0"/>
    <w:rsid w:val="00177636"/>
    <w:rsid w:val="00177874"/>
    <w:rsid w:val="00177A9F"/>
    <w:rsid w:val="00177FDC"/>
    <w:rsid w:val="00180801"/>
    <w:rsid w:val="00181163"/>
    <w:rsid w:val="001811BD"/>
    <w:rsid w:val="0018149E"/>
    <w:rsid w:val="00181812"/>
    <w:rsid w:val="00181C44"/>
    <w:rsid w:val="00182AB6"/>
    <w:rsid w:val="00183027"/>
    <w:rsid w:val="001838E1"/>
    <w:rsid w:val="00183E85"/>
    <w:rsid w:val="00183F06"/>
    <w:rsid w:val="00183FE0"/>
    <w:rsid w:val="0018449D"/>
    <w:rsid w:val="0018479D"/>
    <w:rsid w:val="00184C32"/>
    <w:rsid w:val="00184DEB"/>
    <w:rsid w:val="001851BF"/>
    <w:rsid w:val="001853DC"/>
    <w:rsid w:val="0018598A"/>
    <w:rsid w:val="00185D86"/>
    <w:rsid w:val="00185DFC"/>
    <w:rsid w:val="0018600C"/>
    <w:rsid w:val="00186948"/>
    <w:rsid w:val="00186B33"/>
    <w:rsid w:val="00186BD3"/>
    <w:rsid w:val="001872A3"/>
    <w:rsid w:val="00187590"/>
    <w:rsid w:val="00187FD1"/>
    <w:rsid w:val="00190377"/>
    <w:rsid w:val="001904A4"/>
    <w:rsid w:val="001906CC"/>
    <w:rsid w:val="0019090D"/>
    <w:rsid w:val="00190ABC"/>
    <w:rsid w:val="00191487"/>
    <w:rsid w:val="0019233C"/>
    <w:rsid w:val="00192417"/>
    <w:rsid w:val="0019295B"/>
    <w:rsid w:val="00192A3D"/>
    <w:rsid w:val="00193025"/>
    <w:rsid w:val="00193381"/>
    <w:rsid w:val="00193A73"/>
    <w:rsid w:val="001944A3"/>
    <w:rsid w:val="00194A61"/>
    <w:rsid w:val="00195358"/>
    <w:rsid w:val="00195F3C"/>
    <w:rsid w:val="001962F0"/>
    <w:rsid w:val="0019656D"/>
    <w:rsid w:val="00196BE0"/>
    <w:rsid w:val="00197456"/>
    <w:rsid w:val="00197816"/>
    <w:rsid w:val="00197E31"/>
    <w:rsid w:val="001A0462"/>
    <w:rsid w:val="001A0685"/>
    <w:rsid w:val="001A07F7"/>
    <w:rsid w:val="001A0C36"/>
    <w:rsid w:val="001A0D05"/>
    <w:rsid w:val="001A14FE"/>
    <w:rsid w:val="001A1812"/>
    <w:rsid w:val="001A1988"/>
    <w:rsid w:val="001A1ACE"/>
    <w:rsid w:val="001A1CDD"/>
    <w:rsid w:val="001A1FF2"/>
    <w:rsid w:val="001A2A2F"/>
    <w:rsid w:val="001A3403"/>
    <w:rsid w:val="001A34CA"/>
    <w:rsid w:val="001A3EB9"/>
    <w:rsid w:val="001A3F1C"/>
    <w:rsid w:val="001A412D"/>
    <w:rsid w:val="001A4385"/>
    <w:rsid w:val="001A457A"/>
    <w:rsid w:val="001A45FC"/>
    <w:rsid w:val="001A486C"/>
    <w:rsid w:val="001A4FCD"/>
    <w:rsid w:val="001A5366"/>
    <w:rsid w:val="001A53E3"/>
    <w:rsid w:val="001A5D7C"/>
    <w:rsid w:val="001A5FC0"/>
    <w:rsid w:val="001A65AF"/>
    <w:rsid w:val="001A6786"/>
    <w:rsid w:val="001A67B6"/>
    <w:rsid w:val="001A6A11"/>
    <w:rsid w:val="001A6B6E"/>
    <w:rsid w:val="001A742F"/>
    <w:rsid w:val="001A7760"/>
    <w:rsid w:val="001A7938"/>
    <w:rsid w:val="001A7C3F"/>
    <w:rsid w:val="001A7D20"/>
    <w:rsid w:val="001A7F4B"/>
    <w:rsid w:val="001A7F50"/>
    <w:rsid w:val="001A7FFE"/>
    <w:rsid w:val="001B01DF"/>
    <w:rsid w:val="001B0960"/>
    <w:rsid w:val="001B098F"/>
    <w:rsid w:val="001B11FA"/>
    <w:rsid w:val="001B17F6"/>
    <w:rsid w:val="001B194A"/>
    <w:rsid w:val="001B1B7B"/>
    <w:rsid w:val="001B1D22"/>
    <w:rsid w:val="001B23C4"/>
    <w:rsid w:val="001B26F3"/>
    <w:rsid w:val="001B3153"/>
    <w:rsid w:val="001B3802"/>
    <w:rsid w:val="001B438D"/>
    <w:rsid w:val="001B48F0"/>
    <w:rsid w:val="001B4A8B"/>
    <w:rsid w:val="001B4F02"/>
    <w:rsid w:val="001B4F8A"/>
    <w:rsid w:val="001B5490"/>
    <w:rsid w:val="001B5589"/>
    <w:rsid w:val="001B55DC"/>
    <w:rsid w:val="001B55F0"/>
    <w:rsid w:val="001B5618"/>
    <w:rsid w:val="001B67A5"/>
    <w:rsid w:val="001B692A"/>
    <w:rsid w:val="001B6D38"/>
    <w:rsid w:val="001B6F21"/>
    <w:rsid w:val="001B7089"/>
    <w:rsid w:val="001B739A"/>
    <w:rsid w:val="001B7683"/>
    <w:rsid w:val="001B78FB"/>
    <w:rsid w:val="001B7BBD"/>
    <w:rsid w:val="001B7C44"/>
    <w:rsid w:val="001B7CCA"/>
    <w:rsid w:val="001C03EF"/>
    <w:rsid w:val="001C06FA"/>
    <w:rsid w:val="001C1022"/>
    <w:rsid w:val="001C137E"/>
    <w:rsid w:val="001C17F4"/>
    <w:rsid w:val="001C2229"/>
    <w:rsid w:val="001C27C0"/>
    <w:rsid w:val="001C2987"/>
    <w:rsid w:val="001C2BFD"/>
    <w:rsid w:val="001C2F44"/>
    <w:rsid w:val="001C2FB8"/>
    <w:rsid w:val="001C3533"/>
    <w:rsid w:val="001C3701"/>
    <w:rsid w:val="001C399E"/>
    <w:rsid w:val="001C3A00"/>
    <w:rsid w:val="001C3BD0"/>
    <w:rsid w:val="001C44B8"/>
    <w:rsid w:val="001C4894"/>
    <w:rsid w:val="001C4CC6"/>
    <w:rsid w:val="001C5864"/>
    <w:rsid w:val="001C58DC"/>
    <w:rsid w:val="001C5C83"/>
    <w:rsid w:val="001C5DAB"/>
    <w:rsid w:val="001C5F48"/>
    <w:rsid w:val="001C5F7E"/>
    <w:rsid w:val="001C6039"/>
    <w:rsid w:val="001C71FE"/>
    <w:rsid w:val="001C7BED"/>
    <w:rsid w:val="001C7D41"/>
    <w:rsid w:val="001D00EB"/>
    <w:rsid w:val="001D07D4"/>
    <w:rsid w:val="001D0959"/>
    <w:rsid w:val="001D0B51"/>
    <w:rsid w:val="001D129A"/>
    <w:rsid w:val="001D1F34"/>
    <w:rsid w:val="001D21CF"/>
    <w:rsid w:val="001D26D3"/>
    <w:rsid w:val="001D288F"/>
    <w:rsid w:val="001D299E"/>
    <w:rsid w:val="001D2BB7"/>
    <w:rsid w:val="001D2C4D"/>
    <w:rsid w:val="001D3ABD"/>
    <w:rsid w:val="001D3E05"/>
    <w:rsid w:val="001D4043"/>
    <w:rsid w:val="001D42A4"/>
    <w:rsid w:val="001D4448"/>
    <w:rsid w:val="001D4C63"/>
    <w:rsid w:val="001D4E1C"/>
    <w:rsid w:val="001D4FF4"/>
    <w:rsid w:val="001D5444"/>
    <w:rsid w:val="001D5AA6"/>
    <w:rsid w:val="001D5FA3"/>
    <w:rsid w:val="001D6123"/>
    <w:rsid w:val="001D684B"/>
    <w:rsid w:val="001D6BDD"/>
    <w:rsid w:val="001D7CB9"/>
    <w:rsid w:val="001E0489"/>
    <w:rsid w:val="001E0947"/>
    <w:rsid w:val="001E0C6E"/>
    <w:rsid w:val="001E10D6"/>
    <w:rsid w:val="001E1843"/>
    <w:rsid w:val="001E1844"/>
    <w:rsid w:val="001E2367"/>
    <w:rsid w:val="001E31B9"/>
    <w:rsid w:val="001E31CD"/>
    <w:rsid w:val="001E32C9"/>
    <w:rsid w:val="001E3386"/>
    <w:rsid w:val="001E3881"/>
    <w:rsid w:val="001E3B79"/>
    <w:rsid w:val="001E41D2"/>
    <w:rsid w:val="001E46F7"/>
    <w:rsid w:val="001E4CCA"/>
    <w:rsid w:val="001E4FC2"/>
    <w:rsid w:val="001E53A0"/>
    <w:rsid w:val="001E574C"/>
    <w:rsid w:val="001E5D1B"/>
    <w:rsid w:val="001E697F"/>
    <w:rsid w:val="001E6C9B"/>
    <w:rsid w:val="001E6D8F"/>
    <w:rsid w:val="001E703B"/>
    <w:rsid w:val="001E72A2"/>
    <w:rsid w:val="001E7577"/>
    <w:rsid w:val="001E7850"/>
    <w:rsid w:val="001E7998"/>
    <w:rsid w:val="001F0A7E"/>
    <w:rsid w:val="001F0BF2"/>
    <w:rsid w:val="001F0F3E"/>
    <w:rsid w:val="001F0FE6"/>
    <w:rsid w:val="001F19B4"/>
    <w:rsid w:val="001F1F94"/>
    <w:rsid w:val="001F2271"/>
    <w:rsid w:val="001F264D"/>
    <w:rsid w:val="001F2D41"/>
    <w:rsid w:val="001F353A"/>
    <w:rsid w:val="001F38E7"/>
    <w:rsid w:val="001F3A4D"/>
    <w:rsid w:val="001F3D3F"/>
    <w:rsid w:val="001F4366"/>
    <w:rsid w:val="001F43D5"/>
    <w:rsid w:val="001F44B3"/>
    <w:rsid w:val="001F44B6"/>
    <w:rsid w:val="001F46AA"/>
    <w:rsid w:val="001F4781"/>
    <w:rsid w:val="001F498E"/>
    <w:rsid w:val="001F49EE"/>
    <w:rsid w:val="001F4DE7"/>
    <w:rsid w:val="001F50F3"/>
    <w:rsid w:val="001F513A"/>
    <w:rsid w:val="001F5592"/>
    <w:rsid w:val="001F5822"/>
    <w:rsid w:val="001F5A91"/>
    <w:rsid w:val="001F5CE1"/>
    <w:rsid w:val="001F60D3"/>
    <w:rsid w:val="001F65AE"/>
    <w:rsid w:val="001F67EC"/>
    <w:rsid w:val="001F759C"/>
    <w:rsid w:val="001F7F26"/>
    <w:rsid w:val="002005D3"/>
    <w:rsid w:val="002008B8"/>
    <w:rsid w:val="00200AC9"/>
    <w:rsid w:val="002014D6"/>
    <w:rsid w:val="00201A48"/>
    <w:rsid w:val="00201C73"/>
    <w:rsid w:val="00201E69"/>
    <w:rsid w:val="00202506"/>
    <w:rsid w:val="00202BF5"/>
    <w:rsid w:val="00203489"/>
    <w:rsid w:val="00203825"/>
    <w:rsid w:val="00203C94"/>
    <w:rsid w:val="00203D0C"/>
    <w:rsid w:val="00203FC4"/>
    <w:rsid w:val="00204203"/>
    <w:rsid w:val="00204916"/>
    <w:rsid w:val="00204D9F"/>
    <w:rsid w:val="0020509B"/>
    <w:rsid w:val="002052F3"/>
    <w:rsid w:val="00205600"/>
    <w:rsid w:val="002069F6"/>
    <w:rsid w:val="0020732E"/>
    <w:rsid w:val="00207658"/>
    <w:rsid w:val="0020767E"/>
    <w:rsid w:val="00207689"/>
    <w:rsid w:val="00207CB1"/>
    <w:rsid w:val="0021006C"/>
    <w:rsid w:val="002106AD"/>
    <w:rsid w:val="002106CE"/>
    <w:rsid w:val="00210E36"/>
    <w:rsid w:val="00211480"/>
    <w:rsid w:val="002123CB"/>
    <w:rsid w:val="00212502"/>
    <w:rsid w:val="00212770"/>
    <w:rsid w:val="002133C1"/>
    <w:rsid w:val="002133C5"/>
    <w:rsid w:val="00214054"/>
    <w:rsid w:val="002141AF"/>
    <w:rsid w:val="0021477B"/>
    <w:rsid w:val="00214B73"/>
    <w:rsid w:val="00215169"/>
    <w:rsid w:val="00215240"/>
    <w:rsid w:val="0021592C"/>
    <w:rsid w:val="00215ADF"/>
    <w:rsid w:val="00215E05"/>
    <w:rsid w:val="002161DA"/>
    <w:rsid w:val="00216FF4"/>
    <w:rsid w:val="0021786F"/>
    <w:rsid w:val="00217C92"/>
    <w:rsid w:val="00217FB7"/>
    <w:rsid w:val="00220C1F"/>
    <w:rsid w:val="00220E5A"/>
    <w:rsid w:val="002214AC"/>
    <w:rsid w:val="0022151D"/>
    <w:rsid w:val="002219F3"/>
    <w:rsid w:val="00221DFB"/>
    <w:rsid w:val="00222398"/>
    <w:rsid w:val="00222507"/>
    <w:rsid w:val="00223D8E"/>
    <w:rsid w:val="00224041"/>
    <w:rsid w:val="002240EC"/>
    <w:rsid w:val="00224821"/>
    <w:rsid w:val="00224C73"/>
    <w:rsid w:val="00224E0D"/>
    <w:rsid w:val="00224FEB"/>
    <w:rsid w:val="00225291"/>
    <w:rsid w:val="002253AA"/>
    <w:rsid w:val="00225576"/>
    <w:rsid w:val="0022620D"/>
    <w:rsid w:val="00226584"/>
    <w:rsid w:val="00226BA4"/>
    <w:rsid w:val="00226BA9"/>
    <w:rsid w:val="0022707F"/>
    <w:rsid w:val="002271D1"/>
    <w:rsid w:val="0022784D"/>
    <w:rsid w:val="00227E93"/>
    <w:rsid w:val="00230559"/>
    <w:rsid w:val="0023181C"/>
    <w:rsid w:val="00231890"/>
    <w:rsid w:val="00231D63"/>
    <w:rsid w:val="002322B4"/>
    <w:rsid w:val="0023253E"/>
    <w:rsid w:val="00232E59"/>
    <w:rsid w:val="00232F4A"/>
    <w:rsid w:val="002330AA"/>
    <w:rsid w:val="00233AD8"/>
    <w:rsid w:val="00234678"/>
    <w:rsid w:val="002347C3"/>
    <w:rsid w:val="00234A2B"/>
    <w:rsid w:val="00234A66"/>
    <w:rsid w:val="00234C13"/>
    <w:rsid w:val="00235056"/>
    <w:rsid w:val="002354C4"/>
    <w:rsid w:val="002355BC"/>
    <w:rsid w:val="00235A0B"/>
    <w:rsid w:val="00235CF2"/>
    <w:rsid w:val="00236494"/>
    <w:rsid w:val="002367B3"/>
    <w:rsid w:val="00236804"/>
    <w:rsid w:val="00236CB0"/>
    <w:rsid w:val="00236D4B"/>
    <w:rsid w:val="00237C3F"/>
    <w:rsid w:val="002414A0"/>
    <w:rsid w:val="002415C0"/>
    <w:rsid w:val="00241BAC"/>
    <w:rsid w:val="00241FAD"/>
    <w:rsid w:val="00242631"/>
    <w:rsid w:val="00242E7A"/>
    <w:rsid w:val="002434E0"/>
    <w:rsid w:val="00243BC0"/>
    <w:rsid w:val="00243E61"/>
    <w:rsid w:val="002444ED"/>
    <w:rsid w:val="00244E6D"/>
    <w:rsid w:val="00244EA3"/>
    <w:rsid w:val="00245FA9"/>
    <w:rsid w:val="0024645C"/>
    <w:rsid w:val="00246838"/>
    <w:rsid w:val="002470D6"/>
    <w:rsid w:val="00247784"/>
    <w:rsid w:val="00250309"/>
    <w:rsid w:val="00250737"/>
    <w:rsid w:val="00250B6D"/>
    <w:rsid w:val="00250EA7"/>
    <w:rsid w:val="00251246"/>
    <w:rsid w:val="00251388"/>
    <w:rsid w:val="0025188C"/>
    <w:rsid w:val="00251F5D"/>
    <w:rsid w:val="00251FE9"/>
    <w:rsid w:val="002524E1"/>
    <w:rsid w:val="002526C9"/>
    <w:rsid w:val="00252793"/>
    <w:rsid w:val="00252AF2"/>
    <w:rsid w:val="00253341"/>
    <w:rsid w:val="00253644"/>
    <w:rsid w:val="002537FD"/>
    <w:rsid w:val="00253B40"/>
    <w:rsid w:val="00255820"/>
    <w:rsid w:val="00255AE8"/>
    <w:rsid w:val="00255C7F"/>
    <w:rsid w:val="00255EB2"/>
    <w:rsid w:val="00256A95"/>
    <w:rsid w:val="00256AC6"/>
    <w:rsid w:val="00256E1C"/>
    <w:rsid w:val="00256EB2"/>
    <w:rsid w:val="00256F9C"/>
    <w:rsid w:val="0025767D"/>
    <w:rsid w:val="00257971"/>
    <w:rsid w:val="00257BF0"/>
    <w:rsid w:val="00257CD0"/>
    <w:rsid w:val="0026077A"/>
    <w:rsid w:val="002608E3"/>
    <w:rsid w:val="002609D9"/>
    <w:rsid w:val="00260B92"/>
    <w:rsid w:val="00260FBD"/>
    <w:rsid w:val="00261755"/>
    <w:rsid w:val="00261A2D"/>
    <w:rsid w:val="00261A9C"/>
    <w:rsid w:val="00261D44"/>
    <w:rsid w:val="00261E61"/>
    <w:rsid w:val="00262236"/>
    <w:rsid w:val="002629DD"/>
    <w:rsid w:val="00263132"/>
    <w:rsid w:val="00263861"/>
    <w:rsid w:val="002639D0"/>
    <w:rsid w:val="00263A56"/>
    <w:rsid w:val="00263B19"/>
    <w:rsid w:val="002644E9"/>
    <w:rsid w:val="0026453E"/>
    <w:rsid w:val="0026501C"/>
    <w:rsid w:val="002651CE"/>
    <w:rsid w:val="0026579F"/>
    <w:rsid w:val="00265BC5"/>
    <w:rsid w:val="00266141"/>
    <w:rsid w:val="002668B2"/>
    <w:rsid w:val="00266F9F"/>
    <w:rsid w:val="0026758A"/>
    <w:rsid w:val="0026779F"/>
    <w:rsid w:val="00267993"/>
    <w:rsid w:val="00267CB1"/>
    <w:rsid w:val="00267DEC"/>
    <w:rsid w:val="00270827"/>
    <w:rsid w:val="0027095E"/>
    <w:rsid w:val="00270CFE"/>
    <w:rsid w:val="0027139F"/>
    <w:rsid w:val="0027143B"/>
    <w:rsid w:val="00271EE1"/>
    <w:rsid w:val="002725AB"/>
    <w:rsid w:val="002727C3"/>
    <w:rsid w:val="00273750"/>
    <w:rsid w:val="002739FB"/>
    <w:rsid w:val="0027471E"/>
    <w:rsid w:val="002749E3"/>
    <w:rsid w:val="00274B1F"/>
    <w:rsid w:val="00274C57"/>
    <w:rsid w:val="002752DE"/>
    <w:rsid w:val="002753C7"/>
    <w:rsid w:val="00275780"/>
    <w:rsid w:val="00275A79"/>
    <w:rsid w:val="00275E40"/>
    <w:rsid w:val="00275E81"/>
    <w:rsid w:val="0027632D"/>
    <w:rsid w:val="002767E1"/>
    <w:rsid w:val="00276B48"/>
    <w:rsid w:val="00276D1B"/>
    <w:rsid w:val="00277067"/>
    <w:rsid w:val="0027784E"/>
    <w:rsid w:val="0028077A"/>
    <w:rsid w:val="00280960"/>
    <w:rsid w:val="00280F63"/>
    <w:rsid w:val="00281158"/>
    <w:rsid w:val="00281AA2"/>
    <w:rsid w:val="00281BB4"/>
    <w:rsid w:val="002820F4"/>
    <w:rsid w:val="002821F1"/>
    <w:rsid w:val="002824C3"/>
    <w:rsid w:val="002824FC"/>
    <w:rsid w:val="00282770"/>
    <w:rsid w:val="002827FE"/>
    <w:rsid w:val="00282863"/>
    <w:rsid w:val="002829A4"/>
    <w:rsid w:val="00282F15"/>
    <w:rsid w:val="00282FB5"/>
    <w:rsid w:val="002830D4"/>
    <w:rsid w:val="002833F5"/>
    <w:rsid w:val="00283F98"/>
    <w:rsid w:val="002847F1"/>
    <w:rsid w:val="00284A57"/>
    <w:rsid w:val="002851D3"/>
    <w:rsid w:val="002852C6"/>
    <w:rsid w:val="00285688"/>
    <w:rsid w:val="0028577D"/>
    <w:rsid w:val="002857EC"/>
    <w:rsid w:val="00285D94"/>
    <w:rsid w:val="00285F68"/>
    <w:rsid w:val="00286032"/>
    <w:rsid w:val="00286E8B"/>
    <w:rsid w:val="00287514"/>
    <w:rsid w:val="00287855"/>
    <w:rsid w:val="00287B24"/>
    <w:rsid w:val="00287E9A"/>
    <w:rsid w:val="002900A8"/>
    <w:rsid w:val="00290E0A"/>
    <w:rsid w:val="002912AD"/>
    <w:rsid w:val="00291301"/>
    <w:rsid w:val="00291356"/>
    <w:rsid w:val="00291DEC"/>
    <w:rsid w:val="00291F40"/>
    <w:rsid w:val="0029226F"/>
    <w:rsid w:val="00293065"/>
    <w:rsid w:val="002933F7"/>
    <w:rsid w:val="002936A6"/>
    <w:rsid w:val="00293A5D"/>
    <w:rsid w:val="00294212"/>
    <w:rsid w:val="00294947"/>
    <w:rsid w:val="0029495D"/>
    <w:rsid w:val="00294F8C"/>
    <w:rsid w:val="00295924"/>
    <w:rsid w:val="00295CE6"/>
    <w:rsid w:val="002964B3"/>
    <w:rsid w:val="00296554"/>
    <w:rsid w:val="002967B8"/>
    <w:rsid w:val="002969D2"/>
    <w:rsid w:val="00296A84"/>
    <w:rsid w:val="00296C3E"/>
    <w:rsid w:val="00296E37"/>
    <w:rsid w:val="002973CA"/>
    <w:rsid w:val="00297B91"/>
    <w:rsid w:val="00297C3D"/>
    <w:rsid w:val="00297EBF"/>
    <w:rsid w:val="002A052B"/>
    <w:rsid w:val="002A0B2B"/>
    <w:rsid w:val="002A0FA8"/>
    <w:rsid w:val="002A103D"/>
    <w:rsid w:val="002A12C3"/>
    <w:rsid w:val="002A1A67"/>
    <w:rsid w:val="002A2BBA"/>
    <w:rsid w:val="002A2E36"/>
    <w:rsid w:val="002A2FC4"/>
    <w:rsid w:val="002A35BD"/>
    <w:rsid w:val="002A40FA"/>
    <w:rsid w:val="002A41E3"/>
    <w:rsid w:val="002A434B"/>
    <w:rsid w:val="002A437A"/>
    <w:rsid w:val="002A4417"/>
    <w:rsid w:val="002A4878"/>
    <w:rsid w:val="002A4BC2"/>
    <w:rsid w:val="002A4C47"/>
    <w:rsid w:val="002A4EF2"/>
    <w:rsid w:val="002A53C4"/>
    <w:rsid w:val="002A5650"/>
    <w:rsid w:val="002A5B1B"/>
    <w:rsid w:val="002A5C74"/>
    <w:rsid w:val="002A693B"/>
    <w:rsid w:val="002A6D50"/>
    <w:rsid w:val="002A6EF4"/>
    <w:rsid w:val="002A725A"/>
    <w:rsid w:val="002A7385"/>
    <w:rsid w:val="002A7640"/>
    <w:rsid w:val="002A7E13"/>
    <w:rsid w:val="002A7EC0"/>
    <w:rsid w:val="002A7F77"/>
    <w:rsid w:val="002B0163"/>
    <w:rsid w:val="002B0214"/>
    <w:rsid w:val="002B02A1"/>
    <w:rsid w:val="002B0335"/>
    <w:rsid w:val="002B0975"/>
    <w:rsid w:val="002B1301"/>
    <w:rsid w:val="002B1304"/>
    <w:rsid w:val="002B14ED"/>
    <w:rsid w:val="002B21C9"/>
    <w:rsid w:val="002B243B"/>
    <w:rsid w:val="002B2490"/>
    <w:rsid w:val="002B2840"/>
    <w:rsid w:val="002B284C"/>
    <w:rsid w:val="002B2B54"/>
    <w:rsid w:val="002B2B60"/>
    <w:rsid w:val="002B2DBC"/>
    <w:rsid w:val="002B2F33"/>
    <w:rsid w:val="002B304B"/>
    <w:rsid w:val="002B332F"/>
    <w:rsid w:val="002B33ED"/>
    <w:rsid w:val="002B3BCE"/>
    <w:rsid w:val="002B3D31"/>
    <w:rsid w:val="002B429F"/>
    <w:rsid w:val="002B4321"/>
    <w:rsid w:val="002B43EA"/>
    <w:rsid w:val="002B45A8"/>
    <w:rsid w:val="002B45F2"/>
    <w:rsid w:val="002B5355"/>
    <w:rsid w:val="002B5377"/>
    <w:rsid w:val="002B5F55"/>
    <w:rsid w:val="002B6181"/>
    <w:rsid w:val="002B6FE5"/>
    <w:rsid w:val="002B73B5"/>
    <w:rsid w:val="002B7991"/>
    <w:rsid w:val="002B7FE4"/>
    <w:rsid w:val="002C0277"/>
    <w:rsid w:val="002C03D2"/>
    <w:rsid w:val="002C0DCF"/>
    <w:rsid w:val="002C0F04"/>
    <w:rsid w:val="002C13BE"/>
    <w:rsid w:val="002C1C21"/>
    <w:rsid w:val="002C208A"/>
    <w:rsid w:val="002C215D"/>
    <w:rsid w:val="002C2542"/>
    <w:rsid w:val="002C25D1"/>
    <w:rsid w:val="002C2621"/>
    <w:rsid w:val="002C27E8"/>
    <w:rsid w:val="002C2CF9"/>
    <w:rsid w:val="002C2D20"/>
    <w:rsid w:val="002C2D28"/>
    <w:rsid w:val="002C35C9"/>
    <w:rsid w:val="002C360C"/>
    <w:rsid w:val="002C3A44"/>
    <w:rsid w:val="002C3BA5"/>
    <w:rsid w:val="002C3CE2"/>
    <w:rsid w:val="002C3DF0"/>
    <w:rsid w:val="002C4308"/>
    <w:rsid w:val="002C448A"/>
    <w:rsid w:val="002C4771"/>
    <w:rsid w:val="002C4FFB"/>
    <w:rsid w:val="002C526F"/>
    <w:rsid w:val="002C583F"/>
    <w:rsid w:val="002C5872"/>
    <w:rsid w:val="002C5ED5"/>
    <w:rsid w:val="002C6B66"/>
    <w:rsid w:val="002C70A3"/>
    <w:rsid w:val="002C7E1A"/>
    <w:rsid w:val="002D0627"/>
    <w:rsid w:val="002D0650"/>
    <w:rsid w:val="002D142A"/>
    <w:rsid w:val="002D1499"/>
    <w:rsid w:val="002D1BA4"/>
    <w:rsid w:val="002D1CE1"/>
    <w:rsid w:val="002D1D42"/>
    <w:rsid w:val="002D1F63"/>
    <w:rsid w:val="002D200F"/>
    <w:rsid w:val="002D2013"/>
    <w:rsid w:val="002D2485"/>
    <w:rsid w:val="002D2598"/>
    <w:rsid w:val="002D28DF"/>
    <w:rsid w:val="002D2BA2"/>
    <w:rsid w:val="002D2BFA"/>
    <w:rsid w:val="002D38C0"/>
    <w:rsid w:val="002D3C56"/>
    <w:rsid w:val="002D4492"/>
    <w:rsid w:val="002D4838"/>
    <w:rsid w:val="002D4839"/>
    <w:rsid w:val="002D4E5E"/>
    <w:rsid w:val="002D5371"/>
    <w:rsid w:val="002D5EE4"/>
    <w:rsid w:val="002D601B"/>
    <w:rsid w:val="002D68D9"/>
    <w:rsid w:val="002D7053"/>
    <w:rsid w:val="002D705B"/>
    <w:rsid w:val="002D73E4"/>
    <w:rsid w:val="002D7B78"/>
    <w:rsid w:val="002D7EE8"/>
    <w:rsid w:val="002E0317"/>
    <w:rsid w:val="002E0959"/>
    <w:rsid w:val="002E0CD9"/>
    <w:rsid w:val="002E18E2"/>
    <w:rsid w:val="002E1C39"/>
    <w:rsid w:val="002E21FD"/>
    <w:rsid w:val="002E2CC4"/>
    <w:rsid w:val="002E2CCB"/>
    <w:rsid w:val="002E34B7"/>
    <w:rsid w:val="002E3807"/>
    <w:rsid w:val="002E387A"/>
    <w:rsid w:val="002E3ABA"/>
    <w:rsid w:val="002E45D8"/>
    <w:rsid w:val="002E49E1"/>
    <w:rsid w:val="002E4A89"/>
    <w:rsid w:val="002E4C5C"/>
    <w:rsid w:val="002E509D"/>
    <w:rsid w:val="002E51F1"/>
    <w:rsid w:val="002E55A8"/>
    <w:rsid w:val="002E5870"/>
    <w:rsid w:val="002E5A42"/>
    <w:rsid w:val="002E5BE9"/>
    <w:rsid w:val="002E63E6"/>
    <w:rsid w:val="002E67B3"/>
    <w:rsid w:val="002E6B8B"/>
    <w:rsid w:val="002E70BF"/>
    <w:rsid w:val="002E7862"/>
    <w:rsid w:val="002E7F0D"/>
    <w:rsid w:val="002E7FBF"/>
    <w:rsid w:val="002F02B3"/>
    <w:rsid w:val="002F0464"/>
    <w:rsid w:val="002F0EEC"/>
    <w:rsid w:val="002F126C"/>
    <w:rsid w:val="002F1271"/>
    <w:rsid w:val="002F12AF"/>
    <w:rsid w:val="002F193B"/>
    <w:rsid w:val="002F1D89"/>
    <w:rsid w:val="002F1DB6"/>
    <w:rsid w:val="002F235E"/>
    <w:rsid w:val="002F2738"/>
    <w:rsid w:val="002F2A9F"/>
    <w:rsid w:val="002F2DE5"/>
    <w:rsid w:val="002F316C"/>
    <w:rsid w:val="002F3347"/>
    <w:rsid w:val="002F36C2"/>
    <w:rsid w:val="002F38CF"/>
    <w:rsid w:val="002F3F27"/>
    <w:rsid w:val="002F4A45"/>
    <w:rsid w:val="002F4A8B"/>
    <w:rsid w:val="002F5310"/>
    <w:rsid w:val="002F62DE"/>
    <w:rsid w:val="002F64E6"/>
    <w:rsid w:val="002F658C"/>
    <w:rsid w:val="002F65E9"/>
    <w:rsid w:val="002F692B"/>
    <w:rsid w:val="002F6C51"/>
    <w:rsid w:val="002F6E2F"/>
    <w:rsid w:val="002F6FE6"/>
    <w:rsid w:val="002F736A"/>
    <w:rsid w:val="002F73A3"/>
    <w:rsid w:val="002F755A"/>
    <w:rsid w:val="002F7750"/>
    <w:rsid w:val="002F7ABD"/>
    <w:rsid w:val="002F7F58"/>
    <w:rsid w:val="003008E7"/>
    <w:rsid w:val="00300F46"/>
    <w:rsid w:val="00300FFF"/>
    <w:rsid w:val="003010E4"/>
    <w:rsid w:val="003014E9"/>
    <w:rsid w:val="00301895"/>
    <w:rsid w:val="003018E7"/>
    <w:rsid w:val="003024E7"/>
    <w:rsid w:val="00302C74"/>
    <w:rsid w:val="00302E20"/>
    <w:rsid w:val="0030376F"/>
    <w:rsid w:val="0030399B"/>
    <w:rsid w:val="00303A4B"/>
    <w:rsid w:val="00303CB4"/>
    <w:rsid w:val="00303FF6"/>
    <w:rsid w:val="003045B4"/>
    <w:rsid w:val="003045E2"/>
    <w:rsid w:val="003045F2"/>
    <w:rsid w:val="003048B0"/>
    <w:rsid w:val="00304CEA"/>
    <w:rsid w:val="00304D8A"/>
    <w:rsid w:val="0030544C"/>
    <w:rsid w:val="00305B0D"/>
    <w:rsid w:val="00305B64"/>
    <w:rsid w:val="0030642B"/>
    <w:rsid w:val="00306777"/>
    <w:rsid w:val="00306C4D"/>
    <w:rsid w:val="00306CC3"/>
    <w:rsid w:val="00306D2D"/>
    <w:rsid w:val="00307096"/>
    <w:rsid w:val="0030742B"/>
    <w:rsid w:val="00307EAE"/>
    <w:rsid w:val="00307FDE"/>
    <w:rsid w:val="00310A62"/>
    <w:rsid w:val="00310B93"/>
    <w:rsid w:val="00311890"/>
    <w:rsid w:val="00311DEC"/>
    <w:rsid w:val="003123A0"/>
    <w:rsid w:val="00312973"/>
    <w:rsid w:val="00312C93"/>
    <w:rsid w:val="00312D9C"/>
    <w:rsid w:val="00312E13"/>
    <w:rsid w:val="00312E44"/>
    <w:rsid w:val="00312FAE"/>
    <w:rsid w:val="0031307B"/>
    <w:rsid w:val="0031327C"/>
    <w:rsid w:val="0031464D"/>
    <w:rsid w:val="0031480F"/>
    <w:rsid w:val="00314BCF"/>
    <w:rsid w:val="003151DE"/>
    <w:rsid w:val="00315A34"/>
    <w:rsid w:val="00315DEA"/>
    <w:rsid w:val="00315E86"/>
    <w:rsid w:val="00316067"/>
    <w:rsid w:val="0031672C"/>
    <w:rsid w:val="00317363"/>
    <w:rsid w:val="00317538"/>
    <w:rsid w:val="00320BA3"/>
    <w:rsid w:val="00320D71"/>
    <w:rsid w:val="00320EAF"/>
    <w:rsid w:val="003220AD"/>
    <w:rsid w:val="00322249"/>
    <w:rsid w:val="0032297C"/>
    <w:rsid w:val="00322BDE"/>
    <w:rsid w:val="00323A0E"/>
    <w:rsid w:val="00323BCA"/>
    <w:rsid w:val="003248AA"/>
    <w:rsid w:val="00324BEF"/>
    <w:rsid w:val="00324FDD"/>
    <w:rsid w:val="003250F8"/>
    <w:rsid w:val="003252A5"/>
    <w:rsid w:val="0032538B"/>
    <w:rsid w:val="00325478"/>
    <w:rsid w:val="003257A6"/>
    <w:rsid w:val="00325CFD"/>
    <w:rsid w:val="00326201"/>
    <w:rsid w:val="00326350"/>
    <w:rsid w:val="003264BB"/>
    <w:rsid w:val="00326B0D"/>
    <w:rsid w:val="003271D6"/>
    <w:rsid w:val="00327283"/>
    <w:rsid w:val="003276FB"/>
    <w:rsid w:val="00327A3C"/>
    <w:rsid w:val="00327D69"/>
    <w:rsid w:val="00327DF1"/>
    <w:rsid w:val="00330199"/>
    <w:rsid w:val="0033034B"/>
    <w:rsid w:val="00330358"/>
    <w:rsid w:val="00330758"/>
    <w:rsid w:val="003308CC"/>
    <w:rsid w:val="0033095E"/>
    <w:rsid w:val="00330AC6"/>
    <w:rsid w:val="00330BDB"/>
    <w:rsid w:val="0033133F"/>
    <w:rsid w:val="003319D4"/>
    <w:rsid w:val="00331C6E"/>
    <w:rsid w:val="00331D1F"/>
    <w:rsid w:val="00331F27"/>
    <w:rsid w:val="00332209"/>
    <w:rsid w:val="00332541"/>
    <w:rsid w:val="00332EBD"/>
    <w:rsid w:val="00333115"/>
    <w:rsid w:val="003332B6"/>
    <w:rsid w:val="003333B0"/>
    <w:rsid w:val="003334CD"/>
    <w:rsid w:val="00333B05"/>
    <w:rsid w:val="00333B50"/>
    <w:rsid w:val="00333E5D"/>
    <w:rsid w:val="00334078"/>
    <w:rsid w:val="00334831"/>
    <w:rsid w:val="00334C6B"/>
    <w:rsid w:val="00335362"/>
    <w:rsid w:val="0033628A"/>
    <w:rsid w:val="0033645D"/>
    <w:rsid w:val="00336767"/>
    <w:rsid w:val="00337651"/>
    <w:rsid w:val="0034021B"/>
    <w:rsid w:val="00340254"/>
    <w:rsid w:val="0034025E"/>
    <w:rsid w:val="0034064E"/>
    <w:rsid w:val="00340906"/>
    <w:rsid w:val="00341228"/>
    <w:rsid w:val="00341553"/>
    <w:rsid w:val="0034182B"/>
    <w:rsid w:val="00341BAD"/>
    <w:rsid w:val="00341D0A"/>
    <w:rsid w:val="00342269"/>
    <w:rsid w:val="003426E9"/>
    <w:rsid w:val="00343890"/>
    <w:rsid w:val="00343964"/>
    <w:rsid w:val="00343D23"/>
    <w:rsid w:val="00343D44"/>
    <w:rsid w:val="00343D75"/>
    <w:rsid w:val="00344083"/>
    <w:rsid w:val="00344087"/>
    <w:rsid w:val="0034451E"/>
    <w:rsid w:val="003450C7"/>
    <w:rsid w:val="00345516"/>
    <w:rsid w:val="003458C2"/>
    <w:rsid w:val="00345A7E"/>
    <w:rsid w:val="00345E69"/>
    <w:rsid w:val="00345F5E"/>
    <w:rsid w:val="00346213"/>
    <w:rsid w:val="0034644D"/>
    <w:rsid w:val="0034655E"/>
    <w:rsid w:val="003466B7"/>
    <w:rsid w:val="003467D9"/>
    <w:rsid w:val="003469F3"/>
    <w:rsid w:val="00346D67"/>
    <w:rsid w:val="00346E99"/>
    <w:rsid w:val="003475BF"/>
    <w:rsid w:val="00347C70"/>
    <w:rsid w:val="00347E2B"/>
    <w:rsid w:val="00347F66"/>
    <w:rsid w:val="00350017"/>
    <w:rsid w:val="003504B6"/>
    <w:rsid w:val="00350561"/>
    <w:rsid w:val="0035080F"/>
    <w:rsid w:val="00350925"/>
    <w:rsid w:val="00350ABA"/>
    <w:rsid w:val="00350B64"/>
    <w:rsid w:val="00350CB2"/>
    <w:rsid w:val="00350CFD"/>
    <w:rsid w:val="00350DC9"/>
    <w:rsid w:val="003510D6"/>
    <w:rsid w:val="0035141B"/>
    <w:rsid w:val="00351457"/>
    <w:rsid w:val="00351894"/>
    <w:rsid w:val="00352148"/>
    <w:rsid w:val="0035231D"/>
    <w:rsid w:val="0035245C"/>
    <w:rsid w:val="00352636"/>
    <w:rsid w:val="0035296D"/>
    <w:rsid w:val="003534D5"/>
    <w:rsid w:val="003537F0"/>
    <w:rsid w:val="00353839"/>
    <w:rsid w:val="00353A7F"/>
    <w:rsid w:val="00354F66"/>
    <w:rsid w:val="0035507F"/>
    <w:rsid w:val="00355301"/>
    <w:rsid w:val="003557D4"/>
    <w:rsid w:val="00355A69"/>
    <w:rsid w:val="00355C01"/>
    <w:rsid w:val="00355E30"/>
    <w:rsid w:val="003563DC"/>
    <w:rsid w:val="003568E4"/>
    <w:rsid w:val="00356ED2"/>
    <w:rsid w:val="003579F6"/>
    <w:rsid w:val="00357D9B"/>
    <w:rsid w:val="00357DF2"/>
    <w:rsid w:val="00360069"/>
    <w:rsid w:val="00360245"/>
    <w:rsid w:val="003609DF"/>
    <w:rsid w:val="00360C8D"/>
    <w:rsid w:val="00360DEA"/>
    <w:rsid w:val="00361026"/>
    <w:rsid w:val="003612A0"/>
    <w:rsid w:val="003614D3"/>
    <w:rsid w:val="0036166C"/>
    <w:rsid w:val="003621C7"/>
    <w:rsid w:val="003629AD"/>
    <w:rsid w:val="00362A1B"/>
    <w:rsid w:val="00363059"/>
    <w:rsid w:val="0036310F"/>
    <w:rsid w:val="00363293"/>
    <w:rsid w:val="003634F8"/>
    <w:rsid w:val="00363C2D"/>
    <w:rsid w:val="00363E64"/>
    <w:rsid w:val="00364150"/>
    <w:rsid w:val="00364223"/>
    <w:rsid w:val="00364580"/>
    <w:rsid w:val="00364710"/>
    <w:rsid w:val="0036476F"/>
    <w:rsid w:val="00364CA8"/>
    <w:rsid w:val="00365047"/>
    <w:rsid w:val="003656D3"/>
    <w:rsid w:val="003657DF"/>
    <w:rsid w:val="003658C4"/>
    <w:rsid w:val="00365CE4"/>
    <w:rsid w:val="00366A0A"/>
    <w:rsid w:val="00366BE9"/>
    <w:rsid w:val="00367D78"/>
    <w:rsid w:val="00370107"/>
    <w:rsid w:val="00370C25"/>
    <w:rsid w:val="00370F52"/>
    <w:rsid w:val="003711A0"/>
    <w:rsid w:val="0037208B"/>
    <w:rsid w:val="003738BF"/>
    <w:rsid w:val="00373DC7"/>
    <w:rsid w:val="003742AB"/>
    <w:rsid w:val="00375101"/>
    <w:rsid w:val="00375394"/>
    <w:rsid w:val="00375993"/>
    <w:rsid w:val="00375EA8"/>
    <w:rsid w:val="003761C6"/>
    <w:rsid w:val="003767D3"/>
    <w:rsid w:val="003767DA"/>
    <w:rsid w:val="00376DA3"/>
    <w:rsid w:val="00376E55"/>
    <w:rsid w:val="003774E0"/>
    <w:rsid w:val="00377B5D"/>
    <w:rsid w:val="00377DB6"/>
    <w:rsid w:val="00377FF3"/>
    <w:rsid w:val="00380627"/>
    <w:rsid w:val="003809D9"/>
    <w:rsid w:val="003809E7"/>
    <w:rsid w:val="00381324"/>
    <w:rsid w:val="00381446"/>
    <w:rsid w:val="003820F7"/>
    <w:rsid w:val="00382449"/>
    <w:rsid w:val="0038277B"/>
    <w:rsid w:val="003827E3"/>
    <w:rsid w:val="00382BF5"/>
    <w:rsid w:val="0038319C"/>
    <w:rsid w:val="00383353"/>
    <w:rsid w:val="00383A18"/>
    <w:rsid w:val="00383A47"/>
    <w:rsid w:val="00383BBF"/>
    <w:rsid w:val="00383F05"/>
    <w:rsid w:val="003841E5"/>
    <w:rsid w:val="003845E4"/>
    <w:rsid w:val="0038500F"/>
    <w:rsid w:val="003850EA"/>
    <w:rsid w:val="00385D64"/>
    <w:rsid w:val="003860C0"/>
    <w:rsid w:val="00386170"/>
    <w:rsid w:val="003866AB"/>
    <w:rsid w:val="0038674D"/>
    <w:rsid w:val="0038675F"/>
    <w:rsid w:val="00386CA0"/>
    <w:rsid w:val="00387351"/>
    <w:rsid w:val="00387763"/>
    <w:rsid w:val="003900FB"/>
    <w:rsid w:val="00390612"/>
    <w:rsid w:val="00390748"/>
    <w:rsid w:val="00391172"/>
    <w:rsid w:val="00391520"/>
    <w:rsid w:val="003915DB"/>
    <w:rsid w:val="003915EF"/>
    <w:rsid w:val="00391B19"/>
    <w:rsid w:val="00391F51"/>
    <w:rsid w:val="00392087"/>
    <w:rsid w:val="003923A6"/>
    <w:rsid w:val="0039324A"/>
    <w:rsid w:val="003932CE"/>
    <w:rsid w:val="003936A3"/>
    <w:rsid w:val="00393B9C"/>
    <w:rsid w:val="00393F68"/>
    <w:rsid w:val="003942D8"/>
    <w:rsid w:val="003944F8"/>
    <w:rsid w:val="00394644"/>
    <w:rsid w:val="00394AD6"/>
    <w:rsid w:val="00394EE2"/>
    <w:rsid w:val="00395218"/>
    <w:rsid w:val="00395355"/>
    <w:rsid w:val="0039543A"/>
    <w:rsid w:val="00395C26"/>
    <w:rsid w:val="00395D79"/>
    <w:rsid w:val="00395DB4"/>
    <w:rsid w:val="0039620C"/>
    <w:rsid w:val="00396665"/>
    <w:rsid w:val="003966AF"/>
    <w:rsid w:val="0039695F"/>
    <w:rsid w:val="00396D04"/>
    <w:rsid w:val="00396D18"/>
    <w:rsid w:val="00397D68"/>
    <w:rsid w:val="003A0403"/>
    <w:rsid w:val="003A0B9E"/>
    <w:rsid w:val="003A0CD2"/>
    <w:rsid w:val="003A10CF"/>
    <w:rsid w:val="003A17DD"/>
    <w:rsid w:val="003A1ADD"/>
    <w:rsid w:val="003A21A2"/>
    <w:rsid w:val="003A21E8"/>
    <w:rsid w:val="003A2996"/>
    <w:rsid w:val="003A2E89"/>
    <w:rsid w:val="003A3E5B"/>
    <w:rsid w:val="003A3F5E"/>
    <w:rsid w:val="003A4094"/>
    <w:rsid w:val="003A42B6"/>
    <w:rsid w:val="003A46D5"/>
    <w:rsid w:val="003A4945"/>
    <w:rsid w:val="003A4DD4"/>
    <w:rsid w:val="003A4EE4"/>
    <w:rsid w:val="003A50C3"/>
    <w:rsid w:val="003A51B7"/>
    <w:rsid w:val="003A52D4"/>
    <w:rsid w:val="003A56EA"/>
    <w:rsid w:val="003A5B7E"/>
    <w:rsid w:val="003A5CFC"/>
    <w:rsid w:val="003A60C8"/>
    <w:rsid w:val="003A688C"/>
    <w:rsid w:val="003A69D4"/>
    <w:rsid w:val="003A6C6D"/>
    <w:rsid w:val="003A76F1"/>
    <w:rsid w:val="003A7A75"/>
    <w:rsid w:val="003B0083"/>
    <w:rsid w:val="003B08BD"/>
    <w:rsid w:val="003B0A5A"/>
    <w:rsid w:val="003B0FC4"/>
    <w:rsid w:val="003B1023"/>
    <w:rsid w:val="003B1182"/>
    <w:rsid w:val="003B1296"/>
    <w:rsid w:val="003B1F90"/>
    <w:rsid w:val="003B23B4"/>
    <w:rsid w:val="003B2E29"/>
    <w:rsid w:val="003B2E83"/>
    <w:rsid w:val="003B34F3"/>
    <w:rsid w:val="003B3AEC"/>
    <w:rsid w:val="003B3EB9"/>
    <w:rsid w:val="003B3EBB"/>
    <w:rsid w:val="003B484F"/>
    <w:rsid w:val="003B4BAF"/>
    <w:rsid w:val="003B4FD8"/>
    <w:rsid w:val="003B524B"/>
    <w:rsid w:val="003B5408"/>
    <w:rsid w:val="003B561C"/>
    <w:rsid w:val="003B5BCA"/>
    <w:rsid w:val="003B5D0A"/>
    <w:rsid w:val="003B5F0E"/>
    <w:rsid w:val="003B67CE"/>
    <w:rsid w:val="003B6DE4"/>
    <w:rsid w:val="003B7232"/>
    <w:rsid w:val="003B745A"/>
    <w:rsid w:val="003B74A5"/>
    <w:rsid w:val="003B78A2"/>
    <w:rsid w:val="003B7D34"/>
    <w:rsid w:val="003C0B2F"/>
    <w:rsid w:val="003C0C8C"/>
    <w:rsid w:val="003C0D65"/>
    <w:rsid w:val="003C0F00"/>
    <w:rsid w:val="003C12B3"/>
    <w:rsid w:val="003C1616"/>
    <w:rsid w:val="003C1698"/>
    <w:rsid w:val="003C26DA"/>
    <w:rsid w:val="003C2858"/>
    <w:rsid w:val="003C2B8A"/>
    <w:rsid w:val="003C2C7B"/>
    <w:rsid w:val="003C2FB4"/>
    <w:rsid w:val="003C35E2"/>
    <w:rsid w:val="003C3628"/>
    <w:rsid w:val="003C4315"/>
    <w:rsid w:val="003C4E00"/>
    <w:rsid w:val="003C4E4F"/>
    <w:rsid w:val="003C4FAC"/>
    <w:rsid w:val="003C55FC"/>
    <w:rsid w:val="003C5789"/>
    <w:rsid w:val="003C5ADD"/>
    <w:rsid w:val="003C5E61"/>
    <w:rsid w:val="003C6237"/>
    <w:rsid w:val="003C725A"/>
    <w:rsid w:val="003C77F2"/>
    <w:rsid w:val="003C79C4"/>
    <w:rsid w:val="003C7BD7"/>
    <w:rsid w:val="003C7C78"/>
    <w:rsid w:val="003C7C8B"/>
    <w:rsid w:val="003D0442"/>
    <w:rsid w:val="003D082F"/>
    <w:rsid w:val="003D0F04"/>
    <w:rsid w:val="003D1425"/>
    <w:rsid w:val="003D1CE7"/>
    <w:rsid w:val="003D1D3A"/>
    <w:rsid w:val="003D228D"/>
    <w:rsid w:val="003D256F"/>
    <w:rsid w:val="003D298D"/>
    <w:rsid w:val="003D298F"/>
    <w:rsid w:val="003D2C3E"/>
    <w:rsid w:val="003D2C7A"/>
    <w:rsid w:val="003D2D36"/>
    <w:rsid w:val="003D2DBB"/>
    <w:rsid w:val="003D3187"/>
    <w:rsid w:val="003D3D72"/>
    <w:rsid w:val="003D41AA"/>
    <w:rsid w:val="003D41DC"/>
    <w:rsid w:val="003D49CD"/>
    <w:rsid w:val="003D4A83"/>
    <w:rsid w:val="003D51B8"/>
    <w:rsid w:val="003D51F9"/>
    <w:rsid w:val="003D5516"/>
    <w:rsid w:val="003D556A"/>
    <w:rsid w:val="003D5DD5"/>
    <w:rsid w:val="003D6281"/>
    <w:rsid w:val="003D6624"/>
    <w:rsid w:val="003D6965"/>
    <w:rsid w:val="003D6CCE"/>
    <w:rsid w:val="003D6FD2"/>
    <w:rsid w:val="003D7229"/>
    <w:rsid w:val="003D7840"/>
    <w:rsid w:val="003D7FE7"/>
    <w:rsid w:val="003E02E9"/>
    <w:rsid w:val="003E09E7"/>
    <w:rsid w:val="003E0B6E"/>
    <w:rsid w:val="003E1162"/>
    <w:rsid w:val="003E132B"/>
    <w:rsid w:val="003E18A8"/>
    <w:rsid w:val="003E1C59"/>
    <w:rsid w:val="003E203D"/>
    <w:rsid w:val="003E23ED"/>
    <w:rsid w:val="003E2AE7"/>
    <w:rsid w:val="003E3039"/>
    <w:rsid w:val="003E3146"/>
    <w:rsid w:val="003E34F7"/>
    <w:rsid w:val="003E34FC"/>
    <w:rsid w:val="003E419F"/>
    <w:rsid w:val="003E4261"/>
    <w:rsid w:val="003E4F8F"/>
    <w:rsid w:val="003E516B"/>
    <w:rsid w:val="003E586A"/>
    <w:rsid w:val="003E5A16"/>
    <w:rsid w:val="003E5AD9"/>
    <w:rsid w:val="003E5C0F"/>
    <w:rsid w:val="003E6322"/>
    <w:rsid w:val="003E6434"/>
    <w:rsid w:val="003E6A19"/>
    <w:rsid w:val="003E6DAC"/>
    <w:rsid w:val="003E6EB6"/>
    <w:rsid w:val="003E6F7E"/>
    <w:rsid w:val="003E73EA"/>
    <w:rsid w:val="003E7624"/>
    <w:rsid w:val="003E7F5C"/>
    <w:rsid w:val="003F0125"/>
    <w:rsid w:val="003F016C"/>
    <w:rsid w:val="003F0962"/>
    <w:rsid w:val="003F1233"/>
    <w:rsid w:val="003F12DA"/>
    <w:rsid w:val="003F1326"/>
    <w:rsid w:val="003F1855"/>
    <w:rsid w:val="003F1A08"/>
    <w:rsid w:val="003F1C43"/>
    <w:rsid w:val="003F1E56"/>
    <w:rsid w:val="003F274C"/>
    <w:rsid w:val="003F2BC3"/>
    <w:rsid w:val="003F2C8D"/>
    <w:rsid w:val="003F32CD"/>
    <w:rsid w:val="003F3762"/>
    <w:rsid w:val="003F39E5"/>
    <w:rsid w:val="003F3D49"/>
    <w:rsid w:val="003F3DFB"/>
    <w:rsid w:val="003F3F8C"/>
    <w:rsid w:val="003F412E"/>
    <w:rsid w:val="003F46E1"/>
    <w:rsid w:val="003F4C96"/>
    <w:rsid w:val="003F4E52"/>
    <w:rsid w:val="003F5A6E"/>
    <w:rsid w:val="003F5B14"/>
    <w:rsid w:val="003F5B24"/>
    <w:rsid w:val="003F5BE6"/>
    <w:rsid w:val="003F62A1"/>
    <w:rsid w:val="003F634C"/>
    <w:rsid w:val="003F7FDB"/>
    <w:rsid w:val="004001D8"/>
    <w:rsid w:val="00400391"/>
    <w:rsid w:val="0040068D"/>
    <w:rsid w:val="00400806"/>
    <w:rsid w:val="00400FD0"/>
    <w:rsid w:val="0040155D"/>
    <w:rsid w:val="00401615"/>
    <w:rsid w:val="00401BB1"/>
    <w:rsid w:val="00401D55"/>
    <w:rsid w:val="004023E1"/>
    <w:rsid w:val="00403051"/>
    <w:rsid w:val="00403147"/>
    <w:rsid w:val="004038D6"/>
    <w:rsid w:val="00403B56"/>
    <w:rsid w:val="00403B5D"/>
    <w:rsid w:val="004041EA"/>
    <w:rsid w:val="00404EAA"/>
    <w:rsid w:val="00405262"/>
    <w:rsid w:val="00405E18"/>
    <w:rsid w:val="00406219"/>
    <w:rsid w:val="00406236"/>
    <w:rsid w:val="0040624E"/>
    <w:rsid w:val="0040641F"/>
    <w:rsid w:val="00406488"/>
    <w:rsid w:val="00406D41"/>
    <w:rsid w:val="00406F98"/>
    <w:rsid w:val="00407122"/>
    <w:rsid w:val="0040714D"/>
    <w:rsid w:val="004072F6"/>
    <w:rsid w:val="004073D8"/>
    <w:rsid w:val="0041187F"/>
    <w:rsid w:val="00411A28"/>
    <w:rsid w:val="00411D51"/>
    <w:rsid w:val="00412186"/>
    <w:rsid w:val="0041255A"/>
    <w:rsid w:val="00412B01"/>
    <w:rsid w:val="00412E7C"/>
    <w:rsid w:val="004130C8"/>
    <w:rsid w:val="0041345F"/>
    <w:rsid w:val="00413679"/>
    <w:rsid w:val="00413A19"/>
    <w:rsid w:val="00413C04"/>
    <w:rsid w:val="00413E67"/>
    <w:rsid w:val="004144A5"/>
    <w:rsid w:val="00414E0C"/>
    <w:rsid w:val="004156A9"/>
    <w:rsid w:val="004156AA"/>
    <w:rsid w:val="00415AEF"/>
    <w:rsid w:val="00415E67"/>
    <w:rsid w:val="0041667D"/>
    <w:rsid w:val="00416939"/>
    <w:rsid w:val="00416A18"/>
    <w:rsid w:val="00417017"/>
    <w:rsid w:val="004171D8"/>
    <w:rsid w:val="004171FF"/>
    <w:rsid w:val="00417344"/>
    <w:rsid w:val="00417585"/>
    <w:rsid w:val="00417899"/>
    <w:rsid w:val="00417FF8"/>
    <w:rsid w:val="0042042B"/>
    <w:rsid w:val="00420C12"/>
    <w:rsid w:val="00420F1A"/>
    <w:rsid w:val="0042137D"/>
    <w:rsid w:val="00421485"/>
    <w:rsid w:val="00421C4A"/>
    <w:rsid w:val="00421D32"/>
    <w:rsid w:val="00421FFE"/>
    <w:rsid w:val="0042249E"/>
    <w:rsid w:val="004225B8"/>
    <w:rsid w:val="004226B9"/>
    <w:rsid w:val="004228F4"/>
    <w:rsid w:val="0042295F"/>
    <w:rsid w:val="00422EC3"/>
    <w:rsid w:val="00423443"/>
    <w:rsid w:val="004238A2"/>
    <w:rsid w:val="00423976"/>
    <w:rsid w:val="00423BBE"/>
    <w:rsid w:val="0042406F"/>
    <w:rsid w:val="0042440F"/>
    <w:rsid w:val="004245FD"/>
    <w:rsid w:val="00424A4A"/>
    <w:rsid w:val="004254F5"/>
    <w:rsid w:val="00425EA4"/>
    <w:rsid w:val="00426166"/>
    <w:rsid w:val="00426715"/>
    <w:rsid w:val="00426758"/>
    <w:rsid w:val="004268DF"/>
    <w:rsid w:val="00426ABF"/>
    <w:rsid w:val="00426C6E"/>
    <w:rsid w:val="00427714"/>
    <w:rsid w:val="00427D4E"/>
    <w:rsid w:val="00430131"/>
    <w:rsid w:val="00430175"/>
    <w:rsid w:val="00430361"/>
    <w:rsid w:val="00430DC1"/>
    <w:rsid w:val="004319EB"/>
    <w:rsid w:val="00431BAB"/>
    <w:rsid w:val="00431D84"/>
    <w:rsid w:val="00432175"/>
    <w:rsid w:val="004322C2"/>
    <w:rsid w:val="00432673"/>
    <w:rsid w:val="00432FDB"/>
    <w:rsid w:val="004343F4"/>
    <w:rsid w:val="00434D6D"/>
    <w:rsid w:val="00435A39"/>
    <w:rsid w:val="00435C52"/>
    <w:rsid w:val="004362E5"/>
    <w:rsid w:val="00436302"/>
    <w:rsid w:val="004363DD"/>
    <w:rsid w:val="00436772"/>
    <w:rsid w:val="004379C6"/>
    <w:rsid w:val="00437A32"/>
    <w:rsid w:val="00437BBA"/>
    <w:rsid w:val="00440D51"/>
    <w:rsid w:val="00440FB6"/>
    <w:rsid w:val="00441300"/>
    <w:rsid w:val="004414BE"/>
    <w:rsid w:val="004417EE"/>
    <w:rsid w:val="00441957"/>
    <w:rsid w:val="00441DDD"/>
    <w:rsid w:val="004425F5"/>
    <w:rsid w:val="004426FA"/>
    <w:rsid w:val="00442785"/>
    <w:rsid w:val="0044279D"/>
    <w:rsid w:val="004427D8"/>
    <w:rsid w:val="00442CEB"/>
    <w:rsid w:val="004430B3"/>
    <w:rsid w:val="0044329C"/>
    <w:rsid w:val="0044333F"/>
    <w:rsid w:val="00443916"/>
    <w:rsid w:val="004439EE"/>
    <w:rsid w:val="00443D04"/>
    <w:rsid w:val="00443FA9"/>
    <w:rsid w:val="0044410A"/>
    <w:rsid w:val="00444873"/>
    <w:rsid w:val="004449F0"/>
    <w:rsid w:val="00444A18"/>
    <w:rsid w:val="00444BBB"/>
    <w:rsid w:val="00444D77"/>
    <w:rsid w:val="004453D5"/>
    <w:rsid w:val="004453DD"/>
    <w:rsid w:val="00446008"/>
    <w:rsid w:val="004463ED"/>
    <w:rsid w:val="004468D2"/>
    <w:rsid w:val="00447CFE"/>
    <w:rsid w:val="00447DD4"/>
    <w:rsid w:val="00450000"/>
    <w:rsid w:val="004503F3"/>
    <w:rsid w:val="004503FE"/>
    <w:rsid w:val="004506FE"/>
    <w:rsid w:val="00450833"/>
    <w:rsid w:val="0045085B"/>
    <w:rsid w:val="00450CD9"/>
    <w:rsid w:val="004516C4"/>
    <w:rsid w:val="00451EAF"/>
    <w:rsid w:val="004521B5"/>
    <w:rsid w:val="004526B7"/>
    <w:rsid w:val="00452AB0"/>
    <w:rsid w:val="00453485"/>
    <w:rsid w:val="004537CC"/>
    <w:rsid w:val="004537D2"/>
    <w:rsid w:val="00453DE5"/>
    <w:rsid w:val="004548A8"/>
    <w:rsid w:val="00454B25"/>
    <w:rsid w:val="00454C36"/>
    <w:rsid w:val="00455233"/>
    <w:rsid w:val="00455362"/>
    <w:rsid w:val="00456348"/>
    <w:rsid w:val="004563F9"/>
    <w:rsid w:val="004566AC"/>
    <w:rsid w:val="00456C8F"/>
    <w:rsid w:val="00456F5A"/>
    <w:rsid w:val="00457C0D"/>
    <w:rsid w:val="00457C1C"/>
    <w:rsid w:val="00460152"/>
    <w:rsid w:val="00460315"/>
    <w:rsid w:val="00460503"/>
    <w:rsid w:val="00461106"/>
    <w:rsid w:val="0046166A"/>
    <w:rsid w:val="004616D2"/>
    <w:rsid w:val="004618FF"/>
    <w:rsid w:val="004619E5"/>
    <w:rsid w:val="00461AB5"/>
    <w:rsid w:val="00461B77"/>
    <w:rsid w:val="00461CA0"/>
    <w:rsid w:val="00461CAE"/>
    <w:rsid w:val="004621B4"/>
    <w:rsid w:val="0046224D"/>
    <w:rsid w:val="00463C36"/>
    <w:rsid w:val="00463CC2"/>
    <w:rsid w:val="00463ECB"/>
    <w:rsid w:val="0046424B"/>
    <w:rsid w:val="00464823"/>
    <w:rsid w:val="0046504F"/>
    <w:rsid w:val="004656C2"/>
    <w:rsid w:val="00465F7C"/>
    <w:rsid w:val="00466223"/>
    <w:rsid w:val="0046657E"/>
    <w:rsid w:val="004669D1"/>
    <w:rsid w:val="00466B3C"/>
    <w:rsid w:val="00466BE6"/>
    <w:rsid w:val="0046744C"/>
    <w:rsid w:val="0046746F"/>
    <w:rsid w:val="00467BC1"/>
    <w:rsid w:val="00467C11"/>
    <w:rsid w:val="00467E5A"/>
    <w:rsid w:val="0047008E"/>
    <w:rsid w:val="0047047A"/>
    <w:rsid w:val="00470660"/>
    <w:rsid w:val="004706E6"/>
    <w:rsid w:val="00470A3F"/>
    <w:rsid w:val="00471859"/>
    <w:rsid w:val="004719EA"/>
    <w:rsid w:val="004719F3"/>
    <w:rsid w:val="00471A6A"/>
    <w:rsid w:val="00471CB0"/>
    <w:rsid w:val="00471F0D"/>
    <w:rsid w:val="00472129"/>
    <w:rsid w:val="004724F0"/>
    <w:rsid w:val="00472AF6"/>
    <w:rsid w:val="00472C31"/>
    <w:rsid w:val="00472DBF"/>
    <w:rsid w:val="00472FAB"/>
    <w:rsid w:val="00473031"/>
    <w:rsid w:val="00473106"/>
    <w:rsid w:val="00473D77"/>
    <w:rsid w:val="00473F20"/>
    <w:rsid w:val="00475C26"/>
    <w:rsid w:val="004761A7"/>
    <w:rsid w:val="004768DF"/>
    <w:rsid w:val="00476CBE"/>
    <w:rsid w:val="00476CC6"/>
    <w:rsid w:val="004778E4"/>
    <w:rsid w:val="00477AC8"/>
    <w:rsid w:val="00477BF6"/>
    <w:rsid w:val="00477D74"/>
    <w:rsid w:val="00477E52"/>
    <w:rsid w:val="00480695"/>
    <w:rsid w:val="00480B3B"/>
    <w:rsid w:val="00480DE2"/>
    <w:rsid w:val="00481048"/>
    <w:rsid w:val="004814B2"/>
    <w:rsid w:val="004814F8"/>
    <w:rsid w:val="00481964"/>
    <w:rsid w:val="004819C1"/>
    <w:rsid w:val="004819D1"/>
    <w:rsid w:val="00481B31"/>
    <w:rsid w:val="00482596"/>
    <w:rsid w:val="004828D4"/>
    <w:rsid w:val="00482C03"/>
    <w:rsid w:val="00482D1C"/>
    <w:rsid w:val="0048340E"/>
    <w:rsid w:val="004835B7"/>
    <w:rsid w:val="00483D0A"/>
    <w:rsid w:val="00483D4B"/>
    <w:rsid w:val="00484646"/>
    <w:rsid w:val="00484C4F"/>
    <w:rsid w:val="00484DCF"/>
    <w:rsid w:val="00484DFF"/>
    <w:rsid w:val="0048569D"/>
    <w:rsid w:val="004857E5"/>
    <w:rsid w:val="00485B0B"/>
    <w:rsid w:val="00485F11"/>
    <w:rsid w:val="00485F80"/>
    <w:rsid w:val="00485F93"/>
    <w:rsid w:val="0048627D"/>
    <w:rsid w:val="004867ED"/>
    <w:rsid w:val="00486C55"/>
    <w:rsid w:val="00486DD5"/>
    <w:rsid w:val="00486E13"/>
    <w:rsid w:val="00486F3F"/>
    <w:rsid w:val="00487F7C"/>
    <w:rsid w:val="0049019F"/>
    <w:rsid w:val="004902F1"/>
    <w:rsid w:val="0049041D"/>
    <w:rsid w:val="00491308"/>
    <w:rsid w:val="00491AC5"/>
    <w:rsid w:val="00491FBB"/>
    <w:rsid w:val="004922C3"/>
    <w:rsid w:val="0049233C"/>
    <w:rsid w:val="0049278F"/>
    <w:rsid w:val="0049281C"/>
    <w:rsid w:val="00492C4C"/>
    <w:rsid w:val="004933F6"/>
    <w:rsid w:val="00494579"/>
    <w:rsid w:val="00495271"/>
    <w:rsid w:val="004952A4"/>
    <w:rsid w:val="00495799"/>
    <w:rsid w:val="004958C2"/>
    <w:rsid w:val="00496D2D"/>
    <w:rsid w:val="00496F35"/>
    <w:rsid w:val="004971C3"/>
    <w:rsid w:val="00497CDC"/>
    <w:rsid w:val="00497D15"/>
    <w:rsid w:val="004A05B7"/>
    <w:rsid w:val="004A1C88"/>
    <w:rsid w:val="004A1FC7"/>
    <w:rsid w:val="004A218E"/>
    <w:rsid w:val="004A23F7"/>
    <w:rsid w:val="004A285B"/>
    <w:rsid w:val="004A2A72"/>
    <w:rsid w:val="004A2BE9"/>
    <w:rsid w:val="004A2CCC"/>
    <w:rsid w:val="004A3247"/>
    <w:rsid w:val="004A32F5"/>
    <w:rsid w:val="004A3852"/>
    <w:rsid w:val="004A397D"/>
    <w:rsid w:val="004A3F7B"/>
    <w:rsid w:val="004A441D"/>
    <w:rsid w:val="004A44FF"/>
    <w:rsid w:val="004A4567"/>
    <w:rsid w:val="004A4833"/>
    <w:rsid w:val="004A4F63"/>
    <w:rsid w:val="004A52D7"/>
    <w:rsid w:val="004A59CC"/>
    <w:rsid w:val="004A63FE"/>
    <w:rsid w:val="004A656B"/>
    <w:rsid w:val="004A6722"/>
    <w:rsid w:val="004A6AF0"/>
    <w:rsid w:val="004A6D14"/>
    <w:rsid w:val="004A70C9"/>
    <w:rsid w:val="004A70E1"/>
    <w:rsid w:val="004A71FE"/>
    <w:rsid w:val="004A73A4"/>
    <w:rsid w:val="004A7595"/>
    <w:rsid w:val="004B018C"/>
    <w:rsid w:val="004B0345"/>
    <w:rsid w:val="004B0671"/>
    <w:rsid w:val="004B0721"/>
    <w:rsid w:val="004B094F"/>
    <w:rsid w:val="004B119C"/>
    <w:rsid w:val="004B12F5"/>
    <w:rsid w:val="004B1309"/>
    <w:rsid w:val="004B143B"/>
    <w:rsid w:val="004B1B95"/>
    <w:rsid w:val="004B1D41"/>
    <w:rsid w:val="004B1F83"/>
    <w:rsid w:val="004B22BF"/>
    <w:rsid w:val="004B261F"/>
    <w:rsid w:val="004B2872"/>
    <w:rsid w:val="004B2ED1"/>
    <w:rsid w:val="004B3521"/>
    <w:rsid w:val="004B36BB"/>
    <w:rsid w:val="004B36DB"/>
    <w:rsid w:val="004B394A"/>
    <w:rsid w:val="004B3E63"/>
    <w:rsid w:val="004B4589"/>
    <w:rsid w:val="004B4B39"/>
    <w:rsid w:val="004B57E4"/>
    <w:rsid w:val="004B5A8E"/>
    <w:rsid w:val="004B5B11"/>
    <w:rsid w:val="004B5C35"/>
    <w:rsid w:val="004B603C"/>
    <w:rsid w:val="004B64E5"/>
    <w:rsid w:val="004B64F1"/>
    <w:rsid w:val="004B6CB2"/>
    <w:rsid w:val="004B6E58"/>
    <w:rsid w:val="004B7019"/>
    <w:rsid w:val="004B7616"/>
    <w:rsid w:val="004B7B1F"/>
    <w:rsid w:val="004B7D0D"/>
    <w:rsid w:val="004C0929"/>
    <w:rsid w:val="004C0DD2"/>
    <w:rsid w:val="004C0F0B"/>
    <w:rsid w:val="004C0F96"/>
    <w:rsid w:val="004C11E8"/>
    <w:rsid w:val="004C1E56"/>
    <w:rsid w:val="004C2009"/>
    <w:rsid w:val="004C2226"/>
    <w:rsid w:val="004C23FE"/>
    <w:rsid w:val="004C2A69"/>
    <w:rsid w:val="004C3BF3"/>
    <w:rsid w:val="004C403F"/>
    <w:rsid w:val="004C4267"/>
    <w:rsid w:val="004C4807"/>
    <w:rsid w:val="004C4E88"/>
    <w:rsid w:val="004C4F64"/>
    <w:rsid w:val="004C51E5"/>
    <w:rsid w:val="004C51E6"/>
    <w:rsid w:val="004C5882"/>
    <w:rsid w:val="004C59E7"/>
    <w:rsid w:val="004C5E99"/>
    <w:rsid w:val="004C66E7"/>
    <w:rsid w:val="004C7A02"/>
    <w:rsid w:val="004C7CE3"/>
    <w:rsid w:val="004D0689"/>
    <w:rsid w:val="004D0E6D"/>
    <w:rsid w:val="004D12D9"/>
    <w:rsid w:val="004D151C"/>
    <w:rsid w:val="004D1594"/>
    <w:rsid w:val="004D16DA"/>
    <w:rsid w:val="004D1D42"/>
    <w:rsid w:val="004D1F1F"/>
    <w:rsid w:val="004D1F24"/>
    <w:rsid w:val="004D217F"/>
    <w:rsid w:val="004D254E"/>
    <w:rsid w:val="004D2A59"/>
    <w:rsid w:val="004D2D34"/>
    <w:rsid w:val="004D3237"/>
    <w:rsid w:val="004D32CC"/>
    <w:rsid w:val="004D3533"/>
    <w:rsid w:val="004D3BE4"/>
    <w:rsid w:val="004D4DF3"/>
    <w:rsid w:val="004D4E88"/>
    <w:rsid w:val="004D4FD0"/>
    <w:rsid w:val="004D5015"/>
    <w:rsid w:val="004D555A"/>
    <w:rsid w:val="004D55F1"/>
    <w:rsid w:val="004D58D5"/>
    <w:rsid w:val="004D60CF"/>
    <w:rsid w:val="004D66DC"/>
    <w:rsid w:val="004D6F1B"/>
    <w:rsid w:val="004D7D0C"/>
    <w:rsid w:val="004E0F73"/>
    <w:rsid w:val="004E14A8"/>
    <w:rsid w:val="004E1637"/>
    <w:rsid w:val="004E2A29"/>
    <w:rsid w:val="004E2AF0"/>
    <w:rsid w:val="004E2B34"/>
    <w:rsid w:val="004E3634"/>
    <w:rsid w:val="004E3B8A"/>
    <w:rsid w:val="004E4051"/>
    <w:rsid w:val="004E42E5"/>
    <w:rsid w:val="004E493E"/>
    <w:rsid w:val="004E4A6B"/>
    <w:rsid w:val="004E4EE0"/>
    <w:rsid w:val="004E50A7"/>
    <w:rsid w:val="004E585B"/>
    <w:rsid w:val="004E589A"/>
    <w:rsid w:val="004E59C8"/>
    <w:rsid w:val="004E5BCB"/>
    <w:rsid w:val="004E6037"/>
    <w:rsid w:val="004E6089"/>
    <w:rsid w:val="004E6105"/>
    <w:rsid w:val="004E610B"/>
    <w:rsid w:val="004E619B"/>
    <w:rsid w:val="004E644B"/>
    <w:rsid w:val="004E67AE"/>
    <w:rsid w:val="004E6A88"/>
    <w:rsid w:val="004E7C8F"/>
    <w:rsid w:val="004E7E89"/>
    <w:rsid w:val="004F0967"/>
    <w:rsid w:val="004F0B55"/>
    <w:rsid w:val="004F0B67"/>
    <w:rsid w:val="004F0B72"/>
    <w:rsid w:val="004F0E8B"/>
    <w:rsid w:val="004F0FE6"/>
    <w:rsid w:val="004F1847"/>
    <w:rsid w:val="004F1A0B"/>
    <w:rsid w:val="004F2402"/>
    <w:rsid w:val="004F2B50"/>
    <w:rsid w:val="004F2DC1"/>
    <w:rsid w:val="004F2DF8"/>
    <w:rsid w:val="004F2EB7"/>
    <w:rsid w:val="004F2F8B"/>
    <w:rsid w:val="004F312A"/>
    <w:rsid w:val="004F339A"/>
    <w:rsid w:val="004F33F5"/>
    <w:rsid w:val="004F3400"/>
    <w:rsid w:val="004F3DC8"/>
    <w:rsid w:val="004F3F7A"/>
    <w:rsid w:val="004F3FE9"/>
    <w:rsid w:val="004F4269"/>
    <w:rsid w:val="004F4A59"/>
    <w:rsid w:val="004F4A64"/>
    <w:rsid w:val="004F5664"/>
    <w:rsid w:val="004F57E7"/>
    <w:rsid w:val="004F59B0"/>
    <w:rsid w:val="004F59F4"/>
    <w:rsid w:val="004F5A72"/>
    <w:rsid w:val="004F654B"/>
    <w:rsid w:val="004F6E97"/>
    <w:rsid w:val="004F6FD7"/>
    <w:rsid w:val="004F7090"/>
    <w:rsid w:val="004F7D30"/>
    <w:rsid w:val="005003EB"/>
    <w:rsid w:val="00500AAF"/>
    <w:rsid w:val="00500E80"/>
    <w:rsid w:val="00500E94"/>
    <w:rsid w:val="005013E4"/>
    <w:rsid w:val="0050179C"/>
    <w:rsid w:val="00501B45"/>
    <w:rsid w:val="00501CB7"/>
    <w:rsid w:val="00502337"/>
    <w:rsid w:val="005025FA"/>
    <w:rsid w:val="00502891"/>
    <w:rsid w:val="00502C01"/>
    <w:rsid w:val="00502FCF"/>
    <w:rsid w:val="0050350A"/>
    <w:rsid w:val="00503ABE"/>
    <w:rsid w:val="00503B37"/>
    <w:rsid w:val="00503CB3"/>
    <w:rsid w:val="00504076"/>
    <w:rsid w:val="005043C0"/>
    <w:rsid w:val="0050448F"/>
    <w:rsid w:val="005047BC"/>
    <w:rsid w:val="005058CC"/>
    <w:rsid w:val="00505A55"/>
    <w:rsid w:val="00506369"/>
    <w:rsid w:val="00506CDB"/>
    <w:rsid w:val="00506ECF"/>
    <w:rsid w:val="00506F8B"/>
    <w:rsid w:val="005078C6"/>
    <w:rsid w:val="00507A65"/>
    <w:rsid w:val="0051052A"/>
    <w:rsid w:val="005106DE"/>
    <w:rsid w:val="00510CE7"/>
    <w:rsid w:val="00511033"/>
    <w:rsid w:val="005112A5"/>
    <w:rsid w:val="00511477"/>
    <w:rsid w:val="00511524"/>
    <w:rsid w:val="00511879"/>
    <w:rsid w:val="00511A59"/>
    <w:rsid w:val="00511C8D"/>
    <w:rsid w:val="00511FFD"/>
    <w:rsid w:val="005121A7"/>
    <w:rsid w:val="0051295A"/>
    <w:rsid w:val="005129F3"/>
    <w:rsid w:val="00512E55"/>
    <w:rsid w:val="00512FC5"/>
    <w:rsid w:val="00512FFA"/>
    <w:rsid w:val="00513049"/>
    <w:rsid w:val="00513448"/>
    <w:rsid w:val="00513D74"/>
    <w:rsid w:val="00514821"/>
    <w:rsid w:val="00514F71"/>
    <w:rsid w:val="005155AE"/>
    <w:rsid w:val="00515EA4"/>
    <w:rsid w:val="00516308"/>
    <w:rsid w:val="00516834"/>
    <w:rsid w:val="005169FA"/>
    <w:rsid w:val="00516B92"/>
    <w:rsid w:val="00516DBC"/>
    <w:rsid w:val="00517479"/>
    <w:rsid w:val="00517721"/>
    <w:rsid w:val="0051798C"/>
    <w:rsid w:val="00517A84"/>
    <w:rsid w:val="00517DCA"/>
    <w:rsid w:val="00520326"/>
    <w:rsid w:val="0052045F"/>
    <w:rsid w:val="00520EA7"/>
    <w:rsid w:val="00521BA8"/>
    <w:rsid w:val="00521BF7"/>
    <w:rsid w:val="00522031"/>
    <w:rsid w:val="00522599"/>
    <w:rsid w:val="0052261C"/>
    <w:rsid w:val="00522929"/>
    <w:rsid w:val="005231A8"/>
    <w:rsid w:val="00523307"/>
    <w:rsid w:val="005234BD"/>
    <w:rsid w:val="00523505"/>
    <w:rsid w:val="005238F5"/>
    <w:rsid w:val="00523A42"/>
    <w:rsid w:val="00523D28"/>
    <w:rsid w:val="00524195"/>
    <w:rsid w:val="0052433A"/>
    <w:rsid w:val="00524BEE"/>
    <w:rsid w:val="0052530C"/>
    <w:rsid w:val="0052550D"/>
    <w:rsid w:val="00525A55"/>
    <w:rsid w:val="00525F31"/>
    <w:rsid w:val="00526271"/>
    <w:rsid w:val="00526769"/>
    <w:rsid w:val="00526789"/>
    <w:rsid w:val="00526921"/>
    <w:rsid w:val="00526C8F"/>
    <w:rsid w:val="00526F02"/>
    <w:rsid w:val="005277AE"/>
    <w:rsid w:val="00527B50"/>
    <w:rsid w:val="00527BD3"/>
    <w:rsid w:val="00527BD8"/>
    <w:rsid w:val="00530455"/>
    <w:rsid w:val="005304DD"/>
    <w:rsid w:val="00530A11"/>
    <w:rsid w:val="0053116F"/>
    <w:rsid w:val="005324D2"/>
    <w:rsid w:val="005324D9"/>
    <w:rsid w:val="005325AA"/>
    <w:rsid w:val="00532620"/>
    <w:rsid w:val="00532A91"/>
    <w:rsid w:val="005331B3"/>
    <w:rsid w:val="00533A2E"/>
    <w:rsid w:val="00534162"/>
    <w:rsid w:val="00534840"/>
    <w:rsid w:val="00534FAF"/>
    <w:rsid w:val="00535483"/>
    <w:rsid w:val="0053588B"/>
    <w:rsid w:val="005358F8"/>
    <w:rsid w:val="00536228"/>
    <w:rsid w:val="00536535"/>
    <w:rsid w:val="00536B86"/>
    <w:rsid w:val="00536C4E"/>
    <w:rsid w:val="00536D51"/>
    <w:rsid w:val="00536D9D"/>
    <w:rsid w:val="00536E15"/>
    <w:rsid w:val="0053798B"/>
    <w:rsid w:val="0054051E"/>
    <w:rsid w:val="005406B5"/>
    <w:rsid w:val="00540D35"/>
    <w:rsid w:val="00540EDC"/>
    <w:rsid w:val="00541750"/>
    <w:rsid w:val="00541D70"/>
    <w:rsid w:val="00541EC7"/>
    <w:rsid w:val="0054276B"/>
    <w:rsid w:val="0054388F"/>
    <w:rsid w:val="00543E90"/>
    <w:rsid w:val="00544C8D"/>
    <w:rsid w:val="00545C4A"/>
    <w:rsid w:val="005460A9"/>
    <w:rsid w:val="005466ED"/>
    <w:rsid w:val="00546841"/>
    <w:rsid w:val="00546AD1"/>
    <w:rsid w:val="005472FE"/>
    <w:rsid w:val="0054766E"/>
    <w:rsid w:val="00547DDB"/>
    <w:rsid w:val="00547E12"/>
    <w:rsid w:val="0055044B"/>
    <w:rsid w:val="00550456"/>
    <w:rsid w:val="00550575"/>
    <w:rsid w:val="005505E8"/>
    <w:rsid w:val="00550793"/>
    <w:rsid w:val="005513A3"/>
    <w:rsid w:val="005516CD"/>
    <w:rsid w:val="00551C01"/>
    <w:rsid w:val="00551CC1"/>
    <w:rsid w:val="00551F33"/>
    <w:rsid w:val="00552280"/>
    <w:rsid w:val="005525B5"/>
    <w:rsid w:val="005526C1"/>
    <w:rsid w:val="005526E0"/>
    <w:rsid w:val="005528DF"/>
    <w:rsid w:val="00552933"/>
    <w:rsid w:val="00552A63"/>
    <w:rsid w:val="00552A9B"/>
    <w:rsid w:val="00552B6A"/>
    <w:rsid w:val="00552E80"/>
    <w:rsid w:val="005531C7"/>
    <w:rsid w:val="00553220"/>
    <w:rsid w:val="0055335A"/>
    <w:rsid w:val="00553E17"/>
    <w:rsid w:val="005542CF"/>
    <w:rsid w:val="005542F2"/>
    <w:rsid w:val="0055431D"/>
    <w:rsid w:val="005543C2"/>
    <w:rsid w:val="00554A22"/>
    <w:rsid w:val="00554CBD"/>
    <w:rsid w:val="005551AF"/>
    <w:rsid w:val="00555545"/>
    <w:rsid w:val="005556FA"/>
    <w:rsid w:val="00555748"/>
    <w:rsid w:val="00555830"/>
    <w:rsid w:val="00555A6D"/>
    <w:rsid w:val="00555CF6"/>
    <w:rsid w:val="00555EA9"/>
    <w:rsid w:val="0055635E"/>
    <w:rsid w:val="00556E2E"/>
    <w:rsid w:val="00556FAC"/>
    <w:rsid w:val="005570FB"/>
    <w:rsid w:val="00557654"/>
    <w:rsid w:val="005576E7"/>
    <w:rsid w:val="00557873"/>
    <w:rsid w:val="00557BF1"/>
    <w:rsid w:val="00557E24"/>
    <w:rsid w:val="0056116C"/>
    <w:rsid w:val="005611AD"/>
    <w:rsid w:val="00561793"/>
    <w:rsid w:val="0056251B"/>
    <w:rsid w:val="00562C5B"/>
    <w:rsid w:val="00562FE1"/>
    <w:rsid w:val="00563213"/>
    <w:rsid w:val="00563256"/>
    <w:rsid w:val="00563A2C"/>
    <w:rsid w:val="00563BE0"/>
    <w:rsid w:val="00563F0E"/>
    <w:rsid w:val="005648D8"/>
    <w:rsid w:val="0056494E"/>
    <w:rsid w:val="0056533C"/>
    <w:rsid w:val="005654DD"/>
    <w:rsid w:val="005656E4"/>
    <w:rsid w:val="00565792"/>
    <w:rsid w:val="005657B4"/>
    <w:rsid w:val="0056580D"/>
    <w:rsid w:val="00565B2F"/>
    <w:rsid w:val="005661AC"/>
    <w:rsid w:val="00566491"/>
    <w:rsid w:val="005665DE"/>
    <w:rsid w:val="00567322"/>
    <w:rsid w:val="005674F2"/>
    <w:rsid w:val="00567C97"/>
    <w:rsid w:val="00570B3B"/>
    <w:rsid w:val="00570B58"/>
    <w:rsid w:val="005714D0"/>
    <w:rsid w:val="0057155A"/>
    <w:rsid w:val="0057176B"/>
    <w:rsid w:val="00571946"/>
    <w:rsid w:val="00571D8E"/>
    <w:rsid w:val="00571F4E"/>
    <w:rsid w:val="005721F7"/>
    <w:rsid w:val="005721FF"/>
    <w:rsid w:val="00572C00"/>
    <w:rsid w:val="00572D00"/>
    <w:rsid w:val="005734D0"/>
    <w:rsid w:val="005735A6"/>
    <w:rsid w:val="0057378F"/>
    <w:rsid w:val="00573947"/>
    <w:rsid w:val="00573A92"/>
    <w:rsid w:val="00573AAA"/>
    <w:rsid w:val="00573D57"/>
    <w:rsid w:val="0057442F"/>
    <w:rsid w:val="00574B91"/>
    <w:rsid w:val="00574C20"/>
    <w:rsid w:val="00575DCE"/>
    <w:rsid w:val="00575E7D"/>
    <w:rsid w:val="0057640A"/>
    <w:rsid w:val="00576501"/>
    <w:rsid w:val="00576BE7"/>
    <w:rsid w:val="00576C3E"/>
    <w:rsid w:val="00576C52"/>
    <w:rsid w:val="00576D60"/>
    <w:rsid w:val="00576DD1"/>
    <w:rsid w:val="00577281"/>
    <w:rsid w:val="005777C1"/>
    <w:rsid w:val="00577BC1"/>
    <w:rsid w:val="0058008A"/>
    <w:rsid w:val="005807CA"/>
    <w:rsid w:val="00580810"/>
    <w:rsid w:val="005809D9"/>
    <w:rsid w:val="005812ED"/>
    <w:rsid w:val="0058164B"/>
    <w:rsid w:val="005817C7"/>
    <w:rsid w:val="005819EB"/>
    <w:rsid w:val="00581C78"/>
    <w:rsid w:val="0058219C"/>
    <w:rsid w:val="0058229C"/>
    <w:rsid w:val="005825F2"/>
    <w:rsid w:val="00582F22"/>
    <w:rsid w:val="0058306B"/>
    <w:rsid w:val="005833E1"/>
    <w:rsid w:val="0058356A"/>
    <w:rsid w:val="005835EF"/>
    <w:rsid w:val="00583617"/>
    <w:rsid w:val="00583AC8"/>
    <w:rsid w:val="005851F9"/>
    <w:rsid w:val="005853E2"/>
    <w:rsid w:val="0058544D"/>
    <w:rsid w:val="00585671"/>
    <w:rsid w:val="005858A2"/>
    <w:rsid w:val="00585903"/>
    <w:rsid w:val="0058607E"/>
    <w:rsid w:val="0058645B"/>
    <w:rsid w:val="00586B2E"/>
    <w:rsid w:val="0058710E"/>
    <w:rsid w:val="00587609"/>
    <w:rsid w:val="0059048E"/>
    <w:rsid w:val="00590A29"/>
    <w:rsid w:val="005917E7"/>
    <w:rsid w:val="005918D2"/>
    <w:rsid w:val="00591DC9"/>
    <w:rsid w:val="0059288D"/>
    <w:rsid w:val="0059291D"/>
    <w:rsid w:val="00592EEB"/>
    <w:rsid w:val="00593257"/>
    <w:rsid w:val="005932DB"/>
    <w:rsid w:val="00593CC0"/>
    <w:rsid w:val="00593EFD"/>
    <w:rsid w:val="005942FD"/>
    <w:rsid w:val="005945F8"/>
    <w:rsid w:val="0059504C"/>
    <w:rsid w:val="005958FE"/>
    <w:rsid w:val="0059595E"/>
    <w:rsid w:val="00595D77"/>
    <w:rsid w:val="00595F23"/>
    <w:rsid w:val="005966FF"/>
    <w:rsid w:val="00596B72"/>
    <w:rsid w:val="00596B74"/>
    <w:rsid w:val="00596F09"/>
    <w:rsid w:val="00596FDF"/>
    <w:rsid w:val="005971FD"/>
    <w:rsid w:val="0059729D"/>
    <w:rsid w:val="0059793E"/>
    <w:rsid w:val="00597BA6"/>
    <w:rsid w:val="005A00EC"/>
    <w:rsid w:val="005A0540"/>
    <w:rsid w:val="005A0BA7"/>
    <w:rsid w:val="005A1567"/>
    <w:rsid w:val="005A1B9C"/>
    <w:rsid w:val="005A1DB4"/>
    <w:rsid w:val="005A1F6F"/>
    <w:rsid w:val="005A2047"/>
    <w:rsid w:val="005A341C"/>
    <w:rsid w:val="005A3423"/>
    <w:rsid w:val="005A3691"/>
    <w:rsid w:val="005A3738"/>
    <w:rsid w:val="005A3EF0"/>
    <w:rsid w:val="005A49FE"/>
    <w:rsid w:val="005A4E30"/>
    <w:rsid w:val="005A4E6E"/>
    <w:rsid w:val="005A62FC"/>
    <w:rsid w:val="005A662C"/>
    <w:rsid w:val="005A6F57"/>
    <w:rsid w:val="005A741D"/>
    <w:rsid w:val="005A778F"/>
    <w:rsid w:val="005A78FF"/>
    <w:rsid w:val="005B0A2F"/>
    <w:rsid w:val="005B0E88"/>
    <w:rsid w:val="005B10DC"/>
    <w:rsid w:val="005B1113"/>
    <w:rsid w:val="005B1163"/>
    <w:rsid w:val="005B1B04"/>
    <w:rsid w:val="005B1F19"/>
    <w:rsid w:val="005B2566"/>
    <w:rsid w:val="005B3E04"/>
    <w:rsid w:val="005B3FA4"/>
    <w:rsid w:val="005B40E8"/>
    <w:rsid w:val="005B4BC8"/>
    <w:rsid w:val="005B4BDB"/>
    <w:rsid w:val="005B4C87"/>
    <w:rsid w:val="005B5DCA"/>
    <w:rsid w:val="005B6418"/>
    <w:rsid w:val="005B690D"/>
    <w:rsid w:val="005B7566"/>
    <w:rsid w:val="005B790B"/>
    <w:rsid w:val="005B7BBA"/>
    <w:rsid w:val="005C0394"/>
    <w:rsid w:val="005C0A1B"/>
    <w:rsid w:val="005C1BDC"/>
    <w:rsid w:val="005C1F5A"/>
    <w:rsid w:val="005C2740"/>
    <w:rsid w:val="005C2B8C"/>
    <w:rsid w:val="005C2FCD"/>
    <w:rsid w:val="005C3026"/>
    <w:rsid w:val="005C3116"/>
    <w:rsid w:val="005C3237"/>
    <w:rsid w:val="005C34F4"/>
    <w:rsid w:val="005C355F"/>
    <w:rsid w:val="005C36C1"/>
    <w:rsid w:val="005C37EA"/>
    <w:rsid w:val="005C382C"/>
    <w:rsid w:val="005C391A"/>
    <w:rsid w:val="005C50A9"/>
    <w:rsid w:val="005C510F"/>
    <w:rsid w:val="005C5972"/>
    <w:rsid w:val="005C59A6"/>
    <w:rsid w:val="005C5F78"/>
    <w:rsid w:val="005C607C"/>
    <w:rsid w:val="005C63F6"/>
    <w:rsid w:val="005C64F4"/>
    <w:rsid w:val="005C65B1"/>
    <w:rsid w:val="005C67C4"/>
    <w:rsid w:val="005C693E"/>
    <w:rsid w:val="005C696E"/>
    <w:rsid w:val="005C6C21"/>
    <w:rsid w:val="005C7180"/>
    <w:rsid w:val="005C74C8"/>
    <w:rsid w:val="005C7505"/>
    <w:rsid w:val="005C75F7"/>
    <w:rsid w:val="005C7749"/>
    <w:rsid w:val="005D03C5"/>
    <w:rsid w:val="005D13AF"/>
    <w:rsid w:val="005D1E34"/>
    <w:rsid w:val="005D2204"/>
    <w:rsid w:val="005D24B4"/>
    <w:rsid w:val="005D284C"/>
    <w:rsid w:val="005D2C3D"/>
    <w:rsid w:val="005D309E"/>
    <w:rsid w:val="005D3669"/>
    <w:rsid w:val="005D3C9D"/>
    <w:rsid w:val="005D3CA0"/>
    <w:rsid w:val="005D45BF"/>
    <w:rsid w:val="005D5609"/>
    <w:rsid w:val="005D566D"/>
    <w:rsid w:val="005D5723"/>
    <w:rsid w:val="005D5810"/>
    <w:rsid w:val="005D581A"/>
    <w:rsid w:val="005D5AAF"/>
    <w:rsid w:val="005D5AFF"/>
    <w:rsid w:val="005D5B6B"/>
    <w:rsid w:val="005D5E49"/>
    <w:rsid w:val="005D64F3"/>
    <w:rsid w:val="005D67FD"/>
    <w:rsid w:val="005D6B9E"/>
    <w:rsid w:val="005E0019"/>
    <w:rsid w:val="005E02F9"/>
    <w:rsid w:val="005E1631"/>
    <w:rsid w:val="005E17B5"/>
    <w:rsid w:val="005E1B1C"/>
    <w:rsid w:val="005E1EE0"/>
    <w:rsid w:val="005E1FDE"/>
    <w:rsid w:val="005E210A"/>
    <w:rsid w:val="005E21E5"/>
    <w:rsid w:val="005E239D"/>
    <w:rsid w:val="005E2629"/>
    <w:rsid w:val="005E279E"/>
    <w:rsid w:val="005E32F3"/>
    <w:rsid w:val="005E32FE"/>
    <w:rsid w:val="005E3360"/>
    <w:rsid w:val="005E3616"/>
    <w:rsid w:val="005E36ED"/>
    <w:rsid w:val="005E39BC"/>
    <w:rsid w:val="005E3ED0"/>
    <w:rsid w:val="005E44FE"/>
    <w:rsid w:val="005E4A28"/>
    <w:rsid w:val="005E4ABA"/>
    <w:rsid w:val="005E4DA8"/>
    <w:rsid w:val="005E53E2"/>
    <w:rsid w:val="005E6D96"/>
    <w:rsid w:val="005E706F"/>
    <w:rsid w:val="005E77DA"/>
    <w:rsid w:val="005E7A90"/>
    <w:rsid w:val="005F0C0E"/>
    <w:rsid w:val="005F0DA9"/>
    <w:rsid w:val="005F1525"/>
    <w:rsid w:val="005F2441"/>
    <w:rsid w:val="005F24E3"/>
    <w:rsid w:val="005F253F"/>
    <w:rsid w:val="005F2853"/>
    <w:rsid w:val="005F29E6"/>
    <w:rsid w:val="005F2FF4"/>
    <w:rsid w:val="005F377F"/>
    <w:rsid w:val="005F39A5"/>
    <w:rsid w:val="005F39C4"/>
    <w:rsid w:val="005F4429"/>
    <w:rsid w:val="005F45D2"/>
    <w:rsid w:val="005F46E4"/>
    <w:rsid w:val="005F64AC"/>
    <w:rsid w:val="005F658D"/>
    <w:rsid w:val="005F67BF"/>
    <w:rsid w:val="005F68ED"/>
    <w:rsid w:val="005F6D4D"/>
    <w:rsid w:val="005F6E12"/>
    <w:rsid w:val="005F716A"/>
    <w:rsid w:val="005F71EF"/>
    <w:rsid w:val="005F7374"/>
    <w:rsid w:val="005F74B1"/>
    <w:rsid w:val="005F74C1"/>
    <w:rsid w:val="005F78BF"/>
    <w:rsid w:val="005F7947"/>
    <w:rsid w:val="005F7CB0"/>
    <w:rsid w:val="005F7CF2"/>
    <w:rsid w:val="0060004B"/>
    <w:rsid w:val="00600222"/>
    <w:rsid w:val="00600A03"/>
    <w:rsid w:val="00600BFF"/>
    <w:rsid w:val="00600FE8"/>
    <w:rsid w:val="006016C2"/>
    <w:rsid w:val="00601B33"/>
    <w:rsid w:val="006022C6"/>
    <w:rsid w:val="0060244F"/>
    <w:rsid w:val="006025AA"/>
    <w:rsid w:val="00602987"/>
    <w:rsid w:val="00602D6E"/>
    <w:rsid w:val="00602F3F"/>
    <w:rsid w:val="00602FC2"/>
    <w:rsid w:val="00603A76"/>
    <w:rsid w:val="00604471"/>
    <w:rsid w:val="00604AE4"/>
    <w:rsid w:val="006050F9"/>
    <w:rsid w:val="00605135"/>
    <w:rsid w:val="0060533B"/>
    <w:rsid w:val="006053BE"/>
    <w:rsid w:val="006055EB"/>
    <w:rsid w:val="00605AF1"/>
    <w:rsid w:val="00605DE6"/>
    <w:rsid w:val="00606358"/>
    <w:rsid w:val="00606542"/>
    <w:rsid w:val="006065F0"/>
    <w:rsid w:val="00606646"/>
    <w:rsid w:val="006066CF"/>
    <w:rsid w:val="006068BF"/>
    <w:rsid w:val="006070D0"/>
    <w:rsid w:val="0060731B"/>
    <w:rsid w:val="006073C1"/>
    <w:rsid w:val="00607768"/>
    <w:rsid w:val="006077F9"/>
    <w:rsid w:val="0060785C"/>
    <w:rsid w:val="00607A7C"/>
    <w:rsid w:val="00610395"/>
    <w:rsid w:val="00611293"/>
    <w:rsid w:val="006115F1"/>
    <w:rsid w:val="00611FC7"/>
    <w:rsid w:val="00612126"/>
    <w:rsid w:val="00612D07"/>
    <w:rsid w:val="00613159"/>
    <w:rsid w:val="0061342E"/>
    <w:rsid w:val="0061370C"/>
    <w:rsid w:val="00613714"/>
    <w:rsid w:val="00613E5E"/>
    <w:rsid w:val="00614097"/>
    <w:rsid w:val="00614373"/>
    <w:rsid w:val="0061451D"/>
    <w:rsid w:val="00614563"/>
    <w:rsid w:val="00614622"/>
    <w:rsid w:val="00614A92"/>
    <w:rsid w:val="00614E20"/>
    <w:rsid w:val="006157CE"/>
    <w:rsid w:val="00615FFE"/>
    <w:rsid w:val="006160AE"/>
    <w:rsid w:val="00616B2A"/>
    <w:rsid w:val="00616C1A"/>
    <w:rsid w:val="00616DFE"/>
    <w:rsid w:val="00617189"/>
    <w:rsid w:val="00617455"/>
    <w:rsid w:val="006175B5"/>
    <w:rsid w:val="006177BC"/>
    <w:rsid w:val="0062010D"/>
    <w:rsid w:val="006209F5"/>
    <w:rsid w:val="00620CBC"/>
    <w:rsid w:val="00620FA1"/>
    <w:rsid w:val="00621653"/>
    <w:rsid w:val="006217BA"/>
    <w:rsid w:val="00621EE7"/>
    <w:rsid w:val="006221F9"/>
    <w:rsid w:val="00622206"/>
    <w:rsid w:val="00622F7D"/>
    <w:rsid w:val="006230D4"/>
    <w:rsid w:val="006236F3"/>
    <w:rsid w:val="0062376B"/>
    <w:rsid w:val="00623991"/>
    <w:rsid w:val="006239F4"/>
    <w:rsid w:val="006239F7"/>
    <w:rsid w:val="00623B49"/>
    <w:rsid w:val="00623F19"/>
    <w:rsid w:val="00623F62"/>
    <w:rsid w:val="00624186"/>
    <w:rsid w:val="006241C4"/>
    <w:rsid w:val="00624574"/>
    <w:rsid w:val="00625297"/>
    <w:rsid w:val="006255E5"/>
    <w:rsid w:val="00625D7B"/>
    <w:rsid w:val="00625F93"/>
    <w:rsid w:val="0062676D"/>
    <w:rsid w:val="0062688A"/>
    <w:rsid w:val="00626FE1"/>
    <w:rsid w:val="00627045"/>
    <w:rsid w:val="00627624"/>
    <w:rsid w:val="00627F6C"/>
    <w:rsid w:val="00630556"/>
    <w:rsid w:val="0063055F"/>
    <w:rsid w:val="006308D4"/>
    <w:rsid w:val="006309CA"/>
    <w:rsid w:val="00630C06"/>
    <w:rsid w:val="00630CC2"/>
    <w:rsid w:val="00631096"/>
    <w:rsid w:val="00631802"/>
    <w:rsid w:val="00631B24"/>
    <w:rsid w:val="00631D37"/>
    <w:rsid w:val="00631F6A"/>
    <w:rsid w:val="00631FD7"/>
    <w:rsid w:val="00633586"/>
    <w:rsid w:val="006336FD"/>
    <w:rsid w:val="00633BFD"/>
    <w:rsid w:val="00633E11"/>
    <w:rsid w:val="00633FE3"/>
    <w:rsid w:val="00634B7B"/>
    <w:rsid w:val="00634D57"/>
    <w:rsid w:val="00634E6D"/>
    <w:rsid w:val="0063553C"/>
    <w:rsid w:val="00635884"/>
    <w:rsid w:val="00635B15"/>
    <w:rsid w:val="00635DC6"/>
    <w:rsid w:val="00635E48"/>
    <w:rsid w:val="00636714"/>
    <w:rsid w:val="00637186"/>
    <w:rsid w:val="00637323"/>
    <w:rsid w:val="00640446"/>
    <w:rsid w:val="00640B05"/>
    <w:rsid w:val="00640F54"/>
    <w:rsid w:val="00641092"/>
    <w:rsid w:val="00641254"/>
    <w:rsid w:val="006415CC"/>
    <w:rsid w:val="006416C5"/>
    <w:rsid w:val="0064216D"/>
    <w:rsid w:val="006426E9"/>
    <w:rsid w:val="006437DC"/>
    <w:rsid w:val="006441F5"/>
    <w:rsid w:val="00644201"/>
    <w:rsid w:val="0064526F"/>
    <w:rsid w:val="00645540"/>
    <w:rsid w:val="00645932"/>
    <w:rsid w:val="00645AA4"/>
    <w:rsid w:val="00645AF7"/>
    <w:rsid w:val="00645E2E"/>
    <w:rsid w:val="00645F4D"/>
    <w:rsid w:val="00645F86"/>
    <w:rsid w:val="00646E01"/>
    <w:rsid w:val="00646E5D"/>
    <w:rsid w:val="00646F8E"/>
    <w:rsid w:val="00646FDD"/>
    <w:rsid w:val="0064775F"/>
    <w:rsid w:val="00647D8E"/>
    <w:rsid w:val="00650249"/>
    <w:rsid w:val="00650A8D"/>
    <w:rsid w:val="00650DB6"/>
    <w:rsid w:val="0065113B"/>
    <w:rsid w:val="00651235"/>
    <w:rsid w:val="006515CA"/>
    <w:rsid w:val="00651CFA"/>
    <w:rsid w:val="006520D0"/>
    <w:rsid w:val="00652104"/>
    <w:rsid w:val="00652270"/>
    <w:rsid w:val="00652277"/>
    <w:rsid w:val="00652797"/>
    <w:rsid w:val="006530C8"/>
    <w:rsid w:val="006532DE"/>
    <w:rsid w:val="0065336A"/>
    <w:rsid w:val="006535ED"/>
    <w:rsid w:val="006536E8"/>
    <w:rsid w:val="00653792"/>
    <w:rsid w:val="00653843"/>
    <w:rsid w:val="00653C21"/>
    <w:rsid w:val="006543A8"/>
    <w:rsid w:val="006545DA"/>
    <w:rsid w:val="00654C80"/>
    <w:rsid w:val="00654C96"/>
    <w:rsid w:val="006550A8"/>
    <w:rsid w:val="00655282"/>
    <w:rsid w:val="0065611D"/>
    <w:rsid w:val="00656602"/>
    <w:rsid w:val="006566A3"/>
    <w:rsid w:val="006568FB"/>
    <w:rsid w:val="00656907"/>
    <w:rsid w:val="00656968"/>
    <w:rsid w:val="00656AF8"/>
    <w:rsid w:val="00656C20"/>
    <w:rsid w:val="00656DBD"/>
    <w:rsid w:val="006574C9"/>
    <w:rsid w:val="00657735"/>
    <w:rsid w:val="0065779F"/>
    <w:rsid w:val="00660204"/>
    <w:rsid w:val="00660425"/>
    <w:rsid w:val="0066066C"/>
    <w:rsid w:val="00660B90"/>
    <w:rsid w:val="00660E9A"/>
    <w:rsid w:val="00660EE2"/>
    <w:rsid w:val="006610CC"/>
    <w:rsid w:val="006612EE"/>
    <w:rsid w:val="00661ACF"/>
    <w:rsid w:val="00662060"/>
    <w:rsid w:val="006626CE"/>
    <w:rsid w:val="00662999"/>
    <w:rsid w:val="00662DD6"/>
    <w:rsid w:val="006636B9"/>
    <w:rsid w:val="0066395C"/>
    <w:rsid w:val="00663A92"/>
    <w:rsid w:val="0066447B"/>
    <w:rsid w:val="006645C1"/>
    <w:rsid w:val="00664791"/>
    <w:rsid w:val="00664A70"/>
    <w:rsid w:val="0066513C"/>
    <w:rsid w:val="00666163"/>
    <w:rsid w:val="0066616E"/>
    <w:rsid w:val="0066624B"/>
    <w:rsid w:val="006662C7"/>
    <w:rsid w:val="00666558"/>
    <w:rsid w:val="00666938"/>
    <w:rsid w:val="0066696B"/>
    <w:rsid w:val="00666BCD"/>
    <w:rsid w:val="00667231"/>
    <w:rsid w:val="00667B24"/>
    <w:rsid w:val="00667E5D"/>
    <w:rsid w:val="006705AC"/>
    <w:rsid w:val="00670973"/>
    <w:rsid w:val="00670A00"/>
    <w:rsid w:val="006714BB"/>
    <w:rsid w:val="0067170D"/>
    <w:rsid w:val="00671926"/>
    <w:rsid w:val="00671B53"/>
    <w:rsid w:val="00671BF2"/>
    <w:rsid w:val="00672351"/>
    <w:rsid w:val="00672859"/>
    <w:rsid w:val="006728E3"/>
    <w:rsid w:val="00672939"/>
    <w:rsid w:val="006732AD"/>
    <w:rsid w:val="00673792"/>
    <w:rsid w:val="006738AA"/>
    <w:rsid w:val="00673998"/>
    <w:rsid w:val="00673AAF"/>
    <w:rsid w:val="00673BC4"/>
    <w:rsid w:val="006745CA"/>
    <w:rsid w:val="0067461D"/>
    <w:rsid w:val="00674748"/>
    <w:rsid w:val="00674B04"/>
    <w:rsid w:val="00675026"/>
    <w:rsid w:val="00675EEA"/>
    <w:rsid w:val="0067633C"/>
    <w:rsid w:val="00676CF4"/>
    <w:rsid w:val="00676F24"/>
    <w:rsid w:val="006778B8"/>
    <w:rsid w:val="00677A25"/>
    <w:rsid w:val="00680210"/>
    <w:rsid w:val="006804B6"/>
    <w:rsid w:val="00680E54"/>
    <w:rsid w:val="006816F7"/>
    <w:rsid w:val="00681B88"/>
    <w:rsid w:val="00681C98"/>
    <w:rsid w:val="00682D8E"/>
    <w:rsid w:val="006830E7"/>
    <w:rsid w:val="00683178"/>
    <w:rsid w:val="006835F5"/>
    <w:rsid w:val="00683AF8"/>
    <w:rsid w:val="00683C81"/>
    <w:rsid w:val="00683E79"/>
    <w:rsid w:val="006840D8"/>
    <w:rsid w:val="00684493"/>
    <w:rsid w:val="00684646"/>
    <w:rsid w:val="00684AAA"/>
    <w:rsid w:val="00684D10"/>
    <w:rsid w:val="00684D8D"/>
    <w:rsid w:val="00685512"/>
    <w:rsid w:val="00685646"/>
    <w:rsid w:val="00685A32"/>
    <w:rsid w:val="00685E66"/>
    <w:rsid w:val="00685F8A"/>
    <w:rsid w:val="006860FF"/>
    <w:rsid w:val="00686217"/>
    <w:rsid w:val="0068637A"/>
    <w:rsid w:val="00686470"/>
    <w:rsid w:val="00686651"/>
    <w:rsid w:val="00686CD7"/>
    <w:rsid w:val="00687B8F"/>
    <w:rsid w:val="00687B9F"/>
    <w:rsid w:val="0069028D"/>
    <w:rsid w:val="006902C9"/>
    <w:rsid w:val="00690E65"/>
    <w:rsid w:val="00690F89"/>
    <w:rsid w:val="00690FFA"/>
    <w:rsid w:val="006912D6"/>
    <w:rsid w:val="006917B0"/>
    <w:rsid w:val="006921D7"/>
    <w:rsid w:val="00693220"/>
    <w:rsid w:val="00693ABC"/>
    <w:rsid w:val="00693D52"/>
    <w:rsid w:val="00694B59"/>
    <w:rsid w:val="00694FC3"/>
    <w:rsid w:val="006951D1"/>
    <w:rsid w:val="0069588D"/>
    <w:rsid w:val="00695E90"/>
    <w:rsid w:val="00695FD1"/>
    <w:rsid w:val="006962FB"/>
    <w:rsid w:val="0069685D"/>
    <w:rsid w:val="0069690E"/>
    <w:rsid w:val="00696F2E"/>
    <w:rsid w:val="00697152"/>
    <w:rsid w:val="0069745F"/>
    <w:rsid w:val="00697998"/>
    <w:rsid w:val="00697A38"/>
    <w:rsid w:val="00697F10"/>
    <w:rsid w:val="006A0766"/>
    <w:rsid w:val="006A0DA3"/>
    <w:rsid w:val="006A1288"/>
    <w:rsid w:val="006A163D"/>
    <w:rsid w:val="006A193B"/>
    <w:rsid w:val="006A1986"/>
    <w:rsid w:val="006A19FA"/>
    <w:rsid w:val="006A1C0A"/>
    <w:rsid w:val="006A27EE"/>
    <w:rsid w:val="006A2BC6"/>
    <w:rsid w:val="006A30BB"/>
    <w:rsid w:val="006A3AA2"/>
    <w:rsid w:val="006A41C1"/>
    <w:rsid w:val="006A4279"/>
    <w:rsid w:val="006A524C"/>
    <w:rsid w:val="006A57A5"/>
    <w:rsid w:val="006A5C0C"/>
    <w:rsid w:val="006A60FA"/>
    <w:rsid w:val="006A6448"/>
    <w:rsid w:val="006A6771"/>
    <w:rsid w:val="006A6A36"/>
    <w:rsid w:val="006A6D8F"/>
    <w:rsid w:val="006A761D"/>
    <w:rsid w:val="006A7ACF"/>
    <w:rsid w:val="006A7C45"/>
    <w:rsid w:val="006B0EC5"/>
    <w:rsid w:val="006B1025"/>
    <w:rsid w:val="006B1B0C"/>
    <w:rsid w:val="006B214C"/>
    <w:rsid w:val="006B2650"/>
    <w:rsid w:val="006B2999"/>
    <w:rsid w:val="006B3179"/>
    <w:rsid w:val="006B3A01"/>
    <w:rsid w:val="006B3B5E"/>
    <w:rsid w:val="006B3BE0"/>
    <w:rsid w:val="006B3FA1"/>
    <w:rsid w:val="006B40D1"/>
    <w:rsid w:val="006B433C"/>
    <w:rsid w:val="006B4A9F"/>
    <w:rsid w:val="006B4AD5"/>
    <w:rsid w:val="006B51BB"/>
    <w:rsid w:val="006B52FF"/>
    <w:rsid w:val="006B571B"/>
    <w:rsid w:val="006B5886"/>
    <w:rsid w:val="006B62E0"/>
    <w:rsid w:val="006B6BA8"/>
    <w:rsid w:val="006B7482"/>
    <w:rsid w:val="006B79AC"/>
    <w:rsid w:val="006B7AC6"/>
    <w:rsid w:val="006C004B"/>
    <w:rsid w:val="006C076D"/>
    <w:rsid w:val="006C17BE"/>
    <w:rsid w:val="006C1964"/>
    <w:rsid w:val="006C1C6A"/>
    <w:rsid w:val="006C1CF6"/>
    <w:rsid w:val="006C1E2B"/>
    <w:rsid w:val="006C25D5"/>
    <w:rsid w:val="006C262C"/>
    <w:rsid w:val="006C2867"/>
    <w:rsid w:val="006C2A25"/>
    <w:rsid w:val="006C2EE7"/>
    <w:rsid w:val="006C30F2"/>
    <w:rsid w:val="006C3282"/>
    <w:rsid w:val="006C3629"/>
    <w:rsid w:val="006C381C"/>
    <w:rsid w:val="006C3AAA"/>
    <w:rsid w:val="006C4532"/>
    <w:rsid w:val="006C47A8"/>
    <w:rsid w:val="006C4C63"/>
    <w:rsid w:val="006C4DF1"/>
    <w:rsid w:val="006C60FA"/>
    <w:rsid w:val="006C63E5"/>
    <w:rsid w:val="006C6ABA"/>
    <w:rsid w:val="006C72CB"/>
    <w:rsid w:val="006C735E"/>
    <w:rsid w:val="006D0203"/>
    <w:rsid w:val="006D0318"/>
    <w:rsid w:val="006D086B"/>
    <w:rsid w:val="006D087A"/>
    <w:rsid w:val="006D14B8"/>
    <w:rsid w:val="006D150E"/>
    <w:rsid w:val="006D1535"/>
    <w:rsid w:val="006D1618"/>
    <w:rsid w:val="006D20C8"/>
    <w:rsid w:val="006D2AFB"/>
    <w:rsid w:val="006D2F30"/>
    <w:rsid w:val="006D3722"/>
    <w:rsid w:val="006D39DC"/>
    <w:rsid w:val="006D3D9D"/>
    <w:rsid w:val="006D4376"/>
    <w:rsid w:val="006D4426"/>
    <w:rsid w:val="006D44DE"/>
    <w:rsid w:val="006D4B1C"/>
    <w:rsid w:val="006D608F"/>
    <w:rsid w:val="006D6307"/>
    <w:rsid w:val="006D6E8D"/>
    <w:rsid w:val="006D73C2"/>
    <w:rsid w:val="006D7BD8"/>
    <w:rsid w:val="006D7C1A"/>
    <w:rsid w:val="006D7D7C"/>
    <w:rsid w:val="006D7DBD"/>
    <w:rsid w:val="006D7ED4"/>
    <w:rsid w:val="006D7FE2"/>
    <w:rsid w:val="006E0391"/>
    <w:rsid w:val="006E0DBB"/>
    <w:rsid w:val="006E13C6"/>
    <w:rsid w:val="006E1463"/>
    <w:rsid w:val="006E155E"/>
    <w:rsid w:val="006E15A1"/>
    <w:rsid w:val="006E1B6A"/>
    <w:rsid w:val="006E2069"/>
    <w:rsid w:val="006E27FC"/>
    <w:rsid w:val="006E2813"/>
    <w:rsid w:val="006E2895"/>
    <w:rsid w:val="006E34A1"/>
    <w:rsid w:val="006E3931"/>
    <w:rsid w:val="006E3D00"/>
    <w:rsid w:val="006E40D8"/>
    <w:rsid w:val="006E435C"/>
    <w:rsid w:val="006E43CC"/>
    <w:rsid w:val="006E4695"/>
    <w:rsid w:val="006E4698"/>
    <w:rsid w:val="006E48DD"/>
    <w:rsid w:val="006E5558"/>
    <w:rsid w:val="006E5742"/>
    <w:rsid w:val="006E5B97"/>
    <w:rsid w:val="006E5BFA"/>
    <w:rsid w:val="006E66D8"/>
    <w:rsid w:val="006E705D"/>
    <w:rsid w:val="006E7716"/>
    <w:rsid w:val="006E7788"/>
    <w:rsid w:val="006E790C"/>
    <w:rsid w:val="006E7ADB"/>
    <w:rsid w:val="006E7D05"/>
    <w:rsid w:val="006E7DEC"/>
    <w:rsid w:val="006F014F"/>
    <w:rsid w:val="006F0796"/>
    <w:rsid w:val="006F0E0A"/>
    <w:rsid w:val="006F0EAB"/>
    <w:rsid w:val="006F1208"/>
    <w:rsid w:val="006F14BB"/>
    <w:rsid w:val="006F19B6"/>
    <w:rsid w:val="006F1C72"/>
    <w:rsid w:val="006F1EA7"/>
    <w:rsid w:val="006F2002"/>
    <w:rsid w:val="006F26FD"/>
    <w:rsid w:val="006F28BF"/>
    <w:rsid w:val="006F2D59"/>
    <w:rsid w:val="006F3603"/>
    <w:rsid w:val="006F3A63"/>
    <w:rsid w:val="006F3C64"/>
    <w:rsid w:val="006F4EEE"/>
    <w:rsid w:val="006F4F9D"/>
    <w:rsid w:val="006F4FF0"/>
    <w:rsid w:val="006F51FD"/>
    <w:rsid w:val="006F5474"/>
    <w:rsid w:val="006F55FB"/>
    <w:rsid w:val="006F61EC"/>
    <w:rsid w:val="006F62EB"/>
    <w:rsid w:val="006F63D7"/>
    <w:rsid w:val="006F6400"/>
    <w:rsid w:val="006F6A44"/>
    <w:rsid w:val="006F6A4A"/>
    <w:rsid w:val="006F6A77"/>
    <w:rsid w:val="006F6E91"/>
    <w:rsid w:val="006F718C"/>
    <w:rsid w:val="006F72E8"/>
    <w:rsid w:val="006F7BA0"/>
    <w:rsid w:val="006F7DB5"/>
    <w:rsid w:val="00700A3C"/>
    <w:rsid w:val="00700F9E"/>
    <w:rsid w:val="007016D4"/>
    <w:rsid w:val="0070184B"/>
    <w:rsid w:val="007019AF"/>
    <w:rsid w:val="00702982"/>
    <w:rsid w:val="0070331E"/>
    <w:rsid w:val="007033AB"/>
    <w:rsid w:val="007045B8"/>
    <w:rsid w:val="0070549D"/>
    <w:rsid w:val="00705512"/>
    <w:rsid w:val="00705EA7"/>
    <w:rsid w:val="00705EB8"/>
    <w:rsid w:val="0070610D"/>
    <w:rsid w:val="0070619F"/>
    <w:rsid w:val="007066AD"/>
    <w:rsid w:val="0070682A"/>
    <w:rsid w:val="007068ED"/>
    <w:rsid w:val="00707147"/>
    <w:rsid w:val="007075AC"/>
    <w:rsid w:val="007078C2"/>
    <w:rsid w:val="007078DE"/>
    <w:rsid w:val="00707BC0"/>
    <w:rsid w:val="007109D7"/>
    <w:rsid w:val="00710BE1"/>
    <w:rsid w:val="00711024"/>
    <w:rsid w:val="0071107B"/>
    <w:rsid w:val="007117E9"/>
    <w:rsid w:val="00711E12"/>
    <w:rsid w:val="00711E64"/>
    <w:rsid w:val="00711FC0"/>
    <w:rsid w:val="00712182"/>
    <w:rsid w:val="00712C19"/>
    <w:rsid w:val="00712C2F"/>
    <w:rsid w:val="00712F00"/>
    <w:rsid w:val="00713036"/>
    <w:rsid w:val="00713B94"/>
    <w:rsid w:val="00714921"/>
    <w:rsid w:val="00715000"/>
    <w:rsid w:val="007151F6"/>
    <w:rsid w:val="00715BC5"/>
    <w:rsid w:val="00716380"/>
    <w:rsid w:val="00716821"/>
    <w:rsid w:val="00717562"/>
    <w:rsid w:val="00717AB4"/>
    <w:rsid w:val="00717F2E"/>
    <w:rsid w:val="007200DC"/>
    <w:rsid w:val="00720244"/>
    <w:rsid w:val="00720942"/>
    <w:rsid w:val="00720B73"/>
    <w:rsid w:val="00721065"/>
    <w:rsid w:val="007210DF"/>
    <w:rsid w:val="00721DA5"/>
    <w:rsid w:val="00722652"/>
    <w:rsid w:val="00722748"/>
    <w:rsid w:val="0072288B"/>
    <w:rsid w:val="00722E1A"/>
    <w:rsid w:val="00722E30"/>
    <w:rsid w:val="007238CF"/>
    <w:rsid w:val="0072395C"/>
    <w:rsid w:val="00723AA5"/>
    <w:rsid w:val="00723CE0"/>
    <w:rsid w:val="00723E75"/>
    <w:rsid w:val="00723EE0"/>
    <w:rsid w:val="00723FFC"/>
    <w:rsid w:val="00724FE2"/>
    <w:rsid w:val="00724FE7"/>
    <w:rsid w:val="00725033"/>
    <w:rsid w:val="007253BD"/>
    <w:rsid w:val="00725658"/>
    <w:rsid w:val="00725B7E"/>
    <w:rsid w:val="00725BFC"/>
    <w:rsid w:val="00725CFD"/>
    <w:rsid w:val="007260C8"/>
    <w:rsid w:val="007268F9"/>
    <w:rsid w:val="00726BA9"/>
    <w:rsid w:val="00726BF6"/>
    <w:rsid w:val="007270BA"/>
    <w:rsid w:val="007272F6"/>
    <w:rsid w:val="00727736"/>
    <w:rsid w:val="00727A20"/>
    <w:rsid w:val="0073022C"/>
    <w:rsid w:val="007306D9"/>
    <w:rsid w:val="00730F5B"/>
    <w:rsid w:val="00731737"/>
    <w:rsid w:val="00731A4B"/>
    <w:rsid w:val="00731A84"/>
    <w:rsid w:val="00731AD7"/>
    <w:rsid w:val="00731B08"/>
    <w:rsid w:val="00731E0C"/>
    <w:rsid w:val="00732804"/>
    <w:rsid w:val="00732CC3"/>
    <w:rsid w:val="00732D48"/>
    <w:rsid w:val="00732F5A"/>
    <w:rsid w:val="00732FC2"/>
    <w:rsid w:val="00733283"/>
    <w:rsid w:val="007339E3"/>
    <w:rsid w:val="00734814"/>
    <w:rsid w:val="00734B7A"/>
    <w:rsid w:val="00734C2C"/>
    <w:rsid w:val="007354F2"/>
    <w:rsid w:val="007356F3"/>
    <w:rsid w:val="007357FF"/>
    <w:rsid w:val="00735EFF"/>
    <w:rsid w:val="00736571"/>
    <w:rsid w:val="0073657B"/>
    <w:rsid w:val="00736A03"/>
    <w:rsid w:val="00736B5E"/>
    <w:rsid w:val="00736F58"/>
    <w:rsid w:val="00737420"/>
    <w:rsid w:val="00737D22"/>
    <w:rsid w:val="00740141"/>
    <w:rsid w:val="00740446"/>
    <w:rsid w:val="007409D0"/>
    <w:rsid w:val="00741685"/>
    <w:rsid w:val="00741943"/>
    <w:rsid w:val="007419DD"/>
    <w:rsid w:val="00741D17"/>
    <w:rsid w:val="00742175"/>
    <w:rsid w:val="007422AF"/>
    <w:rsid w:val="007423EF"/>
    <w:rsid w:val="0074241A"/>
    <w:rsid w:val="00742BFA"/>
    <w:rsid w:val="00742DC3"/>
    <w:rsid w:val="00743563"/>
    <w:rsid w:val="00743600"/>
    <w:rsid w:val="00743647"/>
    <w:rsid w:val="0074380A"/>
    <w:rsid w:val="0074386B"/>
    <w:rsid w:val="00743920"/>
    <w:rsid w:val="0074393A"/>
    <w:rsid w:val="00743A0C"/>
    <w:rsid w:val="00743A22"/>
    <w:rsid w:val="00743B53"/>
    <w:rsid w:val="00743EBB"/>
    <w:rsid w:val="00743F59"/>
    <w:rsid w:val="00744110"/>
    <w:rsid w:val="0074450A"/>
    <w:rsid w:val="00744840"/>
    <w:rsid w:val="0074514D"/>
    <w:rsid w:val="0074526D"/>
    <w:rsid w:val="0074529C"/>
    <w:rsid w:val="00745D2D"/>
    <w:rsid w:val="00745DCE"/>
    <w:rsid w:val="00746206"/>
    <w:rsid w:val="00746FC5"/>
    <w:rsid w:val="00747116"/>
    <w:rsid w:val="00747867"/>
    <w:rsid w:val="00747911"/>
    <w:rsid w:val="00747A6D"/>
    <w:rsid w:val="00747C7A"/>
    <w:rsid w:val="00750226"/>
    <w:rsid w:val="0075089D"/>
    <w:rsid w:val="00750AF2"/>
    <w:rsid w:val="0075171E"/>
    <w:rsid w:val="0075177B"/>
    <w:rsid w:val="00751D44"/>
    <w:rsid w:val="007521D0"/>
    <w:rsid w:val="00752328"/>
    <w:rsid w:val="00752A9F"/>
    <w:rsid w:val="00752D01"/>
    <w:rsid w:val="0075307B"/>
    <w:rsid w:val="00755427"/>
    <w:rsid w:val="007558C6"/>
    <w:rsid w:val="00755AF1"/>
    <w:rsid w:val="00755C49"/>
    <w:rsid w:val="007560DB"/>
    <w:rsid w:val="007565A9"/>
    <w:rsid w:val="00756ABA"/>
    <w:rsid w:val="00756B3E"/>
    <w:rsid w:val="00757364"/>
    <w:rsid w:val="00757584"/>
    <w:rsid w:val="007576ED"/>
    <w:rsid w:val="0075792D"/>
    <w:rsid w:val="00760AB8"/>
    <w:rsid w:val="007612D0"/>
    <w:rsid w:val="00761452"/>
    <w:rsid w:val="007616D3"/>
    <w:rsid w:val="007618FA"/>
    <w:rsid w:val="007619DB"/>
    <w:rsid w:val="00761C29"/>
    <w:rsid w:val="00761CDE"/>
    <w:rsid w:val="0076201B"/>
    <w:rsid w:val="00762871"/>
    <w:rsid w:val="00762A33"/>
    <w:rsid w:val="00762E16"/>
    <w:rsid w:val="00762F05"/>
    <w:rsid w:val="00763083"/>
    <w:rsid w:val="007631FF"/>
    <w:rsid w:val="007637C6"/>
    <w:rsid w:val="00763DBD"/>
    <w:rsid w:val="00763E42"/>
    <w:rsid w:val="007651C4"/>
    <w:rsid w:val="007655C8"/>
    <w:rsid w:val="007657EC"/>
    <w:rsid w:val="00765BD8"/>
    <w:rsid w:val="00765EFB"/>
    <w:rsid w:val="007663EF"/>
    <w:rsid w:val="00766722"/>
    <w:rsid w:val="007672A5"/>
    <w:rsid w:val="007672C5"/>
    <w:rsid w:val="00767E1D"/>
    <w:rsid w:val="00770075"/>
    <w:rsid w:val="0077013F"/>
    <w:rsid w:val="00770248"/>
    <w:rsid w:val="00770CAD"/>
    <w:rsid w:val="00770F42"/>
    <w:rsid w:val="00770F9D"/>
    <w:rsid w:val="0077123B"/>
    <w:rsid w:val="00771593"/>
    <w:rsid w:val="00771747"/>
    <w:rsid w:val="007720D6"/>
    <w:rsid w:val="0077242C"/>
    <w:rsid w:val="0077255F"/>
    <w:rsid w:val="007727CB"/>
    <w:rsid w:val="00773F7C"/>
    <w:rsid w:val="00774039"/>
    <w:rsid w:val="00774582"/>
    <w:rsid w:val="00775170"/>
    <w:rsid w:val="00775366"/>
    <w:rsid w:val="00775693"/>
    <w:rsid w:val="0077574D"/>
    <w:rsid w:val="00775B5B"/>
    <w:rsid w:val="0077614F"/>
    <w:rsid w:val="007761F9"/>
    <w:rsid w:val="00776393"/>
    <w:rsid w:val="00776E14"/>
    <w:rsid w:val="007770D5"/>
    <w:rsid w:val="00777117"/>
    <w:rsid w:val="00777487"/>
    <w:rsid w:val="00777B96"/>
    <w:rsid w:val="00777C40"/>
    <w:rsid w:val="00777C48"/>
    <w:rsid w:val="00780204"/>
    <w:rsid w:val="00780ADA"/>
    <w:rsid w:val="00780B2E"/>
    <w:rsid w:val="00780D7D"/>
    <w:rsid w:val="0078194A"/>
    <w:rsid w:val="007819E1"/>
    <w:rsid w:val="0078226B"/>
    <w:rsid w:val="00782975"/>
    <w:rsid w:val="00782C0D"/>
    <w:rsid w:val="00782C1D"/>
    <w:rsid w:val="0078365D"/>
    <w:rsid w:val="00783666"/>
    <w:rsid w:val="00784749"/>
    <w:rsid w:val="00784E2D"/>
    <w:rsid w:val="007850F9"/>
    <w:rsid w:val="00786D85"/>
    <w:rsid w:val="00786DF8"/>
    <w:rsid w:val="00786E4F"/>
    <w:rsid w:val="007874E0"/>
    <w:rsid w:val="007879CC"/>
    <w:rsid w:val="00787FC3"/>
    <w:rsid w:val="007905B3"/>
    <w:rsid w:val="00790B4F"/>
    <w:rsid w:val="00790CC7"/>
    <w:rsid w:val="00790D03"/>
    <w:rsid w:val="007916A2"/>
    <w:rsid w:val="00791892"/>
    <w:rsid w:val="007919B9"/>
    <w:rsid w:val="00791EE4"/>
    <w:rsid w:val="00791F76"/>
    <w:rsid w:val="007926A0"/>
    <w:rsid w:val="007927BE"/>
    <w:rsid w:val="00793468"/>
    <w:rsid w:val="007937B2"/>
    <w:rsid w:val="0079413C"/>
    <w:rsid w:val="00794437"/>
    <w:rsid w:val="00794A19"/>
    <w:rsid w:val="00795255"/>
    <w:rsid w:val="00795B38"/>
    <w:rsid w:val="00795E5C"/>
    <w:rsid w:val="00795FE1"/>
    <w:rsid w:val="0079620B"/>
    <w:rsid w:val="00796253"/>
    <w:rsid w:val="00796466"/>
    <w:rsid w:val="00796A96"/>
    <w:rsid w:val="00796AA6"/>
    <w:rsid w:val="00796ABF"/>
    <w:rsid w:val="00797980"/>
    <w:rsid w:val="00797F0C"/>
    <w:rsid w:val="007A03F2"/>
    <w:rsid w:val="007A05A3"/>
    <w:rsid w:val="007A08D4"/>
    <w:rsid w:val="007A1985"/>
    <w:rsid w:val="007A1C48"/>
    <w:rsid w:val="007A1E74"/>
    <w:rsid w:val="007A2BF6"/>
    <w:rsid w:val="007A2C1F"/>
    <w:rsid w:val="007A2E63"/>
    <w:rsid w:val="007A2FF2"/>
    <w:rsid w:val="007A33B4"/>
    <w:rsid w:val="007A35F0"/>
    <w:rsid w:val="007A3810"/>
    <w:rsid w:val="007A3A70"/>
    <w:rsid w:val="007A3E87"/>
    <w:rsid w:val="007A3F7A"/>
    <w:rsid w:val="007A411D"/>
    <w:rsid w:val="007A4EAB"/>
    <w:rsid w:val="007A5665"/>
    <w:rsid w:val="007A5807"/>
    <w:rsid w:val="007A5BC8"/>
    <w:rsid w:val="007A5E7B"/>
    <w:rsid w:val="007A5EF9"/>
    <w:rsid w:val="007A619E"/>
    <w:rsid w:val="007A640A"/>
    <w:rsid w:val="007A6FAF"/>
    <w:rsid w:val="007A7A1C"/>
    <w:rsid w:val="007A7A45"/>
    <w:rsid w:val="007B00BE"/>
    <w:rsid w:val="007B0423"/>
    <w:rsid w:val="007B0BE2"/>
    <w:rsid w:val="007B0D54"/>
    <w:rsid w:val="007B1131"/>
    <w:rsid w:val="007B1B3E"/>
    <w:rsid w:val="007B1C28"/>
    <w:rsid w:val="007B1C69"/>
    <w:rsid w:val="007B1D05"/>
    <w:rsid w:val="007B1FF6"/>
    <w:rsid w:val="007B2226"/>
    <w:rsid w:val="007B2B93"/>
    <w:rsid w:val="007B2BD2"/>
    <w:rsid w:val="007B3202"/>
    <w:rsid w:val="007B36E4"/>
    <w:rsid w:val="007B37CA"/>
    <w:rsid w:val="007B3C4C"/>
    <w:rsid w:val="007B4BF2"/>
    <w:rsid w:val="007B4EC9"/>
    <w:rsid w:val="007B4FBC"/>
    <w:rsid w:val="007B50B1"/>
    <w:rsid w:val="007B5D0C"/>
    <w:rsid w:val="007B61E2"/>
    <w:rsid w:val="007B6A43"/>
    <w:rsid w:val="007B6E48"/>
    <w:rsid w:val="007B7582"/>
    <w:rsid w:val="007B7B0B"/>
    <w:rsid w:val="007B7BBB"/>
    <w:rsid w:val="007C0179"/>
    <w:rsid w:val="007C047E"/>
    <w:rsid w:val="007C1410"/>
    <w:rsid w:val="007C1424"/>
    <w:rsid w:val="007C16D2"/>
    <w:rsid w:val="007C19BE"/>
    <w:rsid w:val="007C1ABA"/>
    <w:rsid w:val="007C1B9D"/>
    <w:rsid w:val="007C1D2B"/>
    <w:rsid w:val="007C28B4"/>
    <w:rsid w:val="007C28E2"/>
    <w:rsid w:val="007C2926"/>
    <w:rsid w:val="007C2A29"/>
    <w:rsid w:val="007C3BD0"/>
    <w:rsid w:val="007C45A2"/>
    <w:rsid w:val="007C4707"/>
    <w:rsid w:val="007C479D"/>
    <w:rsid w:val="007C5839"/>
    <w:rsid w:val="007C5AEE"/>
    <w:rsid w:val="007C6076"/>
    <w:rsid w:val="007C6383"/>
    <w:rsid w:val="007C6B20"/>
    <w:rsid w:val="007C704D"/>
    <w:rsid w:val="007C73BA"/>
    <w:rsid w:val="007C74AD"/>
    <w:rsid w:val="007C75E7"/>
    <w:rsid w:val="007C75ED"/>
    <w:rsid w:val="007C7840"/>
    <w:rsid w:val="007C79A1"/>
    <w:rsid w:val="007C7A04"/>
    <w:rsid w:val="007D0175"/>
    <w:rsid w:val="007D0286"/>
    <w:rsid w:val="007D0A42"/>
    <w:rsid w:val="007D0CD9"/>
    <w:rsid w:val="007D127A"/>
    <w:rsid w:val="007D12A8"/>
    <w:rsid w:val="007D17A9"/>
    <w:rsid w:val="007D1B90"/>
    <w:rsid w:val="007D22A4"/>
    <w:rsid w:val="007D25C0"/>
    <w:rsid w:val="007D2993"/>
    <w:rsid w:val="007D2CCB"/>
    <w:rsid w:val="007D2E04"/>
    <w:rsid w:val="007D32D5"/>
    <w:rsid w:val="007D4086"/>
    <w:rsid w:val="007D40E7"/>
    <w:rsid w:val="007D4888"/>
    <w:rsid w:val="007D4ABC"/>
    <w:rsid w:val="007D4C8A"/>
    <w:rsid w:val="007D4D67"/>
    <w:rsid w:val="007D50BF"/>
    <w:rsid w:val="007D5240"/>
    <w:rsid w:val="007D58AF"/>
    <w:rsid w:val="007D6849"/>
    <w:rsid w:val="007D69E1"/>
    <w:rsid w:val="007D7328"/>
    <w:rsid w:val="007D77C7"/>
    <w:rsid w:val="007D7B43"/>
    <w:rsid w:val="007E04FC"/>
    <w:rsid w:val="007E0D89"/>
    <w:rsid w:val="007E0E4E"/>
    <w:rsid w:val="007E10FC"/>
    <w:rsid w:val="007E18C1"/>
    <w:rsid w:val="007E19FE"/>
    <w:rsid w:val="007E1E64"/>
    <w:rsid w:val="007E2555"/>
    <w:rsid w:val="007E2767"/>
    <w:rsid w:val="007E298C"/>
    <w:rsid w:val="007E2A6A"/>
    <w:rsid w:val="007E2C13"/>
    <w:rsid w:val="007E3571"/>
    <w:rsid w:val="007E3C52"/>
    <w:rsid w:val="007E3DDB"/>
    <w:rsid w:val="007E4326"/>
    <w:rsid w:val="007E49F8"/>
    <w:rsid w:val="007E4D32"/>
    <w:rsid w:val="007E5001"/>
    <w:rsid w:val="007E5059"/>
    <w:rsid w:val="007E5501"/>
    <w:rsid w:val="007E55C9"/>
    <w:rsid w:val="007E689A"/>
    <w:rsid w:val="007E6E48"/>
    <w:rsid w:val="007E6E80"/>
    <w:rsid w:val="007E6FCF"/>
    <w:rsid w:val="007E7069"/>
    <w:rsid w:val="007E780A"/>
    <w:rsid w:val="007E7BE1"/>
    <w:rsid w:val="007E7DE2"/>
    <w:rsid w:val="007F068E"/>
    <w:rsid w:val="007F0996"/>
    <w:rsid w:val="007F0A6E"/>
    <w:rsid w:val="007F0C15"/>
    <w:rsid w:val="007F0E0E"/>
    <w:rsid w:val="007F1040"/>
    <w:rsid w:val="007F1472"/>
    <w:rsid w:val="007F1761"/>
    <w:rsid w:val="007F1864"/>
    <w:rsid w:val="007F1866"/>
    <w:rsid w:val="007F1AD4"/>
    <w:rsid w:val="007F1E15"/>
    <w:rsid w:val="007F2542"/>
    <w:rsid w:val="007F25C5"/>
    <w:rsid w:val="007F27AC"/>
    <w:rsid w:val="007F2ED8"/>
    <w:rsid w:val="007F3970"/>
    <w:rsid w:val="007F3CF8"/>
    <w:rsid w:val="007F4036"/>
    <w:rsid w:val="007F41BA"/>
    <w:rsid w:val="007F486A"/>
    <w:rsid w:val="007F4928"/>
    <w:rsid w:val="007F4EA3"/>
    <w:rsid w:val="007F5A4E"/>
    <w:rsid w:val="007F5AD6"/>
    <w:rsid w:val="007F5F86"/>
    <w:rsid w:val="007F6199"/>
    <w:rsid w:val="007F6712"/>
    <w:rsid w:val="007F68B9"/>
    <w:rsid w:val="007F6DBE"/>
    <w:rsid w:val="007F6FDE"/>
    <w:rsid w:val="007F7012"/>
    <w:rsid w:val="007F7475"/>
    <w:rsid w:val="007F7568"/>
    <w:rsid w:val="007F7726"/>
    <w:rsid w:val="007F78D7"/>
    <w:rsid w:val="007F7A73"/>
    <w:rsid w:val="007F7C08"/>
    <w:rsid w:val="007F7DC8"/>
    <w:rsid w:val="0080002B"/>
    <w:rsid w:val="00800226"/>
    <w:rsid w:val="008004D0"/>
    <w:rsid w:val="00800A04"/>
    <w:rsid w:val="00800D6D"/>
    <w:rsid w:val="00800EC7"/>
    <w:rsid w:val="008013D6"/>
    <w:rsid w:val="008016AC"/>
    <w:rsid w:val="00801A25"/>
    <w:rsid w:val="008021C3"/>
    <w:rsid w:val="008022DA"/>
    <w:rsid w:val="008027BC"/>
    <w:rsid w:val="008028EB"/>
    <w:rsid w:val="00802991"/>
    <w:rsid w:val="00803A39"/>
    <w:rsid w:val="00803B4B"/>
    <w:rsid w:val="00803C1A"/>
    <w:rsid w:val="008041C5"/>
    <w:rsid w:val="00804230"/>
    <w:rsid w:val="0080496D"/>
    <w:rsid w:val="00804ABC"/>
    <w:rsid w:val="00804E6D"/>
    <w:rsid w:val="008058EE"/>
    <w:rsid w:val="00806309"/>
    <w:rsid w:val="008066CF"/>
    <w:rsid w:val="00806C15"/>
    <w:rsid w:val="00806CAC"/>
    <w:rsid w:val="00806E52"/>
    <w:rsid w:val="00806ED4"/>
    <w:rsid w:val="00807493"/>
    <w:rsid w:val="00807B5A"/>
    <w:rsid w:val="008100E2"/>
    <w:rsid w:val="00810107"/>
    <w:rsid w:val="00810500"/>
    <w:rsid w:val="00810AB7"/>
    <w:rsid w:val="00811382"/>
    <w:rsid w:val="008113C8"/>
    <w:rsid w:val="00811C2B"/>
    <w:rsid w:val="00811C74"/>
    <w:rsid w:val="00812D17"/>
    <w:rsid w:val="008131A9"/>
    <w:rsid w:val="00813B20"/>
    <w:rsid w:val="00813B28"/>
    <w:rsid w:val="00813F5C"/>
    <w:rsid w:val="00814613"/>
    <w:rsid w:val="00815009"/>
    <w:rsid w:val="0081508F"/>
    <w:rsid w:val="008151B5"/>
    <w:rsid w:val="00815B9E"/>
    <w:rsid w:val="008160ED"/>
    <w:rsid w:val="008163CF"/>
    <w:rsid w:val="008167C0"/>
    <w:rsid w:val="00816830"/>
    <w:rsid w:val="00816CAE"/>
    <w:rsid w:val="00816FE8"/>
    <w:rsid w:val="008170A7"/>
    <w:rsid w:val="0081737A"/>
    <w:rsid w:val="00817D7D"/>
    <w:rsid w:val="00817F0C"/>
    <w:rsid w:val="008202B9"/>
    <w:rsid w:val="00821571"/>
    <w:rsid w:val="00821FA5"/>
    <w:rsid w:val="00822894"/>
    <w:rsid w:val="00822A0F"/>
    <w:rsid w:val="00822F24"/>
    <w:rsid w:val="00823110"/>
    <w:rsid w:val="0082324F"/>
    <w:rsid w:val="008232C4"/>
    <w:rsid w:val="00823513"/>
    <w:rsid w:val="00823852"/>
    <w:rsid w:val="008238A5"/>
    <w:rsid w:val="00823E92"/>
    <w:rsid w:val="00824554"/>
    <w:rsid w:val="00824760"/>
    <w:rsid w:val="008252D6"/>
    <w:rsid w:val="008252EA"/>
    <w:rsid w:val="008255EC"/>
    <w:rsid w:val="0082566E"/>
    <w:rsid w:val="0082587A"/>
    <w:rsid w:val="00825906"/>
    <w:rsid w:val="00825A1B"/>
    <w:rsid w:val="00825AE1"/>
    <w:rsid w:val="00825E34"/>
    <w:rsid w:val="00826674"/>
    <w:rsid w:val="00827A64"/>
    <w:rsid w:val="00830169"/>
    <w:rsid w:val="0083091D"/>
    <w:rsid w:val="00831471"/>
    <w:rsid w:val="00831CCC"/>
    <w:rsid w:val="00832067"/>
    <w:rsid w:val="00832B84"/>
    <w:rsid w:val="00832CBB"/>
    <w:rsid w:val="00833575"/>
    <w:rsid w:val="00833F35"/>
    <w:rsid w:val="00834923"/>
    <w:rsid w:val="008351B7"/>
    <w:rsid w:val="00835AE0"/>
    <w:rsid w:val="00835FA3"/>
    <w:rsid w:val="00836016"/>
    <w:rsid w:val="008364E9"/>
    <w:rsid w:val="00836611"/>
    <w:rsid w:val="00836B09"/>
    <w:rsid w:val="00836BA4"/>
    <w:rsid w:val="00836D8A"/>
    <w:rsid w:val="0083708E"/>
    <w:rsid w:val="00837387"/>
    <w:rsid w:val="008379C1"/>
    <w:rsid w:val="00840016"/>
    <w:rsid w:val="008401F8"/>
    <w:rsid w:val="00840786"/>
    <w:rsid w:val="00840BD6"/>
    <w:rsid w:val="00840C72"/>
    <w:rsid w:val="00841EF5"/>
    <w:rsid w:val="00841F6C"/>
    <w:rsid w:val="00842145"/>
    <w:rsid w:val="0084288B"/>
    <w:rsid w:val="00842C5C"/>
    <w:rsid w:val="00843A09"/>
    <w:rsid w:val="00843E21"/>
    <w:rsid w:val="0084426F"/>
    <w:rsid w:val="008442D2"/>
    <w:rsid w:val="0084486B"/>
    <w:rsid w:val="00844966"/>
    <w:rsid w:val="008449DB"/>
    <w:rsid w:val="00844C91"/>
    <w:rsid w:val="00844CA9"/>
    <w:rsid w:val="00844EA0"/>
    <w:rsid w:val="008450AD"/>
    <w:rsid w:val="008455AF"/>
    <w:rsid w:val="008456BC"/>
    <w:rsid w:val="00845A08"/>
    <w:rsid w:val="00845CDD"/>
    <w:rsid w:val="00845D1C"/>
    <w:rsid w:val="00846125"/>
    <w:rsid w:val="00846820"/>
    <w:rsid w:val="00846A78"/>
    <w:rsid w:val="00846F59"/>
    <w:rsid w:val="00847348"/>
    <w:rsid w:val="008474FF"/>
    <w:rsid w:val="00847D12"/>
    <w:rsid w:val="0085064A"/>
    <w:rsid w:val="00850995"/>
    <w:rsid w:val="00850EFC"/>
    <w:rsid w:val="00850F5D"/>
    <w:rsid w:val="008510E0"/>
    <w:rsid w:val="0085118E"/>
    <w:rsid w:val="0085138B"/>
    <w:rsid w:val="008513D2"/>
    <w:rsid w:val="00851615"/>
    <w:rsid w:val="00851B05"/>
    <w:rsid w:val="008521A1"/>
    <w:rsid w:val="008529ED"/>
    <w:rsid w:val="00852CB6"/>
    <w:rsid w:val="00852EA7"/>
    <w:rsid w:val="00853028"/>
    <w:rsid w:val="008533FE"/>
    <w:rsid w:val="00853F5F"/>
    <w:rsid w:val="00854001"/>
    <w:rsid w:val="00854A06"/>
    <w:rsid w:val="0085520D"/>
    <w:rsid w:val="008553A1"/>
    <w:rsid w:val="008554C2"/>
    <w:rsid w:val="00855CE9"/>
    <w:rsid w:val="008560E7"/>
    <w:rsid w:val="00856653"/>
    <w:rsid w:val="00856FA6"/>
    <w:rsid w:val="00856FCE"/>
    <w:rsid w:val="008575E9"/>
    <w:rsid w:val="00857678"/>
    <w:rsid w:val="008577C0"/>
    <w:rsid w:val="008578D6"/>
    <w:rsid w:val="00857902"/>
    <w:rsid w:val="00857AB3"/>
    <w:rsid w:val="00857B9C"/>
    <w:rsid w:val="00860768"/>
    <w:rsid w:val="00860862"/>
    <w:rsid w:val="00861C6E"/>
    <w:rsid w:val="00861FEE"/>
    <w:rsid w:val="00862C49"/>
    <w:rsid w:val="008630A5"/>
    <w:rsid w:val="00863136"/>
    <w:rsid w:val="008631FA"/>
    <w:rsid w:val="00863294"/>
    <w:rsid w:val="008632F9"/>
    <w:rsid w:val="00863467"/>
    <w:rsid w:val="00863BC8"/>
    <w:rsid w:val="00863FE3"/>
    <w:rsid w:val="00864468"/>
    <w:rsid w:val="00864590"/>
    <w:rsid w:val="008645FD"/>
    <w:rsid w:val="008647A3"/>
    <w:rsid w:val="00864ABB"/>
    <w:rsid w:val="00864D91"/>
    <w:rsid w:val="00864DF4"/>
    <w:rsid w:val="00865070"/>
    <w:rsid w:val="008650BB"/>
    <w:rsid w:val="0086511F"/>
    <w:rsid w:val="008653DC"/>
    <w:rsid w:val="00866587"/>
    <w:rsid w:val="00866C44"/>
    <w:rsid w:val="0086792C"/>
    <w:rsid w:val="0087037C"/>
    <w:rsid w:val="00870732"/>
    <w:rsid w:val="00870738"/>
    <w:rsid w:val="00870786"/>
    <w:rsid w:val="00871019"/>
    <w:rsid w:val="00871357"/>
    <w:rsid w:val="008714A5"/>
    <w:rsid w:val="00871AF3"/>
    <w:rsid w:val="00871DFA"/>
    <w:rsid w:val="0087258F"/>
    <w:rsid w:val="008725CE"/>
    <w:rsid w:val="00872BCB"/>
    <w:rsid w:val="00873326"/>
    <w:rsid w:val="00873367"/>
    <w:rsid w:val="00873419"/>
    <w:rsid w:val="008737A6"/>
    <w:rsid w:val="008737DC"/>
    <w:rsid w:val="00873901"/>
    <w:rsid w:val="00873E6E"/>
    <w:rsid w:val="008740CB"/>
    <w:rsid w:val="00874195"/>
    <w:rsid w:val="008741A5"/>
    <w:rsid w:val="00874772"/>
    <w:rsid w:val="00874F93"/>
    <w:rsid w:val="0087551A"/>
    <w:rsid w:val="0087566E"/>
    <w:rsid w:val="00875D1E"/>
    <w:rsid w:val="008761DD"/>
    <w:rsid w:val="00876C85"/>
    <w:rsid w:val="00876EE9"/>
    <w:rsid w:val="0087769F"/>
    <w:rsid w:val="00877BB1"/>
    <w:rsid w:val="00877F0D"/>
    <w:rsid w:val="00880187"/>
    <w:rsid w:val="00880F81"/>
    <w:rsid w:val="0088129F"/>
    <w:rsid w:val="008818F9"/>
    <w:rsid w:val="0088258D"/>
    <w:rsid w:val="008825B6"/>
    <w:rsid w:val="00882843"/>
    <w:rsid w:val="00882BDC"/>
    <w:rsid w:val="00882BE3"/>
    <w:rsid w:val="008835F2"/>
    <w:rsid w:val="00884130"/>
    <w:rsid w:val="008848AC"/>
    <w:rsid w:val="00884CA1"/>
    <w:rsid w:val="00884CB9"/>
    <w:rsid w:val="00885389"/>
    <w:rsid w:val="0088567D"/>
    <w:rsid w:val="0088583F"/>
    <w:rsid w:val="008858A8"/>
    <w:rsid w:val="00885FFE"/>
    <w:rsid w:val="0088657A"/>
    <w:rsid w:val="008869B8"/>
    <w:rsid w:val="008873C5"/>
    <w:rsid w:val="00887639"/>
    <w:rsid w:val="008900FA"/>
    <w:rsid w:val="0089011F"/>
    <w:rsid w:val="00891404"/>
    <w:rsid w:val="008919DD"/>
    <w:rsid w:val="00891BDA"/>
    <w:rsid w:val="008924BF"/>
    <w:rsid w:val="008928DB"/>
    <w:rsid w:val="008929EB"/>
    <w:rsid w:val="00892D02"/>
    <w:rsid w:val="00892ED1"/>
    <w:rsid w:val="0089300B"/>
    <w:rsid w:val="008932B3"/>
    <w:rsid w:val="008932EE"/>
    <w:rsid w:val="00893903"/>
    <w:rsid w:val="00893D3F"/>
    <w:rsid w:val="008948E3"/>
    <w:rsid w:val="0089545D"/>
    <w:rsid w:val="00895CD5"/>
    <w:rsid w:val="00896BA3"/>
    <w:rsid w:val="00897191"/>
    <w:rsid w:val="00897452"/>
    <w:rsid w:val="00897502"/>
    <w:rsid w:val="008975BE"/>
    <w:rsid w:val="00897C34"/>
    <w:rsid w:val="00897F40"/>
    <w:rsid w:val="008A038E"/>
    <w:rsid w:val="008A08C2"/>
    <w:rsid w:val="008A08EE"/>
    <w:rsid w:val="008A0972"/>
    <w:rsid w:val="008A0D27"/>
    <w:rsid w:val="008A0FEE"/>
    <w:rsid w:val="008A13DC"/>
    <w:rsid w:val="008A159E"/>
    <w:rsid w:val="008A1654"/>
    <w:rsid w:val="008A190A"/>
    <w:rsid w:val="008A1945"/>
    <w:rsid w:val="008A1CEA"/>
    <w:rsid w:val="008A1F24"/>
    <w:rsid w:val="008A1F60"/>
    <w:rsid w:val="008A2B7C"/>
    <w:rsid w:val="008A2D2A"/>
    <w:rsid w:val="008A2E4B"/>
    <w:rsid w:val="008A2E4F"/>
    <w:rsid w:val="008A2F6C"/>
    <w:rsid w:val="008A315A"/>
    <w:rsid w:val="008A3468"/>
    <w:rsid w:val="008A3AF4"/>
    <w:rsid w:val="008A415F"/>
    <w:rsid w:val="008A4C5E"/>
    <w:rsid w:val="008A4FE2"/>
    <w:rsid w:val="008A5A8D"/>
    <w:rsid w:val="008A5B8A"/>
    <w:rsid w:val="008A5DCE"/>
    <w:rsid w:val="008A601F"/>
    <w:rsid w:val="008A61E4"/>
    <w:rsid w:val="008A65FD"/>
    <w:rsid w:val="008A68B2"/>
    <w:rsid w:val="008A6B9C"/>
    <w:rsid w:val="008A6C3D"/>
    <w:rsid w:val="008A7477"/>
    <w:rsid w:val="008A7CA2"/>
    <w:rsid w:val="008A7E97"/>
    <w:rsid w:val="008A7EB0"/>
    <w:rsid w:val="008B002B"/>
    <w:rsid w:val="008B0DBF"/>
    <w:rsid w:val="008B11AD"/>
    <w:rsid w:val="008B170F"/>
    <w:rsid w:val="008B1970"/>
    <w:rsid w:val="008B1AC1"/>
    <w:rsid w:val="008B1C4E"/>
    <w:rsid w:val="008B1F78"/>
    <w:rsid w:val="008B2357"/>
    <w:rsid w:val="008B2668"/>
    <w:rsid w:val="008B2ABB"/>
    <w:rsid w:val="008B2B4C"/>
    <w:rsid w:val="008B2C3B"/>
    <w:rsid w:val="008B33D1"/>
    <w:rsid w:val="008B365A"/>
    <w:rsid w:val="008B37E1"/>
    <w:rsid w:val="008B3B99"/>
    <w:rsid w:val="008B3CC3"/>
    <w:rsid w:val="008B3ED6"/>
    <w:rsid w:val="008B47A4"/>
    <w:rsid w:val="008B47A5"/>
    <w:rsid w:val="008B4810"/>
    <w:rsid w:val="008B4832"/>
    <w:rsid w:val="008B48CE"/>
    <w:rsid w:val="008B5083"/>
    <w:rsid w:val="008B5684"/>
    <w:rsid w:val="008B59F7"/>
    <w:rsid w:val="008B59F8"/>
    <w:rsid w:val="008B5E23"/>
    <w:rsid w:val="008B60AF"/>
    <w:rsid w:val="008B63F4"/>
    <w:rsid w:val="008B65A8"/>
    <w:rsid w:val="008B6950"/>
    <w:rsid w:val="008B6964"/>
    <w:rsid w:val="008B78DA"/>
    <w:rsid w:val="008B7B03"/>
    <w:rsid w:val="008B7E90"/>
    <w:rsid w:val="008C0394"/>
    <w:rsid w:val="008C04A5"/>
    <w:rsid w:val="008C1C53"/>
    <w:rsid w:val="008C20E3"/>
    <w:rsid w:val="008C2287"/>
    <w:rsid w:val="008C29B6"/>
    <w:rsid w:val="008C306A"/>
    <w:rsid w:val="008C34FC"/>
    <w:rsid w:val="008C422E"/>
    <w:rsid w:val="008C433D"/>
    <w:rsid w:val="008C448F"/>
    <w:rsid w:val="008C496A"/>
    <w:rsid w:val="008C4C99"/>
    <w:rsid w:val="008C521B"/>
    <w:rsid w:val="008C53E6"/>
    <w:rsid w:val="008C5850"/>
    <w:rsid w:val="008C5AE4"/>
    <w:rsid w:val="008C5F3F"/>
    <w:rsid w:val="008C6187"/>
    <w:rsid w:val="008C6557"/>
    <w:rsid w:val="008C65FA"/>
    <w:rsid w:val="008C66BE"/>
    <w:rsid w:val="008C6FB6"/>
    <w:rsid w:val="008C7825"/>
    <w:rsid w:val="008C7898"/>
    <w:rsid w:val="008C7BAC"/>
    <w:rsid w:val="008D016A"/>
    <w:rsid w:val="008D0297"/>
    <w:rsid w:val="008D03AA"/>
    <w:rsid w:val="008D080B"/>
    <w:rsid w:val="008D0C70"/>
    <w:rsid w:val="008D0FC3"/>
    <w:rsid w:val="008D176E"/>
    <w:rsid w:val="008D1D9F"/>
    <w:rsid w:val="008D1F63"/>
    <w:rsid w:val="008D2591"/>
    <w:rsid w:val="008D2963"/>
    <w:rsid w:val="008D3386"/>
    <w:rsid w:val="008D3485"/>
    <w:rsid w:val="008D389F"/>
    <w:rsid w:val="008D3FD3"/>
    <w:rsid w:val="008D412A"/>
    <w:rsid w:val="008D437E"/>
    <w:rsid w:val="008D465A"/>
    <w:rsid w:val="008D4875"/>
    <w:rsid w:val="008D4979"/>
    <w:rsid w:val="008D4DD0"/>
    <w:rsid w:val="008D5167"/>
    <w:rsid w:val="008D53BB"/>
    <w:rsid w:val="008D59EA"/>
    <w:rsid w:val="008D5E00"/>
    <w:rsid w:val="008D6130"/>
    <w:rsid w:val="008D61E8"/>
    <w:rsid w:val="008D6395"/>
    <w:rsid w:val="008D696F"/>
    <w:rsid w:val="008D6B0F"/>
    <w:rsid w:val="008D6C3E"/>
    <w:rsid w:val="008D7745"/>
    <w:rsid w:val="008D7DAE"/>
    <w:rsid w:val="008E0433"/>
    <w:rsid w:val="008E0B0D"/>
    <w:rsid w:val="008E0EC1"/>
    <w:rsid w:val="008E1297"/>
    <w:rsid w:val="008E1416"/>
    <w:rsid w:val="008E1431"/>
    <w:rsid w:val="008E143C"/>
    <w:rsid w:val="008E17A4"/>
    <w:rsid w:val="008E1BBC"/>
    <w:rsid w:val="008E2049"/>
    <w:rsid w:val="008E222C"/>
    <w:rsid w:val="008E2AE1"/>
    <w:rsid w:val="008E3345"/>
    <w:rsid w:val="008E398E"/>
    <w:rsid w:val="008E3D61"/>
    <w:rsid w:val="008E4102"/>
    <w:rsid w:val="008E483C"/>
    <w:rsid w:val="008E48C8"/>
    <w:rsid w:val="008E4B3B"/>
    <w:rsid w:val="008E50DB"/>
    <w:rsid w:val="008E610E"/>
    <w:rsid w:val="008E61CF"/>
    <w:rsid w:val="008E6EBA"/>
    <w:rsid w:val="008E78CF"/>
    <w:rsid w:val="008E7916"/>
    <w:rsid w:val="008E7A68"/>
    <w:rsid w:val="008E7D4E"/>
    <w:rsid w:val="008F020C"/>
    <w:rsid w:val="008F05FD"/>
    <w:rsid w:val="008F09B3"/>
    <w:rsid w:val="008F0CB4"/>
    <w:rsid w:val="008F14C0"/>
    <w:rsid w:val="008F1F7A"/>
    <w:rsid w:val="008F23E2"/>
    <w:rsid w:val="008F240B"/>
    <w:rsid w:val="008F269B"/>
    <w:rsid w:val="008F2C39"/>
    <w:rsid w:val="008F42BC"/>
    <w:rsid w:val="008F432F"/>
    <w:rsid w:val="008F464A"/>
    <w:rsid w:val="008F48FB"/>
    <w:rsid w:val="008F4A94"/>
    <w:rsid w:val="008F52F1"/>
    <w:rsid w:val="008F5E8D"/>
    <w:rsid w:val="008F6875"/>
    <w:rsid w:val="008F6AC2"/>
    <w:rsid w:val="008F6D1A"/>
    <w:rsid w:val="008F7073"/>
    <w:rsid w:val="008F764B"/>
    <w:rsid w:val="008F7816"/>
    <w:rsid w:val="008F7A4F"/>
    <w:rsid w:val="008F7F68"/>
    <w:rsid w:val="0090011A"/>
    <w:rsid w:val="009007BD"/>
    <w:rsid w:val="00900E6B"/>
    <w:rsid w:val="009014B1"/>
    <w:rsid w:val="009015CC"/>
    <w:rsid w:val="0090191B"/>
    <w:rsid w:val="009020F2"/>
    <w:rsid w:val="00902492"/>
    <w:rsid w:val="0090276D"/>
    <w:rsid w:val="009027A1"/>
    <w:rsid w:val="00902B8D"/>
    <w:rsid w:val="009031F9"/>
    <w:rsid w:val="0090347C"/>
    <w:rsid w:val="00903866"/>
    <w:rsid w:val="0090396F"/>
    <w:rsid w:val="00903F37"/>
    <w:rsid w:val="00904053"/>
    <w:rsid w:val="009040BF"/>
    <w:rsid w:val="00904C74"/>
    <w:rsid w:val="00905010"/>
    <w:rsid w:val="00905585"/>
    <w:rsid w:val="00905982"/>
    <w:rsid w:val="00905BCE"/>
    <w:rsid w:val="00905F22"/>
    <w:rsid w:val="00907026"/>
    <w:rsid w:val="0090730B"/>
    <w:rsid w:val="009078E8"/>
    <w:rsid w:val="00907C62"/>
    <w:rsid w:val="00907F17"/>
    <w:rsid w:val="009101C9"/>
    <w:rsid w:val="00910434"/>
    <w:rsid w:val="00910474"/>
    <w:rsid w:val="009112C4"/>
    <w:rsid w:val="009117CD"/>
    <w:rsid w:val="00912499"/>
    <w:rsid w:val="009133F6"/>
    <w:rsid w:val="009137A6"/>
    <w:rsid w:val="00914F5D"/>
    <w:rsid w:val="00915631"/>
    <w:rsid w:val="009157D7"/>
    <w:rsid w:val="0091586A"/>
    <w:rsid w:val="00916126"/>
    <w:rsid w:val="009169EB"/>
    <w:rsid w:val="009171DB"/>
    <w:rsid w:val="00917BC0"/>
    <w:rsid w:val="00920719"/>
    <w:rsid w:val="009207E7"/>
    <w:rsid w:val="009209BB"/>
    <w:rsid w:val="00920B15"/>
    <w:rsid w:val="00920C91"/>
    <w:rsid w:val="00920D64"/>
    <w:rsid w:val="009210F0"/>
    <w:rsid w:val="00921120"/>
    <w:rsid w:val="0092151D"/>
    <w:rsid w:val="00921B79"/>
    <w:rsid w:val="00922003"/>
    <w:rsid w:val="0092209B"/>
    <w:rsid w:val="0092210C"/>
    <w:rsid w:val="00922325"/>
    <w:rsid w:val="0092289B"/>
    <w:rsid w:val="00923367"/>
    <w:rsid w:val="00923929"/>
    <w:rsid w:val="00923C3F"/>
    <w:rsid w:val="00923E89"/>
    <w:rsid w:val="00924085"/>
    <w:rsid w:val="00925B28"/>
    <w:rsid w:val="00925E3B"/>
    <w:rsid w:val="00926061"/>
    <w:rsid w:val="0092618F"/>
    <w:rsid w:val="00926856"/>
    <w:rsid w:val="00926EFF"/>
    <w:rsid w:val="00927138"/>
    <w:rsid w:val="0092752A"/>
    <w:rsid w:val="0092782E"/>
    <w:rsid w:val="00927ED4"/>
    <w:rsid w:val="00930012"/>
    <w:rsid w:val="00930047"/>
    <w:rsid w:val="009306E5"/>
    <w:rsid w:val="009307E5"/>
    <w:rsid w:val="00930ABF"/>
    <w:rsid w:val="00930C8E"/>
    <w:rsid w:val="00930ECC"/>
    <w:rsid w:val="009312CE"/>
    <w:rsid w:val="00931301"/>
    <w:rsid w:val="0093173D"/>
    <w:rsid w:val="00931E27"/>
    <w:rsid w:val="00932427"/>
    <w:rsid w:val="0093286C"/>
    <w:rsid w:val="00932AA9"/>
    <w:rsid w:val="00932BFC"/>
    <w:rsid w:val="00933896"/>
    <w:rsid w:val="009340A4"/>
    <w:rsid w:val="009345C4"/>
    <w:rsid w:val="00934F57"/>
    <w:rsid w:val="0093518E"/>
    <w:rsid w:val="009351B8"/>
    <w:rsid w:val="0093527F"/>
    <w:rsid w:val="00935394"/>
    <w:rsid w:val="00935633"/>
    <w:rsid w:val="00935DBB"/>
    <w:rsid w:val="00936D00"/>
    <w:rsid w:val="0093785F"/>
    <w:rsid w:val="0094009A"/>
    <w:rsid w:val="0094031F"/>
    <w:rsid w:val="009403C3"/>
    <w:rsid w:val="009409D3"/>
    <w:rsid w:val="00940FDD"/>
    <w:rsid w:val="00941AE6"/>
    <w:rsid w:val="00942192"/>
    <w:rsid w:val="00942447"/>
    <w:rsid w:val="009424E5"/>
    <w:rsid w:val="00942796"/>
    <w:rsid w:val="009428A0"/>
    <w:rsid w:val="00942C2E"/>
    <w:rsid w:val="0094338B"/>
    <w:rsid w:val="009437F1"/>
    <w:rsid w:val="00943868"/>
    <w:rsid w:val="00944373"/>
    <w:rsid w:val="00944908"/>
    <w:rsid w:val="00944A00"/>
    <w:rsid w:val="00944A03"/>
    <w:rsid w:val="00944DF6"/>
    <w:rsid w:val="00945208"/>
    <w:rsid w:val="00945348"/>
    <w:rsid w:val="00945827"/>
    <w:rsid w:val="00945912"/>
    <w:rsid w:val="00945DEE"/>
    <w:rsid w:val="00945EE7"/>
    <w:rsid w:val="00945F8B"/>
    <w:rsid w:val="0094604C"/>
    <w:rsid w:val="00946089"/>
    <w:rsid w:val="00946A6B"/>
    <w:rsid w:val="00946D65"/>
    <w:rsid w:val="00947108"/>
    <w:rsid w:val="00950271"/>
    <w:rsid w:val="0095097F"/>
    <w:rsid w:val="0095099E"/>
    <w:rsid w:val="00950BEB"/>
    <w:rsid w:val="00950D65"/>
    <w:rsid w:val="009513ED"/>
    <w:rsid w:val="00951413"/>
    <w:rsid w:val="009518C5"/>
    <w:rsid w:val="009519E2"/>
    <w:rsid w:val="00951D71"/>
    <w:rsid w:val="00951D78"/>
    <w:rsid w:val="00951F3F"/>
    <w:rsid w:val="009522D3"/>
    <w:rsid w:val="009523FA"/>
    <w:rsid w:val="00952679"/>
    <w:rsid w:val="0095278D"/>
    <w:rsid w:val="00952808"/>
    <w:rsid w:val="00952A77"/>
    <w:rsid w:val="00952BB0"/>
    <w:rsid w:val="00952F37"/>
    <w:rsid w:val="009539B2"/>
    <w:rsid w:val="009539BC"/>
    <w:rsid w:val="00953C63"/>
    <w:rsid w:val="00953E74"/>
    <w:rsid w:val="00954243"/>
    <w:rsid w:val="0095487D"/>
    <w:rsid w:val="009553EE"/>
    <w:rsid w:val="009555EC"/>
    <w:rsid w:val="009556D3"/>
    <w:rsid w:val="00955729"/>
    <w:rsid w:val="00955E50"/>
    <w:rsid w:val="00956503"/>
    <w:rsid w:val="009568D6"/>
    <w:rsid w:val="0095691F"/>
    <w:rsid w:val="00956AE2"/>
    <w:rsid w:val="00956B06"/>
    <w:rsid w:val="00956B90"/>
    <w:rsid w:val="00957607"/>
    <w:rsid w:val="00957C8A"/>
    <w:rsid w:val="00961057"/>
    <w:rsid w:val="00961266"/>
    <w:rsid w:val="00961F67"/>
    <w:rsid w:val="00962D87"/>
    <w:rsid w:val="009630AF"/>
    <w:rsid w:val="00963103"/>
    <w:rsid w:val="009634B1"/>
    <w:rsid w:val="009638C7"/>
    <w:rsid w:val="00963A61"/>
    <w:rsid w:val="00963E59"/>
    <w:rsid w:val="0096416C"/>
    <w:rsid w:val="00964609"/>
    <w:rsid w:val="00964931"/>
    <w:rsid w:val="00964C0E"/>
    <w:rsid w:val="0096533F"/>
    <w:rsid w:val="00967984"/>
    <w:rsid w:val="00967ABB"/>
    <w:rsid w:val="00967EE5"/>
    <w:rsid w:val="0097016B"/>
    <w:rsid w:val="0097040A"/>
    <w:rsid w:val="00970CB0"/>
    <w:rsid w:val="00970E92"/>
    <w:rsid w:val="00970EBA"/>
    <w:rsid w:val="0097159B"/>
    <w:rsid w:val="00971B43"/>
    <w:rsid w:val="00971B74"/>
    <w:rsid w:val="00971CA3"/>
    <w:rsid w:val="00971E22"/>
    <w:rsid w:val="00971F0D"/>
    <w:rsid w:val="0097211B"/>
    <w:rsid w:val="009727A1"/>
    <w:rsid w:val="00973762"/>
    <w:rsid w:val="009738A1"/>
    <w:rsid w:val="00974893"/>
    <w:rsid w:val="00974F01"/>
    <w:rsid w:val="009754FF"/>
    <w:rsid w:val="00975657"/>
    <w:rsid w:val="00976114"/>
    <w:rsid w:val="0097627D"/>
    <w:rsid w:val="009765AA"/>
    <w:rsid w:val="009765B3"/>
    <w:rsid w:val="00977147"/>
    <w:rsid w:val="00977763"/>
    <w:rsid w:val="00977CD5"/>
    <w:rsid w:val="009803D1"/>
    <w:rsid w:val="0098079F"/>
    <w:rsid w:val="009822F6"/>
    <w:rsid w:val="0098278E"/>
    <w:rsid w:val="00983A33"/>
    <w:rsid w:val="00984196"/>
    <w:rsid w:val="009842BD"/>
    <w:rsid w:val="0098434F"/>
    <w:rsid w:val="00985116"/>
    <w:rsid w:val="009852EE"/>
    <w:rsid w:val="00985467"/>
    <w:rsid w:val="009854F1"/>
    <w:rsid w:val="00985A22"/>
    <w:rsid w:val="00985CD7"/>
    <w:rsid w:val="00985E20"/>
    <w:rsid w:val="0098612C"/>
    <w:rsid w:val="009872CC"/>
    <w:rsid w:val="009878B8"/>
    <w:rsid w:val="00987AD3"/>
    <w:rsid w:val="00987B4E"/>
    <w:rsid w:val="00987BD4"/>
    <w:rsid w:val="00987D5A"/>
    <w:rsid w:val="00987F32"/>
    <w:rsid w:val="009901D6"/>
    <w:rsid w:val="00990F60"/>
    <w:rsid w:val="0099131A"/>
    <w:rsid w:val="009915A4"/>
    <w:rsid w:val="00991761"/>
    <w:rsid w:val="00991BBF"/>
    <w:rsid w:val="00992149"/>
    <w:rsid w:val="00992596"/>
    <w:rsid w:val="00992D2A"/>
    <w:rsid w:val="00993531"/>
    <w:rsid w:val="00993A21"/>
    <w:rsid w:val="00993A5D"/>
    <w:rsid w:val="00993CE2"/>
    <w:rsid w:val="00994035"/>
    <w:rsid w:val="00994C01"/>
    <w:rsid w:val="00994C7D"/>
    <w:rsid w:val="00995C13"/>
    <w:rsid w:val="00995D15"/>
    <w:rsid w:val="0099651A"/>
    <w:rsid w:val="00996979"/>
    <w:rsid w:val="00996F2C"/>
    <w:rsid w:val="009972B4"/>
    <w:rsid w:val="009A04E2"/>
    <w:rsid w:val="009A07CF"/>
    <w:rsid w:val="009A081F"/>
    <w:rsid w:val="009A09A7"/>
    <w:rsid w:val="009A0A35"/>
    <w:rsid w:val="009A0B10"/>
    <w:rsid w:val="009A1A2A"/>
    <w:rsid w:val="009A1E73"/>
    <w:rsid w:val="009A1E8F"/>
    <w:rsid w:val="009A1FD4"/>
    <w:rsid w:val="009A2082"/>
    <w:rsid w:val="009A216B"/>
    <w:rsid w:val="009A21AC"/>
    <w:rsid w:val="009A25D7"/>
    <w:rsid w:val="009A26D0"/>
    <w:rsid w:val="009A27E4"/>
    <w:rsid w:val="009A295C"/>
    <w:rsid w:val="009A2A5B"/>
    <w:rsid w:val="009A3011"/>
    <w:rsid w:val="009A3994"/>
    <w:rsid w:val="009A3AB9"/>
    <w:rsid w:val="009A43A3"/>
    <w:rsid w:val="009A4470"/>
    <w:rsid w:val="009A473B"/>
    <w:rsid w:val="009A4754"/>
    <w:rsid w:val="009A49E9"/>
    <w:rsid w:val="009A4A95"/>
    <w:rsid w:val="009A4C92"/>
    <w:rsid w:val="009A4CA1"/>
    <w:rsid w:val="009A507B"/>
    <w:rsid w:val="009A5312"/>
    <w:rsid w:val="009A5C55"/>
    <w:rsid w:val="009A5E0E"/>
    <w:rsid w:val="009A6377"/>
    <w:rsid w:val="009A6662"/>
    <w:rsid w:val="009A666D"/>
    <w:rsid w:val="009A6953"/>
    <w:rsid w:val="009A6D16"/>
    <w:rsid w:val="009A6D4A"/>
    <w:rsid w:val="009A6D83"/>
    <w:rsid w:val="009A780D"/>
    <w:rsid w:val="009A7852"/>
    <w:rsid w:val="009A7F4B"/>
    <w:rsid w:val="009B01F4"/>
    <w:rsid w:val="009B05D5"/>
    <w:rsid w:val="009B06CF"/>
    <w:rsid w:val="009B0802"/>
    <w:rsid w:val="009B0FB3"/>
    <w:rsid w:val="009B12CE"/>
    <w:rsid w:val="009B13C3"/>
    <w:rsid w:val="009B146D"/>
    <w:rsid w:val="009B18C3"/>
    <w:rsid w:val="009B1902"/>
    <w:rsid w:val="009B28B3"/>
    <w:rsid w:val="009B2C56"/>
    <w:rsid w:val="009B37A1"/>
    <w:rsid w:val="009B397D"/>
    <w:rsid w:val="009B3FE5"/>
    <w:rsid w:val="009B40EF"/>
    <w:rsid w:val="009B46B7"/>
    <w:rsid w:val="009B46C9"/>
    <w:rsid w:val="009B5377"/>
    <w:rsid w:val="009B53AD"/>
    <w:rsid w:val="009B5485"/>
    <w:rsid w:val="009B554E"/>
    <w:rsid w:val="009B558F"/>
    <w:rsid w:val="009B5C17"/>
    <w:rsid w:val="009B5FAF"/>
    <w:rsid w:val="009B612C"/>
    <w:rsid w:val="009B6247"/>
    <w:rsid w:val="009B6363"/>
    <w:rsid w:val="009B6D47"/>
    <w:rsid w:val="009B705B"/>
    <w:rsid w:val="009B709C"/>
    <w:rsid w:val="009B73AB"/>
    <w:rsid w:val="009B7545"/>
    <w:rsid w:val="009C0502"/>
    <w:rsid w:val="009C099C"/>
    <w:rsid w:val="009C0C05"/>
    <w:rsid w:val="009C0E68"/>
    <w:rsid w:val="009C0F9F"/>
    <w:rsid w:val="009C102C"/>
    <w:rsid w:val="009C1098"/>
    <w:rsid w:val="009C1794"/>
    <w:rsid w:val="009C1CC3"/>
    <w:rsid w:val="009C2E65"/>
    <w:rsid w:val="009C3031"/>
    <w:rsid w:val="009C3333"/>
    <w:rsid w:val="009C3C0D"/>
    <w:rsid w:val="009C41E3"/>
    <w:rsid w:val="009C4201"/>
    <w:rsid w:val="009C4B0D"/>
    <w:rsid w:val="009C4B1C"/>
    <w:rsid w:val="009C4EAF"/>
    <w:rsid w:val="009C512B"/>
    <w:rsid w:val="009C5A51"/>
    <w:rsid w:val="009C5D00"/>
    <w:rsid w:val="009C6302"/>
    <w:rsid w:val="009C65A4"/>
    <w:rsid w:val="009C65E6"/>
    <w:rsid w:val="009C683B"/>
    <w:rsid w:val="009C6BC0"/>
    <w:rsid w:val="009C6BEF"/>
    <w:rsid w:val="009C6EB8"/>
    <w:rsid w:val="009C6FF2"/>
    <w:rsid w:val="009C7AE1"/>
    <w:rsid w:val="009C7B79"/>
    <w:rsid w:val="009D0A0E"/>
    <w:rsid w:val="009D19EC"/>
    <w:rsid w:val="009D1B7B"/>
    <w:rsid w:val="009D1DD3"/>
    <w:rsid w:val="009D1FBA"/>
    <w:rsid w:val="009D212B"/>
    <w:rsid w:val="009D27FE"/>
    <w:rsid w:val="009D2AC8"/>
    <w:rsid w:val="009D2E42"/>
    <w:rsid w:val="009D36BE"/>
    <w:rsid w:val="009D37E3"/>
    <w:rsid w:val="009D3B25"/>
    <w:rsid w:val="009D42F3"/>
    <w:rsid w:val="009D44D9"/>
    <w:rsid w:val="009D47DE"/>
    <w:rsid w:val="009D4D4B"/>
    <w:rsid w:val="009D4DC7"/>
    <w:rsid w:val="009D4F0D"/>
    <w:rsid w:val="009D58DD"/>
    <w:rsid w:val="009D5907"/>
    <w:rsid w:val="009D593B"/>
    <w:rsid w:val="009D5A83"/>
    <w:rsid w:val="009D5D31"/>
    <w:rsid w:val="009D6292"/>
    <w:rsid w:val="009D664E"/>
    <w:rsid w:val="009D76B0"/>
    <w:rsid w:val="009D7A47"/>
    <w:rsid w:val="009D7D5D"/>
    <w:rsid w:val="009E096B"/>
    <w:rsid w:val="009E09A9"/>
    <w:rsid w:val="009E0EC3"/>
    <w:rsid w:val="009E11C8"/>
    <w:rsid w:val="009E1EBA"/>
    <w:rsid w:val="009E23DA"/>
    <w:rsid w:val="009E24FB"/>
    <w:rsid w:val="009E2829"/>
    <w:rsid w:val="009E287D"/>
    <w:rsid w:val="009E2E7B"/>
    <w:rsid w:val="009E3528"/>
    <w:rsid w:val="009E43AE"/>
    <w:rsid w:val="009E4438"/>
    <w:rsid w:val="009E501F"/>
    <w:rsid w:val="009E58AD"/>
    <w:rsid w:val="009E5EFC"/>
    <w:rsid w:val="009E622F"/>
    <w:rsid w:val="009E627F"/>
    <w:rsid w:val="009E62C1"/>
    <w:rsid w:val="009E6583"/>
    <w:rsid w:val="009E6731"/>
    <w:rsid w:val="009E6983"/>
    <w:rsid w:val="009E70E3"/>
    <w:rsid w:val="009E720A"/>
    <w:rsid w:val="009E7C63"/>
    <w:rsid w:val="009F014D"/>
    <w:rsid w:val="009F0299"/>
    <w:rsid w:val="009F0653"/>
    <w:rsid w:val="009F0775"/>
    <w:rsid w:val="009F0DE3"/>
    <w:rsid w:val="009F153C"/>
    <w:rsid w:val="009F15E8"/>
    <w:rsid w:val="009F1666"/>
    <w:rsid w:val="009F18F1"/>
    <w:rsid w:val="009F269E"/>
    <w:rsid w:val="009F26D2"/>
    <w:rsid w:val="009F2BAA"/>
    <w:rsid w:val="009F30AB"/>
    <w:rsid w:val="009F3BC2"/>
    <w:rsid w:val="009F44EE"/>
    <w:rsid w:val="009F45FC"/>
    <w:rsid w:val="009F4DE5"/>
    <w:rsid w:val="009F4E62"/>
    <w:rsid w:val="009F53FC"/>
    <w:rsid w:val="009F544B"/>
    <w:rsid w:val="009F5A7C"/>
    <w:rsid w:val="009F5CC1"/>
    <w:rsid w:val="009F65A8"/>
    <w:rsid w:val="009F6EE2"/>
    <w:rsid w:val="009F7319"/>
    <w:rsid w:val="009F7796"/>
    <w:rsid w:val="00A000E6"/>
    <w:rsid w:val="00A00733"/>
    <w:rsid w:val="00A00857"/>
    <w:rsid w:val="00A00B66"/>
    <w:rsid w:val="00A01312"/>
    <w:rsid w:val="00A019F2"/>
    <w:rsid w:val="00A01BB6"/>
    <w:rsid w:val="00A01E07"/>
    <w:rsid w:val="00A0234F"/>
    <w:rsid w:val="00A028A4"/>
    <w:rsid w:val="00A02C1B"/>
    <w:rsid w:val="00A03189"/>
    <w:rsid w:val="00A03690"/>
    <w:rsid w:val="00A03ACE"/>
    <w:rsid w:val="00A03CC3"/>
    <w:rsid w:val="00A03DC7"/>
    <w:rsid w:val="00A03E1F"/>
    <w:rsid w:val="00A04495"/>
    <w:rsid w:val="00A04AE0"/>
    <w:rsid w:val="00A04EA3"/>
    <w:rsid w:val="00A04ECC"/>
    <w:rsid w:val="00A04FD3"/>
    <w:rsid w:val="00A05068"/>
    <w:rsid w:val="00A05084"/>
    <w:rsid w:val="00A054E3"/>
    <w:rsid w:val="00A05909"/>
    <w:rsid w:val="00A05BE0"/>
    <w:rsid w:val="00A05FC8"/>
    <w:rsid w:val="00A060FC"/>
    <w:rsid w:val="00A0618B"/>
    <w:rsid w:val="00A066C7"/>
    <w:rsid w:val="00A079A7"/>
    <w:rsid w:val="00A10028"/>
    <w:rsid w:val="00A1023F"/>
    <w:rsid w:val="00A10A62"/>
    <w:rsid w:val="00A111CF"/>
    <w:rsid w:val="00A112C5"/>
    <w:rsid w:val="00A11425"/>
    <w:rsid w:val="00A115F9"/>
    <w:rsid w:val="00A11BA2"/>
    <w:rsid w:val="00A12953"/>
    <w:rsid w:val="00A129DA"/>
    <w:rsid w:val="00A12F30"/>
    <w:rsid w:val="00A1315D"/>
    <w:rsid w:val="00A13663"/>
    <w:rsid w:val="00A1423B"/>
    <w:rsid w:val="00A144F9"/>
    <w:rsid w:val="00A146BD"/>
    <w:rsid w:val="00A14A50"/>
    <w:rsid w:val="00A14AD0"/>
    <w:rsid w:val="00A14D3B"/>
    <w:rsid w:val="00A15019"/>
    <w:rsid w:val="00A1577E"/>
    <w:rsid w:val="00A15BB4"/>
    <w:rsid w:val="00A16040"/>
    <w:rsid w:val="00A160FA"/>
    <w:rsid w:val="00A161E1"/>
    <w:rsid w:val="00A162F8"/>
    <w:rsid w:val="00A16363"/>
    <w:rsid w:val="00A165AB"/>
    <w:rsid w:val="00A171A1"/>
    <w:rsid w:val="00A17325"/>
    <w:rsid w:val="00A17C3E"/>
    <w:rsid w:val="00A20343"/>
    <w:rsid w:val="00A20B22"/>
    <w:rsid w:val="00A210B3"/>
    <w:rsid w:val="00A2159F"/>
    <w:rsid w:val="00A21D0C"/>
    <w:rsid w:val="00A221CD"/>
    <w:rsid w:val="00A2251E"/>
    <w:rsid w:val="00A22E87"/>
    <w:rsid w:val="00A2309E"/>
    <w:rsid w:val="00A23214"/>
    <w:rsid w:val="00A23CA0"/>
    <w:rsid w:val="00A23F04"/>
    <w:rsid w:val="00A2406C"/>
    <w:rsid w:val="00A2492D"/>
    <w:rsid w:val="00A2549B"/>
    <w:rsid w:val="00A25522"/>
    <w:rsid w:val="00A256CE"/>
    <w:rsid w:val="00A25F54"/>
    <w:rsid w:val="00A262D0"/>
    <w:rsid w:val="00A26302"/>
    <w:rsid w:val="00A26C92"/>
    <w:rsid w:val="00A273BC"/>
    <w:rsid w:val="00A27E87"/>
    <w:rsid w:val="00A3132C"/>
    <w:rsid w:val="00A31B6D"/>
    <w:rsid w:val="00A321D9"/>
    <w:rsid w:val="00A32900"/>
    <w:rsid w:val="00A32D14"/>
    <w:rsid w:val="00A32D34"/>
    <w:rsid w:val="00A332C0"/>
    <w:rsid w:val="00A33B36"/>
    <w:rsid w:val="00A3419B"/>
    <w:rsid w:val="00A343AB"/>
    <w:rsid w:val="00A35195"/>
    <w:rsid w:val="00A35A3E"/>
    <w:rsid w:val="00A35E1C"/>
    <w:rsid w:val="00A3616D"/>
    <w:rsid w:val="00A367C2"/>
    <w:rsid w:val="00A3689A"/>
    <w:rsid w:val="00A36CC8"/>
    <w:rsid w:val="00A36CFB"/>
    <w:rsid w:val="00A37E43"/>
    <w:rsid w:val="00A37EC0"/>
    <w:rsid w:val="00A37EFD"/>
    <w:rsid w:val="00A37FBA"/>
    <w:rsid w:val="00A401D8"/>
    <w:rsid w:val="00A40D53"/>
    <w:rsid w:val="00A40F3C"/>
    <w:rsid w:val="00A41B52"/>
    <w:rsid w:val="00A41B63"/>
    <w:rsid w:val="00A42042"/>
    <w:rsid w:val="00A42075"/>
    <w:rsid w:val="00A420D6"/>
    <w:rsid w:val="00A427A6"/>
    <w:rsid w:val="00A4280B"/>
    <w:rsid w:val="00A428D0"/>
    <w:rsid w:val="00A43351"/>
    <w:rsid w:val="00A43708"/>
    <w:rsid w:val="00A4427D"/>
    <w:rsid w:val="00A446EF"/>
    <w:rsid w:val="00A44A66"/>
    <w:rsid w:val="00A44D22"/>
    <w:rsid w:val="00A45428"/>
    <w:rsid w:val="00A4562C"/>
    <w:rsid w:val="00A45E7C"/>
    <w:rsid w:val="00A47B08"/>
    <w:rsid w:val="00A5013B"/>
    <w:rsid w:val="00A503D3"/>
    <w:rsid w:val="00A50403"/>
    <w:rsid w:val="00A50730"/>
    <w:rsid w:val="00A50A6B"/>
    <w:rsid w:val="00A50E09"/>
    <w:rsid w:val="00A514ED"/>
    <w:rsid w:val="00A52100"/>
    <w:rsid w:val="00A52BA5"/>
    <w:rsid w:val="00A532D5"/>
    <w:rsid w:val="00A537CB"/>
    <w:rsid w:val="00A53821"/>
    <w:rsid w:val="00A53D3D"/>
    <w:rsid w:val="00A54040"/>
    <w:rsid w:val="00A54164"/>
    <w:rsid w:val="00A542E7"/>
    <w:rsid w:val="00A54C4F"/>
    <w:rsid w:val="00A54EB3"/>
    <w:rsid w:val="00A54F38"/>
    <w:rsid w:val="00A54F3A"/>
    <w:rsid w:val="00A54F41"/>
    <w:rsid w:val="00A55102"/>
    <w:rsid w:val="00A5542C"/>
    <w:rsid w:val="00A554C6"/>
    <w:rsid w:val="00A55F37"/>
    <w:rsid w:val="00A56373"/>
    <w:rsid w:val="00A565FF"/>
    <w:rsid w:val="00A5668A"/>
    <w:rsid w:val="00A5673F"/>
    <w:rsid w:val="00A56888"/>
    <w:rsid w:val="00A56D82"/>
    <w:rsid w:val="00A5739B"/>
    <w:rsid w:val="00A57CAC"/>
    <w:rsid w:val="00A57F1D"/>
    <w:rsid w:val="00A600F9"/>
    <w:rsid w:val="00A60371"/>
    <w:rsid w:val="00A603A9"/>
    <w:rsid w:val="00A603B4"/>
    <w:rsid w:val="00A60696"/>
    <w:rsid w:val="00A6144F"/>
    <w:rsid w:val="00A61CAA"/>
    <w:rsid w:val="00A61F31"/>
    <w:rsid w:val="00A62253"/>
    <w:rsid w:val="00A6225F"/>
    <w:rsid w:val="00A62A22"/>
    <w:rsid w:val="00A62C85"/>
    <w:rsid w:val="00A62ECD"/>
    <w:rsid w:val="00A632B0"/>
    <w:rsid w:val="00A63995"/>
    <w:rsid w:val="00A6419B"/>
    <w:rsid w:val="00A64222"/>
    <w:rsid w:val="00A647AA"/>
    <w:rsid w:val="00A64F63"/>
    <w:rsid w:val="00A65BCB"/>
    <w:rsid w:val="00A65EAE"/>
    <w:rsid w:val="00A6649A"/>
    <w:rsid w:val="00A667F6"/>
    <w:rsid w:val="00A66887"/>
    <w:rsid w:val="00A668BA"/>
    <w:rsid w:val="00A66BF0"/>
    <w:rsid w:val="00A66C02"/>
    <w:rsid w:val="00A66E05"/>
    <w:rsid w:val="00A67076"/>
    <w:rsid w:val="00A675F0"/>
    <w:rsid w:val="00A67654"/>
    <w:rsid w:val="00A677BA"/>
    <w:rsid w:val="00A679D7"/>
    <w:rsid w:val="00A70705"/>
    <w:rsid w:val="00A70963"/>
    <w:rsid w:val="00A70B85"/>
    <w:rsid w:val="00A7193F"/>
    <w:rsid w:val="00A71B25"/>
    <w:rsid w:val="00A72CB8"/>
    <w:rsid w:val="00A72F9A"/>
    <w:rsid w:val="00A73339"/>
    <w:rsid w:val="00A7402D"/>
    <w:rsid w:val="00A74872"/>
    <w:rsid w:val="00A74C26"/>
    <w:rsid w:val="00A74F3C"/>
    <w:rsid w:val="00A7597B"/>
    <w:rsid w:val="00A75E7A"/>
    <w:rsid w:val="00A769DC"/>
    <w:rsid w:val="00A76C63"/>
    <w:rsid w:val="00A77883"/>
    <w:rsid w:val="00A77F7B"/>
    <w:rsid w:val="00A8030C"/>
    <w:rsid w:val="00A8048E"/>
    <w:rsid w:val="00A80AFA"/>
    <w:rsid w:val="00A80B36"/>
    <w:rsid w:val="00A80BBD"/>
    <w:rsid w:val="00A80DD0"/>
    <w:rsid w:val="00A81992"/>
    <w:rsid w:val="00A82079"/>
    <w:rsid w:val="00A82211"/>
    <w:rsid w:val="00A82CCE"/>
    <w:rsid w:val="00A830E4"/>
    <w:rsid w:val="00A83735"/>
    <w:rsid w:val="00A838CF"/>
    <w:rsid w:val="00A83C89"/>
    <w:rsid w:val="00A83CEE"/>
    <w:rsid w:val="00A83DE9"/>
    <w:rsid w:val="00A84445"/>
    <w:rsid w:val="00A84AFC"/>
    <w:rsid w:val="00A84C4B"/>
    <w:rsid w:val="00A84D9B"/>
    <w:rsid w:val="00A854AF"/>
    <w:rsid w:val="00A85611"/>
    <w:rsid w:val="00A85984"/>
    <w:rsid w:val="00A859A0"/>
    <w:rsid w:val="00A86175"/>
    <w:rsid w:val="00A8688A"/>
    <w:rsid w:val="00A86A8A"/>
    <w:rsid w:val="00A86F52"/>
    <w:rsid w:val="00A87B45"/>
    <w:rsid w:val="00A90359"/>
    <w:rsid w:val="00A903D5"/>
    <w:rsid w:val="00A908B4"/>
    <w:rsid w:val="00A90A55"/>
    <w:rsid w:val="00A91195"/>
    <w:rsid w:val="00A91372"/>
    <w:rsid w:val="00A91917"/>
    <w:rsid w:val="00A919F1"/>
    <w:rsid w:val="00A92D0C"/>
    <w:rsid w:val="00A92D56"/>
    <w:rsid w:val="00A93109"/>
    <w:rsid w:val="00A93C50"/>
    <w:rsid w:val="00A93FA9"/>
    <w:rsid w:val="00A94334"/>
    <w:rsid w:val="00A9445C"/>
    <w:rsid w:val="00A947A1"/>
    <w:rsid w:val="00A94956"/>
    <w:rsid w:val="00A94A92"/>
    <w:rsid w:val="00A9559C"/>
    <w:rsid w:val="00A958E4"/>
    <w:rsid w:val="00A95B52"/>
    <w:rsid w:val="00A96067"/>
    <w:rsid w:val="00A96115"/>
    <w:rsid w:val="00A962D2"/>
    <w:rsid w:val="00A964AB"/>
    <w:rsid w:val="00A96693"/>
    <w:rsid w:val="00A9679F"/>
    <w:rsid w:val="00A96811"/>
    <w:rsid w:val="00A96837"/>
    <w:rsid w:val="00A96B9D"/>
    <w:rsid w:val="00A96D39"/>
    <w:rsid w:val="00A96E57"/>
    <w:rsid w:val="00A96FF1"/>
    <w:rsid w:val="00A978F9"/>
    <w:rsid w:val="00A97B91"/>
    <w:rsid w:val="00AA041D"/>
    <w:rsid w:val="00AA0BC0"/>
    <w:rsid w:val="00AA0BC1"/>
    <w:rsid w:val="00AA138E"/>
    <w:rsid w:val="00AA1433"/>
    <w:rsid w:val="00AA1874"/>
    <w:rsid w:val="00AA1A31"/>
    <w:rsid w:val="00AA256D"/>
    <w:rsid w:val="00AA26EF"/>
    <w:rsid w:val="00AA2BD2"/>
    <w:rsid w:val="00AA2EF6"/>
    <w:rsid w:val="00AA36C9"/>
    <w:rsid w:val="00AA375B"/>
    <w:rsid w:val="00AA412F"/>
    <w:rsid w:val="00AA4875"/>
    <w:rsid w:val="00AA4AE6"/>
    <w:rsid w:val="00AA4D34"/>
    <w:rsid w:val="00AA5173"/>
    <w:rsid w:val="00AA561F"/>
    <w:rsid w:val="00AA576F"/>
    <w:rsid w:val="00AA5948"/>
    <w:rsid w:val="00AA5A7F"/>
    <w:rsid w:val="00AA5D73"/>
    <w:rsid w:val="00AA5E20"/>
    <w:rsid w:val="00AA632C"/>
    <w:rsid w:val="00AA6B0B"/>
    <w:rsid w:val="00AA6EB0"/>
    <w:rsid w:val="00AA7021"/>
    <w:rsid w:val="00AA74BD"/>
    <w:rsid w:val="00AA78E1"/>
    <w:rsid w:val="00AA7AA2"/>
    <w:rsid w:val="00AA7C5A"/>
    <w:rsid w:val="00AA7C78"/>
    <w:rsid w:val="00AB0639"/>
    <w:rsid w:val="00AB07B8"/>
    <w:rsid w:val="00AB0800"/>
    <w:rsid w:val="00AB14A0"/>
    <w:rsid w:val="00AB1DCD"/>
    <w:rsid w:val="00AB328B"/>
    <w:rsid w:val="00AB3313"/>
    <w:rsid w:val="00AB3504"/>
    <w:rsid w:val="00AB354D"/>
    <w:rsid w:val="00AB3BD7"/>
    <w:rsid w:val="00AB45A5"/>
    <w:rsid w:val="00AB4887"/>
    <w:rsid w:val="00AB595F"/>
    <w:rsid w:val="00AB5F23"/>
    <w:rsid w:val="00AB6D88"/>
    <w:rsid w:val="00AB705E"/>
    <w:rsid w:val="00AB7861"/>
    <w:rsid w:val="00AB7C9B"/>
    <w:rsid w:val="00AB7F40"/>
    <w:rsid w:val="00AB7FF6"/>
    <w:rsid w:val="00AC0738"/>
    <w:rsid w:val="00AC080B"/>
    <w:rsid w:val="00AC0F78"/>
    <w:rsid w:val="00AC14A4"/>
    <w:rsid w:val="00AC1969"/>
    <w:rsid w:val="00AC1B9D"/>
    <w:rsid w:val="00AC2418"/>
    <w:rsid w:val="00AC258A"/>
    <w:rsid w:val="00AC26E6"/>
    <w:rsid w:val="00AC3590"/>
    <w:rsid w:val="00AC37B6"/>
    <w:rsid w:val="00AC3D65"/>
    <w:rsid w:val="00AC4875"/>
    <w:rsid w:val="00AC492A"/>
    <w:rsid w:val="00AC4BCC"/>
    <w:rsid w:val="00AC4C18"/>
    <w:rsid w:val="00AC4EDA"/>
    <w:rsid w:val="00AC5147"/>
    <w:rsid w:val="00AC536E"/>
    <w:rsid w:val="00AC580C"/>
    <w:rsid w:val="00AC5B92"/>
    <w:rsid w:val="00AC5FD5"/>
    <w:rsid w:val="00AC69C4"/>
    <w:rsid w:val="00AC757E"/>
    <w:rsid w:val="00AC7A09"/>
    <w:rsid w:val="00AC7EF4"/>
    <w:rsid w:val="00AD0254"/>
    <w:rsid w:val="00AD0917"/>
    <w:rsid w:val="00AD0A54"/>
    <w:rsid w:val="00AD190D"/>
    <w:rsid w:val="00AD1914"/>
    <w:rsid w:val="00AD1AF9"/>
    <w:rsid w:val="00AD285C"/>
    <w:rsid w:val="00AD297D"/>
    <w:rsid w:val="00AD2B6F"/>
    <w:rsid w:val="00AD2DF7"/>
    <w:rsid w:val="00AD2E1D"/>
    <w:rsid w:val="00AD335C"/>
    <w:rsid w:val="00AD3403"/>
    <w:rsid w:val="00AD3445"/>
    <w:rsid w:val="00AD3D1A"/>
    <w:rsid w:val="00AD4153"/>
    <w:rsid w:val="00AD4E8A"/>
    <w:rsid w:val="00AD4F81"/>
    <w:rsid w:val="00AD52E0"/>
    <w:rsid w:val="00AD5533"/>
    <w:rsid w:val="00AD574C"/>
    <w:rsid w:val="00AD6AF4"/>
    <w:rsid w:val="00AD6C90"/>
    <w:rsid w:val="00AD6CBD"/>
    <w:rsid w:val="00AD6D47"/>
    <w:rsid w:val="00AD6E73"/>
    <w:rsid w:val="00AD719C"/>
    <w:rsid w:val="00AD7451"/>
    <w:rsid w:val="00AD77B7"/>
    <w:rsid w:val="00AD7C12"/>
    <w:rsid w:val="00AD7C15"/>
    <w:rsid w:val="00AD7C70"/>
    <w:rsid w:val="00AD7CFC"/>
    <w:rsid w:val="00AD7F77"/>
    <w:rsid w:val="00AE01CA"/>
    <w:rsid w:val="00AE0272"/>
    <w:rsid w:val="00AE044F"/>
    <w:rsid w:val="00AE0B72"/>
    <w:rsid w:val="00AE0EAD"/>
    <w:rsid w:val="00AE14CD"/>
    <w:rsid w:val="00AE190D"/>
    <w:rsid w:val="00AE1996"/>
    <w:rsid w:val="00AE1D46"/>
    <w:rsid w:val="00AE2204"/>
    <w:rsid w:val="00AE2474"/>
    <w:rsid w:val="00AE27AE"/>
    <w:rsid w:val="00AE27BB"/>
    <w:rsid w:val="00AE2856"/>
    <w:rsid w:val="00AE2E30"/>
    <w:rsid w:val="00AE33E0"/>
    <w:rsid w:val="00AE3507"/>
    <w:rsid w:val="00AE3A9C"/>
    <w:rsid w:val="00AE3CCF"/>
    <w:rsid w:val="00AE3FE6"/>
    <w:rsid w:val="00AE4E58"/>
    <w:rsid w:val="00AE4EA3"/>
    <w:rsid w:val="00AE59DF"/>
    <w:rsid w:val="00AE5D85"/>
    <w:rsid w:val="00AE5F12"/>
    <w:rsid w:val="00AE6615"/>
    <w:rsid w:val="00AE661B"/>
    <w:rsid w:val="00AE66D3"/>
    <w:rsid w:val="00AE6B42"/>
    <w:rsid w:val="00AE6BDB"/>
    <w:rsid w:val="00AE6EF1"/>
    <w:rsid w:val="00AE703C"/>
    <w:rsid w:val="00AE73CE"/>
    <w:rsid w:val="00AE76CE"/>
    <w:rsid w:val="00AE7FEB"/>
    <w:rsid w:val="00AF0358"/>
    <w:rsid w:val="00AF088B"/>
    <w:rsid w:val="00AF178C"/>
    <w:rsid w:val="00AF2702"/>
    <w:rsid w:val="00AF298A"/>
    <w:rsid w:val="00AF2C7A"/>
    <w:rsid w:val="00AF2C9E"/>
    <w:rsid w:val="00AF2E53"/>
    <w:rsid w:val="00AF3F65"/>
    <w:rsid w:val="00AF3FB8"/>
    <w:rsid w:val="00AF4264"/>
    <w:rsid w:val="00AF4AA8"/>
    <w:rsid w:val="00AF59AE"/>
    <w:rsid w:val="00AF622E"/>
    <w:rsid w:val="00AF65DD"/>
    <w:rsid w:val="00AF69B5"/>
    <w:rsid w:val="00AF6F1B"/>
    <w:rsid w:val="00AF7264"/>
    <w:rsid w:val="00AF7673"/>
    <w:rsid w:val="00AF7C04"/>
    <w:rsid w:val="00B0019E"/>
    <w:rsid w:val="00B00984"/>
    <w:rsid w:val="00B00A0C"/>
    <w:rsid w:val="00B00F0F"/>
    <w:rsid w:val="00B00F41"/>
    <w:rsid w:val="00B00F56"/>
    <w:rsid w:val="00B012C0"/>
    <w:rsid w:val="00B013B6"/>
    <w:rsid w:val="00B0165A"/>
    <w:rsid w:val="00B01817"/>
    <w:rsid w:val="00B01973"/>
    <w:rsid w:val="00B01AEC"/>
    <w:rsid w:val="00B024DB"/>
    <w:rsid w:val="00B02A6A"/>
    <w:rsid w:val="00B02AC0"/>
    <w:rsid w:val="00B02C05"/>
    <w:rsid w:val="00B02F46"/>
    <w:rsid w:val="00B039CA"/>
    <w:rsid w:val="00B03E1C"/>
    <w:rsid w:val="00B03E4E"/>
    <w:rsid w:val="00B04100"/>
    <w:rsid w:val="00B0433E"/>
    <w:rsid w:val="00B044DC"/>
    <w:rsid w:val="00B04DF1"/>
    <w:rsid w:val="00B04FC4"/>
    <w:rsid w:val="00B0515E"/>
    <w:rsid w:val="00B054BB"/>
    <w:rsid w:val="00B055B5"/>
    <w:rsid w:val="00B0560A"/>
    <w:rsid w:val="00B05C9D"/>
    <w:rsid w:val="00B05D73"/>
    <w:rsid w:val="00B06A23"/>
    <w:rsid w:val="00B070D6"/>
    <w:rsid w:val="00B07175"/>
    <w:rsid w:val="00B072D9"/>
    <w:rsid w:val="00B07CC9"/>
    <w:rsid w:val="00B101FA"/>
    <w:rsid w:val="00B104E4"/>
    <w:rsid w:val="00B107D5"/>
    <w:rsid w:val="00B10821"/>
    <w:rsid w:val="00B10B95"/>
    <w:rsid w:val="00B10BB6"/>
    <w:rsid w:val="00B1184A"/>
    <w:rsid w:val="00B11EAB"/>
    <w:rsid w:val="00B11FC7"/>
    <w:rsid w:val="00B12EC3"/>
    <w:rsid w:val="00B12F2C"/>
    <w:rsid w:val="00B138C3"/>
    <w:rsid w:val="00B13BE8"/>
    <w:rsid w:val="00B13D80"/>
    <w:rsid w:val="00B14F3A"/>
    <w:rsid w:val="00B15154"/>
    <w:rsid w:val="00B15596"/>
    <w:rsid w:val="00B15DE3"/>
    <w:rsid w:val="00B15F02"/>
    <w:rsid w:val="00B1688B"/>
    <w:rsid w:val="00B17810"/>
    <w:rsid w:val="00B17A4E"/>
    <w:rsid w:val="00B17DD8"/>
    <w:rsid w:val="00B2062A"/>
    <w:rsid w:val="00B208D0"/>
    <w:rsid w:val="00B209AE"/>
    <w:rsid w:val="00B20B8C"/>
    <w:rsid w:val="00B21086"/>
    <w:rsid w:val="00B2112F"/>
    <w:rsid w:val="00B2141A"/>
    <w:rsid w:val="00B21624"/>
    <w:rsid w:val="00B21FD3"/>
    <w:rsid w:val="00B2279A"/>
    <w:rsid w:val="00B22F5A"/>
    <w:rsid w:val="00B234BC"/>
    <w:rsid w:val="00B23535"/>
    <w:rsid w:val="00B23547"/>
    <w:rsid w:val="00B23C6A"/>
    <w:rsid w:val="00B24531"/>
    <w:rsid w:val="00B245B1"/>
    <w:rsid w:val="00B24A29"/>
    <w:rsid w:val="00B24A8A"/>
    <w:rsid w:val="00B24B70"/>
    <w:rsid w:val="00B256C9"/>
    <w:rsid w:val="00B25809"/>
    <w:rsid w:val="00B25970"/>
    <w:rsid w:val="00B25D94"/>
    <w:rsid w:val="00B25EA9"/>
    <w:rsid w:val="00B25F3D"/>
    <w:rsid w:val="00B26065"/>
    <w:rsid w:val="00B2627A"/>
    <w:rsid w:val="00B26427"/>
    <w:rsid w:val="00B2696B"/>
    <w:rsid w:val="00B272BB"/>
    <w:rsid w:val="00B272FD"/>
    <w:rsid w:val="00B27564"/>
    <w:rsid w:val="00B27B1F"/>
    <w:rsid w:val="00B27BCE"/>
    <w:rsid w:val="00B30003"/>
    <w:rsid w:val="00B30085"/>
    <w:rsid w:val="00B3073E"/>
    <w:rsid w:val="00B308A9"/>
    <w:rsid w:val="00B30CA1"/>
    <w:rsid w:val="00B3100C"/>
    <w:rsid w:val="00B3112A"/>
    <w:rsid w:val="00B31261"/>
    <w:rsid w:val="00B31388"/>
    <w:rsid w:val="00B315BE"/>
    <w:rsid w:val="00B317FF"/>
    <w:rsid w:val="00B3189F"/>
    <w:rsid w:val="00B31AAE"/>
    <w:rsid w:val="00B32438"/>
    <w:rsid w:val="00B324C5"/>
    <w:rsid w:val="00B326A1"/>
    <w:rsid w:val="00B327A1"/>
    <w:rsid w:val="00B328E1"/>
    <w:rsid w:val="00B3297B"/>
    <w:rsid w:val="00B32CFB"/>
    <w:rsid w:val="00B3322E"/>
    <w:rsid w:val="00B33D90"/>
    <w:rsid w:val="00B33EB5"/>
    <w:rsid w:val="00B3495A"/>
    <w:rsid w:val="00B34ED5"/>
    <w:rsid w:val="00B350CB"/>
    <w:rsid w:val="00B3526D"/>
    <w:rsid w:val="00B3540F"/>
    <w:rsid w:val="00B35444"/>
    <w:rsid w:val="00B35CC1"/>
    <w:rsid w:val="00B35E9F"/>
    <w:rsid w:val="00B35F5B"/>
    <w:rsid w:val="00B36143"/>
    <w:rsid w:val="00B3636A"/>
    <w:rsid w:val="00B363BC"/>
    <w:rsid w:val="00B365BF"/>
    <w:rsid w:val="00B36B16"/>
    <w:rsid w:val="00B36C06"/>
    <w:rsid w:val="00B3738A"/>
    <w:rsid w:val="00B374B8"/>
    <w:rsid w:val="00B37E04"/>
    <w:rsid w:val="00B404A4"/>
    <w:rsid w:val="00B40B4E"/>
    <w:rsid w:val="00B40D0F"/>
    <w:rsid w:val="00B40E6E"/>
    <w:rsid w:val="00B41109"/>
    <w:rsid w:val="00B41146"/>
    <w:rsid w:val="00B4124D"/>
    <w:rsid w:val="00B41602"/>
    <w:rsid w:val="00B42DD4"/>
    <w:rsid w:val="00B430E1"/>
    <w:rsid w:val="00B4325F"/>
    <w:rsid w:val="00B433CD"/>
    <w:rsid w:val="00B433FC"/>
    <w:rsid w:val="00B43C62"/>
    <w:rsid w:val="00B43E0F"/>
    <w:rsid w:val="00B44052"/>
    <w:rsid w:val="00B4424B"/>
    <w:rsid w:val="00B44326"/>
    <w:rsid w:val="00B444EE"/>
    <w:rsid w:val="00B44736"/>
    <w:rsid w:val="00B44932"/>
    <w:rsid w:val="00B449FF"/>
    <w:rsid w:val="00B44B77"/>
    <w:rsid w:val="00B44E73"/>
    <w:rsid w:val="00B45221"/>
    <w:rsid w:val="00B4538B"/>
    <w:rsid w:val="00B45732"/>
    <w:rsid w:val="00B461EE"/>
    <w:rsid w:val="00B46448"/>
    <w:rsid w:val="00B46A28"/>
    <w:rsid w:val="00B46B2A"/>
    <w:rsid w:val="00B472F2"/>
    <w:rsid w:val="00B4755B"/>
    <w:rsid w:val="00B47631"/>
    <w:rsid w:val="00B47896"/>
    <w:rsid w:val="00B47DF8"/>
    <w:rsid w:val="00B47EB3"/>
    <w:rsid w:val="00B502D5"/>
    <w:rsid w:val="00B505A5"/>
    <w:rsid w:val="00B505BA"/>
    <w:rsid w:val="00B505D0"/>
    <w:rsid w:val="00B50ADE"/>
    <w:rsid w:val="00B50CEB"/>
    <w:rsid w:val="00B51B0F"/>
    <w:rsid w:val="00B51D35"/>
    <w:rsid w:val="00B52887"/>
    <w:rsid w:val="00B52D2F"/>
    <w:rsid w:val="00B530AC"/>
    <w:rsid w:val="00B532BA"/>
    <w:rsid w:val="00B536B5"/>
    <w:rsid w:val="00B5392A"/>
    <w:rsid w:val="00B53A2E"/>
    <w:rsid w:val="00B53C07"/>
    <w:rsid w:val="00B53CD4"/>
    <w:rsid w:val="00B5425A"/>
    <w:rsid w:val="00B54638"/>
    <w:rsid w:val="00B5474B"/>
    <w:rsid w:val="00B551C9"/>
    <w:rsid w:val="00B55289"/>
    <w:rsid w:val="00B5530D"/>
    <w:rsid w:val="00B55372"/>
    <w:rsid w:val="00B55872"/>
    <w:rsid w:val="00B55EA0"/>
    <w:rsid w:val="00B55F3E"/>
    <w:rsid w:val="00B56269"/>
    <w:rsid w:val="00B56AC1"/>
    <w:rsid w:val="00B56AD0"/>
    <w:rsid w:val="00B56BA6"/>
    <w:rsid w:val="00B56C25"/>
    <w:rsid w:val="00B56E3D"/>
    <w:rsid w:val="00B575DF"/>
    <w:rsid w:val="00B5788E"/>
    <w:rsid w:val="00B57BD0"/>
    <w:rsid w:val="00B57D32"/>
    <w:rsid w:val="00B57DDE"/>
    <w:rsid w:val="00B57FE8"/>
    <w:rsid w:val="00B60157"/>
    <w:rsid w:val="00B60197"/>
    <w:rsid w:val="00B6065C"/>
    <w:rsid w:val="00B60C4E"/>
    <w:rsid w:val="00B6102D"/>
    <w:rsid w:val="00B610BA"/>
    <w:rsid w:val="00B612D5"/>
    <w:rsid w:val="00B612DB"/>
    <w:rsid w:val="00B6148E"/>
    <w:rsid w:val="00B61714"/>
    <w:rsid w:val="00B618E8"/>
    <w:rsid w:val="00B61B3D"/>
    <w:rsid w:val="00B62244"/>
    <w:rsid w:val="00B62683"/>
    <w:rsid w:val="00B62A65"/>
    <w:rsid w:val="00B62B53"/>
    <w:rsid w:val="00B62EE5"/>
    <w:rsid w:val="00B631F2"/>
    <w:rsid w:val="00B63484"/>
    <w:rsid w:val="00B63792"/>
    <w:rsid w:val="00B63D14"/>
    <w:rsid w:val="00B6420F"/>
    <w:rsid w:val="00B646D6"/>
    <w:rsid w:val="00B64977"/>
    <w:rsid w:val="00B64B6F"/>
    <w:rsid w:val="00B64EF3"/>
    <w:rsid w:val="00B65048"/>
    <w:rsid w:val="00B651E5"/>
    <w:rsid w:val="00B65723"/>
    <w:rsid w:val="00B65AF0"/>
    <w:rsid w:val="00B660D9"/>
    <w:rsid w:val="00B669D1"/>
    <w:rsid w:val="00B66A6D"/>
    <w:rsid w:val="00B67BE8"/>
    <w:rsid w:val="00B67D34"/>
    <w:rsid w:val="00B702E7"/>
    <w:rsid w:val="00B70488"/>
    <w:rsid w:val="00B70744"/>
    <w:rsid w:val="00B70B1C"/>
    <w:rsid w:val="00B70BC7"/>
    <w:rsid w:val="00B7135B"/>
    <w:rsid w:val="00B713DA"/>
    <w:rsid w:val="00B71804"/>
    <w:rsid w:val="00B71BDD"/>
    <w:rsid w:val="00B71BE3"/>
    <w:rsid w:val="00B71D31"/>
    <w:rsid w:val="00B72A39"/>
    <w:rsid w:val="00B72B3D"/>
    <w:rsid w:val="00B72E3F"/>
    <w:rsid w:val="00B72F8F"/>
    <w:rsid w:val="00B7329E"/>
    <w:rsid w:val="00B739EE"/>
    <w:rsid w:val="00B73C18"/>
    <w:rsid w:val="00B73D23"/>
    <w:rsid w:val="00B73FC9"/>
    <w:rsid w:val="00B7476D"/>
    <w:rsid w:val="00B748D0"/>
    <w:rsid w:val="00B74FB7"/>
    <w:rsid w:val="00B75AA1"/>
    <w:rsid w:val="00B75CA5"/>
    <w:rsid w:val="00B75CCE"/>
    <w:rsid w:val="00B75EF8"/>
    <w:rsid w:val="00B76056"/>
    <w:rsid w:val="00B76856"/>
    <w:rsid w:val="00B76DA6"/>
    <w:rsid w:val="00B77ADA"/>
    <w:rsid w:val="00B804B8"/>
    <w:rsid w:val="00B80803"/>
    <w:rsid w:val="00B80971"/>
    <w:rsid w:val="00B80A12"/>
    <w:rsid w:val="00B80EF7"/>
    <w:rsid w:val="00B81894"/>
    <w:rsid w:val="00B81A26"/>
    <w:rsid w:val="00B81CF2"/>
    <w:rsid w:val="00B821AF"/>
    <w:rsid w:val="00B82A2E"/>
    <w:rsid w:val="00B82CDE"/>
    <w:rsid w:val="00B82CFE"/>
    <w:rsid w:val="00B82FAB"/>
    <w:rsid w:val="00B83822"/>
    <w:rsid w:val="00B83CF0"/>
    <w:rsid w:val="00B84061"/>
    <w:rsid w:val="00B8415F"/>
    <w:rsid w:val="00B84192"/>
    <w:rsid w:val="00B8466D"/>
    <w:rsid w:val="00B84738"/>
    <w:rsid w:val="00B85D3C"/>
    <w:rsid w:val="00B8608A"/>
    <w:rsid w:val="00B860BD"/>
    <w:rsid w:val="00B862C6"/>
    <w:rsid w:val="00B863E5"/>
    <w:rsid w:val="00B86866"/>
    <w:rsid w:val="00B86E3D"/>
    <w:rsid w:val="00B87A38"/>
    <w:rsid w:val="00B87D7F"/>
    <w:rsid w:val="00B90068"/>
    <w:rsid w:val="00B900DE"/>
    <w:rsid w:val="00B9064C"/>
    <w:rsid w:val="00B9067F"/>
    <w:rsid w:val="00B906BD"/>
    <w:rsid w:val="00B90887"/>
    <w:rsid w:val="00B90A54"/>
    <w:rsid w:val="00B90F03"/>
    <w:rsid w:val="00B9126B"/>
    <w:rsid w:val="00B91B6B"/>
    <w:rsid w:val="00B922F6"/>
    <w:rsid w:val="00B92451"/>
    <w:rsid w:val="00B92C81"/>
    <w:rsid w:val="00B92E7E"/>
    <w:rsid w:val="00B934B9"/>
    <w:rsid w:val="00B93F08"/>
    <w:rsid w:val="00B93FF5"/>
    <w:rsid w:val="00B94395"/>
    <w:rsid w:val="00B94B31"/>
    <w:rsid w:val="00B953BA"/>
    <w:rsid w:val="00B9566F"/>
    <w:rsid w:val="00B95B6E"/>
    <w:rsid w:val="00B95E19"/>
    <w:rsid w:val="00B95E4E"/>
    <w:rsid w:val="00B95F60"/>
    <w:rsid w:val="00B9602C"/>
    <w:rsid w:val="00B9633C"/>
    <w:rsid w:val="00B96610"/>
    <w:rsid w:val="00B966D9"/>
    <w:rsid w:val="00B96DB1"/>
    <w:rsid w:val="00B96EC6"/>
    <w:rsid w:val="00B97054"/>
    <w:rsid w:val="00B9708D"/>
    <w:rsid w:val="00B9731A"/>
    <w:rsid w:val="00B97502"/>
    <w:rsid w:val="00B97EE1"/>
    <w:rsid w:val="00B97F87"/>
    <w:rsid w:val="00BA0285"/>
    <w:rsid w:val="00BA0A08"/>
    <w:rsid w:val="00BA0D6F"/>
    <w:rsid w:val="00BA0FAF"/>
    <w:rsid w:val="00BA13DD"/>
    <w:rsid w:val="00BA1591"/>
    <w:rsid w:val="00BA15BA"/>
    <w:rsid w:val="00BA1BC9"/>
    <w:rsid w:val="00BA1D66"/>
    <w:rsid w:val="00BA1F3D"/>
    <w:rsid w:val="00BA20CC"/>
    <w:rsid w:val="00BA22E6"/>
    <w:rsid w:val="00BA254D"/>
    <w:rsid w:val="00BA25BE"/>
    <w:rsid w:val="00BA295D"/>
    <w:rsid w:val="00BA2A51"/>
    <w:rsid w:val="00BA2EFE"/>
    <w:rsid w:val="00BA3C0E"/>
    <w:rsid w:val="00BA3CC3"/>
    <w:rsid w:val="00BA401D"/>
    <w:rsid w:val="00BA4DE0"/>
    <w:rsid w:val="00BA4EFB"/>
    <w:rsid w:val="00BA4F1A"/>
    <w:rsid w:val="00BA5679"/>
    <w:rsid w:val="00BA5744"/>
    <w:rsid w:val="00BA593D"/>
    <w:rsid w:val="00BA5B61"/>
    <w:rsid w:val="00BA5F83"/>
    <w:rsid w:val="00BA653D"/>
    <w:rsid w:val="00BA72A4"/>
    <w:rsid w:val="00BA7A18"/>
    <w:rsid w:val="00BA7E9F"/>
    <w:rsid w:val="00BA7F59"/>
    <w:rsid w:val="00BB0425"/>
    <w:rsid w:val="00BB0492"/>
    <w:rsid w:val="00BB069C"/>
    <w:rsid w:val="00BB1083"/>
    <w:rsid w:val="00BB115E"/>
    <w:rsid w:val="00BB14AC"/>
    <w:rsid w:val="00BB15D6"/>
    <w:rsid w:val="00BB1C2D"/>
    <w:rsid w:val="00BB1D7C"/>
    <w:rsid w:val="00BB2022"/>
    <w:rsid w:val="00BB226F"/>
    <w:rsid w:val="00BB25C2"/>
    <w:rsid w:val="00BB2C2E"/>
    <w:rsid w:val="00BB33EC"/>
    <w:rsid w:val="00BB3BB3"/>
    <w:rsid w:val="00BB3D7F"/>
    <w:rsid w:val="00BB41E9"/>
    <w:rsid w:val="00BB45FC"/>
    <w:rsid w:val="00BB4887"/>
    <w:rsid w:val="00BB48EC"/>
    <w:rsid w:val="00BB51BB"/>
    <w:rsid w:val="00BB529A"/>
    <w:rsid w:val="00BB533C"/>
    <w:rsid w:val="00BB5696"/>
    <w:rsid w:val="00BB5EE5"/>
    <w:rsid w:val="00BB5EF2"/>
    <w:rsid w:val="00BB619B"/>
    <w:rsid w:val="00BB61FE"/>
    <w:rsid w:val="00BB6504"/>
    <w:rsid w:val="00BB683F"/>
    <w:rsid w:val="00BB7798"/>
    <w:rsid w:val="00BB7914"/>
    <w:rsid w:val="00BB792C"/>
    <w:rsid w:val="00BB7B75"/>
    <w:rsid w:val="00BB7E3C"/>
    <w:rsid w:val="00BB7E44"/>
    <w:rsid w:val="00BC0117"/>
    <w:rsid w:val="00BC0346"/>
    <w:rsid w:val="00BC0384"/>
    <w:rsid w:val="00BC0611"/>
    <w:rsid w:val="00BC085E"/>
    <w:rsid w:val="00BC0C1B"/>
    <w:rsid w:val="00BC0CD9"/>
    <w:rsid w:val="00BC1798"/>
    <w:rsid w:val="00BC1920"/>
    <w:rsid w:val="00BC2691"/>
    <w:rsid w:val="00BC2B04"/>
    <w:rsid w:val="00BC3AD6"/>
    <w:rsid w:val="00BC4906"/>
    <w:rsid w:val="00BC4ACC"/>
    <w:rsid w:val="00BC4DD5"/>
    <w:rsid w:val="00BC512F"/>
    <w:rsid w:val="00BC529A"/>
    <w:rsid w:val="00BC5443"/>
    <w:rsid w:val="00BC54A9"/>
    <w:rsid w:val="00BC56DB"/>
    <w:rsid w:val="00BC57CC"/>
    <w:rsid w:val="00BC5F62"/>
    <w:rsid w:val="00BC67C5"/>
    <w:rsid w:val="00BC68C6"/>
    <w:rsid w:val="00BC6E87"/>
    <w:rsid w:val="00BC6EB5"/>
    <w:rsid w:val="00BC7567"/>
    <w:rsid w:val="00BC7829"/>
    <w:rsid w:val="00BC79C0"/>
    <w:rsid w:val="00BC7A9B"/>
    <w:rsid w:val="00BD0414"/>
    <w:rsid w:val="00BD0753"/>
    <w:rsid w:val="00BD07F3"/>
    <w:rsid w:val="00BD0B66"/>
    <w:rsid w:val="00BD127C"/>
    <w:rsid w:val="00BD14EA"/>
    <w:rsid w:val="00BD1673"/>
    <w:rsid w:val="00BD1F09"/>
    <w:rsid w:val="00BD289A"/>
    <w:rsid w:val="00BD2B41"/>
    <w:rsid w:val="00BD2E4B"/>
    <w:rsid w:val="00BD2E73"/>
    <w:rsid w:val="00BD2F97"/>
    <w:rsid w:val="00BD354C"/>
    <w:rsid w:val="00BD39B4"/>
    <w:rsid w:val="00BD3EA0"/>
    <w:rsid w:val="00BD3FA3"/>
    <w:rsid w:val="00BD4885"/>
    <w:rsid w:val="00BD49AD"/>
    <w:rsid w:val="00BD4A61"/>
    <w:rsid w:val="00BD4CDD"/>
    <w:rsid w:val="00BD516F"/>
    <w:rsid w:val="00BD5452"/>
    <w:rsid w:val="00BD546D"/>
    <w:rsid w:val="00BD5A90"/>
    <w:rsid w:val="00BD5AD3"/>
    <w:rsid w:val="00BD5B5C"/>
    <w:rsid w:val="00BD5CFD"/>
    <w:rsid w:val="00BD603A"/>
    <w:rsid w:val="00BD627A"/>
    <w:rsid w:val="00BD703A"/>
    <w:rsid w:val="00BD7713"/>
    <w:rsid w:val="00BD7D28"/>
    <w:rsid w:val="00BE0131"/>
    <w:rsid w:val="00BE0CBA"/>
    <w:rsid w:val="00BE1D7A"/>
    <w:rsid w:val="00BE1F13"/>
    <w:rsid w:val="00BE20B6"/>
    <w:rsid w:val="00BE23BC"/>
    <w:rsid w:val="00BE266D"/>
    <w:rsid w:val="00BE2699"/>
    <w:rsid w:val="00BE2720"/>
    <w:rsid w:val="00BE29BE"/>
    <w:rsid w:val="00BE3F8C"/>
    <w:rsid w:val="00BE409E"/>
    <w:rsid w:val="00BE484A"/>
    <w:rsid w:val="00BE624E"/>
    <w:rsid w:val="00BE62D7"/>
    <w:rsid w:val="00BE6708"/>
    <w:rsid w:val="00BE689B"/>
    <w:rsid w:val="00BE6BB2"/>
    <w:rsid w:val="00BE6D5E"/>
    <w:rsid w:val="00BE6E41"/>
    <w:rsid w:val="00BE7300"/>
    <w:rsid w:val="00BE7331"/>
    <w:rsid w:val="00BE78E7"/>
    <w:rsid w:val="00BE7EE1"/>
    <w:rsid w:val="00BE7F04"/>
    <w:rsid w:val="00BE7FA7"/>
    <w:rsid w:val="00BF00AC"/>
    <w:rsid w:val="00BF08E0"/>
    <w:rsid w:val="00BF0FDA"/>
    <w:rsid w:val="00BF14E1"/>
    <w:rsid w:val="00BF190E"/>
    <w:rsid w:val="00BF2996"/>
    <w:rsid w:val="00BF2AE6"/>
    <w:rsid w:val="00BF31D5"/>
    <w:rsid w:val="00BF3261"/>
    <w:rsid w:val="00BF3778"/>
    <w:rsid w:val="00BF3961"/>
    <w:rsid w:val="00BF4262"/>
    <w:rsid w:val="00BF4763"/>
    <w:rsid w:val="00BF4F06"/>
    <w:rsid w:val="00BF52D2"/>
    <w:rsid w:val="00BF58CC"/>
    <w:rsid w:val="00BF6CAC"/>
    <w:rsid w:val="00BF7252"/>
    <w:rsid w:val="00BF7416"/>
    <w:rsid w:val="00BF75E9"/>
    <w:rsid w:val="00BF763B"/>
    <w:rsid w:val="00BF77EE"/>
    <w:rsid w:val="00BF7E87"/>
    <w:rsid w:val="00C00166"/>
    <w:rsid w:val="00C001FA"/>
    <w:rsid w:val="00C003C4"/>
    <w:rsid w:val="00C0066C"/>
    <w:rsid w:val="00C00A51"/>
    <w:rsid w:val="00C00B80"/>
    <w:rsid w:val="00C010F4"/>
    <w:rsid w:val="00C011AC"/>
    <w:rsid w:val="00C018EB"/>
    <w:rsid w:val="00C01ADE"/>
    <w:rsid w:val="00C020BD"/>
    <w:rsid w:val="00C0264F"/>
    <w:rsid w:val="00C02884"/>
    <w:rsid w:val="00C02F3F"/>
    <w:rsid w:val="00C0328C"/>
    <w:rsid w:val="00C032AC"/>
    <w:rsid w:val="00C0359A"/>
    <w:rsid w:val="00C03ADB"/>
    <w:rsid w:val="00C03B10"/>
    <w:rsid w:val="00C03B6E"/>
    <w:rsid w:val="00C03CE8"/>
    <w:rsid w:val="00C04499"/>
    <w:rsid w:val="00C054E2"/>
    <w:rsid w:val="00C05A0E"/>
    <w:rsid w:val="00C05B04"/>
    <w:rsid w:val="00C05DAD"/>
    <w:rsid w:val="00C0622F"/>
    <w:rsid w:val="00C06CC0"/>
    <w:rsid w:val="00C06D74"/>
    <w:rsid w:val="00C07622"/>
    <w:rsid w:val="00C07742"/>
    <w:rsid w:val="00C10070"/>
    <w:rsid w:val="00C10A7F"/>
    <w:rsid w:val="00C10F0E"/>
    <w:rsid w:val="00C112CF"/>
    <w:rsid w:val="00C1174E"/>
    <w:rsid w:val="00C1195D"/>
    <w:rsid w:val="00C11DE9"/>
    <w:rsid w:val="00C1207D"/>
    <w:rsid w:val="00C121A7"/>
    <w:rsid w:val="00C12218"/>
    <w:rsid w:val="00C122FF"/>
    <w:rsid w:val="00C12939"/>
    <w:rsid w:val="00C12A03"/>
    <w:rsid w:val="00C13174"/>
    <w:rsid w:val="00C135CB"/>
    <w:rsid w:val="00C13D10"/>
    <w:rsid w:val="00C14882"/>
    <w:rsid w:val="00C14895"/>
    <w:rsid w:val="00C14961"/>
    <w:rsid w:val="00C14BCC"/>
    <w:rsid w:val="00C14DCC"/>
    <w:rsid w:val="00C14E54"/>
    <w:rsid w:val="00C1533C"/>
    <w:rsid w:val="00C15515"/>
    <w:rsid w:val="00C1562C"/>
    <w:rsid w:val="00C15AB6"/>
    <w:rsid w:val="00C15B44"/>
    <w:rsid w:val="00C15BA7"/>
    <w:rsid w:val="00C15EF4"/>
    <w:rsid w:val="00C16916"/>
    <w:rsid w:val="00C16976"/>
    <w:rsid w:val="00C16C4D"/>
    <w:rsid w:val="00C17158"/>
    <w:rsid w:val="00C17A28"/>
    <w:rsid w:val="00C17C8B"/>
    <w:rsid w:val="00C17D6B"/>
    <w:rsid w:val="00C20517"/>
    <w:rsid w:val="00C207E9"/>
    <w:rsid w:val="00C210D4"/>
    <w:rsid w:val="00C213E6"/>
    <w:rsid w:val="00C219CA"/>
    <w:rsid w:val="00C21B07"/>
    <w:rsid w:val="00C21D11"/>
    <w:rsid w:val="00C21F03"/>
    <w:rsid w:val="00C2241E"/>
    <w:rsid w:val="00C22835"/>
    <w:rsid w:val="00C22A46"/>
    <w:rsid w:val="00C22ACA"/>
    <w:rsid w:val="00C22F1F"/>
    <w:rsid w:val="00C23998"/>
    <w:rsid w:val="00C23D0C"/>
    <w:rsid w:val="00C23D12"/>
    <w:rsid w:val="00C24221"/>
    <w:rsid w:val="00C248A4"/>
    <w:rsid w:val="00C24E74"/>
    <w:rsid w:val="00C24FA4"/>
    <w:rsid w:val="00C2503C"/>
    <w:rsid w:val="00C256AD"/>
    <w:rsid w:val="00C256E2"/>
    <w:rsid w:val="00C257C3"/>
    <w:rsid w:val="00C25917"/>
    <w:rsid w:val="00C25D11"/>
    <w:rsid w:val="00C25EA9"/>
    <w:rsid w:val="00C2600D"/>
    <w:rsid w:val="00C26741"/>
    <w:rsid w:val="00C26838"/>
    <w:rsid w:val="00C26907"/>
    <w:rsid w:val="00C26B7B"/>
    <w:rsid w:val="00C26DA8"/>
    <w:rsid w:val="00C276E2"/>
    <w:rsid w:val="00C278BB"/>
    <w:rsid w:val="00C27BE9"/>
    <w:rsid w:val="00C302C5"/>
    <w:rsid w:val="00C30B56"/>
    <w:rsid w:val="00C31483"/>
    <w:rsid w:val="00C32100"/>
    <w:rsid w:val="00C32210"/>
    <w:rsid w:val="00C323B2"/>
    <w:rsid w:val="00C32E82"/>
    <w:rsid w:val="00C33392"/>
    <w:rsid w:val="00C3368B"/>
    <w:rsid w:val="00C33DC6"/>
    <w:rsid w:val="00C33EC0"/>
    <w:rsid w:val="00C340E3"/>
    <w:rsid w:val="00C34855"/>
    <w:rsid w:val="00C34B83"/>
    <w:rsid w:val="00C353EE"/>
    <w:rsid w:val="00C35DF2"/>
    <w:rsid w:val="00C35E70"/>
    <w:rsid w:val="00C35F4B"/>
    <w:rsid w:val="00C3639D"/>
    <w:rsid w:val="00C36899"/>
    <w:rsid w:val="00C37511"/>
    <w:rsid w:val="00C375F8"/>
    <w:rsid w:val="00C37CE2"/>
    <w:rsid w:val="00C40111"/>
    <w:rsid w:val="00C40476"/>
    <w:rsid w:val="00C40E9B"/>
    <w:rsid w:val="00C413E6"/>
    <w:rsid w:val="00C41E2F"/>
    <w:rsid w:val="00C41F44"/>
    <w:rsid w:val="00C42729"/>
    <w:rsid w:val="00C42A75"/>
    <w:rsid w:val="00C42BCE"/>
    <w:rsid w:val="00C42E5F"/>
    <w:rsid w:val="00C42EA5"/>
    <w:rsid w:val="00C42F39"/>
    <w:rsid w:val="00C4321C"/>
    <w:rsid w:val="00C43F08"/>
    <w:rsid w:val="00C44C21"/>
    <w:rsid w:val="00C45049"/>
    <w:rsid w:val="00C4512B"/>
    <w:rsid w:val="00C45200"/>
    <w:rsid w:val="00C452AA"/>
    <w:rsid w:val="00C4550C"/>
    <w:rsid w:val="00C458AA"/>
    <w:rsid w:val="00C45B7E"/>
    <w:rsid w:val="00C45C77"/>
    <w:rsid w:val="00C45D12"/>
    <w:rsid w:val="00C468B9"/>
    <w:rsid w:val="00C46ADE"/>
    <w:rsid w:val="00C4702E"/>
    <w:rsid w:val="00C471EF"/>
    <w:rsid w:val="00C472DC"/>
    <w:rsid w:val="00C4776F"/>
    <w:rsid w:val="00C478AF"/>
    <w:rsid w:val="00C47961"/>
    <w:rsid w:val="00C505A7"/>
    <w:rsid w:val="00C50D10"/>
    <w:rsid w:val="00C50D82"/>
    <w:rsid w:val="00C512D3"/>
    <w:rsid w:val="00C52054"/>
    <w:rsid w:val="00C528EF"/>
    <w:rsid w:val="00C53076"/>
    <w:rsid w:val="00C5339D"/>
    <w:rsid w:val="00C5377B"/>
    <w:rsid w:val="00C537D2"/>
    <w:rsid w:val="00C5392D"/>
    <w:rsid w:val="00C541EE"/>
    <w:rsid w:val="00C54572"/>
    <w:rsid w:val="00C54CD0"/>
    <w:rsid w:val="00C55FCB"/>
    <w:rsid w:val="00C56519"/>
    <w:rsid w:val="00C56DD0"/>
    <w:rsid w:val="00C57313"/>
    <w:rsid w:val="00C608B7"/>
    <w:rsid w:val="00C60DA5"/>
    <w:rsid w:val="00C61323"/>
    <w:rsid w:val="00C61F59"/>
    <w:rsid w:val="00C62A2F"/>
    <w:rsid w:val="00C62A81"/>
    <w:rsid w:val="00C62BB7"/>
    <w:rsid w:val="00C62BEB"/>
    <w:rsid w:val="00C62C9D"/>
    <w:rsid w:val="00C638AF"/>
    <w:rsid w:val="00C63A5C"/>
    <w:rsid w:val="00C63C85"/>
    <w:rsid w:val="00C63CB1"/>
    <w:rsid w:val="00C64039"/>
    <w:rsid w:val="00C64077"/>
    <w:rsid w:val="00C64083"/>
    <w:rsid w:val="00C646DA"/>
    <w:rsid w:val="00C64A66"/>
    <w:rsid w:val="00C64FE3"/>
    <w:rsid w:val="00C6515A"/>
    <w:rsid w:val="00C6574E"/>
    <w:rsid w:val="00C65998"/>
    <w:rsid w:val="00C65A9D"/>
    <w:rsid w:val="00C65B11"/>
    <w:rsid w:val="00C65D3A"/>
    <w:rsid w:val="00C65EE5"/>
    <w:rsid w:val="00C660C7"/>
    <w:rsid w:val="00C66660"/>
    <w:rsid w:val="00C66978"/>
    <w:rsid w:val="00C669BC"/>
    <w:rsid w:val="00C66A1D"/>
    <w:rsid w:val="00C676B9"/>
    <w:rsid w:val="00C677B3"/>
    <w:rsid w:val="00C6797B"/>
    <w:rsid w:val="00C67ED2"/>
    <w:rsid w:val="00C70264"/>
    <w:rsid w:val="00C70751"/>
    <w:rsid w:val="00C70C44"/>
    <w:rsid w:val="00C71200"/>
    <w:rsid w:val="00C71D71"/>
    <w:rsid w:val="00C71E26"/>
    <w:rsid w:val="00C71F15"/>
    <w:rsid w:val="00C722DD"/>
    <w:rsid w:val="00C725BB"/>
    <w:rsid w:val="00C72685"/>
    <w:rsid w:val="00C72B93"/>
    <w:rsid w:val="00C72BD1"/>
    <w:rsid w:val="00C72D46"/>
    <w:rsid w:val="00C72DF9"/>
    <w:rsid w:val="00C72FE9"/>
    <w:rsid w:val="00C73961"/>
    <w:rsid w:val="00C74167"/>
    <w:rsid w:val="00C750F1"/>
    <w:rsid w:val="00C75411"/>
    <w:rsid w:val="00C7555D"/>
    <w:rsid w:val="00C75DD0"/>
    <w:rsid w:val="00C75E11"/>
    <w:rsid w:val="00C769F7"/>
    <w:rsid w:val="00C76BCE"/>
    <w:rsid w:val="00C76C17"/>
    <w:rsid w:val="00C76C35"/>
    <w:rsid w:val="00C76C57"/>
    <w:rsid w:val="00C7700A"/>
    <w:rsid w:val="00C773C3"/>
    <w:rsid w:val="00C77424"/>
    <w:rsid w:val="00C7763A"/>
    <w:rsid w:val="00C77858"/>
    <w:rsid w:val="00C77F31"/>
    <w:rsid w:val="00C803BB"/>
    <w:rsid w:val="00C803FC"/>
    <w:rsid w:val="00C80E9D"/>
    <w:rsid w:val="00C81408"/>
    <w:rsid w:val="00C81E39"/>
    <w:rsid w:val="00C82584"/>
    <w:rsid w:val="00C82C8E"/>
    <w:rsid w:val="00C8397C"/>
    <w:rsid w:val="00C83C4B"/>
    <w:rsid w:val="00C83C95"/>
    <w:rsid w:val="00C8400E"/>
    <w:rsid w:val="00C848B8"/>
    <w:rsid w:val="00C84CF0"/>
    <w:rsid w:val="00C84F6C"/>
    <w:rsid w:val="00C85470"/>
    <w:rsid w:val="00C85528"/>
    <w:rsid w:val="00C857DA"/>
    <w:rsid w:val="00C85BBA"/>
    <w:rsid w:val="00C85D65"/>
    <w:rsid w:val="00C861DD"/>
    <w:rsid w:val="00C86784"/>
    <w:rsid w:val="00C867A4"/>
    <w:rsid w:val="00C86FEF"/>
    <w:rsid w:val="00C87581"/>
    <w:rsid w:val="00C8783B"/>
    <w:rsid w:val="00C87A7F"/>
    <w:rsid w:val="00C9096C"/>
    <w:rsid w:val="00C90CB6"/>
    <w:rsid w:val="00C90CEB"/>
    <w:rsid w:val="00C91185"/>
    <w:rsid w:val="00C9120C"/>
    <w:rsid w:val="00C91C1D"/>
    <w:rsid w:val="00C9200F"/>
    <w:rsid w:val="00C920AC"/>
    <w:rsid w:val="00C9272F"/>
    <w:rsid w:val="00C92738"/>
    <w:rsid w:val="00C9298C"/>
    <w:rsid w:val="00C9326F"/>
    <w:rsid w:val="00C935B6"/>
    <w:rsid w:val="00C936FF"/>
    <w:rsid w:val="00C9387E"/>
    <w:rsid w:val="00C93993"/>
    <w:rsid w:val="00C93AC6"/>
    <w:rsid w:val="00C93B5D"/>
    <w:rsid w:val="00C93FD1"/>
    <w:rsid w:val="00C940AC"/>
    <w:rsid w:val="00C94AF0"/>
    <w:rsid w:val="00C952E5"/>
    <w:rsid w:val="00C95344"/>
    <w:rsid w:val="00C9578C"/>
    <w:rsid w:val="00C95CE1"/>
    <w:rsid w:val="00C95F16"/>
    <w:rsid w:val="00C96117"/>
    <w:rsid w:val="00C9673B"/>
    <w:rsid w:val="00C96821"/>
    <w:rsid w:val="00C96957"/>
    <w:rsid w:val="00C97644"/>
    <w:rsid w:val="00CA027B"/>
    <w:rsid w:val="00CA02DE"/>
    <w:rsid w:val="00CA100E"/>
    <w:rsid w:val="00CA1639"/>
    <w:rsid w:val="00CA1D60"/>
    <w:rsid w:val="00CA23EA"/>
    <w:rsid w:val="00CA25BE"/>
    <w:rsid w:val="00CA2B9C"/>
    <w:rsid w:val="00CA2C42"/>
    <w:rsid w:val="00CA2F5E"/>
    <w:rsid w:val="00CA3289"/>
    <w:rsid w:val="00CA3824"/>
    <w:rsid w:val="00CA4369"/>
    <w:rsid w:val="00CA4FD1"/>
    <w:rsid w:val="00CA507E"/>
    <w:rsid w:val="00CA53F6"/>
    <w:rsid w:val="00CA5784"/>
    <w:rsid w:val="00CA5CB3"/>
    <w:rsid w:val="00CA5CBD"/>
    <w:rsid w:val="00CA625C"/>
    <w:rsid w:val="00CA64A5"/>
    <w:rsid w:val="00CA655F"/>
    <w:rsid w:val="00CA6B38"/>
    <w:rsid w:val="00CA7113"/>
    <w:rsid w:val="00CA71F3"/>
    <w:rsid w:val="00CA7DEF"/>
    <w:rsid w:val="00CA7F95"/>
    <w:rsid w:val="00CB00E6"/>
    <w:rsid w:val="00CB029C"/>
    <w:rsid w:val="00CB1AD3"/>
    <w:rsid w:val="00CB1C4A"/>
    <w:rsid w:val="00CB1F15"/>
    <w:rsid w:val="00CB23DA"/>
    <w:rsid w:val="00CB27AD"/>
    <w:rsid w:val="00CB296B"/>
    <w:rsid w:val="00CB29B9"/>
    <w:rsid w:val="00CB332C"/>
    <w:rsid w:val="00CB39D3"/>
    <w:rsid w:val="00CB3B16"/>
    <w:rsid w:val="00CB45C0"/>
    <w:rsid w:val="00CB464E"/>
    <w:rsid w:val="00CB4BA2"/>
    <w:rsid w:val="00CB54F8"/>
    <w:rsid w:val="00CB5540"/>
    <w:rsid w:val="00CB568E"/>
    <w:rsid w:val="00CB581D"/>
    <w:rsid w:val="00CB6064"/>
    <w:rsid w:val="00CB61B1"/>
    <w:rsid w:val="00CB637C"/>
    <w:rsid w:val="00CB6768"/>
    <w:rsid w:val="00CB6A80"/>
    <w:rsid w:val="00CB6F1C"/>
    <w:rsid w:val="00CB7B7F"/>
    <w:rsid w:val="00CC1612"/>
    <w:rsid w:val="00CC1915"/>
    <w:rsid w:val="00CC27E0"/>
    <w:rsid w:val="00CC2A85"/>
    <w:rsid w:val="00CC2B12"/>
    <w:rsid w:val="00CC2B50"/>
    <w:rsid w:val="00CC2D46"/>
    <w:rsid w:val="00CC302F"/>
    <w:rsid w:val="00CC3201"/>
    <w:rsid w:val="00CC438B"/>
    <w:rsid w:val="00CC5104"/>
    <w:rsid w:val="00CC5392"/>
    <w:rsid w:val="00CC564A"/>
    <w:rsid w:val="00CC5A40"/>
    <w:rsid w:val="00CC61D3"/>
    <w:rsid w:val="00CC703F"/>
    <w:rsid w:val="00CC70AD"/>
    <w:rsid w:val="00CC7729"/>
    <w:rsid w:val="00CC7791"/>
    <w:rsid w:val="00CC7938"/>
    <w:rsid w:val="00CC7B78"/>
    <w:rsid w:val="00CD0DCA"/>
    <w:rsid w:val="00CD0E63"/>
    <w:rsid w:val="00CD1400"/>
    <w:rsid w:val="00CD185B"/>
    <w:rsid w:val="00CD18C5"/>
    <w:rsid w:val="00CD238B"/>
    <w:rsid w:val="00CD2D8C"/>
    <w:rsid w:val="00CD3757"/>
    <w:rsid w:val="00CD3B7E"/>
    <w:rsid w:val="00CD3E87"/>
    <w:rsid w:val="00CD4523"/>
    <w:rsid w:val="00CD45F3"/>
    <w:rsid w:val="00CD5023"/>
    <w:rsid w:val="00CD521C"/>
    <w:rsid w:val="00CD584D"/>
    <w:rsid w:val="00CD5D9F"/>
    <w:rsid w:val="00CD63C5"/>
    <w:rsid w:val="00CD73D6"/>
    <w:rsid w:val="00CD7703"/>
    <w:rsid w:val="00CD7FD1"/>
    <w:rsid w:val="00CE0A88"/>
    <w:rsid w:val="00CE308D"/>
    <w:rsid w:val="00CE3414"/>
    <w:rsid w:val="00CE3488"/>
    <w:rsid w:val="00CE3A6E"/>
    <w:rsid w:val="00CE3FD7"/>
    <w:rsid w:val="00CE4476"/>
    <w:rsid w:val="00CE47A6"/>
    <w:rsid w:val="00CE4BF8"/>
    <w:rsid w:val="00CE4F7A"/>
    <w:rsid w:val="00CE4FFD"/>
    <w:rsid w:val="00CE53E2"/>
    <w:rsid w:val="00CE5AAA"/>
    <w:rsid w:val="00CE5C4C"/>
    <w:rsid w:val="00CE5E9D"/>
    <w:rsid w:val="00CE5F8D"/>
    <w:rsid w:val="00CE6B29"/>
    <w:rsid w:val="00CE6CE3"/>
    <w:rsid w:val="00CE7267"/>
    <w:rsid w:val="00CE73B9"/>
    <w:rsid w:val="00CE73C7"/>
    <w:rsid w:val="00CE78EE"/>
    <w:rsid w:val="00CF0B63"/>
    <w:rsid w:val="00CF0E50"/>
    <w:rsid w:val="00CF16E2"/>
    <w:rsid w:val="00CF17E9"/>
    <w:rsid w:val="00CF18A6"/>
    <w:rsid w:val="00CF1A35"/>
    <w:rsid w:val="00CF1AB3"/>
    <w:rsid w:val="00CF1EBD"/>
    <w:rsid w:val="00CF208F"/>
    <w:rsid w:val="00CF29FB"/>
    <w:rsid w:val="00CF2CA5"/>
    <w:rsid w:val="00CF2E85"/>
    <w:rsid w:val="00CF2EF1"/>
    <w:rsid w:val="00CF385D"/>
    <w:rsid w:val="00CF447C"/>
    <w:rsid w:val="00CF4859"/>
    <w:rsid w:val="00CF4A36"/>
    <w:rsid w:val="00CF4C8B"/>
    <w:rsid w:val="00CF52A9"/>
    <w:rsid w:val="00CF561A"/>
    <w:rsid w:val="00CF5760"/>
    <w:rsid w:val="00CF58E8"/>
    <w:rsid w:val="00CF5D90"/>
    <w:rsid w:val="00CF5DFB"/>
    <w:rsid w:val="00CF5E7A"/>
    <w:rsid w:val="00CF6EEA"/>
    <w:rsid w:val="00CF791E"/>
    <w:rsid w:val="00CF7B4B"/>
    <w:rsid w:val="00CF7FC1"/>
    <w:rsid w:val="00D00813"/>
    <w:rsid w:val="00D00977"/>
    <w:rsid w:val="00D00AE6"/>
    <w:rsid w:val="00D00C88"/>
    <w:rsid w:val="00D00CCE"/>
    <w:rsid w:val="00D00D49"/>
    <w:rsid w:val="00D00E25"/>
    <w:rsid w:val="00D017D4"/>
    <w:rsid w:val="00D01E09"/>
    <w:rsid w:val="00D01F64"/>
    <w:rsid w:val="00D02251"/>
    <w:rsid w:val="00D022F4"/>
    <w:rsid w:val="00D0237B"/>
    <w:rsid w:val="00D02B2F"/>
    <w:rsid w:val="00D0364D"/>
    <w:rsid w:val="00D03991"/>
    <w:rsid w:val="00D03C7A"/>
    <w:rsid w:val="00D040DB"/>
    <w:rsid w:val="00D0423F"/>
    <w:rsid w:val="00D043BC"/>
    <w:rsid w:val="00D04CD5"/>
    <w:rsid w:val="00D050AB"/>
    <w:rsid w:val="00D051F1"/>
    <w:rsid w:val="00D0546A"/>
    <w:rsid w:val="00D05659"/>
    <w:rsid w:val="00D05B9A"/>
    <w:rsid w:val="00D0650D"/>
    <w:rsid w:val="00D06888"/>
    <w:rsid w:val="00D07748"/>
    <w:rsid w:val="00D078C2"/>
    <w:rsid w:val="00D106E0"/>
    <w:rsid w:val="00D10763"/>
    <w:rsid w:val="00D1077C"/>
    <w:rsid w:val="00D11695"/>
    <w:rsid w:val="00D116CD"/>
    <w:rsid w:val="00D11E2B"/>
    <w:rsid w:val="00D11F3A"/>
    <w:rsid w:val="00D1200B"/>
    <w:rsid w:val="00D12206"/>
    <w:rsid w:val="00D130ED"/>
    <w:rsid w:val="00D1366C"/>
    <w:rsid w:val="00D14831"/>
    <w:rsid w:val="00D14C18"/>
    <w:rsid w:val="00D15162"/>
    <w:rsid w:val="00D15199"/>
    <w:rsid w:val="00D1544A"/>
    <w:rsid w:val="00D15456"/>
    <w:rsid w:val="00D15DA7"/>
    <w:rsid w:val="00D160E0"/>
    <w:rsid w:val="00D16228"/>
    <w:rsid w:val="00D16ABF"/>
    <w:rsid w:val="00D16B76"/>
    <w:rsid w:val="00D16CCB"/>
    <w:rsid w:val="00D16E31"/>
    <w:rsid w:val="00D16F5D"/>
    <w:rsid w:val="00D175AB"/>
    <w:rsid w:val="00D17806"/>
    <w:rsid w:val="00D17A0D"/>
    <w:rsid w:val="00D202E9"/>
    <w:rsid w:val="00D20500"/>
    <w:rsid w:val="00D21505"/>
    <w:rsid w:val="00D216D7"/>
    <w:rsid w:val="00D216EE"/>
    <w:rsid w:val="00D21F46"/>
    <w:rsid w:val="00D22359"/>
    <w:rsid w:val="00D225B7"/>
    <w:rsid w:val="00D2287D"/>
    <w:rsid w:val="00D23196"/>
    <w:rsid w:val="00D23C1B"/>
    <w:rsid w:val="00D23CCC"/>
    <w:rsid w:val="00D23EB6"/>
    <w:rsid w:val="00D25109"/>
    <w:rsid w:val="00D25B01"/>
    <w:rsid w:val="00D26098"/>
    <w:rsid w:val="00D26563"/>
    <w:rsid w:val="00D26810"/>
    <w:rsid w:val="00D26A80"/>
    <w:rsid w:val="00D27648"/>
    <w:rsid w:val="00D27890"/>
    <w:rsid w:val="00D27B7D"/>
    <w:rsid w:val="00D27BBA"/>
    <w:rsid w:val="00D27CBA"/>
    <w:rsid w:val="00D27FFE"/>
    <w:rsid w:val="00D304C5"/>
    <w:rsid w:val="00D3078D"/>
    <w:rsid w:val="00D3086D"/>
    <w:rsid w:val="00D30F60"/>
    <w:rsid w:val="00D315BA"/>
    <w:rsid w:val="00D31998"/>
    <w:rsid w:val="00D31ADE"/>
    <w:rsid w:val="00D32918"/>
    <w:rsid w:val="00D32B75"/>
    <w:rsid w:val="00D33E9F"/>
    <w:rsid w:val="00D343DF"/>
    <w:rsid w:val="00D34513"/>
    <w:rsid w:val="00D34800"/>
    <w:rsid w:val="00D3499D"/>
    <w:rsid w:val="00D34D25"/>
    <w:rsid w:val="00D34F29"/>
    <w:rsid w:val="00D34F76"/>
    <w:rsid w:val="00D353BB"/>
    <w:rsid w:val="00D353DB"/>
    <w:rsid w:val="00D359BC"/>
    <w:rsid w:val="00D35BC0"/>
    <w:rsid w:val="00D35C36"/>
    <w:rsid w:val="00D36905"/>
    <w:rsid w:val="00D37555"/>
    <w:rsid w:val="00D375F0"/>
    <w:rsid w:val="00D37BBF"/>
    <w:rsid w:val="00D37C58"/>
    <w:rsid w:val="00D37DB8"/>
    <w:rsid w:val="00D37E42"/>
    <w:rsid w:val="00D37E63"/>
    <w:rsid w:val="00D37FF9"/>
    <w:rsid w:val="00D40C69"/>
    <w:rsid w:val="00D41A20"/>
    <w:rsid w:val="00D41D1F"/>
    <w:rsid w:val="00D4232F"/>
    <w:rsid w:val="00D427EF"/>
    <w:rsid w:val="00D4317E"/>
    <w:rsid w:val="00D43607"/>
    <w:rsid w:val="00D4368B"/>
    <w:rsid w:val="00D44556"/>
    <w:rsid w:val="00D449DB"/>
    <w:rsid w:val="00D44B5A"/>
    <w:rsid w:val="00D44DC9"/>
    <w:rsid w:val="00D44E0F"/>
    <w:rsid w:val="00D4539B"/>
    <w:rsid w:val="00D4592C"/>
    <w:rsid w:val="00D45BB0"/>
    <w:rsid w:val="00D4661F"/>
    <w:rsid w:val="00D4675A"/>
    <w:rsid w:val="00D46797"/>
    <w:rsid w:val="00D4692E"/>
    <w:rsid w:val="00D477CB"/>
    <w:rsid w:val="00D478D8"/>
    <w:rsid w:val="00D500F5"/>
    <w:rsid w:val="00D502FF"/>
    <w:rsid w:val="00D506AB"/>
    <w:rsid w:val="00D506F6"/>
    <w:rsid w:val="00D50B33"/>
    <w:rsid w:val="00D50E6C"/>
    <w:rsid w:val="00D51A98"/>
    <w:rsid w:val="00D51B02"/>
    <w:rsid w:val="00D5207A"/>
    <w:rsid w:val="00D52689"/>
    <w:rsid w:val="00D52894"/>
    <w:rsid w:val="00D52C54"/>
    <w:rsid w:val="00D535E9"/>
    <w:rsid w:val="00D539E4"/>
    <w:rsid w:val="00D53FC7"/>
    <w:rsid w:val="00D543EB"/>
    <w:rsid w:val="00D548E8"/>
    <w:rsid w:val="00D54B0E"/>
    <w:rsid w:val="00D54B66"/>
    <w:rsid w:val="00D5503F"/>
    <w:rsid w:val="00D552E0"/>
    <w:rsid w:val="00D552E4"/>
    <w:rsid w:val="00D553A8"/>
    <w:rsid w:val="00D556E3"/>
    <w:rsid w:val="00D55D3C"/>
    <w:rsid w:val="00D5644A"/>
    <w:rsid w:val="00D5656D"/>
    <w:rsid w:val="00D56862"/>
    <w:rsid w:val="00D56B33"/>
    <w:rsid w:val="00D56E2A"/>
    <w:rsid w:val="00D6010E"/>
    <w:rsid w:val="00D60881"/>
    <w:rsid w:val="00D60C78"/>
    <w:rsid w:val="00D6118D"/>
    <w:rsid w:val="00D6125E"/>
    <w:rsid w:val="00D614F7"/>
    <w:rsid w:val="00D61CAE"/>
    <w:rsid w:val="00D61DD4"/>
    <w:rsid w:val="00D6234D"/>
    <w:rsid w:val="00D624AE"/>
    <w:rsid w:val="00D63BBF"/>
    <w:rsid w:val="00D6425A"/>
    <w:rsid w:val="00D64FBF"/>
    <w:rsid w:val="00D65672"/>
    <w:rsid w:val="00D66172"/>
    <w:rsid w:val="00D6661F"/>
    <w:rsid w:val="00D6685C"/>
    <w:rsid w:val="00D66AE8"/>
    <w:rsid w:val="00D66BE3"/>
    <w:rsid w:val="00D66C93"/>
    <w:rsid w:val="00D66D40"/>
    <w:rsid w:val="00D66DC2"/>
    <w:rsid w:val="00D6756E"/>
    <w:rsid w:val="00D677A6"/>
    <w:rsid w:val="00D678E6"/>
    <w:rsid w:val="00D67BA0"/>
    <w:rsid w:val="00D67EEA"/>
    <w:rsid w:val="00D67F9E"/>
    <w:rsid w:val="00D700D8"/>
    <w:rsid w:val="00D703E9"/>
    <w:rsid w:val="00D70C82"/>
    <w:rsid w:val="00D70FE5"/>
    <w:rsid w:val="00D713EB"/>
    <w:rsid w:val="00D7149A"/>
    <w:rsid w:val="00D718B1"/>
    <w:rsid w:val="00D71C14"/>
    <w:rsid w:val="00D72B7C"/>
    <w:rsid w:val="00D72D3F"/>
    <w:rsid w:val="00D733C1"/>
    <w:rsid w:val="00D7374C"/>
    <w:rsid w:val="00D737E6"/>
    <w:rsid w:val="00D73F6B"/>
    <w:rsid w:val="00D7441F"/>
    <w:rsid w:val="00D7479B"/>
    <w:rsid w:val="00D74E18"/>
    <w:rsid w:val="00D75FB2"/>
    <w:rsid w:val="00D7602B"/>
    <w:rsid w:val="00D767C0"/>
    <w:rsid w:val="00D778B1"/>
    <w:rsid w:val="00D77B7A"/>
    <w:rsid w:val="00D77CDD"/>
    <w:rsid w:val="00D804CF"/>
    <w:rsid w:val="00D80793"/>
    <w:rsid w:val="00D809B9"/>
    <w:rsid w:val="00D80A52"/>
    <w:rsid w:val="00D80C19"/>
    <w:rsid w:val="00D80F3D"/>
    <w:rsid w:val="00D80FCE"/>
    <w:rsid w:val="00D8103D"/>
    <w:rsid w:val="00D8150B"/>
    <w:rsid w:val="00D81B61"/>
    <w:rsid w:val="00D81B71"/>
    <w:rsid w:val="00D82064"/>
    <w:rsid w:val="00D8242D"/>
    <w:rsid w:val="00D82867"/>
    <w:rsid w:val="00D82B42"/>
    <w:rsid w:val="00D82E79"/>
    <w:rsid w:val="00D830F5"/>
    <w:rsid w:val="00D832AA"/>
    <w:rsid w:val="00D83614"/>
    <w:rsid w:val="00D85197"/>
    <w:rsid w:val="00D85658"/>
    <w:rsid w:val="00D85CAF"/>
    <w:rsid w:val="00D860E2"/>
    <w:rsid w:val="00D861B6"/>
    <w:rsid w:val="00D861E5"/>
    <w:rsid w:val="00D86317"/>
    <w:rsid w:val="00D8663A"/>
    <w:rsid w:val="00D86EA2"/>
    <w:rsid w:val="00D877EE"/>
    <w:rsid w:val="00D878A5"/>
    <w:rsid w:val="00D87B83"/>
    <w:rsid w:val="00D9020D"/>
    <w:rsid w:val="00D903C9"/>
    <w:rsid w:val="00D90F3C"/>
    <w:rsid w:val="00D91253"/>
    <w:rsid w:val="00D91323"/>
    <w:rsid w:val="00D91D85"/>
    <w:rsid w:val="00D91ED6"/>
    <w:rsid w:val="00D921A5"/>
    <w:rsid w:val="00D93225"/>
    <w:rsid w:val="00D93A19"/>
    <w:rsid w:val="00D93D38"/>
    <w:rsid w:val="00D93DDD"/>
    <w:rsid w:val="00D94388"/>
    <w:rsid w:val="00D94558"/>
    <w:rsid w:val="00D94628"/>
    <w:rsid w:val="00D94960"/>
    <w:rsid w:val="00D94FA0"/>
    <w:rsid w:val="00D95692"/>
    <w:rsid w:val="00D9597B"/>
    <w:rsid w:val="00D95C05"/>
    <w:rsid w:val="00D95E28"/>
    <w:rsid w:val="00D95FEA"/>
    <w:rsid w:val="00D960E5"/>
    <w:rsid w:val="00D963EA"/>
    <w:rsid w:val="00D963ED"/>
    <w:rsid w:val="00D9662E"/>
    <w:rsid w:val="00D966D8"/>
    <w:rsid w:val="00D967AE"/>
    <w:rsid w:val="00D967EE"/>
    <w:rsid w:val="00D96949"/>
    <w:rsid w:val="00D96A86"/>
    <w:rsid w:val="00D96DB9"/>
    <w:rsid w:val="00D970EB"/>
    <w:rsid w:val="00D97193"/>
    <w:rsid w:val="00D976B6"/>
    <w:rsid w:val="00D97A26"/>
    <w:rsid w:val="00DA013A"/>
    <w:rsid w:val="00DA08BC"/>
    <w:rsid w:val="00DA0EC4"/>
    <w:rsid w:val="00DA10E0"/>
    <w:rsid w:val="00DA12EA"/>
    <w:rsid w:val="00DA163D"/>
    <w:rsid w:val="00DA1E6F"/>
    <w:rsid w:val="00DA20EE"/>
    <w:rsid w:val="00DA20F3"/>
    <w:rsid w:val="00DA2D8B"/>
    <w:rsid w:val="00DA2F46"/>
    <w:rsid w:val="00DA3618"/>
    <w:rsid w:val="00DA3E2F"/>
    <w:rsid w:val="00DA3FB6"/>
    <w:rsid w:val="00DA419F"/>
    <w:rsid w:val="00DA4702"/>
    <w:rsid w:val="00DA4B29"/>
    <w:rsid w:val="00DA51E4"/>
    <w:rsid w:val="00DA566A"/>
    <w:rsid w:val="00DA5928"/>
    <w:rsid w:val="00DA5D79"/>
    <w:rsid w:val="00DA6188"/>
    <w:rsid w:val="00DA63B4"/>
    <w:rsid w:val="00DA6685"/>
    <w:rsid w:val="00DA6A7F"/>
    <w:rsid w:val="00DA6B0F"/>
    <w:rsid w:val="00DA769F"/>
    <w:rsid w:val="00DB00EF"/>
    <w:rsid w:val="00DB0162"/>
    <w:rsid w:val="00DB033E"/>
    <w:rsid w:val="00DB034D"/>
    <w:rsid w:val="00DB081D"/>
    <w:rsid w:val="00DB0E95"/>
    <w:rsid w:val="00DB0FE6"/>
    <w:rsid w:val="00DB17ED"/>
    <w:rsid w:val="00DB1B91"/>
    <w:rsid w:val="00DB2231"/>
    <w:rsid w:val="00DB225A"/>
    <w:rsid w:val="00DB22AB"/>
    <w:rsid w:val="00DB22B8"/>
    <w:rsid w:val="00DB28B9"/>
    <w:rsid w:val="00DB2914"/>
    <w:rsid w:val="00DB2C03"/>
    <w:rsid w:val="00DB2D75"/>
    <w:rsid w:val="00DB3773"/>
    <w:rsid w:val="00DB3786"/>
    <w:rsid w:val="00DB3B68"/>
    <w:rsid w:val="00DB40E8"/>
    <w:rsid w:val="00DB463A"/>
    <w:rsid w:val="00DB53B6"/>
    <w:rsid w:val="00DB5A3D"/>
    <w:rsid w:val="00DB5DAD"/>
    <w:rsid w:val="00DB6287"/>
    <w:rsid w:val="00DB6442"/>
    <w:rsid w:val="00DB6532"/>
    <w:rsid w:val="00DB684E"/>
    <w:rsid w:val="00DB686F"/>
    <w:rsid w:val="00DB6C04"/>
    <w:rsid w:val="00DB6E61"/>
    <w:rsid w:val="00DB6EE3"/>
    <w:rsid w:val="00DB74CA"/>
    <w:rsid w:val="00DB75AF"/>
    <w:rsid w:val="00DB76D8"/>
    <w:rsid w:val="00DC0000"/>
    <w:rsid w:val="00DC0964"/>
    <w:rsid w:val="00DC0DB7"/>
    <w:rsid w:val="00DC18D6"/>
    <w:rsid w:val="00DC1A05"/>
    <w:rsid w:val="00DC239D"/>
    <w:rsid w:val="00DC255E"/>
    <w:rsid w:val="00DC29C8"/>
    <w:rsid w:val="00DC36E2"/>
    <w:rsid w:val="00DC3FDA"/>
    <w:rsid w:val="00DC408B"/>
    <w:rsid w:val="00DC4269"/>
    <w:rsid w:val="00DC428E"/>
    <w:rsid w:val="00DC4A8E"/>
    <w:rsid w:val="00DC4D5D"/>
    <w:rsid w:val="00DC5250"/>
    <w:rsid w:val="00DC555B"/>
    <w:rsid w:val="00DC6586"/>
    <w:rsid w:val="00DC66A8"/>
    <w:rsid w:val="00DC685C"/>
    <w:rsid w:val="00DC6BEA"/>
    <w:rsid w:val="00DC71C4"/>
    <w:rsid w:val="00DC7507"/>
    <w:rsid w:val="00DC7F19"/>
    <w:rsid w:val="00DD009D"/>
    <w:rsid w:val="00DD03CA"/>
    <w:rsid w:val="00DD0C84"/>
    <w:rsid w:val="00DD0E41"/>
    <w:rsid w:val="00DD12EC"/>
    <w:rsid w:val="00DD132D"/>
    <w:rsid w:val="00DD15DF"/>
    <w:rsid w:val="00DD1751"/>
    <w:rsid w:val="00DD1BDC"/>
    <w:rsid w:val="00DD1E85"/>
    <w:rsid w:val="00DD1F70"/>
    <w:rsid w:val="00DD250D"/>
    <w:rsid w:val="00DD275D"/>
    <w:rsid w:val="00DD2DCC"/>
    <w:rsid w:val="00DD2FED"/>
    <w:rsid w:val="00DD3D29"/>
    <w:rsid w:val="00DD3D6F"/>
    <w:rsid w:val="00DD3F5F"/>
    <w:rsid w:val="00DD4714"/>
    <w:rsid w:val="00DD4802"/>
    <w:rsid w:val="00DD5627"/>
    <w:rsid w:val="00DD5930"/>
    <w:rsid w:val="00DD5A23"/>
    <w:rsid w:val="00DD5C30"/>
    <w:rsid w:val="00DD620D"/>
    <w:rsid w:val="00DD638D"/>
    <w:rsid w:val="00DD6819"/>
    <w:rsid w:val="00DD74A2"/>
    <w:rsid w:val="00DD7772"/>
    <w:rsid w:val="00DD7D5B"/>
    <w:rsid w:val="00DE01BE"/>
    <w:rsid w:val="00DE0384"/>
    <w:rsid w:val="00DE0424"/>
    <w:rsid w:val="00DE09C0"/>
    <w:rsid w:val="00DE0C78"/>
    <w:rsid w:val="00DE0F32"/>
    <w:rsid w:val="00DE278F"/>
    <w:rsid w:val="00DE3555"/>
    <w:rsid w:val="00DE3842"/>
    <w:rsid w:val="00DE3917"/>
    <w:rsid w:val="00DE3D8A"/>
    <w:rsid w:val="00DE4339"/>
    <w:rsid w:val="00DE4DB4"/>
    <w:rsid w:val="00DE50A1"/>
    <w:rsid w:val="00DE5322"/>
    <w:rsid w:val="00DE57C8"/>
    <w:rsid w:val="00DE5A90"/>
    <w:rsid w:val="00DE5BE8"/>
    <w:rsid w:val="00DE5EF7"/>
    <w:rsid w:val="00DE6D37"/>
    <w:rsid w:val="00DE6EB1"/>
    <w:rsid w:val="00DE7D54"/>
    <w:rsid w:val="00DF0357"/>
    <w:rsid w:val="00DF09CB"/>
    <w:rsid w:val="00DF0E0C"/>
    <w:rsid w:val="00DF11B8"/>
    <w:rsid w:val="00DF1396"/>
    <w:rsid w:val="00DF1828"/>
    <w:rsid w:val="00DF1BF6"/>
    <w:rsid w:val="00DF1FA9"/>
    <w:rsid w:val="00DF2528"/>
    <w:rsid w:val="00DF2554"/>
    <w:rsid w:val="00DF3452"/>
    <w:rsid w:val="00DF365C"/>
    <w:rsid w:val="00DF3947"/>
    <w:rsid w:val="00DF3C6D"/>
    <w:rsid w:val="00DF3C80"/>
    <w:rsid w:val="00DF44AD"/>
    <w:rsid w:val="00DF4C6E"/>
    <w:rsid w:val="00DF55CE"/>
    <w:rsid w:val="00DF573F"/>
    <w:rsid w:val="00DF5E0C"/>
    <w:rsid w:val="00DF5F76"/>
    <w:rsid w:val="00DF6687"/>
    <w:rsid w:val="00DF6C25"/>
    <w:rsid w:val="00DF7164"/>
    <w:rsid w:val="00DF7E2A"/>
    <w:rsid w:val="00E00059"/>
    <w:rsid w:val="00E004D5"/>
    <w:rsid w:val="00E009B1"/>
    <w:rsid w:val="00E00DBD"/>
    <w:rsid w:val="00E0127A"/>
    <w:rsid w:val="00E01C23"/>
    <w:rsid w:val="00E01C69"/>
    <w:rsid w:val="00E01CBC"/>
    <w:rsid w:val="00E01D71"/>
    <w:rsid w:val="00E01F6B"/>
    <w:rsid w:val="00E02059"/>
    <w:rsid w:val="00E021B7"/>
    <w:rsid w:val="00E02444"/>
    <w:rsid w:val="00E02E91"/>
    <w:rsid w:val="00E039AB"/>
    <w:rsid w:val="00E0402E"/>
    <w:rsid w:val="00E04202"/>
    <w:rsid w:val="00E04216"/>
    <w:rsid w:val="00E0438A"/>
    <w:rsid w:val="00E04409"/>
    <w:rsid w:val="00E04586"/>
    <w:rsid w:val="00E0471A"/>
    <w:rsid w:val="00E04910"/>
    <w:rsid w:val="00E05145"/>
    <w:rsid w:val="00E051C4"/>
    <w:rsid w:val="00E05392"/>
    <w:rsid w:val="00E0577E"/>
    <w:rsid w:val="00E057A5"/>
    <w:rsid w:val="00E05B82"/>
    <w:rsid w:val="00E05BC4"/>
    <w:rsid w:val="00E05C2D"/>
    <w:rsid w:val="00E06823"/>
    <w:rsid w:val="00E06B5A"/>
    <w:rsid w:val="00E06BE4"/>
    <w:rsid w:val="00E06CDA"/>
    <w:rsid w:val="00E06E0F"/>
    <w:rsid w:val="00E10A86"/>
    <w:rsid w:val="00E10C2B"/>
    <w:rsid w:val="00E114DC"/>
    <w:rsid w:val="00E11550"/>
    <w:rsid w:val="00E118E1"/>
    <w:rsid w:val="00E11DE0"/>
    <w:rsid w:val="00E11FB2"/>
    <w:rsid w:val="00E1349F"/>
    <w:rsid w:val="00E13925"/>
    <w:rsid w:val="00E13EAB"/>
    <w:rsid w:val="00E14122"/>
    <w:rsid w:val="00E14428"/>
    <w:rsid w:val="00E1470F"/>
    <w:rsid w:val="00E14783"/>
    <w:rsid w:val="00E14979"/>
    <w:rsid w:val="00E15040"/>
    <w:rsid w:val="00E1553E"/>
    <w:rsid w:val="00E15579"/>
    <w:rsid w:val="00E15589"/>
    <w:rsid w:val="00E15947"/>
    <w:rsid w:val="00E15D74"/>
    <w:rsid w:val="00E1640D"/>
    <w:rsid w:val="00E16C70"/>
    <w:rsid w:val="00E17808"/>
    <w:rsid w:val="00E1781A"/>
    <w:rsid w:val="00E17825"/>
    <w:rsid w:val="00E20011"/>
    <w:rsid w:val="00E20906"/>
    <w:rsid w:val="00E228A2"/>
    <w:rsid w:val="00E22A97"/>
    <w:rsid w:val="00E22F6C"/>
    <w:rsid w:val="00E23031"/>
    <w:rsid w:val="00E237FA"/>
    <w:rsid w:val="00E23B05"/>
    <w:rsid w:val="00E23BA5"/>
    <w:rsid w:val="00E24189"/>
    <w:rsid w:val="00E24792"/>
    <w:rsid w:val="00E24A40"/>
    <w:rsid w:val="00E24ABA"/>
    <w:rsid w:val="00E24DE1"/>
    <w:rsid w:val="00E255F8"/>
    <w:rsid w:val="00E25722"/>
    <w:rsid w:val="00E260C9"/>
    <w:rsid w:val="00E263C7"/>
    <w:rsid w:val="00E26AC4"/>
    <w:rsid w:val="00E26BCA"/>
    <w:rsid w:val="00E27717"/>
    <w:rsid w:val="00E278CF"/>
    <w:rsid w:val="00E27D8F"/>
    <w:rsid w:val="00E27F2E"/>
    <w:rsid w:val="00E27F6B"/>
    <w:rsid w:val="00E3007D"/>
    <w:rsid w:val="00E30687"/>
    <w:rsid w:val="00E307A0"/>
    <w:rsid w:val="00E3083C"/>
    <w:rsid w:val="00E308BC"/>
    <w:rsid w:val="00E30F05"/>
    <w:rsid w:val="00E31545"/>
    <w:rsid w:val="00E31A15"/>
    <w:rsid w:val="00E31BA5"/>
    <w:rsid w:val="00E3216A"/>
    <w:rsid w:val="00E32485"/>
    <w:rsid w:val="00E324E7"/>
    <w:rsid w:val="00E327FD"/>
    <w:rsid w:val="00E32FCF"/>
    <w:rsid w:val="00E3360C"/>
    <w:rsid w:val="00E336F9"/>
    <w:rsid w:val="00E33B91"/>
    <w:rsid w:val="00E33C1C"/>
    <w:rsid w:val="00E348F8"/>
    <w:rsid w:val="00E348F9"/>
    <w:rsid w:val="00E3539D"/>
    <w:rsid w:val="00E35719"/>
    <w:rsid w:val="00E35E8E"/>
    <w:rsid w:val="00E363A3"/>
    <w:rsid w:val="00E36831"/>
    <w:rsid w:val="00E368E6"/>
    <w:rsid w:val="00E36E7B"/>
    <w:rsid w:val="00E37672"/>
    <w:rsid w:val="00E37682"/>
    <w:rsid w:val="00E37765"/>
    <w:rsid w:val="00E3790A"/>
    <w:rsid w:val="00E410E8"/>
    <w:rsid w:val="00E4128D"/>
    <w:rsid w:val="00E41443"/>
    <w:rsid w:val="00E4195F"/>
    <w:rsid w:val="00E41F7E"/>
    <w:rsid w:val="00E42154"/>
    <w:rsid w:val="00E422E1"/>
    <w:rsid w:val="00E4266E"/>
    <w:rsid w:val="00E428F5"/>
    <w:rsid w:val="00E42BF6"/>
    <w:rsid w:val="00E42FB1"/>
    <w:rsid w:val="00E43001"/>
    <w:rsid w:val="00E43B82"/>
    <w:rsid w:val="00E43D77"/>
    <w:rsid w:val="00E44555"/>
    <w:rsid w:val="00E44994"/>
    <w:rsid w:val="00E452AF"/>
    <w:rsid w:val="00E454A2"/>
    <w:rsid w:val="00E45B46"/>
    <w:rsid w:val="00E45C6B"/>
    <w:rsid w:val="00E46233"/>
    <w:rsid w:val="00E466E2"/>
    <w:rsid w:val="00E467C0"/>
    <w:rsid w:val="00E46F76"/>
    <w:rsid w:val="00E47344"/>
    <w:rsid w:val="00E474B1"/>
    <w:rsid w:val="00E475E2"/>
    <w:rsid w:val="00E4783C"/>
    <w:rsid w:val="00E4795E"/>
    <w:rsid w:val="00E47997"/>
    <w:rsid w:val="00E47C32"/>
    <w:rsid w:val="00E501F8"/>
    <w:rsid w:val="00E506DE"/>
    <w:rsid w:val="00E5089F"/>
    <w:rsid w:val="00E509F3"/>
    <w:rsid w:val="00E50BCF"/>
    <w:rsid w:val="00E50D14"/>
    <w:rsid w:val="00E5122E"/>
    <w:rsid w:val="00E51236"/>
    <w:rsid w:val="00E5130B"/>
    <w:rsid w:val="00E51BB6"/>
    <w:rsid w:val="00E51C16"/>
    <w:rsid w:val="00E51D8E"/>
    <w:rsid w:val="00E522DE"/>
    <w:rsid w:val="00E52A49"/>
    <w:rsid w:val="00E53265"/>
    <w:rsid w:val="00E5354E"/>
    <w:rsid w:val="00E538F5"/>
    <w:rsid w:val="00E54227"/>
    <w:rsid w:val="00E542CE"/>
    <w:rsid w:val="00E547DE"/>
    <w:rsid w:val="00E54B52"/>
    <w:rsid w:val="00E54BAD"/>
    <w:rsid w:val="00E54F58"/>
    <w:rsid w:val="00E55A8B"/>
    <w:rsid w:val="00E55C2E"/>
    <w:rsid w:val="00E55CC7"/>
    <w:rsid w:val="00E55D93"/>
    <w:rsid w:val="00E5605D"/>
    <w:rsid w:val="00E56294"/>
    <w:rsid w:val="00E56361"/>
    <w:rsid w:val="00E56EFE"/>
    <w:rsid w:val="00E56FEC"/>
    <w:rsid w:val="00E57F83"/>
    <w:rsid w:val="00E6089F"/>
    <w:rsid w:val="00E60E0C"/>
    <w:rsid w:val="00E60EE9"/>
    <w:rsid w:val="00E610E0"/>
    <w:rsid w:val="00E611B9"/>
    <w:rsid w:val="00E612D1"/>
    <w:rsid w:val="00E6151C"/>
    <w:rsid w:val="00E61541"/>
    <w:rsid w:val="00E62122"/>
    <w:rsid w:val="00E6273F"/>
    <w:rsid w:val="00E62CD8"/>
    <w:rsid w:val="00E62D97"/>
    <w:rsid w:val="00E634D6"/>
    <w:rsid w:val="00E639D1"/>
    <w:rsid w:val="00E63A3E"/>
    <w:rsid w:val="00E63B6D"/>
    <w:rsid w:val="00E63B7D"/>
    <w:rsid w:val="00E646F7"/>
    <w:rsid w:val="00E64BBA"/>
    <w:rsid w:val="00E64C54"/>
    <w:rsid w:val="00E64EF8"/>
    <w:rsid w:val="00E65073"/>
    <w:rsid w:val="00E6532E"/>
    <w:rsid w:val="00E6546A"/>
    <w:rsid w:val="00E655A7"/>
    <w:rsid w:val="00E66093"/>
    <w:rsid w:val="00E66211"/>
    <w:rsid w:val="00E66AB3"/>
    <w:rsid w:val="00E66B39"/>
    <w:rsid w:val="00E66B79"/>
    <w:rsid w:val="00E66ECC"/>
    <w:rsid w:val="00E66EF5"/>
    <w:rsid w:val="00E674B9"/>
    <w:rsid w:val="00E6793E"/>
    <w:rsid w:val="00E70055"/>
    <w:rsid w:val="00E7036C"/>
    <w:rsid w:val="00E705FD"/>
    <w:rsid w:val="00E707EA"/>
    <w:rsid w:val="00E70906"/>
    <w:rsid w:val="00E70CFA"/>
    <w:rsid w:val="00E713B6"/>
    <w:rsid w:val="00E7172A"/>
    <w:rsid w:val="00E71941"/>
    <w:rsid w:val="00E719DD"/>
    <w:rsid w:val="00E71C82"/>
    <w:rsid w:val="00E7247A"/>
    <w:rsid w:val="00E72754"/>
    <w:rsid w:val="00E72C08"/>
    <w:rsid w:val="00E73DC7"/>
    <w:rsid w:val="00E73ED2"/>
    <w:rsid w:val="00E741BF"/>
    <w:rsid w:val="00E74383"/>
    <w:rsid w:val="00E74483"/>
    <w:rsid w:val="00E74A87"/>
    <w:rsid w:val="00E74E85"/>
    <w:rsid w:val="00E751F1"/>
    <w:rsid w:val="00E753CD"/>
    <w:rsid w:val="00E757B0"/>
    <w:rsid w:val="00E7583A"/>
    <w:rsid w:val="00E759A2"/>
    <w:rsid w:val="00E759FB"/>
    <w:rsid w:val="00E75FD3"/>
    <w:rsid w:val="00E76033"/>
    <w:rsid w:val="00E766BF"/>
    <w:rsid w:val="00E76828"/>
    <w:rsid w:val="00E76DE7"/>
    <w:rsid w:val="00E771E0"/>
    <w:rsid w:val="00E77672"/>
    <w:rsid w:val="00E77C7F"/>
    <w:rsid w:val="00E8034C"/>
    <w:rsid w:val="00E80508"/>
    <w:rsid w:val="00E805F9"/>
    <w:rsid w:val="00E807BE"/>
    <w:rsid w:val="00E80B72"/>
    <w:rsid w:val="00E80E37"/>
    <w:rsid w:val="00E80EEE"/>
    <w:rsid w:val="00E814CC"/>
    <w:rsid w:val="00E818D4"/>
    <w:rsid w:val="00E81A6A"/>
    <w:rsid w:val="00E825A5"/>
    <w:rsid w:val="00E82666"/>
    <w:rsid w:val="00E828B4"/>
    <w:rsid w:val="00E837EA"/>
    <w:rsid w:val="00E839E5"/>
    <w:rsid w:val="00E844EE"/>
    <w:rsid w:val="00E84847"/>
    <w:rsid w:val="00E84D96"/>
    <w:rsid w:val="00E8594F"/>
    <w:rsid w:val="00E85C33"/>
    <w:rsid w:val="00E86580"/>
    <w:rsid w:val="00E86CE8"/>
    <w:rsid w:val="00E87241"/>
    <w:rsid w:val="00E87516"/>
    <w:rsid w:val="00E875FD"/>
    <w:rsid w:val="00E87F0E"/>
    <w:rsid w:val="00E9002C"/>
    <w:rsid w:val="00E90032"/>
    <w:rsid w:val="00E909B8"/>
    <w:rsid w:val="00E90ACD"/>
    <w:rsid w:val="00E90D7E"/>
    <w:rsid w:val="00E9124E"/>
    <w:rsid w:val="00E9188A"/>
    <w:rsid w:val="00E918C9"/>
    <w:rsid w:val="00E91C91"/>
    <w:rsid w:val="00E92058"/>
    <w:rsid w:val="00E924B4"/>
    <w:rsid w:val="00E927C3"/>
    <w:rsid w:val="00E92C53"/>
    <w:rsid w:val="00E93E8A"/>
    <w:rsid w:val="00E93F03"/>
    <w:rsid w:val="00E93F31"/>
    <w:rsid w:val="00E93FE5"/>
    <w:rsid w:val="00E94925"/>
    <w:rsid w:val="00E9506D"/>
    <w:rsid w:val="00E95367"/>
    <w:rsid w:val="00E954F9"/>
    <w:rsid w:val="00E9566D"/>
    <w:rsid w:val="00E95E96"/>
    <w:rsid w:val="00E97305"/>
    <w:rsid w:val="00E97CAC"/>
    <w:rsid w:val="00EA0991"/>
    <w:rsid w:val="00EA0C6F"/>
    <w:rsid w:val="00EA1593"/>
    <w:rsid w:val="00EA17A3"/>
    <w:rsid w:val="00EA17FB"/>
    <w:rsid w:val="00EA1EBD"/>
    <w:rsid w:val="00EA1F62"/>
    <w:rsid w:val="00EA2970"/>
    <w:rsid w:val="00EA2D23"/>
    <w:rsid w:val="00EA2E22"/>
    <w:rsid w:val="00EA3B84"/>
    <w:rsid w:val="00EA3C75"/>
    <w:rsid w:val="00EA3D64"/>
    <w:rsid w:val="00EA45B3"/>
    <w:rsid w:val="00EA4619"/>
    <w:rsid w:val="00EA4622"/>
    <w:rsid w:val="00EA4AC3"/>
    <w:rsid w:val="00EA5746"/>
    <w:rsid w:val="00EA58D7"/>
    <w:rsid w:val="00EA6544"/>
    <w:rsid w:val="00EA6CFF"/>
    <w:rsid w:val="00EA6F9B"/>
    <w:rsid w:val="00EA7165"/>
    <w:rsid w:val="00EA757F"/>
    <w:rsid w:val="00EA75EE"/>
    <w:rsid w:val="00EA7A20"/>
    <w:rsid w:val="00EB068D"/>
    <w:rsid w:val="00EB087D"/>
    <w:rsid w:val="00EB097A"/>
    <w:rsid w:val="00EB09E7"/>
    <w:rsid w:val="00EB0AAF"/>
    <w:rsid w:val="00EB0ABF"/>
    <w:rsid w:val="00EB0AF4"/>
    <w:rsid w:val="00EB1483"/>
    <w:rsid w:val="00EB155B"/>
    <w:rsid w:val="00EB1E05"/>
    <w:rsid w:val="00EB2441"/>
    <w:rsid w:val="00EB27FB"/>
    <w:rsid w:val="00EB292A"/>
    <w:rsid w:val="00EB2B78"/>
    <w:rsid w:val="00EB3448"/>
    <w:rsid w:val="00EB3632"/>
    <w:rsid w:val="00EB3B15"/>
    <w:rsid w:val="00EB42F4"/>
    <w:rsid w:val="00EB4437"/>
    <w:rsid w:val="00EB4462"/>
    <w:rsid w:val="00EB4709"/>
    <w:rsid w:val="00EB48AF"/>
    <w:rsid w:val="00EB4D04"/>
    <w:rsid w:val="00EB4E12"/>
    <w:rsid w:val="00EB5466"/>
    <w:rsid w:val="00EB57B6"/>
    <w:rsid w:val="00EB5AFE"/>
    <w:rsid w:val="00EB6057"/>
    <w:rsid w:val="00EB64CA"/>
    <w:rsid w:val="00EB676B"/>
    <w:rsid w:val="00EB6783"/>
    <w:rsid w:val="00EB6ECE"/>
    <w:rsid w:val="00EB7228"/>
    <w:rsid w:val="00EB7953"/>
    <w:rsid w:val="00EB7AF4"/>
    <w:rsid w:val="00EB7E66"/>
    <w:rsid w:val="00EC00B8"/>
    <w:rsid w:val="00EC018C"/>
    <w:rsid w:val="00EC0B2F"/>
    <w:rsid w:val="00EC0C9E"/>
    <w:rsid w:val="00EC0D0B"/>
    <w:rsid w:val="00EC0D86"/>
    <w:rsid w:val="00EC1221"/>
    <w:rsid w:val="00EC2327"/>
    <w:rsid w:val="00EC2A3F"/>
    <w:rsid w:val="00EC2B6C"/>
    <w:rsid w:val="00EC2EEE"/>
    <w:rsid w:val="00EC310E"/>
    <w:rsid w:val="00EC31B8"/>
    <w:rsid w:val="00EC339A"/>
    <w:rsid w:val="00EC45E6"/>
    <w:rsid w:val="00EC487F"/>
    <w:rsid w:val="00EC4AB8"/>
    <w:rsid w:val="00EC4AE9"/>
    <w:rsid w:val="00EC4DD1"/>
    <w:rsid w:val="00EC6706"/>
    <w:rsid w:val="00EC70E2"/>
    <w:rsid w:val="00EC7775"/>
    <w:rsid w:val="00ED015D"/>
    <w:rsid w:val="00ED0381"/>
    <w:rsid w:val="00ED067C"/>
    <w:rsid w:val="00ED0846"/>
    <w:rsid w:val="00ED0AF9"/>
    <w:rsid w:val="00ED0C3F"/>
    <w:rsid w:val="00ED0D35"/>
    <w:rsid w:val="00ED10D4"/>
    <w:rsid w:val="00ED10DC"/>
    <w:rsid w:val="00ED1F8D"/>
    <w:rsid w:val="00ED20BE"/>
    <w:rsid w:val="00ED2995"/>
    <w:rsid w:val="00ED2B35"/>
    <w:rsid w:val="00ED2D6A"/>
    <w:rsid w:val="00ED2D81"/>
    <w:rsid w:val="00ED2F09"/>
    <w:rsid w:val="00ED2F38"/>
    <w:rsid w:val="00ED30C3"/>
    <w:rsid w:val="00ED35B4"/>
    <w:rsid w:val="00ED3C0C"/>
    <w:rsid w:val="00ED4183"/>
    <w:rsid w:val="00ED424A"/>
    <w:rsid w:val="00ED46ED"/>
    <w:rsid w:val="00ED49AC"/>
    <w:rsid w:val="00ED5126"/>
    <w:rsid w:val="00ED5635"/>
    <w:rsid w:val="00ED65D0"/>
    <w:rsid w:val="00ED673F"/>
    <w:rsid w:val="00ED69FC"/>
    <w:rsid w:val="00ED6F46"/>
    <w:rsid w:val="00ED7312"/>
    <w:rsid w:val="00ED7449"/>
    <w:rsid w:val="00ED7825"/>
    <w:rsid w:val="00EE0047"/>
    <w:rsid w:val="00EE0CCD"/>
    <w:rsid w:val="00EE104B"/>
    <w:rsid w:val="00EE1064"/>
    <w:rsid w:val="00EE13A8"/>
    <w:rsid w:val="00EE1412"/>
    <w:rsid w:val="00EE1510"/>
    <w:rsid w:val="00EE1CC6"/>
    <w:rsid w:val="00EE2362"/>
    <w:rsid w:val="00EE29F9"/>
    <w:rsid w:val="00EE2F1D"/>
    <w:rsid w:val="00EE2F34"/>
    <w:rsid w:val="00EE2FEE"/>
    <w:rsid w:val="00EE3101"/>
    <w:rsid w:val="00EE31E4"/>
    <w:rsid w:val="00EE338F"/>
    <w:rsid w:val="00EE342C"/>
    <w:rsid w:val="00EE365D"/>
    <w:rsid w:val="00EE3815"/>
    <w:rsid w:val="00EE4361"/>
    <w:rsid w:val="00EE4A2A"/>
    <w:rsid w:val="00EE4A66"/>
    <w:rsid w:val="00EE4BB0"/>
    <w:rsid w:val="00EE5142"/>
    <w:rsid w:val="00EE5309"/>
    <w:rsid w:val="00EE5711"/>
    <w:rsid w:val="00EE603A"/>
    <w:rsid w:val="00EE6309"/>
    <w:rsid w:val="00EE68FA"/>
    <w:rsid w:val="00EE6B4C"/>
    <w:rsid w:val="00EE6E97"/>
    <w:rsid w:val="00EE735C"/>
    <w:rsid w:val="00EE755A"/>
    <w:rsid w:val="00EE76D6"/>
    <w:rsid w:val="00EE7EF6"/>
    <w:rsid w:val="00EE7F38"/>
    <w:rsid w:val="00EF07E8"/>
    <w:rsid w:val="00EF0F38"/>
    <w:rsid w:val="00EF1313"/>
    <w:rsid w:val="00EF1868"/>
    <w:rsid w:val="00EF18E0"/>
    <w:rsid w:val="00EF18F6"/>
    <w:rsid w:val="00EF1E44"/>
    <w:rsid w:val="00EF2AEB"/>
    <w:rsid w:val="00EF2B5D"/>
    <w:rsid w:val="00EF2D4D"/>
    <w:rsid w:val="00EF409F"/>
    <w:rsid w:val="00EF41E6"/>
    <w:rsid w:val="00EF46F9"/>
    <w:rsid w:val="00EF4A35"/>
    <w:rsid w:val="00EF4A7F"/>
    <w:rsid w:val="00EF553A"/>
    <w:rsid w:val="00EF55DA"/>
    <w:rsid w:val="00EF594A"/>
    <w:rsid w:val="00EF5BD0"/>
    <w:rsid w:val="00EF5C0C"/>
    <w:rsid w:val="00EF5C63"/>
    <w:rsid w:val="00EF5D76"/>
    <w:rsid w:val="00EF5F60"/>
    <w:rsid w:val="00EF63DC"/>
    <w:rsid w:val="00EF6508"/>
    <w:rsid w:val="00EF65FD"/>
    <w:rsid w:val="00EF6A3F"/>
    <w:rsid w:val="00EF6B48"/>
    <w:rsid w:val="00EF6BA9"/>
    <w:rsid w:val="00EF6C81"/>
    <w:rsid w:val="00EF7613"/>
    <w:rsid w:val="00EF79E1"/>
    <w:rsid w:val="00EF7ADA"/>
    <w:rsid w:val="00F0044A"/>
    <w:rsid w:val="00F0066E"/>
    <w:rsid w:val="00F00726"/>
    <w:rsid w:val="00F00C48"/>
    <w:rsid w:val="00F01066"/>
    <w:rsid w:val="00F010F7"/>
    <w:rsid w:val="00F01193"/>
    <w:rsid w:val="00F0156B"/>
    <w:rsid w:val="00F01A81"/>
    <w:rsid w:val="00F01B57"/>
    <w:rsid w:val="00F01C09"/>
    <w:rsid w:val="00F01F7B"/>
    <w:rsid w:val="00F02025"/>
    <w:rsid w:val="00F022AF"/>
    <w:rsid w:val="00F023DA"/>
    <w:rsid w:val="00F0251A"/>
    <w:rsid w:val="00F028C6"/>
    <w:rsid w:val="00F02C5B"/>
    <w:rsid w:val="00F03121"/>
    <w:rsid w:val="00F031A2"/>
    <w:rsid w:val="00F03524"/>
    <w:rsid w:val="00F03927"/>
    <w:rsid w:val="00F03AF3"/>
    <w:rsid w:val="00F03C92"/>
    <w:rsid w:val="00F040BE"/>
    <w:rsid w:val="00F04421"/>
    <w:rsid w:val="00F0466E"/>
    <w:rsid w:val="00F04688"/>
    <w:rsid w:val="00F046AF"/>
    <w:rsid w:val="00F0482E"/>
    <w:rsid w:val="00F04ABA"/>
    <w:rsid w:val="00F04D96"/>
    <w:rsid w:val="00F04E2A"/>
    <w:rsid w:val="00F04F61"/>
    <w:rsid w:val="00F05004"/>
    <w:rsid w:val="00F05D27"/>
    <w:rsid w:val="00F06637"/>
    <w:rsid w:val="00F0664F"/>
    <w:rsid w:val="00F06778"/>
    <w:rsid w:val="00F06E57"/>
    <w:rsid w:val="00F071A7"/>
    <w:rsid w:val="00F07210"/>
    <w:rsid w:val="00F07796"/>
    <w:rsid w:val="00F07EA8"/>
    <w:rsid w:val="00F07FB5"/>
    <w:rsid w:val="00F10065"/>
    <w:rsid w:val="00F100FF"/>
    <w:rsid w:val="00F10AE5"/>
    <w:rsid w:val="00F10D5F"/>
    <w:rsid w:val="00F10FBD"/>
    <w:rsid w:val="00F10FC6"/>
    <w:rsid w:val="00F11FC4"/>
    <w:rsid w:val="00F12AC0"/>
    <w:rsid w:val="00F13023"/>
    <w:rsid w:val="00F13AA7"/>
    <w:rsid w:val="00F140BD"/>
    <w:rsid w:val="00F1424C"/>
    <w:rsid w:val="00F1479A"/>
    <w:rsid w:val="00F14AD0"/>
    <w:rsid w:val="00F15091"/>
    <w:rsid w:val="00F15763"/>
    <w:rsid w:val="00F1597C"/>
    <w:rsid w:val="00F15AEF"/>
    <w:rsid w:val="00F15C4C"/>
    <w:rsid w:val="00F15F38"/>
    <w:rsid w:val="00F16013"/>
    <w:rsid w:val="00F163E5"/>
    <w:rsid w:val="00F16595"/>
    <w:rsid w:val="00F16709"/>
    <w:rsid w:val="00F1675F"/>
    <w:rsid w:val="00F168A1"/>
    <w:rsid w:val="00F16B59"/>
    <w:rsid w:val="00F16F09"/>
    <w:rsid w:val="00F174E4"/>
    <w:rsid w:val="00F17641"/>
    <w:rsid w:val="00F179DD"/>
    <w:rsid w:val="00F17D5F"/>
    <w:rsid w:val="00F20356"/>
    <w:rsid w:val="00F203A5"/>
    <w:rsid w:val="00F21560"/>
    <w:rsid w:val="00F215DA"/>
    <w:rsid w:val="00F21ADA"/>
    <w:rsid w:val="00F22128"/>
    <w:rsid w:val="00F229E4"/>
    <w:rsid w:val="00F22BF5"/>
    <w:rsid w:val="00F23169"/>
    <w:rsid w:val="00F23221"/>
    <w:rsid w:val="00F239AA"/>
    <w:rsid w:val="00F23CFC"/>
    <w:rsid w:val="00F23E8B"/>
    <w:rsid w:val="00F23FB0"/>
    <w:rsid w:val="00F24228"/>
    <w:rsid w:val="00F24310"/>
    <w:rsid w:val="00F24898"/>
    <w:rsid w:val="00F2553C"/>
    <w:rsid w:val="00F25CFE"/>
    <w:rsid w:val="00F26228"/>
    <w:rsid w:val="00F26326"/>
    <w:rsid w:val="00F266FF"/>
    <w:rsid w:val="00F26BAE"/>
    <w:rsid w:val="00F2728A"/>
    <w:rsid w:val="00F27C55"/>
    <w:rsid w:val="00F27D6B"/>
    <w:rsid w:val="00F3035C"/>
    <w:rsid w:val="00F30712"/>
    <w:rsid w:val="00F30ADB"/>
    <w:rsid w:val="00F30B86"/>
    <w:rsid w:val="00F30C36"/>
    <w:rsid w:val="00F30DF1"/>
    <w:rsid w:val="00F30E34"/>
    <w:rsid w:val="00F3108E"/>
    <w:rsid w:val="00F31A17"/>
    <w:rsid w:val="00F31B91"/>
    <w:rsid w:val="00F320F8"/>
    <w:rsid w:val="00F3245A"/>
    <w:rsid w:val="00F32DD7"/>
    <w:rsid w:val="00F32F23"/>
    <w:rsid w:val="00F33315"/>
    <w:rsid w:val="00F33B8E"/>
    <w:rsid w:val="00F33BD2"/>
    <w:rsid w:val="00F33CD7"/>
    <w:rsid w:val="00F3443C"/>
    <w:rsid w:val="00F3466A"/>
    <w:rsid w:val="00F347AE"/>
    <w:rsid w:val="00F3486C"/>
    <w:rsid w:val="00F34C8C"/>
    <w:rsid w:val="00F35127"/>
    <w:rsid w:val="00F35B3F"/>
    <w:rsid w:val="00F35BF2"/>
    <w:rsid w:val="00F35C42"/>
    <w:rsid w:val="00F35F56"/>
    <w:rsid w:val="00F3648F"/>
    <w:rsid w:val="00F364AB"/>
    <w:rsid w:val="00F364C2"/>
    <w:rsid w:val="00F36FF8"/>
    <w:rsid w:val="00F37555"/>
    <w:rsid w:val="00F378FF"/>
    <w:rsid w:val="00F37C0D"/>
    <w:rsid w:val="00F37FA2"/>
    <w:rsid w:val="00F40B8C"/>
    <w:rsid w:val="00F410AE"/>
    <w:rsid w:val="00F41347"/>
    <w:rsid w:val="00F413FB"/>
    <w:rsid w:val="00F41A12"/>
    <w:rsid w:val="00F41AB5"/>
    <w:rsid w:val="00F420AF"/>
    <w:rsid w:val="00F420DA"/>
    <w:rsid w:val="00F4210E"/>
    <w:rsid w:val="00F43BD6"/>
    <w:rsid w:val="00F43EBC"/>
    <w:rsid w:val="00F440A8"/>
    <w:rsid w:val="00F450C7"/>
    <w:rsid w:val="00F452CD"/>
    <w:rsid w:val="00F452E4"/>
    <w:rsid w:val="00F45834"/>
    <w:rsid w:val="00F45B25"/>
    <w:rsid w:val="00F45D8F"/>
    <w:rsid w:val="00F45E06"/>
    <w:rsid w:val="00F45F36"/>
    <w:rsid w:val="00F4647E"/>
    <w:rsid w:val="00F468C9"/>
    <w:rsid w:val="00F46CB7"/>
    <w:rsid w:val="00F4740C"/>
    <w:rsid w:val="00F474BE"/>
    <w:rsid w:val="00F4759F"/>
    <w:rsid w:val="00F476C9"/>
    <w:rsid w:val="00F47C10"/>
    <w:rsid w:val="00F47C19"/>
    <w:rsid w:val="00F47C69"/>
    <w:rsid w:val="00F5056D"/>
    <w:rsid w:val="00F50C8A"/>
    <w:rsid w:val="00F51133"/>
    <w:rsid w:val="00F51754"/>
    <w:rsid w:val="00F51BF1"/>
    <w:rsid w:val="00F51C00"/>
    <w:rsid w:val="00F52098"/>
    <w:rsid w:val="00F52983"/>
    <w:rsid w:val="00F52E05"/>
    <w:rsid w:val="00F52E77"/>
    <w:rsid w:val="00F53095"/>
    <w:rsid w:val="00F536E7"/>
    <w:rsid w:val="00F53720"/>
    <w:rsid w:val="00F53837"/>
    <w:rsid w:val="00F53C6E"/>
    <w:rsid w:val="00F54239"/>
    <w:rsid w:val="00F5451C"/>
    <w:rsid w:val="00F54AC2"/>
    <w:rsid w:val="00F55798"/>
    <w:rsid w:val="00F557D3"/>
    <w:rsid w:val="00F55862"/>
    <w:rsid w:val="00F55CC7"/>
    <w:rsid w:val="00F5619D"/>
    <w:rsid w:val="00F563CA"/>
    <w:rsid w:val="00F56539"/>
    <w:rsid w:val="00F56549"/>
    <w:rsid w:val="00F5692D"/>
    <w:rsid w:val="00F569CD"/>
    <w:rsid w:val="00F5734F"/>
    <w:rsid w:val="00F574FF"/>
    <w:rsid w:val="00F57B38"/>
    <w:rsid w:val="00F57BAF"/>
    <w:rsid w:val="00F57BDC"/>
    <w:rsid w:val="00F60770"/>
    <w:rsid w:val="00F6089A"/>
    <w:rsid w:val="00F61261"/>
    <w:rsid w:val="00F6137A"/>
    <w:rsid w:val="00F61795"/>
    <w:rsid w:val="00F61D06"/>
    <w:rsid w:val="00F62193"/>
    <w:rsid w:val="00F62243"/>
    <w:rsid w:val="00F62826"/>
    <w:rsid w:val="00F62A57"/>
    <w:rsid w:val="00F62A80"/>
    <w:rsid w:val="00F62A99"/>
    <w:rsid w:val="00F62E52"/>
    <w:rsid w:val="00F63229"/>
    <w:rsid w:val="00F63458"/>
    <w:rsid w:val="00F634B5"/>
    <w:rsid w:val="00F63940"/>
    <w:rsid w:val="00F6394D"/>
    <w:rsid w:val="00F63D57"/>
    <w:rsid w:val="00F64030"/>
    <w:rsid w:val="00F6407E"/>
    <w:rsid w:val="00F644BF"/>
    <w:rsid w:val="00F647E2"/>
    <w:rsid w:val="00F64E5D"/>
    <w:rsid w:val="00F65521"/>
    <w:rsid w:val="00F655A8"/>
    <w:rsid w:val="00F65702"/>
    <w:rsid w:val="00F6684E"/>
    <w:rsid w:val="00F66907"/>
    <w:rsid w:val="00F66D1B"/>
    <w:rsid w:val="00F66DA6"/>
    <w:rsid w:val="00F6736B"/>
    <w:rsid w:val="00F675BE"/>
    <w:rsid w:val="00F6772C"/>
    <w:rsid w:val="00F67A2D"/>
    <w:rsid w:val="00F7059B"/>
    <w:rsid w:val="00F7090A"/>
    <w:rsid w:val="00F709AB"/>
    <w:rsid w:val="00F70B20"/>
    <w:rsid w:val="00F713ED"/>
    <w:rsid w:val="00F71443"/>
    <w:rsid w:val="00F71CAB"/>
    <w:rsid w:val="00F71F34"/>
    <w:rsid w:val="00F72C01"/>
    <w:rsid w:val="00F72C3E"/>
    <w:rsid w:val="00F72C46"/>
    <w:rsid w:val="00F730CB"/>
    <w:rsid w:val="00F734B4"/>
    <w:rsid w:val="00F734FD"/>
    <w:rsid w:val="00F7377A"/>
    <w:rsid w:val="00F7448E"/>
    <w:rsid w:val="00F744F3"/>
    <w:rsid w:val="00F745F5"/>
    <w:rsid w:val="00F7469C"/>
    <w:rsid w:val="00F74BFB"/>
    <w:rsid w:val="00F74C62"/>
    <w:rsid w:val="00F751DC"/>
    <w:rsid w:val="00F75241"/>
    <w:rsid w:val="00F7582F"/>
    <w:rsid w:val="00F75A1A"/>
    <w:rsid w:val="00F75B8A"/>
    <w:rsid w:val="00F75E27"/>
    <w:rsid w:val="00F76FAF"/>
    <w:rsid w:val="00F7727D"/>
    <w:rsid w:val="00F8023E"/>
    <w:rsid w:val="00F806EA"/>
    <w:rsid w:val="00F80945"/>
    <w:rsid w:val="00F80A6F"/>
    <w:rsid w:val="00F80CD5"/>
    <w:rsid w:val="00F80D35"/>
    <w:rsid w:val="00F817C1"/>
    <w:rsid w:val="00F81C41"/>
    <w:rsid w:val="00F81D9E"/>
    <w:rsid w:val="00F82295"/>
    <w:rsid w:val="00F82385"/>
    <w:rsid w:val="00F8238D"/>
    <w:rsid w:val="00F82779"/>
    <w:rsid w:val="00F82B99"/>
    <w:rsid w:val="00F83030"/>
    <w:rsid w:val="00F83197"/>
    <w:rsid w:val="00F84260"/>
    <w:rsid w:val="00F8450B"/>
    <w:rsid w:val="00F84A59"/>
    <w:rsid w:val="00F84CCA"/>
    <w:rsid w:val="00F84FA3"/>
    <w:rsid w:val="00F85230"/>
    <w:rsid w:val="00F8532F"/>
    <w:rsid w:val="00F8575C"/>
    <w:rsid w:val="00F85C23"/>
    <w:rsid w:val="00F85D25"/>
    <w:rsid w:val="00F85F34"/>
    <w:rsid w:val="00F86086"/>
    <w:rsid w:val="00F86491"/>
    <w:rsid w:val="00F86C81"/>
    <w:rsid w:val="00F87055"/>
    <w:rsid w:val="00F872C7"/>
    <w:rsid w:val="00F87585"/>
    <w:rsid w:val="00F87F23"/>
    <w:rsid w:val="00F87F81"/>
    <w:rsid w:val="00F90311"/>
    <w:rsid w:val="00F915A7"/>
    <w:rsid w:val="00F919D0"/>
    <w:rsid w:val="00F91FA9"/>
    <w:rsid w:val="00F9254B"/>
    <w:rsid w:val="00F92CE1"/>
    <w:rsid w:val="00F9320D"/>
    <w:rsid w:val="00F935FA"/>
    <w:rsid w:val="00F936FC"/>
    <w:rsid w:val="00F9395A"/>
    <w:rsid w:val="00F942B1"/>
    <w:rsid w:val="00F94504"/>
    <w:rsid w:val="00F94643"/>
    <w:rsid w:val="00F949B1"/>
    <w:rsid w:val="00F94C83"/>
    <w:rsid w:val="00F95131"/>
    <w:rsid w:val="00F95567"/>
    <w:rsid w:val="00F957E8"/>
    <w:rsid w:val="00F95878"/>
    <w:rsid w:val="00F96613"/>
    <w:rsid w:val="00F96882"/>
    <w:rsid w:val="00F96C1E"/>
    <w:rsid w:val="00F9719E"/>
    <w:rsid w:val="00F9719F"/>
    <w:rsid w:val="00F976A7"/>
    <w:rsid w:val="00F977D6"/>
    <w:rsid w:val="00F97A04"/>
    <w:rsid w:val="00F97C1C"/>
    <w:rsid w:val="00FA0251"/>
    <w:rsid w:val="00FA12CC"/>
    <w:rsid w:val="00FA1B25"/>
    <w:rsid w:val="00FA24FB"/>
    <w:rsid w:val="00FA2649"/>
    <w:rsid w:val="00FA289B"/>
    <w:rsid w:val="00FA28E0"/>
    <w:rsid w:val="00FA2904"/>
    <w:rsid w:val="00FA29AB"/>
    <w:rsid w:val="00FA2B49"/>
    <w:rsid w:val="00FA2DBA"/>
    <w:rsid w:val="00FA303A"/>
    <w:rsid w:val="00FA3F29"/>
    <w:rsid w:val="00FA3F59"/>
    <w:rsid w:val="00FA406C"/>
    <w:rsid w:val="00FA4C41"/>
    <w:rsid w:val="00FA50E8"/>
    <w:rsid w:val="00FA548E"/>
    <w:rsid w:val="00FA554D"/>
    <w:rsid w:val="00FA5998"/>
    <w:rsid w:val="00FA5A50"/>
    <w:rsid w:val="00FA7056"/>
    <w:rsid w:val="00FA7432"/>
    <w:rsid w:val="00FA7FAC"/>
    <w:rsid w:val="00FB0722"/>
    <w:rsid w:val="00FB0728"/>
    <w:rsid w:val="00FB0949"/>
    <w:rsid w:val="00FB0E45"/>
    <w:rsid w:val="00FB11AD"/>
    <w:rsid w:val="00FB196A"/>
    <w:rsid w:val="00FB27F3"/>
    <w:rsid w:val="00FB2EE6"/>
    <w:rsid w:val="00FB3088"/>
    <w:rsid w:val="00FB30AC"/>
    <w:rsid w:val="00FB360B"/>
    <w:rsid w:val="00FB428E"/>
    <w:rsid w:val="00FB4570"/>
    <w:rsid w:val="00FB4792"/>
    <w:rsid w:val="00FB48DD"/>
    <w:rsid w:val="00FB4E07"/>
    <w:rsid w:val="00FB4ED6"/>
    <w:rsid w:val="00FB5191"/>
    <w:rsid w:val="00FB51C4"/>
    <w:rsid w:val="00FB5344"/>
    <w:rsid w:val="00FB57A6"/>
    <w:rsid w:val="00FB5A83"/>
    <w:rsid w:val="00FB5C55"/>
    <w:rsid w:val="00FB5CDA"/>
    <w:rsid w:val="00FB5CF9"/>
    <w:rsid w:val="00FB6FFC"/>
    <w:rsid w:val="00FB712E"/>
    <w:rsid w:val="00FB7156"/>
    <w:rsid w:val="00FB735F"/>
    <w:rsid w:val="00FB74BC"/>
    <w:rsid w:val="00FB74DB"/>
    <w:rsid w:val="00FC0861"/>
    <w:rsid w:val="00FC0C70"/>
    <w:rsid w:val="00FC0E98"/>
    <w:rsid w:val="00FC15A7"/>
    <w:rsid w:val="00FC1B40"/>
    <w:rsid w:val="00FC20CC"/>
    <w:rsid w:val="00FC2111"/>
    <w:rsid w:val="00FC29DF"/>
    <w:rsid w:val="00FC2A84"/>
    <w:rsid w:val="00FC2C32"/>
    <w:rsid w:val="00FC2DE4"/>
    <w:rsid w:val="00FC3037"/>
    <w:rsid w:val="00FC3052"/>
    <w:rsid w:val="00FC387D"/>
    <w:rsid w:val="00FC3907"/>
    <w:rsid w:val="00FC391E"/>
    <w:rsid w:val="00FC39FB"/>
    <w:rsid w:val="00FC41B6"/>
    <w:rsid w:val="00FC453C"/>
    <w:rsid w:val="00FC4760"/>
    <w:rsid w:val="00FC4D5F"/>
    <w:rsid w:val="00FC5030"/>
    <w:rsid w:val="00FC53C5"/>
    <w:rsid w:val="00FC5623"/>
    <w:rsid w:val="00FC5DA2"/>
    <w:rsid w:val="00FC5EA9"/>
    <w:rsid w:val="00FC6252"/>
    <w:rsid w:val="00FC659F"/>
    <w:rsid w:val="00FC7833"/>
    <w:rsid w:val="00FC7B62"/>
    <w:rsid w:val="00FC7FA4"/>
    <w:rsid w:val="00FD00A0"/>
    <w:rsid w:val="00FD02CE"/>
    <w:rsid w:val="00FD08FC"/>
    <w:rsid w:val="00FD0D33"/>
    <w:rsid w:val="00FD15B5"/>
    <w:rsid w:val="00FD1B72"/>
    <w:rsid w:val="00FD21A7"/>
    <w:rsid w:val="00FD23B5"/>
    <w:rsid w:val="00FD2898"/>
    <w:rsid w:val="00FD2A00"/>
    <w:rsid w:val="00FD3174"/>
    <w:rsid w:val="00FD343E"/>
    <w:rsid w:val="00FD3893"/>
    <w:rsid w:val="00FD3B5F"/>
    <w:rsid w:val="00FD43F4"/>
    <w:rsid w:val="00FD466A"/>
    <w:rsid w:val="00FD4BB4"/>
    <w:rsid w:val="00FD4D31"/>
    <w:rsid w:val="00FD4F8C"/>
    <w:rsid w:val="00FD5463"/>
    <w:rsid w:val="00FD5907"/>
    <w:rsid w:val="00FD5E7D"/>
    <w:rsid w:val="00FD5EB8"/>
    <w:rsid w:val="00FD63D3"/>
    <w:rsid w:val="00FD6CBE"/>
    <w:rsid w:val="00FD6F53"/>
    <w:rsid w:val="00FD74A8"/>
    <w:rsid w:val="00FD79CF"/>
    <w:rsid w:val="00FD7F15"/>
    <w:rsid w:val="00FE0366"/>
    <w:rsid w:val="00FE0631"/>
    <w:rsid w:val="00FE0740"/>
    <w:rsid w:val="00FE08C7"/>
    <w:rsid w:val="00FE0C98"/>
    <w:rsid w:val="00FE0E15"/>
    <w:rsid w:val="00FE0FD7"/>
    <w:rsid w:val="00FE1A31"/>
    <w:rsid w:val="00FE212F"/>
    <w:rsid w:val="00FE21B1"/>
    <w:rsid w:val="00FE2349"/>
    <w:rsid w:val="00FE26BD"/>
    <w:rsid w:val="00FE2791"/>
    <w:rsid w:val="00FE27DF"/>
    <w:rsid w:val="00FE2C9A"/>
    <w:rsid w:val="00FE2DD7"/>
    <w:rsid w:val="00FE348A"/>
    <w:rsid w:val="00FE361D"/>
    <w:rsid w:val="00FE3BBB"/>
    <w:rsid w:val="00FE3F51"/>
    <w:rsid w:val="00FE417E"/>
    <w:rsid w:val="00FE5873"/>
    <w:rsid w:val="00FE5ABF"/>
    <w:rsid w:val="00FE64BD"/>
    <w:rsid w:val="00FE6C62"/>
    <w:rsid w:val="00FE6F62"/>
    <w:rsid w:val="00FE7089"/>
    <w:rsid w:val="00FE73E4"/>
    <w:rsid w:val="00FE7C26"/>
    <w:rsid w:val="00FE7E2B"/>
    <w:rsid w:val="00FF0899"/>
    <w:rsid w:val="00FF0C1E"/>
    <w:rsid w:val="00FF0C9B"/>
    <w:rsid w:val="00FF0FB0"/>
    <w:rsid w:val="00FF1389"/>
    <w:rsid w:val="00FF1A7E"/>
    <w:rsid w:val="00FF1F88"/>
    <w:rsid w:val="00FF25B0"/>
    <w:rsid w:val="00FF2734"/>
    <w:rsid w:val="00FF2753"/>
    <w:rsid w:val="00FF29E9"/>
    <w:rsid w:val="00FF2B8F"/>
    <w:rsid w:val="00FF2BE3"/>
    <w:rsid w:val="00FF362A"/>
    <w:rsid w:val="00FF3D96"/>
    <w:rsid w:val="00FF3ECA"/>
    <w:rsid w:val="00FF4908"/>
    <w:rsid w:val="00FF4B15"/>
    <w:rsid w:val="00FF53A0"/>
    <w:rsid w:val="00FF56EA"/>
    <w:rsid w:val="00FF5CB9"/>
    <w:rsid w:val="00FF6625"/>
    <w:rsid w:val="00FF67A7"/>
    <w:rsid w:val="00FF6A67"/>
    <w:rsid w:val="00FF6F5C"/>
    <w:rsid w:val="00FF6F7C"/>
    <w:rsid w:val="00FF7611"/>
    <w:rsid w:val="00FF76A2"/>
    <w:rsid w:val="00FF7FE6"/>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97A7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q-AL" w:eastAsia="sq-A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0" w:unhideWhenUsed="0" w:qFormat="1"/>
    <w:lsdException w:name="heading 3" w:semiHidden="0" w:uiPriority="1" w:unhideWhenUsed="0" w:qFormat="1"/>
    <w:lsdException w:name="heading 4" w:semiHidden="0" w:uiPriority="1" w:unhideWhenUsed="0" w:qFormat="1"/>
    <w:lsdException w:name="heading 5" w:semiHidden="0" w:uiPriority="9" w:unhideWhenUsed="0" w:qFormat="1"/>
    <w:lsdException w:name="heading 6" w:semiHidden="0" w:uiPriority="0" w:unhideWhenUsed="0" w:qFormat="1"/>
    <w:lsdException w:name="heading 7" w:semiHidden="0" w:unhideWhenUsed="0" w:qFormat="1"/>
    <w:lsdException w:name="heading 8" w:semiHidden="0" w:unhideWhenUsed="0" w:qFormat="1"/>
    <w:lsdException w:name="heading 9" w:semiHidden="0"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caption" w:semiHidden="0" w:uiPriority="35" w:unhideWhenUsed="0" w:qFormat="1"/>
    <w:lsdException w:name="footnote reference" w:qFormat="1"/>
    <w:lsdException w:name="annotation reference" w:qFormat="1"/>
    <w:lsdException w:name="List Bullet" w:uiPriority="2" w:qFormat="1"/>
    <w:lsdException w:name="Title" w:semiHidden="0" w:unhideWhenUsed="0" w:qFormat="1"/>
    <w:lsdException w:name="Default Paragraph Font" w:uiPriority="1"/>
    <w:lsdException w:name="Body Text" w:uiPriority="1" w:qFormat="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Elegant" w:uiPriority="0"/>
    <w:lsdException w:name="Table Grid" w:semiHidden="0" w:uiPriority="3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nhideWhenUsed="0" w:qFormat="1"/>
    <w:lsdException w:name="Quote" w:semiHidden="0" w:uiPriority="29"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39" w:qFormat="1"/>
  </w:latentStyles>
  <w:style w:type="paragraph" w:default="1" w:styleId="Normal">
    <w:name w:val="Normal"/>
    <w:qFormat/>
    <w:rsid w:val="009E096B"/>
    <w:rPr>
      <w:sz w:val="24"/>
      <w:szCs w:val="24"/>
      <w:lang w:eastAsia="en-US"/>
    </w:rPr>
  </w:style>
  <w:style w:type="paragraph" w:styleId="Heading1">
    <w:name w:val="heading 1"/>
    <w:basedOn w:val="Normal"/>
    <w:link w:val="Heading1Char"/>
    <w:uiPriority w:val="1"/>
    <w:qFormat/>
    <w:rsid w:val="00DF1828"/>
    <w:pPr>
      <w:widowControl w:val="0"/>
      <w:ind w:left="1380"/>
      <w:outlineLvl w:val="0"/>
    </w:pPr>
    <w:rPr>
      <w:rFonts w:ascii="Times New Roman" w:eastAsia="Times New Roman" w:hAnsi="Times New Roman"/>
      <w:b/>
      <w:bCs/>
    </w:rPr>
  </w:style>
  <w:style w:type="paragraph" w:styleId="Heading2">
    <w:name w:val="heading 2"/>
    <w:basedOn w:val="Normal"/>
    <w:link w:val="Heading2Char"/>
    <w:qFormat/>
    <w:rsid w:val="00DF1828"/>
    <w:pPr>
      <w:widowControl w:val="0"/>
      <w:ind w:left="1380"/>
      <w:outlineLvl w:val="1"/>
    </w:pPr>
    <w:rPr>
      <w:rFonts w:ascii="Times New Roman" w:eastAsia="Times New Roman" w:hAnsi="Times New Roman"/>
    </w:rPr>
  </w:style>
  <w:style w:type="paragraph" w:styleId="Heading3">
    <w:name w:val="heading 3"/>
    <w:basedOn w:val="Normal"/>
    <w:link w:val="Heading3Char"/>
    <w:uiPriority w:val="1"/>
    <w:qFormat/>
    <w:rsid w:val="00DF1828"/>
    <w:pPr>
      <w:widowControl w:val="0"/>
      <w:ind w:left="20"/>
      <w:outlineLvl w:val="2"/>
    </w:pPr>
    <w:rPr>
      <w:sz w:val="23"/>
      <w:szCs w:val="23"/>
    </w:rPr>
  </w:style>
  <w:style w:type="paragraph" w:styleId="Heading4">
    <w:name w:val="heading 4"/>
    <w:basedOn w:val="Normal"/>
    <w:link w:val="Heading4Char"/>
    <w:uiPriority w:val="1"/>
    <w:qFormat/>
    <w:rsid w:val="00DF1828"/>
    <w:pPr>
      <w:widowControl w:val="0"/>
      <w:ind w:left="1380"/>
      <w:outlineLvl w:val="3"/>
    </w:pPr>
    <w:rPr>
      <w:rFonts w:ascii="Arial Narrow" w:eastAsia="Arial Narrow" w:hAnsi="Arial Narrow"/>
      <w:b/>
      <w:bCs/>
      <w:sz w:val="22"/>
      <w:szCs w:val="22"/>
    </w:rPr>
  </w:style>
  <w:style w:type="paragraph" w:styleId="Heading5">
    <w:name w:val="heading 5"/>
    <w:basedOn w:val="Normal"/>
    <w:link w:val="Heading5Char"/>
    <w:uiPriority w:val="9"/>
    <w:qFormat/>
    <w:rsid w:val="00DF1828"/>
    <w:pPr>
      <w:widowControl w:val="0"/>
      <w:ind w:left="1379"/>
      <w:outlineLvl w:val="4"/>
    </w:pPr>
    <w:rPr>
      <w:rFonts w:ascii="Arial Narrow" w:eastAsia="Arial Narrow" w:hAnsi="Arial Narrow"/>
      <w:b/>
      <w:bCs/>
      <w:i/>
      <w:sz w:val="22"/>
      <w:szCs w:val="22"/>
    </w:rPr>
  </w:style>
  <w:style w:type="paragraph" w:styleId="Heading6">
    <w:name w:val="heading 6"/>
    <w:basedOn w:val="Normal"/>
    <w:next w:val="Normal"/>
    <w:link w:val="Heading6Char"/>
    <w:qFormat/>
    <w:rsid w:val="005D5609"/>
    <w:pPr>
      <w:numPr>
        <w:numId w:val="6"/>
      </w:numPr>
      <w:jc w:val="both"/>
      <w:outlineLvl w:val="5"/>
    </w:pPr>
    <w:rPr>
      <w:rFonts w:ascii="Times New Roman" w:eastAsia="Times New Roman" w:hAnsi="Times New Roman"/>
      <w:i/>
      <w:u w:val="single"/>
    </w:rPr>
  </w:style>
  <w:style w:type="paragraph" w:styleId="Heading7">
    <w:name w:val="heading 7"/>
    <w:basedOn w:val="Normal"/>
    <w:next w:val="Normal"/>
    <w:link w:val="Heading7Char"/>
    <w:uiPriority w:val="99"/>
    <w:qFormat/>
    <w:rsid w:val="00DF1828"/>
    <w:pPr>
      <w:tabs>
        <w:tab w:val="num" w:pos="360"/>
      </w:tabs>
      <w:spacing w:before="240" w:after="60"/>
      <w:ind w:left="360" w:hanging="360"/>
      <w:jc w:val="both"/>
      <w:outlineLvl w:val="6"/>
    </w:pPr>
    <w:rPr>
      <w:rFonts w:ascii="Arial" w:eastAsia="Times New Roman" w:hAnsi="Arial"/>
      <w:sz w:val="20"/>
      <w:szCs w:val="20"/>
    </w:rPr>
  </w:style>
  <w:style w:type="paragraph" w:styleId="Heading8">
    <w:name w:val="heading 8"/>
    <w:basedOn w:val="Normal"/>
    <w:next w:val="Normal"/>
    <w:link w:val="Heading8Char"/>
    <w:uiPriority w:val="99"/>
    <w:qFormat/>
    <w:rsid w:val="00DF1828"/>
    <w:pPr>
      <w:tabs>
        <w:tab w:val="num" w:pos="360"/>
      </w:tabs>
      <w:spacing w:before="240" w:after="60"/>
      <w:ind w:left="360" w:hanging="360"/>
      <w:jc w:val="both"/>
      <w:outlineLvl w:val="7"/>
    </w:pPr>
    <w:rPr>
      <w:rFonts w:ascii="Arial" w:eastAsia="Times New Roman" w:hAnsi="Arial"/>
      <w:i/>
      <w:sz w:val="20"/>
      <w:szCs w:val="20"/>
    </w:rPr>
  </w:style>
  <w:style w:type="paragraph" w:styleId="Heading9">
    <w:name w:val="heading 9"/>
    <w:basedOn w:val="Normal"/>
    <w:next w:val="Normal"/>
    <w:link w:val="Heading9Char"/>
    <w:uiPriority w:val="99"/>
    <w:qFormat/>
    <w:rsid w:val="00DF1828"/>
    <w:pPr>
      <w:tabs>
        <w:tab w:val="num" w:pos="360"/>
      </w:tabs>
      <w:spacing w:before="240" w:after="60"/>
      <w:ind w:left="360" w:hanging="360"/>
      <w:jc w:val="both"/>
      <w:outlineLvl w:val="8"/>
    </w:pPr>
    <w:rPr>
      <w:rFonts w:ascii="Arial" w:eastAsia="Times New Roman" w:hAnsi="Arial"/>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DF1828"/>
    <w:rPr>
      <w:rFonts w:ascii="Times New Roman" w:eastAsia="Times New Roman" w:hAnsi="Times New Roman"/>
      <w:b/>
      <w:bCs/>
      <w:lang w:val="en-GB"/>
    </w:rPr>
  </w:style>
  <w:style w:type="character" w:customStyle="1" w:styleId="Heading2Char">
    <w:name w:val="Heading 2 Char"/>
    <w:link w:val="Heading2"/>
    <w:rsid w:val="00DF1828"/>
    <w:rPr>
      <w:rFonts w:ascii="Times New Roman" w:eastAsia="Times New Roman" w:hAnsi="Times New Roman"/>
      <w:lang w:val="en-GB"/>
    </w:rPr>
  </w:style>
  <w:style w:type="character" w:customStyle="1" w:styleId="Heading3Char">
    <w:name w:val="Heading 3 Char"/>
    <w:link w:val="Heading3"/>
    <w:uiPriority w:val="1"/>
    <w:rsid w:val="00DF1828"/>
    <w:rPr>
      <w:rFonts w:ascii="Calibri" w:eastAsia="Calibri" w:hAnsi="Calibri"/>
      <w:sz w:val="23"/>
      <w:szCs w:val="23"/>
      <w:lang w:val="en-GB"/>
    </w:rPr>
  </w:style>
  <w:style w:type="character" w:customStyle="1" w:styleId="Heading4Char">
    <w:name w:val="Heading 4 Char"/>
    <w:link w:val="Heading4"/>
    <w:uiPriority w:val="1"/>
    <w:rsid w:val="00DF1828"/>
    <w:rPr>
      <w:rFonts w:ascii="Arial Narrow" w:eastAsia="Arial Narrow" w:hAnsi="Arial Narrow"/>
      <w:b/>
      <w:bCs/>
      <w:sz w:val="22"/>
      <w:szCs w:val="22"/>
      <w:lang w:val="en-GB"/>
    </w:rPr>
  </w:style>
  <w:style w:type="character" w:customStyle="1" w:styleId="Heading5Char">
    <w:name w:val="Heading 5 Char"/>
    <w:link w:val="Heading5"/>
    <w:uiPriority w:val="9"/>
    <w:rsid w:val="00DF1828"/>
    <w:rPr>
      <w:rFonts w:ascii="Arial Narrow" w:eastAsia="Arial Narrow" w:hAnsi="Arial Narrow"/>
      <w:b/>
      <w:bCs/>
      <w:i/>
      <w:sz w:val="22"/>
      <w:szCs w:val="22"/>
      <w:lang w:val="en-GB"/>
    </w:rPr>
  </w:style>
  <w:style w:type="character" w:customStyle="1" w:styleId="Heading6Char">
    <w:name w:val="Heading 6 Char"/>
    <w:link w:val="Heading6"/>
    <w:rsid w:val="005D5609"/>
    <w:rPr>
      <w:rFonts w:ascii="Times New Roman" w:eastAsia="Times New Roman" w:hAnsi="Times New Roman"/>
      <w:i/>
      <w:sz w:val="24"/>
      <w:szCs w:val="24"/>
      <w:u w:val="single"/>
    </w:rPr>
  </w:style>
  <w:style w:type="character" w:customStyle="1" w:styleId="Heading7Char">
    <w:name w:val="Heading 7 Char"/>
    <w:link w:val="Heading7"/>
    <w:uiPriority w:val="99"/>
    <w:rsid w:val="00DF1828"/>
    <w:rPr>
      <w:rFonts w:ascii="Arial" w:eastAsia="Times New Roman" w:hAnsi="Arial" w:cs="Times New Roman"/>
      <w:sz w:val="20"/>
      <w:szCs w:val="20"/>
    </w:rPr>
  </w:style>
  <w:style w:type="character" w:customStyle="1" w:styleId="Heading8Char">
    <w:name w:val="Heading 8 Char"/>
    <w:link w:val="Heading8"/>
    <w:uiPriority w:val="99"/>
    <w:rsid w:val="00DF1828"/>
    <w:rPr>
      <w:rFonts w:ascii="Arial" w:eastAsia="Times New Roman" w:hAnsi="Arial" w:cs="Times New Roman"/>
      <w:i/>
      <w:sz w:val="20"/>
      <w:szCs w:val="20"/>
    </w:rPr>
  </w:style>
  <w:style w:type="character" w:customStyle="1" w:styleId="Heading9Char">
    <w:name w:val="Heading 9 Char"/>
    <w:link w:val="Heading9"/>
    <w:uiPriority w:val="99"/>
    <w:rsid w:val="00DF1828"/>
    <w:rPr>
      <w:rFonts w:ascii="Arial" w:eastAsia="Times New Roman" w:hAnsi="Arial" w:cs="Times New Roman"/>
      <w:i/>
      <w:sz w:val="18"/>
      <w:szCs w:val="20"/>
    </w:rPr>
  </w:style>
  <w:style w:type="paragraph" w:styleId="BodyText">
    <w:name w:val="Body Text"/>
    <w:basedOn w:val="Normal"/>
    <w:link w:val="BodyTextChar"/>
    <w:uiPriority w:val="1"/>
    <w:qFormat/>
    <w:rsid w:val="00DF1828"/>
    <w:pPr>
      <w:widowControl w:val="0"/>
      <w:ind w:left="1380"/>
    </w:pPr>
    <w:rPr>
      <w:rFonts w:ascii="Arial Narrow" w:eastAsia="Arial Narrow" w:hAnsi="Arial Narrow"/>
      <w:sz w:val="22"/>
      <w:szCs w:val="22"/>
    </w:rPr>
  </w:style>
  <w:style w:type="character" w:customStyle="1" w:styleId="BodyTextChar">
    <w:name w:val="Body Text Char"/>
    <w:link w:val="BodyText"/>
    <w:uiPriority w:val="1"/>
    <w:rsid w:val="00DF1828"/>
    <w:rPr>
      <w:rFonts w:ascii="Arial Narrow" w:eastAsia="Arial Narrow" w:hAnsi="Arial Narrow"/>
      <w:sz w:val="22"/>
      <w:szCs w:val="22"/>
      <w:lang w:val="en-GB"/>
    </w:rPr>
  </w:style>
  <w:style w:type="paragraph" w:customStyle="1" w:styleId="ColorfulList-Accent11">
    <w:name w:val="Colorful List - Accent 11"/>
    <w:aliases w:val="List Paragraph (numbered (a)),Normal 1,List Paragraph 1,Akapit z listą BS,Bullets,List Paragraph1,Bullet1,NumberedParas,Dot pt,F5 List Paragraph,List Paragraph Char Char Char,Indicator Text,Numbered Para 1,Bullet 1"/>
    <w:basedOn w:val="Normal"/>
    <w:link w:val="ColorfulList-Accent1Char"/>
    <w:uiPriority w:val="34"/>
    <w:qFormat/>
    <w:rsid w:val="00DF1828"/>
    <w:pPr>
      <w:widowControl w:val="0"/>
    </w:pPr>
    <w:rPr>
      <w:sz w:val="22"/>
      <w:szCs w:val="22"/>
    </w:rPr>
  </w:style>
  <w:style w:type="character" w:customStyle="1" w:styleId="ColorfulList-Accent1Char">
    <w:name w:val="Colorful List - Accent 1 Char"/>
    <w:aliases w:val="List Paragraph (numbered (a)) Char,Normal 1 Char,List Paragraph 1 Char,Akapit z listą BS Char,Bullets Char,List Paragraph1 Char,Bullet1 Char,NumberedParas Char,Dot pt Char,F5 List Paragraph Char,Indicator Text Char"/>
    <w:link w:val="ColorfulList-Accent11"/>
    <w:uiPriority w:val="34"/>
    <w:qFormat/>
    <w:locked/>
    <w:rsid w:val="00DF1828"/>
    <w:rPr>
      <w:sz w:val="22"/>
      <w:szCs w:val="22"/>
      <w:lang w:val="en-GB"/>
    </w:rPr>
  </w:style>
  <w:style w:type="paragraph" w:customStyle="1" w:styleId="TableParagraph">
    <w:name w:val="Table Paragraph"/>
    <w:basedOn w:val="Normal"/>
    <w:uiPriority w:val="1"/>
    <w:qFormat/>
    <w:rsid w:val="00DF1828"/>
    <w:pPr>
      <w:widowControl w:val="0"/>
    </w:pPr>
    <w:rPr>
      <w:sz w:val="22"/>
      <w:szCs w:val="22"/>
    </w:rPr>
  </w:style>
  <w:style w:type="paragraph" w:styleId="Header">
    <w:name w:val="header"/>
    <w:basedOn w:val="Normal"/>
    <w:link w:val="HeaderChar"/>
    <w:uiPriority w:val="99"/>
    <w:unhideWhenUsed/>
    <w:rsid w:val="00DF1828"/>
    <w:pPr>
      <w:widowControl w:val="0"/>
      <w:tabs>
        <w:tab w:val="center" w:pos="4513"/>
        <w:tab w:val="right" w:pos="9026"/>
      </w:tabs>
    </w:pPr>
    <w:rPr>
      <w:sz w:val="22"/>
      <w:szCs w:val="22"/>
    </w:rPr>
  </w:style>
  <w:style w:type="character" w:customStyle="1" w:styleId="HeaderChar">
    <w:name w:val="Header Char"/>
    <w:link w:val="Header"/>
    <w:uiPriority w:val="99"/>
    <w:rsid w:val="00DF1828"/>
    <w:rPr>
      <w:sz w:val="22"/>
      <w:szCs w:val="22"/>
      <w:lang w:val="en-GB"/>
    </w:rPr>
  </w:style>
  <w:style w:type="paragraph" w:styleId="Footer">
    <w:name w:val="footer"/>
    <w:basedOn w:val="Normal"/>
    <w:link w:val="FooterChar"/>
    <w:uiPriority w:val="99"/>
    <w:unhideWhenUsed/>
    <w:rsid w:val="00DF1828"/>
    <w:pPr>
      <w:widowControl w:val="0"/>
      <w:tabs>
        <w:tab w:val="center" w:pos="4513"/>
        <w:tab w:val="right" w:pos="9026"/>
      </w:tabs>
    </w:pPr>
    <w:rPr>
      <w:sz w:val="22"/>
      <w:szCs w:val="22"/>
    </w:rPr>
  </w:style>
  <w:style w:type="character" w:customStyle="1" w:styleId="FooterChar">
    <w:name w:val="Footer Char"/>
    <w:link w:val="Footer"/>
    <w:uiPriority w:val="99"/>
    <w:rsid w:val="00DF1828"/>
    <w:rPr>
      <w:sz w:val="22"/>
      <w:szCs w:val="22"/>
      <w:lang w:val="en-GB"/>
    </w:rPr>
  </w:style>
  <w:style w:type="paragraph" w:styleId="BalloonText">
    <w:name w:val="Balloon Text"/>
    <w:basedOn w:val="Normal"/>
    <w:link w:val="BalloonTextChar"/>
    <w:uiPriority w:val="99"/>
    <w:semiHidden/>
    <w:unhideWhenUsed/>
    <w:rsid w:val="00DF1828"/>
    <w:pPr>
      <w:widowControl w:val="0"/>
    </w:pPr>
    <w:rPr>
      <w:rFonts w:ascii="Tahoma" w:hAnsi="Tahoma" w:cs="Tahoma"/>
      <w:sz w:val="16"/>
      <w:szCs w:val="16"/>
    </w:rPr>
  </w:style>
  <w:style w:type="character" w:customStyle="1" w:styleId="BalloonTextChar">
    <w:name w:val="Balloon Text Char"/>
    <w:link w:val="BalloonText"/>
    <w:uiPriority w:val="99"/>
    <w:semiHidden/>
    <w:rsid w:val="00DF1828"/>
    <w:rPr>
      <w:rFonts w:ascii="Tahoma" w:hAnsi="Tahoma" w:cs="Tahoma"/>
      <w:sz w:val="16"/>
      <w:szCs w:val="16"/>
      <w:lang w:val="en-GB"/>
    </w:rPr>
  </w:style>
  <w:style w:type="table" w:styleId="TableGrid">
    <w:name w:val="Table Grid"/>
    <w:basedOn w:val="TableNormal"/>
    <w:uiPriority w:val="39"/>
    <w:rsid w:val="00DF1828"/>
    <w:pPr>
      <w:widowControl w:val="0"/>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Heading1"/>
    <w:next w:val="Normal"/>
    <w:uiPriority w:val="39"/>
    <w:semiHidden/>
    <w:unhideWhenUsed/>
    <w:qFormat/>
    <w:rsid w:val="00DF1828"/>
    <w:pPr>
      <w:keepNext/>
      <w:keepLines/>
      <w:widowControl/>
      <w:spacing w:before="480" w:line="276" w:lineRule="auto"/>
      <w:ind w:left="0"/>
      <w:outlineLvl w:val="9"/>
    </w:pPr>
    <w:rPr>
      <w:rFonts w:ascii="Calibri Light" w:hAnsi="Calibri Light"/>
      <w:color w:val="2E74B5"/>
      <w:sz w:val="28"/>
      <w:szCs w:val="28"/>
      <w:lang w:eastAsia="ja-JP"/>
    </w:rPr>
  </w:style>
  <w:style w:type="paragraph" w:styleId="TOC1">
    <w:name w:val="toc 1"/>
    <w:basedOn w:val="Normal"/>
    <w:next w:val="Normal"/>
    <w:autoRedefine/>
    <w:uiPriority w:val="39"/>
    <w:unhideWhenUsed/>
    <w:qFormat/>
    <w:rsid w:val="00DF1828"/>
    <w:pPr>
      <w:widowControl w:val="0"/>
      <w:spacing w:after="100"/>
    </w:pPr>
    <w:rPr>
      <w:sz w:val="22"/>
      <w:szCs w:val="22"/>
    </w:rPr>
  </w:style>
  <w:style w:type="paragraph" w:styleId="TOC2">
    <w:name w:val="toc 2"/>
    <w:basedOn w:val="Normal"/>
    <w:next w:val="Normal"/>
    <w:autoRedefine/>
    <w:uiPriority w:val="39"/>
    <w:unhideWhenUsed/>
    <w:qFormat/>
    <w:rsid w:val="00DF1828"/>
    <w:pPr>
      <w:widowControl w:val="0"/>
      <w:spacing w:after="100"/>
      <w:ind w:left="220"/>
    </w:pPr>
    <w:rPr>
      <w:sz w:val="22"/>
      <w:szCs w:val="22"/>
    </w:rPr>
  </w:style>
  <w:style w:type="paragraph" w:styleId="TOC3">
    <w:name w:val="toc 3"/>
    <w:basedOn w:val="Normal"/>
    <w:next w:val="Normal"/>
    <w:autoRedefine/>
    <w:uiPriority w:val="39"/>
    <w:unhideWhenUsed/>
    <w:qFormat/>
    <w:rsid w:val="004D12D9"/>
    <w:pPr>
      <w:widowControl w:val="0"/>
      <w:tabs>
        <w:tab w:val="left" w:pos="1134"/>
        <w:tab w:val="right" w:leader="dot" w:pos="9632"/>
      </w:tabs>
      <w:spacing w:after="100"/>
      <w:ind w:left="567"/>
      <w:jc w:val="both"/>
    </w:pPr>
    <w:rPr>
      <w:sz w:val="22"/>
      <w:szCs w:val="22"/>
    </w:rPr>
  </w:style>
  <w:style w:type="character" w:styleId="Hyperlink">
    <w:name w:val="Hyperlink"/>
    <w:uiPriority w:val="99"/>
    <w:unhideWhenUsed/>
    <w:rsid w:val="00DF1828"/>
    <w:rPr>
      <w:color w:val="0563C1"/>
      <w:u w:val="single"/>
    </w:rPr>
  </w:style>
  <w:style w:type="paragraph" w:styleId="Caption">
    <w:name w:val="caption"/>
    <w:basedOn w:val="Normal"/>
    <w:next w:val="Normal"/>
    <w:uiPriority w:val="35"/>
    <w:qFormat/>
    <w:rsid w:val="00DF1828"/>
    <w:pPr>
      <w:widowControl w:val="0"/>
      <w:spacing w:after="200"/>
    </w:pPr>
    <w:rPr>
      <w:b/>
      <w:bCs/>
      <w:color w:val="5B9BD5"/>
      <w:sz w:val="18"/>
      <w:szCs w:val="18"/>
    </w:rPr>
  </w:style>
  <w:style w:type="paragraph" w:styleId="FootnoteText">
    <w:name w:val="footnote text"/>
    <w:aliases w:val="Footnote Text Char Char Char,Footnote Text Char Char,Fußnote,Testo nota a piè di pagina Carattere,Geneva 9,Font: Geneva 9,Boston 10,f,single space,FOOTNOTES,fn,ADB,pod carou,Char Char,Footnote Text1 Char Char,Char,Char Cha,Char Char Char,C"/>
    <w:basedOn w:val="Normal"/>
    <w:link w:val="FootnoteTextChar"/>
    <w:uiPriority w:val="99"/>
    <w:unhideWhenUsed/>
    <w:qFormat/>
    <w:rsid w:val="00DF1828"/>
    <w:pPr>
      <w:widowControl w:val="0"/>
    </w:pPr>
    <w:rPr>
      <w:sz w:val="20"/>
      <w:szCs w:val="20"/>
    </w:rPr>
  </w:style>
  <w:style w:type="character" w:customStyle="1" w:styleId="FootnoteTextChar">
    <w:name w:val="Footnote Text Char"/>
    <w:aliases w:val="Footnote Text Char Char Char Char,Footnote Text Char Char Char1,Fußnote Char,Testo nota a piè di pagina Carattere Char,Geneva 9 Char,Font: Geneva 9 Char,Boston 10 Char,f Char,single space Char,FOOTNOTES Char,fn Char,ADB Char,C Char"/>
    <w:link w:val="FootnoteText"/>
    <w:uiPriority w:val="99"/>
    <w:qFormat/>
    <w:rsid w:val="00DF1828"/>
    <w:rPr>
      <w:sz w:val="20"/>
      <w:szCs w:val="20"/>
      <w:lang w:val="en-GB"/>
    </w:rPr>
  </w:style>
  <w:style w:type="character" w:styleId="FootnoteReference">
    <w:name w:val="footnote reference"/>
    <w:aliases w:val="BVI fnr,16 Point,Superscript 6 Point,ftref,fr,Fußnotenzeichen DISS,Footnote,Footnote symbol,Char1 Char Char Char Char, Char1 Char Char Char Char,Odwołanie przypisu,nota pié di pagina,Footnote reference number,Times 10 Point,note TESI"/>
    <w:link w:val="BVIfnrCarCarCarCarChar"/>
    <w:uiPriority w:val="99"/>
    <w:unhideWhenUsed/>
    <w:qFormat/>
    <w:rsid w:val="00DF1828"/>
    <w:rPr>
      <w:vertAlign w:val="superscript"/>
    </w:rPr>
  </w:style>
  <w:style w:type="paragraph" w:customStyle="1" w:styleId="BVIfnrCarCarCarCarChar">
    <w:name w:val="BVI fnr Car Car Car Car Char"/>
    <w:basedOn w:val="Normal"/>
    <w:link w:val="FootnoteReference"/>
    <w:uiPriority w:val="99"/>
    <w:qFormat/>
    <w:rsid w:val="00763DBD"/>
    <w:pPr>
      <w:spacing w:after="160" w:line="240" w:lineRule="exact"/>
    </w:pPr>
    <w:rPr>
      <w:sz w:val="20"/>
      <w:szCs w:val="20"/>
      <w:vertAlign w:val="superscript"/>
      <w:lang w:eastAsia="sq-AL"/>
    </w:rPr>
  </w:style>
  <w:style w:type="paragraph" w:styleId="DocumentMap">
    <w:name w:val="Document Map"/>
    <w:basedOn w:val="Normal"/>
    <w:link w:val="DocumentMapChar"/>
    <w:uiPriority w:val="99"/>
    <w:semiHidden/>
    <w:unhideWhenUsed/>
    <w:rsid w:val="00DF1828"/>
    <w:pPr>
      <w:widowControl w:val="0"/>
    </w:pPr>
    <w:rPr>
      <w:rFonts w:ascii="Times New Roman" w:hAnsi="Times New Roman"/>
    </w:rPr>
  </w:style>
  <w:style w:type="character" w:customStyle="1" w:styleId="DocumentMapChar">
    <w:name w:val="Document Map Char"/>
    <w:link w:val="DocumentMap"/>
    <w:uiPriority w:val="99"/>
    <w:semiHidden/>
    <w:rsid w:val="00DF1828"/>
    <w:rPr>
      <w:rFonts w:ascii="Times New Roman" w:hAnsi="Times New Roman" w:cs="Times New Roman"/>
      <w:lang w:val="en-GB"/>
    </w:rPr>
  </w:style>
  <w:style w:type="character" w:styleId="PageNumber">
    <w:name w:val="page number"/>
    <w:uiPriority w:val="99"/>
    <w:semiHidden/>
    <w:unhideWhenUsed/>
    <w:rsid w:val="00DF1828"/>
  </w:style>
  <w:style w:type="character" w:customStyle="1" w:styleId="Notedebasdepage">
    <w:name w:val="Note de bas de page_"/>
    <w:link w:val="Notedebasdepage0"/>
    <w:uiPriority w:val="99"/>
    <w:rsid w:val="00DF1828"/>
    <w:rPr>
      <w:sz w:val="17"/>
      <w:szCs w:val="17"/>
      <w:shd w:val="clear" w:color="auto" w:fill="FFFFFF"/>
    </w:rPr>
  </w:style>
  <w:style w:type="paragraph" w:customStyle="1" w:styleId="Notedebasdepage0">
    <w:name w:val="Note de bas de page"/>
    <w:basedOn w:val="Normal"/>
    <w:link w:val="Notedebasdepage"/>
    <w:uiPriority w:val="99"/>
    <w:rsid w:val="00DF1828"/>
    <w:pPr>
      <w:widowControl w:val="0"/>
      <w:shd w:val="clear" w:color="auto" w:fill="FFFFFF"/>
      <w:spacing w:line="206" w:lineRule="exact"/>
      <w:ind w:hanging="180"/>
      <w:jc w:val="both"/>
    </w:pPr>
    <w:rPr>
      <w:sz w:val="17"/>
      <w:szCs w:val="17"/>
      <w:lang w:val="en-US"/>
    </w:rPr>
  </w:style>
  <w:style w:type="character" w:customStyle="1" w:styleId="Corpsdutexte2">
    <w:name w:val="Corps du texte (2)_"/>
    <w:link w:val="Corpsdutexte21"/>
    <w:uiPriority w:val="99"/>
    <w:rsid w:val="00DF1828"/>
    <w:rPr>
      <w:rFonts w:ascii="Arial" w:hAnsi="Arial" w:cs="Arial"/>
      <w:sz w:val="16"/>
      <w:szCs w:val="16"/>
      <w:shd w:val="clear" w:color="auto" w:fill="FFFFFF"/>
    </w:rPr>
  </w:style>
  <w:style w:type="paragraph" w:customStyle="1" w:styleId="Corpsdutexte21">
    <w:name w:val="Corps du texte (2)1"/>
    <w:basedOn w:val="Normal"/>
    <w:link w:val="Corpsdutexte2"/>
    <w:uiPriority w:val="99"/>
    <w:rsid w:val="00DF1828"/>
    <w:pPr>
      <w:widowControl w:val="0"/>
      <w:shd w:val="clear" w:color="auto" w:fill="FFFFFF"/>
      <w:spacing w:after="720" w:line="240" w:lineRule="atLeast"/>
      <w:jc w:val="right"/>
    </w:pPr>
    <w:rPr>
      <w:rFonts w:ascii="Arial" w:hAnsi="Arial" w:cs="Arial"/>
      <w:sz w:val="16"/>
      <w:szCs w:val="16"/>
      <w:lang w:val="en-US"/>
    </w:rPr>
  </w:style>
  <w:style w:type="character" w:customStyle="1" w:styleId="Corpsdutexte20">
    <w:name w:val="Corps du texte (2)"/>
    <w:uiPriority w:val="99"/>
    <w:rsid w:val="00DF1828"/>
    <w:rPr>
      <w:rFonts w:ascii="Arial" w:hAnsi="Arial" w:cs="Arial"/>
      <w:color w:val="000096"/>
      <w:sz w:val="16"/>
      <w:szCs w:val="16"/>
      <w:u w:val="none"/>
      <w:lang w:val="bg-BG" w:eastAsia="bg-BG"/>
    </w:rPr>
  </w:style>
  <w:style w:type="character" w:customStyle="1" w:styleId="Corpsdutexte24">
    <w:name w:val="Corps du texte (2)4"/>
    <w:uiPriority w:val="99"/>
    <w:rsid w:val="00DF1828"/>
    <w:rPr>
      <w:rFonts w:ascii="Arial" w:hAnsi="Arial" w:cs="Arial"/>
      <w:color w:val="4B4B4B"/>
      <w:sz w:val="16"/>
      <w:szCs w:val="16"/>
      <w:u w:val="none"/>
      <w:lang w:val="de-DE" w:eastAsia="de-DE"/>
    </w:rPr>
  </w:style>
  <w:style w:type="character" w:customStyle="1" w:styleId="Corpsdutexte3">
    <w:name w:val="Corps du texte (3)_"/>
    <w:link w:val="Corpsdutexte30"/>
    <w:uiPriority w:val="99"/>
    <w:rsid w:val="00DF1828"/>
    <w:rPr>
      <w:rFonts w:ascii="Arial" w:hAnsi="Arial" w:cs="Arial"/>
      <w:shd w:val="clear" w:color="auto" w:fill="FFFFFF"/>
      <w:lang w:val="fi-FI" w:eastAsia="fi-FI"/>
    </w:rPr>
  </w:style>
  <w:style w:type="paragraph" w:customStyle="1" w:styleId="Corpsdutexte30">
    <w:name w:val="Corps du texte (3)"/>
    <w:basedOn w:val="Normal"/>
    <w:link w:val="Corpsdutexte3"/>
    <w:uiPriority w:val="99"/>
    <w:rsid w:val="00DF1828"/>
    <w:pPr>
      <w:widowControl w:val="0"/>
      <w:shd w:val="clear" w:color="auto" w:fill="FFFFFF"/>
      <w:spacing w:before="720" w:after="60" w:line="240" w:lineRule="atLeast"/>
    </w:pPr>
    <w:rPr>
      <w:rFonts w:ascii="Arial" w:hAnsi="Arial" w:cs="Arial"/>
      <w:lang w:val="fi-FI" w:eastAsia="fi-FI"/>
    </w:rPr>
  </w:style>
  <w:style w:type="character" w:customStyle="1" w:styleId="Corpsdutexte4">
    <w:name w:val="Corps du texte (4)_"/>
    <w:link w:val="Corpsdutexte40"/>
    <w:uiPriority w:val="99"/>
    <w:rsid w:val="00DF1828"/>
    <w:rPr>
      <w:rFonts w:ascii="Arial" w:hAnsi="Arial" w:cs="Arial"/>
      <w:sz w:val="14"/>
      <w:szCs w:val="14"/>
      <w:shd w:val="clear" w:color="auto" w:fill="FFFFFF"/>
    </w:rPr>
  </w:style>
  <w:style w:type="paragraph" w:customStyle="1" w:styleId="Corpsdutexte40">
    <w:name w:val="Corps du texte (4)"/>
    <w:basedOn w:val="Normal"/>
    <w:link w:val="Corpsdutexte4"/>
    <w:uiPriority w:val="99"/>
    <w:rsid w:val="00DF1828"/>
    <w:pPr>
      <w:widowControl w:val="0"/>
      <w:shd w:val="clear" w:color="auto" w:fill="FFFFFF"/>
      <w:spacing w:before="60" w:after="5340" w:line="240" w:lineRule="atLeast"/>
    </w:pPr>
    <w:rPr>
      <w:rFonts w:ascii="Arial" w:hAnsi="Arial" w:cs="Arial"/>
      <w:sz w:val="14"/>
      <w:szCs w:val="14"/>
      <w:lang w:val="en-US"/>
    </w:rPr>
  </w:style>
  <w:style w:type="character" w:customStyle="1" w:styleId="Corpsdutexte5">
    <w:name w:val="Corps du texte (5)_"/>
    <w:link w:val="Corpsdutexte50"/>
    <w:uiPriority w:val="99"/>
    <w:rsid w:val="00DF1828"/>
    <w:rPr>
      <w:rFonts w:ascii="Times New Roman" w:hAnsi="Times New Roman" w:cs="Times New Roman"/>
      <w:b/>
      <w:bCs/>
      <w:sz w:val="31"/>
      <w:szCs w:val="31"/>
      <w:shd w:val="clear" w:color="auto" w:fill="FFFFFF"/>
      <w:lang w:val="de-DE" w:eastAsia="de-DE"/>
    </w:rPr>
  </w:style>
  <w:style w:type="paragraph" w:customStyle="1" w:styleId="Corpsdutexte50">
    <w:name w:val="Corps du texte (5)"/>
    <w:basedOn w:val="Normal"/>
    <w:link w:val="Corpsdutexte5"/>
    <w:uiPriority w:val="99"/>
    <w:rsid w:val="00DF1828"/>
    <w:pPr>
      <w:widowControl w:val="0"/>
      <w:shd w:val="clear" w:color="auto" w:fill="FFFFFF"/>
      <w:spacing w:before="5340" w:after="1800" w:line="370" w:lineRule="exact"/>
    </w:pPr>
    <w:rPr>
      <w:rFonts w:ascii="Times New Roman" w:hAnsi="Times New Roman"/>
      <w:b/>
      <w:bCs/>
      <w:sz w:val="31"/>
      <w:szCs w:val="31"/>
      <w:lang w:val="de-DE" w:eastAsia="de-DE"/>
    </w:rPr>
  </w:style>
  <w:style w:type="character" w:customStyle="1" w:styleId="Corpsdutexte6">
    <w:name w:val="Corps du texte (6)_"/>
    <w:link w:val="Corpsdutexte60"/>
    <w:uiPriority w:val="99"/>
    <w:rsid w:val="00DF1828"/>
    <w:rPr>
      <w:sz w:val="31"/>
      <w:szCs w:val="31"/>
      <w:shd w:val="clear" w:color="auto" w:fill="FFFFFF"/>
    </w:rPr>
  </w:style>
  <w:style w:type="paragraph" w:customStyle="1" w:styleId="Corpsdutexte60">
    <w:name w:val="Corps du texte (6)"/>
    <w:basedOn w:val="Normal"/>
    <w:link w:val="Corpsdutexte6"/>
    <w:uiPriority w:val="99"/>
    <w:rsid w:val="00DF1828"/>
    <w:pPr>
      <w:widowControl w:val="0"/>
      <w:shd w:val="clear" w:color="auto" w:fill="FFFFFF"/>
      <w:spacing w:before="1800" w:line="240" w:lineRule="atLeast"/>
    </w:pPr>
    <w:rPr>
      <w:sz w:val="31"/>
      <w:szCs w:val="31"/>
      <w:lang w:val="en-US"/>
    </w:rPr>
  </w:style>
  <w:style w:type="character" w:customStyle="1" w:styleId="Corpsdutexte">
    <w:name w:val="Corps du texte_"/>
    <w:link w:val="Corpsdutexte1"/>
    <w:uiPriority w:val="99"/>
    <w:rsid w:val="00DF1828"/>
    <w:rPr>
      <w:sz w:val="23"/>
      <w:szCs w:val="23"/>
      <w:shd w:val="clear" w:color="auto" w:fill="FFFFFF"/>
    </w:rPr>
  </w:style>
  <w:style w:type="paragraph" w:customStyle="1" w:styleId="Corpsdutexte1">
    <w:name w:val="Corps du texte1"/>
    <w:basedOn w:val="Normal"/>
    <w:link w:val="Corpsdutexte"/>
    <w:uiPriority w:val="99"/>
    <w:rsid w:val="00DF1828"/>
    <w:pPr>
      <w:widowControl w:val="0"/>
      <w:shd w:val="clear" w:color="auto" w:fill="FFFFFF"/>
      <w:spacing w:after="300" w:line="240" w:lineRule="atLeast"/>
      <w:jc w:val="both"/>
    </w:pPr>
    <w:rPr>
      <w:sz w:val="23"/>
      <w:szCs w:val="23"/>
      <w:lang w:val="en-US"/>
    </w:rPr>
  </w:style>
  <w:style w:type="character" w:customStyle="1" w:styleId="Corpsdutexte0">
    <w:name w:val="Corps du texte"/>
    <w:rsid w:val="00DF1828"/>
    <w:rPr>
      <w:sz w:val="23"/>
      <w:szCs w:val="23"/>
      <w:u w:val="single"/>
    </w:rPr>
  </w:style>
  <w:style w:type="character" w:customStyle="1" w:styleId="En-tteoupieddepage">
    <w:name w:val="En-tête ou pied de page_"/>
    <w:link w:val="En-tteoupieddepage0"/>
    <w:uiPriority w:val="99"/>
    <w:rsid w:val="00DF1828"/>
    <w:rPr>
      <w:rFonts w:ascii="Times New Roman" w:hAnsi="Times New Roman" w:cs="Times New Roman"/>
      <w:noProof/>
      <w:sz w:val="20"/>
      <w:szCs w:val="20"/>
      <w:shd w:val="clear" w:color="auto" w:fill="FFFFFF"/>
    </w:rPr>
  </w:style>
  <w:style w:type="paragraph" w:customStyle="1" w:styleId="En-tteoupieddepage0">
    <w:name w:val="En-tête ou pied de page"/>
    <w:basedOn w:val="Normal"/>
    <w:link w:val="En-tteoupieddepage"/>
    <w:uiPriority w:val="99"/>
    <w:rsid w:val="00DF1828"/>
    <w:pPr>
      <w:widowControl w:val="0"/>
      <w:shd w:val="clear" w:color="auto" w:fill="FFFFFF"/>
    </w:pPr>
    <w:rPr>
      <w:rFonts w:ascii="Times New Roman" w:hAnsi="Times New Roman"/>
      <w:noProof/>
      <w:sz w:val="20"/>
      <w:szCs w:val="20"/>
      <w:lang w:val="en-US"/>
    </w:rPr>
  </w:style>
  <w:style w:type="character" w:customStyle="1" w:styleId="En-tteoupieddepage11pt">
    <w:name w:val="En-tête ou pied de page + 11 pt"/>
    <w:uiPriority w:val="99"/>
    <w:rsid w:val="00DF1828"/>
    <w:rPr>
      <w:rFonts w:ascii="Times New Roman" w:hAnsi="Times New Roman" w:cs="Times New Roman"/>
      <w:noProof/>
      <w:sz w:val="22"/>
      <w:szCs w:val="22"/>
      <w:u w:val="none"/>
    </w:rPr>
  </w:style>
  <w:style w:type="character" w:customStyle="1" w:styleId="CorpsdutexteItalique">
    <w:name w:val="Corps du texte + Italique"/>
    <w:uiPriority w:val="99"/>
    <w:rsid w:val="00DF1828"/>
    <w:rPr>
      <w:i/>
      <w:iCs/>
      <w:sz w:val="23"/>
      <w:szCs w:val="23"/>
      <w:u w:val="none"/>
    </w:rPr>
  </w:style>
  <w:style w:type="character" w:customStyle="1" w:styleId="Corpsdutexte31">
    <w:name w:val="Corps du texte3"/>
    <w:uiPriority w:val="99"/>
    <w:rsid w:val="00DF1828"/>
    <w:rPr>
      <w:sz w:val="23"/>
      <w:szCs w:val="23"/>
      <w:u w:val="none"/>
    </w:rPr>
  </w:style>
  <w:style w:type="character" w:customStyle="1" w:styleId="CorpsdutexteGras">
    <w:name w:val="Corps du texte + Gras"/>
    <w:uiPriority w:val="99"/>
    <w:rsid w:val="00DF1828"/>
    <w:rPr>
      <w:rFonts w:ascii="Times New Roman" w:hAnsi="Times New Roman" w:cs="Times New Roman"/>
      <w:b/>
      <w:bCs/>
      <w:noProof/>
      <w:sz w:val="23"/>
      <w:szCs w:val="23"/>
      <w:u w:val="none"/>
    </w:rPr>
  </w:style>
  <w:style w:type="character" w:customStyle="1" w:styleId="CorpsdutexteGras4">
    <w:name w:val="Corps du texte + Gras4"/>
    <w:uiPriority w:val="99"/>
    <w:rsid w:val="00DF1828"/>
    <w:rPr>
      <w:b/>
      <w:bCs/>
      <w:sz w:val="23"/>
      <w:szCs w:val="23"/>
      <w:u w:val="single"/>
    </w:rPr>
  </w:style>
  <w:style w:type="character" w:customStyle="1" w:styleId="Corpsdutexte10pt">
    <w:name w:val="Corps du texte + 10 pt"/>
    <w:uiPriority w:val="99"/>
    <w:rsid w:val="00DF1828"/>
    <w:rPr>
      <w:color w:val="0000FF"/>
      <w:sz w:val="20"/>
      <w:szCs w:val="20"/>
      <w:u w:val="single"/>
    </w:rPr>
  </w:style>
  <w:style w:type="character" w:customStyle="1" w:styleId="Corpsdutexte7">
    <w:name w:val="Corps du texte (7)_"/>
    <w:link w:val="Corpsdutexte71"/>
    <w:uiPriority w:val="99"/>
    <w:rsid w:val="00DF1828"/>
    <w:rPr>
      <w:b/>
      <w:bCs/>
      <w:sz w:val="23"/>
      <w:szCs w:val="23"/>
      <w:shd w:val="clear" w:color="auto" w:fill="FFFFFF"/>
    </w:rPr>
  </w:style>
  <w:style w:type="paragraph" w:customStyle="1" w:styleId="Corpsdutexte71">
    <w:name w:val="Corps du texte (7)1"/>
    <w:basedOn w:val="Normal"/>
    <w:link w:val="Corpsdutexte7"/>
    <w:uiPriority w:val="99"/>
    <w:rsid w:val="00DF1828"/>
    <w:pPr>
      <w:widowControl w:val="0"/>
      <w:shd w:val="clear" w:color="auto" w:fill="FFFFFF"/>
      <w:spacing w:after="540" w:line="240" w:lineRule="atLeast"/>
      <w:jc w:val="center"/>
    </w:pPr>
    <w:rPr>
      <w:b/>
      <w:bCs/>
      <w:sz w:val="23"/>
      <w:szCs w:val="23"/>
      <w:lang w:val="en-US"/>
    </w:rPr>
  </w:style>
  <w:style w:type="character" w:customStyle="1" w:styleId="Corpsdutexte70">
    <w:name w:val="Corps du texte (7)"/>
    <w:uiPriority w:val="99"/>
    <w:rsid w:val="00DF1828"/>
    <w:rPr>
      <w:rFonts w:ascii="Times New Roman" w:hAnsi="Times New Roman" w:cs="Times New Roman"/>
      <w:b/>
      <w:bCs/>
      <w:sz w:val="23"/>
      <w:szCs w:val="23"/>
      <w:u w:val="single"/>
      <w:lang w:val="de-DE" w:eastAsia="de-DE"/>
    </w:rPr>
  </w:style>
  <w:style w:type="character" w:customStyle="1" w:styleId="Corpsdutexte710pt">
    <w:name w:val="Corps du texte (7) + 10 pt"/>
    <w:aliases w:val="Non Gras"/>
    <w:uiPriority w:val="99"/>
    <w:rsid w:val="00DF1828"/>
    <w:rPr>
      <w:b/>
      <w:bCs/>
      <w:sz w:val="20"/>
      <w:szCs w:val="20"/>
      <w:u w:val="none"/>
    </w:rPr>
  </w:style>
  <w:style w:type="character" w:customStyle="1" w:styleId="Corpsdutexte8">
    <w:name w:val="Corps du texte (8)_"/>
    <w:link w:val="Corpsdutexte80"/>
    <w:uiPriority w:val="99"/>
    <w:rsid w:val="00DF1828"/>
    <w:rPr>
      <w:i/>
      <w:iCs/>
      <w:sz w:val="21"/>
      <w:szCs w:val="21"/>
      <w:shd w:val="clear" w:color="auto" w:fill="FFFFFF"/>
    </w:rPr>
  </w:style>
  <w:style w:type="paragraph" w:customStyle="1" w:styleId="Corpsdutexte80">
    <w:name w:val="Corps du texte (8)"/>
    <w:basedOn w:val="Normal"/>
    <w:link w:val="Corpsdutexte8"/>
    <w:uiPriority w:val="99"/>
    <w:rsid w:val="00DF1828"/>
    <w:pPr>
      <w:widowControl w:val="0"/>
      <w:shd w:val="clear" w:color="auto" w:fill="FFFFFF"/>
      <w:spacing w:before="180" w:after="180" w:line="240" w:lineRule="atLeast"/>
      <w:ind w:hanging="340"/>
      <w:jc w:val="both"/>
    </w:pPr>
    <w:rPr>
      <w:i/>
      <w:iCs/>
      <w:sz w:val="21"/>
      <w:szCs w:val="21"/>
      <w:lang w:val="en-US"/>
    </w:rPr>
  </w:style>
  <w:style w:type="character" w:customStyle="1" w:styleId="Corpsdutexte8NonItalique">
    <w:name w:val="Corps du texte (8) + Non Italique"/>
    <w:uiPriority w:val="99"/>
    <w:rsid w:val="00DF1828"/>
    <w:rPr>
      <w:i/>
      <w:iCs/>
      <w:sz w:val="21"/>
      <w:szCs w:val="21"/>
      <w:u w:val="none"/>
    </w:rPr>
  </w:style>
  <w:style w:type="character" w:customStyle="1" w:styleId="Corpsdutexte710pt5">
    <w:name w:val="Corps du texte (7) + 10 pt5"/>
    <w:aliases w:val="Italique,Espacement 1 pt"/>
    <w:uiPriority w:val="99"/>
    <w:rsid w:val="00DF1828"/>
    <w:rPr>
      <w:rFonts w:ascii="Times New Roman" w:hAnsi="Times New Roman" w:cs="Times New Roman"/>
      <w:b/>
      <w:bCs/>
      <w:i/>
      <w:iCs/>
      <w:spacing w:val="20"/>
      <w:sz w:val="20"/>
      <w:szCs w:val="20"/>
      <w:u w:val="none"/>
      <w:lang w:val="sl-SI" w:eastAsia="sl-SI"/>
    </w:rPr>
  </w:style>
  <w:style w:type="character" w:customStyle="1" w:styleId="Corpsdutexte9">
    <w:name w:val="Corps du texte (9)_"/>
    <w:link w:val="Corpsdutexte90"/>
    <w:uiPriority w:val="99"/>
    <w:rsid w:val="00DF1828"/>
    <w:rPr>
      <w:b/>
      <w:bCs/>
      <w:i/>
      <w:iCs/>
      <w:sz w:val="21"/>
      <w:szCs w:val="21"/>
      <w:shd w:val="clear" w:color="auto" w:fill="FFFFFF"/>
    </w:rPr>
  </w:style>
  <w:style w:type="paragraph" w:customStyle="1" w:styleId="Corpsdutexte90">
    <w:name w:val="Corps du texte (9)"/>
    <w:basedOn w:val="Normal"/>
    <w:link w:val="Corpsdutexte9"/>
    <w:uiPriority w:val="99"/>
    <w:rsid w:val="00DF1828"/>
    <w:pPr>
      <w:widowControl w:val="0"/>
      <w:shd w:val="clear" w:color="auto" w:fill="FFFFFF"/>
      <w:spacing w:before="300" w:after="300" w:line="240" w:lineRule="atLeast"/>
      <w:jc w:val="both"/>
    </w:pPr>
    <w:rPr>
      <w:b/>
      <w:bCs/>
      <w:i/>
      <w:iCs/>
      <w:sz w:val="21"/>
      <w:szCs w:val="21"/>
      <w:lang w:val="en-US"/>
    </w:rPr>
  </w:style>
  <w:style w:type="character" w:customStyle="1" w:styleId="Corpsdutexte710pt4">
    <w:name w:val="Corps du texte (7) + 10 pt4"/>
    <w:aliases w:val="Non Gras2"/>
    <w:uiPriority w:val="99"/>
    <w:rsid w:val="00DF1828"/>
    <w:rPr>
      <w:b/>
      <w:bCs/>
      <w:sz w:val="20"/>
      <w:szCs w:val="20"/>
      <w:u w:val="none"/>
    </w:rPr>
  </w:style>
  <w:style w:type="character" w:customStyle="1" w:styleId="Corpsdutexte8NonItalique3">
    <w:name w:val="Corps du texte (8) + Non Italique3"/>
    <w:uiPriority w:val="99"/>
    <w:rsid w:val="00DF1828"/>
    <w:rPr>
      <w:i/>
      <w:iCs/>
      <w:sz w:val="21"/>
      <w:szCs w:val="21"/>
      <w:u w:val="none"/>
    </w:rPr>
  </w:style>
  <w:style w:type="character" w:customStyle="1" w:styleId="Corpsdutexte710pt3">
    <w:name w:val="Corps du texte (7) + 10 pt3"/>
    <w:aliases w:val="Italique2,Espacement 1 pt2"/>
    <w:uiPriority w:val="99"/>
    <w:rsid w:val="00DF1828"/>
    <w:rPr>
      <w:rFonts w:ascii="Times New Roman" w:hAnsi="Times New Roman" w:cs="Times New Roman"/>
      <w:b/>
      <w:bCs/>
      <w:i/>
      <w:iCs/>
      <w:spacing w:val="20"/>
      <w:sz w:val="20"/>
      <w:szCs w:val="20"/>
      <w:u w:val="none"/>
      <w:lang w:val="sl-SI" w:eastAsia="sl-SI"/>
    </w:rPr>
  </w:style>
  <w:style w:type="character" w:customStyle="1" w:styleId="Corpsdutexte8NonItalique2">
    <w:name w:val="Corps du texte (8) + Non Italique2"/>
    <w:uiPriority w:val="99"/>
    <w:rsid w:val="00DF1828"/>
    <w:rPr>
      <w:i/>
      <w:iCs/>
      <w:sz w:val="21"/>
      <w:szCs w:val="21"/>
      <w:u w:val="none"/>
    </w:rPr>
  </w:style>
  <w:style w:type="character" w:customStyle="1" w:styleId="Corpsdutexte710pt2">
    <w:name w:val="Corps du texte (7) + 10 pt2"/>
    <w:aliases w:val="Italique1,Espacement 1 pt1"/>
    <w:uiPriority w:val="99"/>
    <w:rsid w:val="00DF1828"/>
    <w:rPr>
      <w:rFonts w:ascii="Times New Roman" w:hAnsi="Times New Roman" w:cs="Times New Roman"/>
      <w:b/>
      <w:bCs/>
      <w:i/>
      <w:iCs/>
      <w:spacing w:val="20"/>
      <w:sz w:val="20"/>
      <w:szCs w:val="20"/>
      <w:u w:val="none"/>
      <w:lang w:val="sl-SI" w:eastAsia="sl-SI"/>
    </w:rPr>
  </w:style>
  <w:style w:type="character" w:customStyle="1" w:styleId="Corpsdutexte710pt1">
    <w:name w:val="Corps du texte (7) + 10 pt1"/>
    <w:aliases w:val="Non Gras1"/>
    <w:uiPriority w:val="99"/>
    <w:rsid w:val="00DF1828"/>
    <w:rPr>
      <w:b/>
      <w:bCs/>
      <w:sz w:val="20"/>
      <w:szCs w:val="20"/>
      <w:u w:val="none"/>
    </w:rPr>
  </w:style>
  <w:style w:type="character" w:customStyle="1" w:styleId="Corpsdutexte8NonItalique1">
    <w:name w:val="Corps du texte (8) + Non Italique1"/>
    <w:uiPriority w:val="99"/>
    <w:rsid w:val="00DF1828"/>
    <w:rPr>
      <w:i/>
      <w:iCs/>
      <w:sz w:val="21"/>
      <w:szCs w:val="21"/>
      <w:u w:val="none"/>
    </w:rPr>
  </w:style>
  <w:style w:type="character" w:customStyle="1" w:styleId="En-tte1">
    <w:name w:val="En-tête #1_"/>
    <w:link w:val="En-tte11"/>
    <w:uiPriority w:val="99"/>
    <w:rsid w:val="00DF1828"/>
    <w:rPr>
      <w:b/>
      <w:bCs/>
      <w:sz w:val="23"/>
      <w:szCs w:val="23"/>
      <w:shd w:val="clear" w:color="auto" w:fill="FFFFFF"/>
    </w:rPr>
  </w:style>
  <w:style w:type="paragraph" w:customStyle="1" w:styleId="En-tte11">
    <w:name w:val="En-tête #11"/>
    <w:basedOn w:val="Normal"/>
    <w:link w:val="En-tte1"/>
    <w:uiPriority w:val="99"/>
    <w:rsid w:val="00DF1828"/>
    <w:pPr>
      <w:widowControl w:val="0"/>
      <w:shd w:val="clear" w:color="auto" w:fill="FFFFFF"/>
      <w:spacing w:after="600" w:line="240" w:lineRule="atLeast"/>
      <w:ind w:hanging="360"/>
      <w:jc w:val="center"/>
      <w:outlineLvl w:val="0"/>
    </w:pPr>
    <w:rPr>
      <w:b/>
      <w:bCs/>
      <w:sz w:val="23"/>
      <w:szCs w:val="23"/>
      <w:lang w:val="en-US"/>
    </w:rPr>
  </w:style>
  <w:style w:type="character" w:customStyle="1" w:styleId="En-tte10">
    <w:name w:val="En-tête #1"/>
    <w:uiPriority w:val="99"/>
    <w:rsid w:val="00DF1828"/>
    <w:rPr>
      <w:b/>
      <w:bCs/>
      <w:sz w:val="23"/>
      <w:szCs w:val="23"/>
      <w:u w:val="single"/>
    </w:rPr>
  </w:style>
  <w:style w:type="character" w:customStyle="1" w:styleId="Corpsdutexte12">
    <w:name w:val="Corps du texte (12)_"/>
    <w:link w:val="Corpsdutexte120"/>
    <w:uiPriority w:val="99"/>
    <w:rsid w:val="00DF1828"/>
    <w:rPr>
      <w:i/>
      <w:iCs/>
      <w:sz w:val="23"/>
      <w:szCs w:val="23"/>
      <w:shd w:val="clear" w:color="auto" w:fill="FFFFFF"/>
    </w:rPr>
  </w:style>
  <w:style w:type="paragraph" w:customStyle="1" w:styleId="Corpsdutexte120">
    <w:name w:val="Corps du texte (12)"/>
    <w:basedOn w:val="Normal"/>
    <w:link w:val="Corpsdutexte12"/>
    <w:uiPriority w:val="99"/>
    <w:rsid w:val="00DF1828"/>
    <w:pPr>
      <w:widowControl w:val="0"/>
      <w:shd w:val="clear" w:color="auto" w:fill="FFFFFF"/>
      <w:spacing w:before="300" w:after="180" w:line="274" w:lineRule="exact"/>
      <w:ind w:hanging="360"/>
    </w:pPr>
    <w:rPr>
      <w:i/>
      <w:iCs/>
      <w:sz w:val="23"/>
      <w:szCs w:val="23"/>
      <w:lang w:val="en-US"/>
    </w:rPr>
  </w:style>
  <w:style w:type="character" w:customStyle="1" w:styleId="Corpsdutexte10">
    <w:name w:val="Corps du texte (10)_"/>
    <w:link w:val="Corpsdutexte101"/>
    <w:uiPriority w:val="99"/>
    <w:rsid w:val="00DF1828"/>
    <w:rPr>
      <w:rFonts w:ascii="Arial" w:hAnsi="Arial" w:cs="Arial"/>
      <w:b/>
      <w:bCs/>
      <w:sz w:val="17"/>
      <w:szCs w:val="17"/>
      <w:shd w:val="clear" w:color="auto" w:fill="FFFFFF"/>
    </w:rPr>
  </w:style>
  <w:style w:type="paragraph" w:customStyle="1" w:styleId="Corpsdutexte101">
    <w:name w:val="Corps du texte (10)1"/>
    <w:basedOn w:val="Normal"/>
    <w:link w:val="Corpsdutexte10"/>
    <w:uiPriority w:val="99"/>
    <w:rsid w:val="00DF1828"/>
    <w:pPr>
      <w:widowControl w:val="0"/>
      <w:shd w:val="clear" w:color="auto" w:fill="FFFFFF"/>
      <w:spacing w:line="240" w:lineRule="atLeast"/>
    </w:pPr>
    <w:rPr>
      <w:rFonts w:ascii="Arial" w:hAnsi="Arial" w:cs="Arial"/>
      <w:b/>
      <w:bCs/>
      <w:sz w:val="17"/>
      <w:szCs w:val="17"/>
      <w:lang w:val="en-US"/>
    </w:rPr>
  </w:style>
  <w:style w:type="character" w:customStyle="1" w:styleId="Corpsdutexte100">
    <w:name w:val="Corps du texte (10)"/>
    <w:uiPriority w:val="99"/>
    <w:rsid w:val="00DF1828"/>
    <w:rPr>
      <w:rFonts w:ascii="Arial" w:hAnsi="Arial" w:cs="Arial"/>
      <w:b/>
      <w:bCs/>
      <w:color w:val="FF0000"/>
      <w:sz w:val="17"/>
      <w:szCs w:val="17"/>
      <w:u w:val="none"/>
    </w:rPr>
  </w:style>
  <w:style w:type="character" w:customStyle="1" w:styleId="Corpsdutexte23">
    <w:name w:val="Corps du texte (2)3"/>
    <w:uiPriority w:val="99"/>
    <w:rsid w:val="00DF1828"/>
    <w:rPr>
      <w:rFonts w:ascii="Arial" w:hAnsi="Arial" w:cs="Arial"/>
      <w:color w:val="FF0000"/>
      <w:sz w:val="16"/>
      <w:szCs w:val="16"/>
      <w:u w:val="none"/>
    </w:rPr>
  </w:style>
  <w:style w:type="character" w:customStyle="1" w:styleId="Corpsdutexte22">
    <w:name w:val="Corps du texte (2)2"/>
    <w:uiPriority w:val="99"/>
    <w:rsid w:val="00DF1828"/>
    <w:rPr>
      <w:rFonts w:ascii="Arial" w:hAnsi="Arial" w:cs="Arial"/>
      <w:color w:val="FF0000"/>
      <w:sz w:val="16"/>
      <w:szCs w:val="16"/>
      <w:u w:val="none"/>
    </w:rPr>
  </w:style>
  <w:style w:type="character" w:customStyle="1" w:styleId="Corpsdutexte2Exact">
    <w:name w:val="Corps du texte (2) Exact"/>
    <w:uiPriority w:val="99"/>
    <w:rsid w:val="00DF1828"/>
    <w:rPr>
      <w:rFonts w:ascii="Arial" w:hAnsi="Arial" w:cs="Arial"/>
      <w:spacing w:val="5"/>
      <w:sz w:val="15"/>
      <w:szCs w:val="15"/>
      <w:u w:val="none"/>
    </w:rPr>
  </w:style>
  <w:style w:type="character" w:customStyle="1" w:styleId="Corpsdutexte13">
    <w:name w:val="Corps du texte (13)_"/>
    <w:link w:val="Corpsdutexte130"/>
    <w:uiPriority w:val="99"/>
    <w:rsid w:val="00DF1828"/>
    <w:rPr>
      <w:rFonts w:ascii="Times New Roman" w:hAnsi="Times New Roman" w:cs="Times New Roman"/>
      <w:sz w:val="17"/>
      <w:szCs w:val="17"/>
      <w:shd w:val="clear" w:color="auto" w:fill="FFFFFF"/>
      <w:lang w:val="sk-SK" w:eastAsia="sk-SK"/>
    </w:rPr>
  </w:style>
  <w:style w:type="paragraph" w:customStyle="1" w:styleId="Corpsdutexte130">
    <w:name w:val="Corps du texte (13)"/>
    <w:basedOn w:val="Normal"/>
    <w:link w:val="Corpsdutexte13"/>
    <w:uiPriority w:val="99"/>
    <w:rsid w:val="00DF1828"/>
    <w:pPr>
      <w:widowControl w:val="0"/>
      <w:shd w:val="clear" w:color="auto" w:fill="FFFFFF"/>
      <w:spacing w:line="240" w:lineRule="atLeast"/>
      <w:jc w:val="right"/>
    </w:pPr>
    <w:rPr>
      <w:rFonts w:ascii="Times New Roman" w:hAnsi="Times New Roman"/>
      <w:sz w:val="17"/>
      <w:szCs w:val="17"/>
      <w:lang w:val="sk-SK" w:eastAsia="sk-SK"/>
    </w:rPr>
  </w:style>
  <w:style w:type="character" w:customStyle="1" w:styleId="CorpsdutexteGras3">
    <w:name w:val="Corps du texte + Gras3"/>
    <w:uiPriority w:val="99"/>
    <w:rsid w:val="00DF1828"/>
    <w:rPr>
      <w:rFonts w:ascii="Times New Roman" w:hAnsi="Times New Roman" w:cs="Times New Roman"/>
      <w:b/>
      <w:bCs/>
      <w:sz w:val="23"/>
      <w:szCs w:val="23"/>
      <w:u w:val="none"/>
      <w:lang w:val="sl-SI" w:eastAsia="sl-SI"/>
    </w:rPr>
  </w:style>
  <w:style w:type="character" w:customStyle="1" w:styleId="CorpsdutexteGras2">
    <w:name w:val="Corps du texte + Gras2"/>
    <w:uiPriority w:val="99"/>
    <w:rsid w:val="00DF1828"/>
    <w:rPr>
      <w:rFonts w:ascii="Times New Roman" w:hAnsi="Times New Roman" w:cs="Times New Roman"/>
      <w:b/>
      <w:bCs/>
      <w:sz w:val="23"/>
      <w:szCs w:val="23"/>
      <w:u w:val="none"/>
      <w:lang w:val="sl-SI" w:eastAsia="sl-SI"/>
    </w:rPr>
  </w:style>
  <w:style w:type="character" w:customStyle="1" w:styleId="Corpsdutexte25">
    <w:name w:val="Corps du texte2"/>
    <w:uiPriority w:val="99"/>
    <w:rsid w:val="00DF1828"/>
    <w:rPr>
      <w:sz w:val="23"/>
      <w:szCs w:val="23"/>
      <w:u w:val="none"/>
    </w:rPr>
  </w:style>
  <w:style w:type="character" w:customStyle="1" w:styleId="CorpsdutexteItalique2">
    <w:name w:val="Corps du texte + Italique2"/>
    <w:uiPriority w:val="99"/>
    <w:rsid w:val="00DF1828"/>
    <w:rPr>
      <w:i/>
      <w:iCs/>
      <w:sz w:val="23"/>
      <w:szCs w:val="23"/>
      <w:u w:val="none"/>
    </w:rPr>
  </w:style>
  <w:style w:type="character" w:customStyle="1" w:styleId="CorpsdutexteItalique1">
    <w:name w:val="Corps du texte + Italique1"/>
    <w:uiPriority w:val="99"/>
    <w:rsid w:val="00DF1828"/>
    <w:rPr>
      <w:i/>
      <w:iCs/>
      <w:sz w:val="23"/>
      <w:szCs w:val="23"/>
      <w:u w:val="none"/>
    </w:rPr>
  </w:style>
  <w:style w:type="character" w:customStyle="1" w:styleId="Corpsdutexte11Exact">
    <w:name w:val="Corps du texte (11) Exact"/>
    <w:link w:val="Corpsdutexte11"/>
    <w:uiPriority w:val="99"/>
    <w:rsid w:val="00DF1828"/>
    <w:rPr>
      <w:rFonts w:ascii="Times New Roman" w:hAnsi="Times New Roman" w:cs="Times New Roman"/>
      <w:sz w:val="20"/>
      <w:szCs w:val="20"/>
      <w:shd w:val="clear" w:color="auto" w:fill="FFFFFF"/>
      <w:lang w:val="bg-BG" w:eastAsia="bg-BG"/>
    </w:rPr>
  </w:style>
  <w:style w:type="paragraph" w:customStyle="1" w:styleId="Corpsdutexte11">
    <w:name w:val="Corps du texte (11)"/>
    <w:basedOn w:val="Normal"/>
    <w:link w:val="Corpsdutexte11Exact"/>
    <w:uiPriority w:val="99"/>
    <w:rsid w:val="00DF1828"/>
    <w:pPr>
      <w:widowControl w:val="0"/>
      <w:shd w:val="clear" w:color="auto" w:fill="FFFFFF"/>
      <w:spacing w:line="240" w:lineRule="atLeast"/>
    </w:pPr>
    <w:rPr>
      <w:rFonts w:ascii="Times New Roman" w:hAnsi="Times New Roman"/>
      <w:sz w:val="20"/>
      <w:szCs w:val="20"/>
      <w:lang w:val="bg-BG" w:eastAsia="bg-BG"/>
    </w:rPr>
  </w:style>
  <w:style w:type="character" w:customStyle="1" w:styleId="CorpsdutexteGras1">
    <w:name w:val="Corps du texte + Gras1"/>
    <w:uiPriority w:val="99"/>
    <w:rsid w:val="00DF1828"/>
    <w:rPr>
      <w:rFonts w:ascii="Times New Roman" w:hAnsi="Times New Roman" w:cs="Times New Roman"/>
      <w:b/>
      <w:bCs/>
      <w:sz w:val="23"/>
      <w:szCs w:val="23"/>
      <w:u w:val="none"/>
      <w:lang w:val="sl-SI" w:eastAsia="sl-SI"/>
    </w:rPr>
  </w:style>
  <w:style w:type="character" w:customStyle="1" w:styleId="Corpsdutexte14">
    <w:name w:val="Corps du texte (14)_"/>
    <w:link w:val="Corpsdutexte140"/>
    <w:uiPriority w:val="99"/>
    <w:rsid w:val="00DF1828"/>
    <w:rPr>
      <w:rFonts w:ascii="Arial" w:hAnsi="Arial" w:cs="Arial"/>
      <w:b/>
      <w:bCs/>
      <w:i/>
      <w:iCs/>
      <w:sz w:val="17"/>
      <w:szCs w:val="17"/>
      <w:shd w:val="clear" w:color="auto" w:fill="FFFFFF"/>
    </w:rPr>
  </w:style>
  <w:style w:type="paragraph" w:customStyle="1" w:styleId="Corpsdutexte140">
    <w:name w:val="Corps du texte (14)"/>
    <w:basedOn w:val="Normal"/>
    <w:link w:val="Corpsdutexte14"/>
    <w:uiPriority w:val="99"/>
    <w:rsid w:val="00DF1828"/>
    <w:pPr>
      <w:widowControl w:val="0"/>
      <w:shd w:val="clear" w:color="auto" w:fill="FFFFFF"/>
      <w:spacing w:line="240" w:lineRule="atLeast"/>
      <w:jc w:val="center"/>
    </w:pPr>
    <w:rPr>
      <w:rFonts w:ascii="Arial" w:hAnsi="Arial" w:cs="Arial"/>
      <w:b/>
      <w:bCs/>
      <w:i/>
      <w:iCs/>
      <w:sz w:val="17"/>
      <w:szCs w:val="17"/>
      <w:lang w:val="en-US"/>
    </w:rPr>
  </w:style>
  <w:style w:type="character" w:customStyle="1" w:styleId="En-tte12">
    <w:name w:val="En-tête #12"/>
    <w:uiPriority w:val="99"/>
    <w:rsid w:val="00DF1828"/>
    <w:rPr>
      <w:rFonts w:ascii="Times New Roman" w:hAnsi="Times New Roman" w:cs="Times New Roman"/>
      <w:b/>
      <w:bCs/>
      <w:noProof/>
      <w:sz w:val="23"/>
      <w:szCs w:val="23"/>
      <w:u w:val="single"/>
    </w:rPr>
  </w:style>
  <w:style w:type="character" w:styleId="CommentReference">
    <w:name w:val="annotation reference"/>
    <w:uiPriority w:val="99"/>
    <w:unhideWhenUsed/>
    <w:qFormat/>
    <w:rsid w:val="00DF1828"/>
    <w:rPr>
      <w:sz w:val="16"/>
      <w:szCs w:val="16"/>
    </w:rPr>
  </w:style>
  <w:style w:type="paragraph" w:styleId="CommentText">
    <w:name w:val="annotation text"/>
    <w:basedOn w:val="Normal"/>
    <w:link w:val="CommentTextChar"/>
    <w:uiPriority w:val="99"/>
    <w:unhideWhenUsed/>
    <w:qFormat/>
    <w:rsid w:val="00DF1828"/>
    <w:pPr>
      <w:widowControl w:val="0"/>
    </w:pPr>
    <w:rPr>
      <w:rFonts w:ascii="Times New Roman" w:eastAsia="Times New Roman" w:hAnsi="Times New Roman"/>
      <w:color w:val="000000"/>
      <w:sz w:val="20"/>
      <w:szCs w:val="20"/>
    </w:rPr>
  </w:style>
  <w:style w:type="character" w:customStyle="1" w:styleId="CommentTextChar">
    <w:name w:val="Comment Text Char"/>
    <w:link w:val="CommentText"/>
    <w:uiPriority w:val="99"/>
    <w:qFormat/>
    <w:rsid w:val="00DF1828"/>
    <w:rPr>
      <w:rFonts w:ascii="Times New Roman" w:eastAsia="Times New Roman" w:hAnsi="Times New Roman" w:cs="Times New Roman"/>
      <w:color w:val="000000"/>
      <w:sz w:val="20"/>
      <w:szCs w:val="20"/>
      <w:lang w:val="en-GB"/>
    </w:rPr>
  </w:style>
  <w:style w:type="character" w:customStyle="1" w:styleId="CommentSubjectChar">
    <w:name w:val="Comment Subject Char"/>
    <w:link w:val="CommentSubject"/>
    <w:uiPriority w:val="99"/>
    <w:semiHidden/>
    <w:rsid w:val="00DF1828"/>
    <w:rPr>
      <w:rFonts w:ascii="Times New Roman" w:eastAsia="Times New Roman" w:hAnsi="Times New Roman" w:cs="Times New Roman"/>
      <w:b/>
      <w:bCs/>
      <w:color w:val="000000"/>
      <w:sz w:val="20"/>
      <w:szCs w:val="20"/>
      <w:lang w:val="en-GB"/>
    </w:rPr>
  </w:style>
  <w:style w:type="paragraph" w:styleId="CommentSubject">
    <w:name w:val="annotation subject"/>
    <w:basedOn w:val="CommentText"/>
    <w:next w:val="CommentText"/>
    <w:link w:val="CommentSubjectChar"/>
    <w:uiPriority w:val="99"/>
    <w:semiHidden/>
    <w:unhideWhenUsed/>
    <w:rsid w:val="00DF1828"/>
    <w:rPr>
      <w:b/>
      <w:bCs/>
    </w:rPr>
  </w:style>
  <w:style w:type="paragraph" w:customStyle="1" w:styleId="Logo">
    <w:name w:val="Logo"/>
    <w:basedOn w:val="Normal"/>
    <w:uiPriority w:val="99"/>
    <w:rsid w:val="00DF1828"/>
    <w:rPr>
      <w:rFonts w:ascii="Arial" w:eastAsia="Times New Roman" w:hAnsi="Arial"/>
      <w:sz w:val="26"/>
      <w:szCs w:val="20"/>
      <w:lang w:eastAsia="en-GB"/>
    </w:rPr>
  </w:style>
  <w:style w:type="paragraph" w:customStyle="1" w:styleId="ZDG">
    <w:name w:val="Z_DG"/>
    <w:basedOn w:val="Logo"/>
    <w:uiPriority w:val="99"/>
    <w:rsid w:val="00DF1828"/>
    <w:rPr>
      <w:sz w:val="16"/>
      <w:lang w:val="fr-FR"/>
    </w:rPr>
  </w:style>
  <w:style w:type="paragraph" w:customStyle="1" w:styleId="ZD">
    <w:name w:val="Z_D"/>
    <w:basedOn w:val="Logo"/>
    <w:uiPriority w:val="99"/>
    <w:rsid w:val="00DF1828"/>
    <w:rPr>
      <w:sz w:val="16"/>
      <w:lang w:val="fr-FR"/>
    </w:rPr>
  </w:style>
  <w:style w:type="paragraph" w:customStyle="1" w:styleId="ListBullet1">
    <w:name w:val="List Bullet 1"/>
    <w:basedOn w:val="Normal"/>
    <w:uiPriority w:val="99"/>
    <w:rsid w:val="00DF1828"/>
    <w:pPr>
      <w:numPr>
        <w:numId w:val="2"/>
      </w:numPr>
      <w:spacing w:after="240"/>
      <w:jc w:val="both"/>
    </w:pPr>
    <w:rPr>
      <w:rFonts w:ascii="Times New Roman" w:eastAsia="Times New Roman" w:hAnsi="Times New Roman"/>
      <w:szCs w:val="20"/>
    </w:rPr>
  </w:style>
  <w:style w:type="paragraph" w:styleId="TOC4">
    <w:name w:val="toc 4"/>
    <w:basedOn w:val="Normal"/>
    <w:next w:val="Normal"/>
    <w:autoRedefine/>
    <w:uiPriority w:val="39"/>
    <w:rsid w:val="00DF1828"/>
    <w:pPr>
      <w:ind w:left="720"/>
    </w:pPr>
    <w:rPr>
      <w:rFonts w:ascii="Times New Roman" w:eastAsia="Times New Roman" w:hAnsi="Times New Roman"/>
      <w:szCs w:val="20"/>
      <w:lang w:val="fr-FR" w:eastAsia="en-GB"/>
    </w:rPr>
  </w:style>
  <w:style w:type="paragraph" w:customStyle="1" w:styleId="Normal8pt">
    <w:name w:val="Normal + 8 pt"/>
    <w:aliases w:val="Before:  12 pt"/>
    <w:basedOn w:val="Normal"/>
    <w:uiPriority w:val="99"/>
    <w:rsid w:val="00DF1828"/>
    <w:pPr>
      <w:spacing w:before="240" w:after="180"/>
    </w:pPr>
    <w:rPr>
      <w:rFonts w:ascii="Times New Roman" w:eastAsia="Times New Roman" w:hAnsi="Times New Roman"/>
      <w:sz w:val="16"/>
      <w:szCs w:val="16"/>
      <w:lang w:eastAsia="en-GB"/>
    </w:rPr>
  </w:style>
  <w:style w:type="character" w:styleId="FollowedHyperlink">
    <w:name w:val="FollowedHyperlink"/>
    <w:rsid w:val="00DF1828"/>
    <w:rPr>
      <w:color w:val="800080"/>
      <w:u w:val="single"/>
    </w:rPr>
  </w:style>
  <w:style w:type="paragraph" w:customStyle="1" w:styleId="ZCom">
    <w:name w:val="Z_Com"/>
    <w:basedOn w:val="Normal"/>
    <w:next w:val="ZDGName"/>
    <w:uiPriority w:val="99"/>
    <w:rsid w:val="00DF1828"/>
    <w:pPr>
      <w:widowControl w:val="0"/>
      <w:autoSpaceDE w:val="0"/>
      <w:autoSpaceDN w:val="0"/>
      <w:ind w:right="85"/>
      <w:jc w:val="both"/>
    </w:pPr>
    <w:rPr>
      <w:rFonts w:ascii="Arial" w:eastAsia="Times New Roman" w:hAnsi="Arial" w:cs="Arial"/>
      <w:lang w:eastAsia="en-GB"/>
    </w:rPr>
  </w:style>
  <w:style w:type="paragraph" w:customStyle="1" w:styleId="ZDGName">
    <w:name w:val="Z_DGName"/>
    <w:basedOn w:val="Normal"/>
    <w:uiPriority w:val="99"/>
    <w:rsid w:val="00DF1828"/>
    <w:pPr>
      <w:widowControl w:val="0"/>
      <w:autoSpaceDE w:val="0"/>
      <w:autoSpaceDN w:val="0"/>
      <w:ind w:right="85"/>
    </w:pPr>
    <w:rPr>
      <w:rFonts w:ascii="Arial" w:eastAsia="Times New Roman" w:hAnsi="Arial" w:cs="Arial"/>
      <w:sz w:val="16"/>
      <w:szCs w:val="16"/>
      <w:lang w:eastAsia="en-GB"/>
    </w:rPr>
  </w:style>
  <w:style w:type="paragraph" w:customStyle="1" w:styleId="Heading4a">
    <w:name w:val="Heading 4a"/>
    <w:basedOn w:val="Heading3"/>
    <w:uiPriority w:val="99"/>
    <w:rsid w:val="00DF1828"/>
    <w:pPr>
      <w:keepNext/>
      <w:widowControl/>
      <w:tabs>
        <w:tab w:val="left" w:pos="510"/>
        <w:tab w:val="num" w:pos="851"/>
      </w:tabs>
      <w:spacing w:before="300" w:after="60"/>
      <w:ind w:left="851" w:hanging="567"/>
      <w:jc w:val="both"/>
    </w:pPr>
    <w:rPr>
      <w:rFonts w:ascii="Times New Roman Bold" w:eastAsia="Times New Roman" w:hAnsi="Times New Roman Bold"/>
      <w:b/>
    </w:rPr>
  </w:style>
  <w:style w:type="character" w:customStyle="1" w:styleId="hps">
    <w:name w:val="hps"/>
    <w:rsid w:val="00DF1828"/>
  </w:style>
  <w:style w:type="paragraph" w:styleId="NormalWeb">
    <w:name w:val="Normal (Web)"/>
    <w:basedOn w:val="Normal"/>
    <w:uiPriority w:val="99"/>
    <w:unhideWhenUsed/>
    <w:rsid w:val="00DF1828"/>
    <w:pPr>
      <w:spacing w:before="100" w:beforeAutospacing="1" w:after="100" w:afterAutospacing="1"/>
    </w:pPr>
    <w:rPr>
      <w:rFonts w:ascii="Times New Roman" w:eastAsia="Times New Roman" w:hAnsi="Times New Roman"/>
    </w:rPr>
  </w:style>
  <w:style w:type="paragraph" w:customStyle="1" w:styleId="Default">
    <w:name w:val="Default"/>
    <w:uiPriority w:val="99"/>
    <w:rsid w:val="00DF1828"/>
    <w:pPr>
      <w:autoSpaceDE w:val="0"/>
      <w:autoSpaceDN w:val="0"/>
      <w:adjustRightInd w:val="0"/>
    </w:pPr>
    <w:rPr>
      <w:rFonts w:ascii="Times New Roman" w:hAnsi="Times New Roman"/>
      <w:color w:val="000000"/>
      <w:sz w:val="24"/>
      <w:szCs w:val="24"/>
      <w:lang w:val="en-US" w:eastAsia="en-US"/>
    </w:rPr>
  </w:style>
  <w:style w:type="paragraph" w:customStyle="1" w:styleId="MediumGrid21">
    <w:name w:val="Medium Grid 21"/>
    <w:link w:val="MediumGrid2Char"/>
    <w:uiPriority w:val="1"/>
    <w:qFormat/>
    <w:rsid w:val="00DF1828"/>
    <w:rPr>
      <w:rFonts w:ascii="Arial" w:hAnsi="Arial"/>
      <w:szCs w:val="22"/>
      <w:lang w:val="en-AU"/>
    </w:rPr>
  </w:style>
  <w:style w:type="character" w:customStyle="1" w:styleId="MediumGrid2Char">
    <w:name w:val="Medium Grid 2 Char"/>
    <w:link w:val="MediumGrid21"/>
    <w:uiPriority w:val="1"/>
    <w:rsid w:val="00DF1828"/>
    <w:rPr>
      <w:rFonts w:ascii="Arial" w:eastAsia="Calibri" w:hAnsi="Arial" w:cs="Times New Roman"/>
      <w:sz w:val="20"/>
      <w:szCs w:val="22"/>
      <w:lang w:val="en-AU" w:eastAsia="sq-AL"/>
    </w:rPr>
  </w:style>
  <w:style w:type="paragraph" w:customStyle="1" w:styleId="Body">
    <w:name w:val="Body"/>
    <w:uiPriority w:val="99"/>
    <w:rsid w:val="00DF1828"/>
    <w:pPr>
      <w:pBdr>
        <w:top w:val="nil"/>
        <w:left w:val="nil"/>
        <w:bottom w:val="nil"/>
        <w:right w:val="nil"/>
        <w:between w:val="nil"/>
        <w:bar w:val="nil"/>
      </w:pBdr>
      <w:spacing w:after="200" w:line="276" w:lineRule="auto"/>
    </w:pPr>
    <w:rPr>
      <w:rFonts w:cs="Calibri"/>
      <w:color w:val="000000"/>
      <w:sz w:val="22"/>
      <w:szCs w:val="22"/>
      <w:u w:color="000000"/>
      <w:bdr w:val="nil"/>
      <w:lang w:val="en-US" w:eastAsia="en-US"/>
    </w:rPr>
  </w:style>
  <w:style w:type="character" w:customStyle="1" w:styleId="longtext">
    <w:name w:val="long_text"/>
    <w:rsid w:val="00DF1828"/>
  </w:style>
  <w:style w:type="paragraph" w:styleId="Title">
    <w:name w:val="Title"/>
    <w:basedOn w:val="Normal"/>
    <w:next w:val="Normal"/>
    <w:link w:val="TitleChar"/>
    <w:uiPriority w:val="99"/>
    <w:qFormat/>
    <w:rsid w:val="00DF1828"/>
    <w:pPr>
      <w:pBdr>
        <w:bottom w:val="single" w:sz="8" w:space="4" w:color="4F81BD"/>
      </w:pBdr>
      <w:spacing w:after="300"/>
      <w:contextualSpacing/>
    </w:pPr>
    <w:rPr>
      <w:rFonts w:ascii="Cambria" w:eastAsia="Times New Roman" w:hAnsi="Cambria"/>
      <w:color w:val="17365D"/>
      <w:spacing w:val="5"/>
      <w:kern w:val="28"/>
      <w:sz w:val="52"/>
      <w:szCs w:val="52"/>
      <w:lang w:eastAsia="en-GB"/>
    </w:rPr>
  </w:style>
  <w:style w:type="character" w:customStyle="1" w:styleId="TitleChar">
    <w:name w:val="Title Char"/>
    <w:link w:val="Title"/>
    <w:uiPriority w:val="99"/>
    <w:rsid w:val="00DF1828"/>
    <w:rPr>
      <w:rFonts w:ascii="Cambria" w:eastAsia="Times New Roman" w:hAnsi="Cambria" w:cs="Times New Roman"/>
      <w:color w:val="17365D"/>
      <w:spacing w:val="5"/>
      <w:kern w:val="28"/>
      <w:sz w:val="52"/>
      <w:szCs w:val="52"/>
      <w:lang w:val="en-GB" w:eastAsia="en-GB"/>
    </w:rPr>
  </w:style>
  <w:style w:type="character" w:customStyle="1" w:styleId="Bodytext0">
    <w:name w:val="Body text_"/>
    <w:link w:val="BodyText189"/>
    <w:locked/>
    <w:rsid w:val="00DF1828"/>
    <w:rPr>
      <w:sz w:val="25"/>
      <w:szCs w:val="25"/>
      <w:shd w:val="clear" w:color="auto" w:fill="FFFFFF"/>
    </w:rPr>
  </w:style>
  <w:style w:type="paragraph" w:customStyle="1" w:styleId="BodyText189">
    <w:name w:val="Body Text189"/>
    <w:basedOn w:val="Normal"/>
    <w:link w:val="Bodytext0"/>
    <w:rsid w:val="00DF1828"/>
    <w:pPr>
      <w:shd w:val="clear" w:color="auto" w:fill="FFFFFF"/>
      <w:spacing w:before="420" w:after="240" w:line="322" w:lineRule="exact"/>
      <w:ind w:hanging="1420"/>
      <w:jc w:val="center"/>
    </w:pPr>
    <w:rPr>
      <w:sz w:val="25"/>
      <w:szCs w:val="25"/>
      <w:lang w:val="en-US"/>
    </w:rPr>
  </w:style>
  <w:style w:type="character" w:customStyle="1" w:styleId="BodyText3">
    <w:name w:val="Body Text3"/>
    <w:rsid w:val="00DF1828"/>
  </w:style>
  <w:style w:type="character" w:customStyle="1" w:styleId="BodytextBold">
    <w:name w:val="Body text + Bold"/>
    <w:aliases w:val="Italic"/>
    <w:rsid w:val="00DF1828"/>
    <w:rPr>
      <w:rFonts w:ascii="Times New Roman" w:hAnsi="Times New Roman" w:cs="Times New Roman"/>
      <w:b/>
      <w:bCs/>
      <w:i/>
      <w:iCs/>
      <w:spacing w:val="0"/>
      <w:sz w:val="25"/>
      <w:szCs w:val="25"/>
      <w:lang w:bidi="ar-SA"/>
    </w:rPr>
  </w:style>
  <w:style w:type="character" w:customStyle="1" w:styleId="BodytextArialUnicodeMS">
    <w:name w:val="Body text + Arial Unicode MS"/>
    <w:aliases w:val="7 pt"/>
    <w:rsid w:val="00DF1828"/>
    <w:rPr>
      <w:rFonts w:ascii="Arial Unicode MS" w:eastAsia="Arial Unicode MS" w:hAnsi="Arial Unicode MS" w:cs="Arial Unicode MS"/>
      <w:spacing w:val="0"/>
      <w:sz w:val="14"/>
      <w:szCs w:val="14"/>
      <w:lang w:bidi="ar-SA"/>
    </w:rPr>
  </w:style>
  <w:style w:type="paragraph" w:customStyle="1" w:styleId="BodyText2">
    <w:name w:val="Body Text2"/>
    <w:basedOn w:val="Normal"/>
    <w:uiPriority w:val="99"/>
    <w:rsid w:val="00DF1828"/>
    <w:pPr>
      <w:shd w:val="clear" w:color="auto" w:fill="FFFFFF"/>
      <w:spacing w:after="660" w:line="240" w:lineRule="atLeast"/>
      <w:ind w:hanging="340"/>
    </w:pPr>
    <w:rPr>
      <w:rFonts w:ascii="Arial" w:eastAsia="Times New Roman" w:hAnsi="Arial" w:cs="Arial"/>
      <w:color w:val="000000"/>
      <w:sz w:val="22"/>
      <w:szCs w:val="22"/>
    </w:rPr>
  </w:style>
  <w:style w:type="character" w:customStyle="1" w:styleId="Heading1714">
    <w:name w:val="Heading #1714"/>
    <w:rsid w:val="00DF1828"/>
    <w:rPr>
      <w:sz w:val="35"/>
      <w:szCs w:val="35"/>
      <w:lang w:bidi="ar-SA"/>
    </w:rPr>
  </w:style>
  <w:style w:type="character" w:customStyle="1" w:styleId="Bodytext4">
    <w:name w:val="Body text (4)"/>
    <w:rsid w:val="00DF1828"/>
    <w:rPr>
      <w:sz w:val="23"/>
      <w:szCs w:val="23"/>
      <w:lang w:bidi="ar-SA"/>
    </w:rPr>
  </w:style>
  <w:style w:type="paragraph" w:customStyle="1" w:styleId="1">
    <w:name w:val="Абзац списка1"/>
    <w:basedOn w:val="Normal"/>
    <w:uiPriority w:val="99"/>
    <w:rsid w:val="00DF1828"/>
    <w:pPr>
      <w:suppressAutoHyphens/>
      <w:spacing w:after="200" w:line="276" w:lineRule="auto"/>
      <w:ind w:left="720" w:firstLine="360"/>
    </w:pPr>
    <w:rPr>
      <w:rFonts w:eastAsia="SimSun"/>
      <w:sz w:val="22"/>
      <w:szCs w:val="22"/>
      <w:lang w:eastAsia="ar-SA"/>
    </w:rPr>
  </w:style>
  <w:style w:type="character" w:customStyle="1" w:styleId="alt-edited">
    <w:name w:val="alt-edited"/>
    <w:rsid w:val="00DF1828"/>
  </w:style>
  <w:style w:type="paragraph" w:styleId="BodyTextIndent2">
    <w:name w:val="Body Text Indent 2"/>
    <w:basedOn w:val="Normal"/>
    <w:link w:val="BodyTextIndent2Char"/>
    <w:uiPriority w:val="99"/>
    <w:rsid w:val="00DF1828"/>
    <w:pPr>
      <w:spacing w:after="120" w:line="480" w:lineRule="auto"/>
      <w:ind w:left="360"/>
    </w:pPr>
    <w:rPr>
      <w:rFonts w:ascii="Times New Roman" w:eastAsia="MS Mincho" w:hAnsi="Times New Roman"/>
      <w:sz w:val="20"/>
      <w:szCs w:val="20"/>
    </w:rPr>
  </w:style>
  <w:style w:type="character" w:customStyle="1" w:styleId="BodyTextIndent2Char">
    <w:name w:val="Body Text Indent 2 Char"/>
    <w:link w:val="BodyTextIndent2"/>
    <w:uiPriority w:val="99"/>
    <w:rsid w:val="00DF1828"/>
    <w:rPr>
      <w:rFonts w:ascii="Times New Roman" w:eastAsia="MS Mincho" w:hAnsi="Times New Roman" w:cs="Times New Roman"/>
      <w:sz w:val="20"/>
      <w:szCs w:val="20"/>
    </w:rPr>
  </w:style>
  <w:style w:type="character" w:customStyle="1" w:styleId="atn">
    <w:name w:val="atn"/>
    <w:rsid w:val="00DF1828"/>
  </w:style>
  <w:style w:type="character" w:customStyle="1" w:styleId="shorttext">
    <w:name w:val="short_text"/>
    <w:uiPriority w:val="99"/>
    <w:rsid w:val="00DF1828"/>
  </w:style>
  <w:style w:type="character" w:customStyle="1" w:styleId="hpsatn">
    <w:name w:val="hps atn"/>
    <w:uiPriority w:val="99"/>
    <w:rsid w:val="00DF1828"/>
  </w:style>
  <w:style w:type="paragraph" w:styleId="List">
    <w:name w:val="List"/>
    <w:basedOn w:val="Normal"/>
    <w:uiPriority w:val="99"/>
    <w:rsid w:val="00DF1828"/>
    <w:pPr>
      <w:suppressAutoHyphens/>
      <w:ind w:left="360" w:hanging="360"/>
    </w:pPr>
    <w:rPr>
      <w:rFonts w:ascii="Times New Roman" w:eastAsia="Times New Roman" w:hAnsi="Times New Roman"/>
      <w:lang w:eastAsia="zh-CN"/>
    </w:rPr>
  </w:style>
  <w:style w:type="character" w:customStyle="1" w:styleId="st">
    <w:name w:val="st"/>
    <w:rsid w:val="00DF1828"/>
  </w:style>
  <w:style w:type="character" w:styleId="Emphasis">
    <w:name w:val="Emphasis"/>
    <w:uiPriority w:val="20"/>
    <w:qFormat/>
    <w:rsid w:val="00DF1828"/>
    <w:rPr>
      <w:i/>
      <w:iCs/>
    </w:rPr>
  </w:style>
  <w:style w:type="paragraph" w:customStyle="1" w:styleId="paragraph">
    <w:name w:val="paragraph"/>
    <w:basedOn w:val="ColorfulList-Accent11"/>
    <w:uiPriority w:val="99"/>
    <w:rsid w:val="00DF1828"/>
    <w:pPr>
      <w:keepNext/>
      <w:widowControl/>
      <w:spacing w:after="200" w:line="276" w:lineRule="auto"/>
      <w:contextualSpacing/>
    </w:pPr>
    <w:rPr>
      <w:rFonts w:eastAsia="Times New Roman"/>
      <w:b/>
      <w:lang w:val="en-US" w:bidi="en-US"/>
    </w:rPr>
  </w:style>
  <w:style w:type="paragraph" w:styleId="ListBullet">
    <w:name w:val="List Bullet"/>
    <w:aliases w:val="List Bullet Char,List Bullet-Richard's,List Bullet Char1 Char Char,List Bullet Char Char Char Char,List Bullet Char Char1,List Bullet Char1 Char,List Bullet Char Char Char,List Bullet Char Char Char Char Char Char Char Char,List Bullet Char2"/>
    <w:basedOn w:val="Normal"/>
    <w:link w:val="ListBulletChar1"/>
    <w:uiPriority w:val="2"/>
    <w:qFormat/>
    <w:rsid w:val="00DF1828"/>
    <w:pPr>
      <w:tabs>
        <w:tab w:val="num" w:pos="720"/>
      </w:tabs>
      <w:spacing w:after="240" w:line="264" w:lineRule="auto"/>
      <w:ind w:left="720" w:hanging="720"/>
    </w:pPr>
    <w:rPr>
      <w:rFonts w:ascii="Times New Roman" w:hAnsi="Times New Roman"/>
    </w:rPr>
  </w:style>
  <w:style w:type="character" w:customStyle="1" w:styleId="ListBulletChar1">
    <w:name w:val="List Bullet Char1"/>
    <w:aliases w:val="List Bullet Char Char,List Bullet-Richard's Char,List Bullet Char1 Char Char Char,List Bullet Char Char Char Char Char,List Bullet Char Char1 Char,List Bullet Char1 Char Char1,List Bullet Char Char Char Char1,List Bullet Char2 Char"/>
    <w:link w:val="ListBullet"/>
    <w:uiPriority w:val="2"/>
    <w:rsid w:val="00DF1828"/>
    <w:rPr>
      <w:rFonts w:ascii="Times New Roman" w:hAnsi="Times New Roman"/>
      <w:sz w:val="24"/>
      <w:szCs w:val="24"/>
      <w:lang w:val="en-GB" w:eastAsia="en-US"/>
    </w:rPr>
  </w:style>
  <w:style w:type="paragraph" w:customStyle="1" w:styleId="LightGrid-Accent31">
    <w:name w:val="Light Grid - Accent 31"/>
    <w:basedOn w:val="Normal"/>
    <w:uiPriority w:val="34"/>
    <w:qFormat/>
    <w:rsid w:val="00DF1828"/>
    <w:pPr>
      <w:spacing w:after="200" w:line="276" w:lineRule="auto"/>
      <w:ind w:left="720"/>
      <w:contextualSpacing/>
      <w:jc w:val="both"/>
    </w:pPr>
    <w:rPr>
      <w:rFonts w:eastAsia="MS PGothic"/>
      <w:sz w:val="22"/>
      <w:szCs w:val="22"/>
      <w:lang w:eastAsia="zh-CN"/>
    </w:rPr>
  </w:style>
  <w:style w:type="paragraph" w:customStyle="1" w:styleId="BoxBullet">
    <w:name w:val="Box Bullet"/>
    <w:basedOn w:val="Normal"/>
    <w:uiPriority w:val="3"/>
    <w:qFormat/>
    <w:rsid w:val="00DF1828"/>
    <w:pPr>
      <w:spacing w:after="120"/>
      <w:ind w:left="720" w:hanging="360"/>
    </w:pPr>
    <w:rPr>
      <w:rFonts w:ascii="Segoe UI" w:eastAsia="MS Mincho" w:hAnsi="Segoe UI" w:cs="Segoe UI"/>
      <w:sz w:val="19"/>
      <w:szCs w:val="20"/>
      <w:lang w:val="en-US"/>
    </w:rPr>
  </w:style>
  <w:style w:type="paragraph" w:styleId="ListParagraph">
    <w:name w:val="List Paragraph"/>
    <w:aliases w:val="Bullet Points,Bullet Number,List Paragraph Char Char,MAIN CONTENT,Párrafo de lista,Recommendation,List Paragraph2,Graphic,Table/Figure Heading,Listeafsnit,Bullet List,FooterText,Colorful List Accent 1,numbered,Paragraphe de liste1,列出段落,L"/>
    <w:basedOn w:val="Normal"/>
    <w:link w:val="ListParagraphChar"/>
    <w:uiPriority w:val="99"/>
    <w:qFormat/>
    <w:rsid w:val="00FF2753"/>
    <w:pPr>
      <w:widowControl w:val="0"/>
      <w:ind w:left="2100" w:hanging="360"/>
    </w:pPr>
    <w:rPr>
      <w:rFonts w:ascii="Arial Narrow" w:eastAsia="Arial Narrow" w:hAnsi="Arial Narrow" w:cs="Arial Narrow"/>
      <w:sz w:val="22"/>
      <w:szCs w:val="22"/>
      <w:lang w:val="en-US"/>
    </w:rPr>
  </w:style>
  <w:style w:type="character" w:customStyle="1" w:styleId="ListParagraphChar">
    <w:name w:val="List Paragraph Char"/>
    <w:aliases w:val="Bullet Points Char,Bullet Number Char,List Paragraph Char Char Char1,MAIN CONTENT Char,Párrafo de lista Char,Recommendation Char,List Paragraph2 Char,Graphic Char,Table/Figure Heading Char,Listeafsnit Char,Bullet List Char,列出段落 Char"/>
    <w:link w:val="ListParagraph"/>
    <w:uiPriority w:val="34"/>
    <w:qFormat/>
    <w:rsid w:val="0000324D"/>
    <w:rPr>
      <w:rFonts w:ascii="Arial Narrow" w:eastAsia="Arial Narrow" w:hAnsi="Arial Narrow" w:cs="Arial Narrow"/>
      <w:sz w:val="22"/>
      <w:szCs w:val="22"/>
      <w:lang w:val="en-US" w:eastAsia="en-US"/>
    </w:rPr>
  </w:style>
  <w:style w:type="paragraph" w:customStyle="1" w:styleId="Cell">
    <w:name w:val="Cell"/>
    <w:basedOn w:val="Normal"/>
    <w:uiPriority w:val="99"/>
    <w:qFormat/>
    <w:rsid w:val="00FF2753"/>
    <w:rPr>
      <w:rFonts w:ascii="Arial" w:eastAsia="Times New Roman" w:hAnsi="Arial" w:cs="Arial"/>
      <w:sz w:val="18"/>
      <w:szCs w:val="18"/>
      <w:lang w:eastAsia="zh-CN"/>
    </w:rPr>
  </w:style>
  <w:style w:type="paragraph" w:styleId="TOCHeading">
    <w:name w:val="TOC Heading"/>
    <w:basedOn w:val="Heading1"/>
    <w:next w:val="Normal"/>
    <w:uiPriority w:val="39"/>
    <w:unhideWhenUsed/>
    <w:qFormat/>
    <w:rsid w:val="005D1E34"/>
    <w:pPr>
      <w:keepNext/>
      <w:keepLines/>
      <w:widowControl/>
      <w:spacing w:before="480" w:line="276" w:lineRule="auto"/>
      <w:ind w:left="0"/>
      <w:outlineLvl w:val="9"/>
    </w:pPr>
    <w:rPr>
      <w:rFonts w:asciiTheme="majorHAnsi" w:eastAsiaTheme="majorEastAsia" w:hAnsiTheme="majorHAnsi" w:cstheme="majorBidi"/>
      <w:color w:val="365F91" w:themeColor="accent1" w:themeShade="BF"/>
      <w:sz w:val="28"/>
      <w:szCs w:val="28"/>
      <w:lang w:val="en-US" w:eastAsia="ja-JP"/>
    </w:rPr>
  </w:style>
  <w:style w:type="character" w:styleId="Strong">
    <w:name w:val="Strong"/>
    <w:basedOn w:val="DefaultParagraphFont"/>
    <w:uiPriority w:val="22"/>
    <w:qFormat/>
    <w:rsid w:val="004B36BB"/>
    <w:rPr>
      <w:b/>
      <w:bCs/>
    </w:rPr>
  </w:style>
  <w:style w:type="paragraph" w:styleId="Revision">
    <w:name w:val="Revision"/>
    <w:hidden/>
    <w:uiPriority w:val="71"/>
    <w:semiHidden/>
    <w:rsid w:val="00D10763"/>
    <w:rPr>
      <w:sz w:val="24"/>
      <w:szCs w:val="24"/>
      <w:lang w:val="en-GB" w:eastAsia="en-US"/>
    </w:rPr>
  </w:style>
  <w:style w:type="paragraph" w:customStyle="1" w:styleId="BodyA">
    <w:name w:val="Body A"/>
    <w:uiPriority w:val="99"/>
    <w:rsid w:val="00950BEB"/>
    <w:pPr>
      <w:pBdr>
        <w:top w:val="nil"/>
        <w:left w:val="nil"/>
        <w:bottom w:val="nil"/>
        <w:right w:val="nil"/>
        <w:between w:val="nil"/>
        <w:bar w:val="nil"/>
      </w:pBdr>
      <w:spacing w:line="216" w:lineRule="auto"/>
      <w:jc w:val="both"/>
    </w:pPr>
    <w:rPr>
      <w:rFonts w:ascii="Times New Roman" w:eastAsia="Times New Roman" w:hAnsi="Times New Roman"/>
      <w:color w:val="000000"/>
      <w:sz w:val="24"/>
      <w:szCs w:val="24"/>
      <w:u w:color="000000"/>
      <w:bdr w:val="nil"/>
      <w:lang w:val="en-US" w:eastAsia="en-US"/>
    </w:rPr>
  </w:style>
  <w:style w:type="paragraph" w:customStyle="1" w:styleId="Pa22">
    <w:name w:val="Pa22"/>
    <w:basedOn w:val="Default"/>
    <w:next w:val="Default"/>
    <w:uiPriority w:val="99"/>
    <w:rsid w:val="005543C2"/>
    <w:pPr>
      <w:spacing w:line="241" w:lineRule="atLeast"/>
    </w:pPr>
    <w:rPr>
      <w:rFonts w:ascii="Times" w:eastAsiaTheme="minorHAnsi" w:hAnsi="Times" w:cs="Times"/>
      <w:color w:val="auto"/>
    </w:rPr>
  </w:style>
  <w:style w:type="table" w:customStyle="1" w:styleId="TableGrid1">
    <w:name w:val="Table Grid1"/>
    <w:basedOn w:val="TableNormal"/>
    <w:next w:val="TableGrid"/>
    <w:uiPriority w:val="59"/>
    <w:rsid w:val="001061C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A41B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sq-AL"/>
    </w:rPr>
  </w:style>
  <w:style w:type="character" w:customStyle="1" w:styleId="HTMLPreformattedChar">
    <w:name w:val="HTML Preformatted Char"/>
    <w:basedOn w:val="DefaultParagraphFont"/>
    <w:link w:val="HTMLPreformatted"/>
    <w:uiPriority w:val="99"/>
    <w:rsid w:val="00A41B52"/>
    <w:rPr>
      <w:rFonts w:ascii="Courier New" w:eastAsia="Times New Roman" w:hAnsi="Courier New" w:cs="Courier New"/>
    </w:rPr>
  </w:style>
  <w:style w:type="character" w:customStyle="1" w:styleId="table0020gridchar">
    <w:name w:val="table_0020grid__char"/>
    <w:basedOn w:val="DefaultParagraphFont"/>
    <w:rsid w:val="00743563"/>
  </w:style>
  <w:style w:type="paragraph" w:customStyle="1" w:styleId="OCtext">
    <w:name w:val="OC text"/>
    <w:basedOn w:val="Normal"/>
    <w:uiPriority w:val="99"/>
    <w:qFormat/>
    <w:rsid w:val="00CE308D"/>
    <w:pPr>
      <w:shd w:val="clear" w:color="auto" w:fill="FFFFFF"/>
      <w:spacing w:after="240"/>
      <w:jc w:val="both"/>
    </w:pPr>
    <w:rPr>
      <w:rFonts w:ascii="Times New Roman" w:eastAsia="Times New Roman" w:hAnsi="Times New Roman"/>
      <w:color w:val="000000"/>
      <w:sz w:val="20"/>
      <w:lang w:eastAsia="en-GB"/>
    </w:rPr>
  </w:style>
  <w:style w:type="paragraph" w:styleId="NoSpacing">
    <w:name w:val="No Spacing"/>
    <w:uiPriority w:val="1"/>
    <w:qFormat/>
    <w:rsid w:val="0057176B"/>
    <w:rPr>
      <w:sz w:val="22"/>
      <w:szCs w:val="22"/>
      <w:lang w:val="en-US" w:eastAsia="en-US"/>
    </w:rPr>
  </w:style>
  <w:style w:type="character" w:customStyle="1" w:styleId="tlid-translation">
    <w:name w:val="tlid-translation"/>
    <w:basedOn w:val="DefaultParagraphFont"/>
    <w:rsid w:val="000969D0"/>
  </w:style>
  <w:style w:type="table" w:customStyle="1" w:styleId="PlainTable31">
    <w:name w:val="Plain Table 31"/>
    <w:basedOn w:val="TableNormal"/>
    <w:uiPriority w:val="43"/>
    <w:rsid w:val="00951413"/>
    <w:rPr>
      <w:rFonts w:asciiTheme="minorHAnsi" w:eastAsiaTheme="minorHAnsi" w:hAnsiTheme="minorHAnsi" w:cstheme="minorBidi"/>
      <w:sz w:val="22"/>
      <w:szCs w:val="22"/>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TabletextChar">
    <w:name w:val="Table text Char"/>
    <w:link w:val="Tabletext"/>
    <w:rsid w:val="00C04499"/>
    <w:rPr>
      <w:rFonts w:cs="Arial"/>
      <w:color w:val="616264"/>
    </w:rPr>
  </w:style>
  <w:style w:type="paragraph" w:customStyle="1" w:styleId="Tabletext">
    <w:name w:val="Table text"/>
    <w:basedOn w:val="Normal"/>
    <w:link w:val="TabletextChar"/>
    <w:qFormat/>
    <w:rsid w:val="00C04499"/>
    <w:pPr>
      <w:jc w:val="center"/>
    </w:pPr>
    <w:rPr>
      <w:rFonts w:cs="Arial"/>
      <w:color w:val="616264"/>
      <w:sz w:val="20"/>
      <w:szCs w:val="20"/>
      <w:lang w:eastAsia="sq-AL"/>
    </w:rPr>
  </w:style>
  <w:style w:type="paragraph" w:customStyle="1" w:styleId="Char2">
    <w:name w:val="Char2"/>
    <w:aliases w:val="Char Char Char Char"/>
    <w:basedOn w:val="Normal"/>
    <w:uiPriority w:val="99"/>
    <w:rsid w:val="0099131A"/>
    <w:pPr>
      <w:spacing w:after="160" w:line="240" w:lineRule="exact"/>
    </w:pPr>
    <w:rPr>
      <w:rFonts w:asciiTheme="minorHAnsi" w:eastAsiaTheme="minorHAnsi" w:hAnsiTheme="minorHAnsi" w:cstheme="minorBidi"/>
      <w:sz w:val="22"/>
      <w:szCs w:val="22"/>
      <w:vertAlign w:val="superscript"/>
      <w:lang w:val="en-US"/>
    </w:rPr>
  </w:style>
  <w:style w:type="character" w:customStyle="1" w:styleId="BulletedChar">
    <w:name w:val="Bulleted Char"/>
    <w:link w:val="Bulleted"/>
    <w:locked/>
    <w:rsid w:val="009A1A2A"/>
  </w:style>
  <w:style w:type="paragraph" w:customStyle="1" w:styleId="Bulleted">
    <w:name w:val="Bulleted"/>
    <w:basedOn w:val="Normal"/>
    <w:link w:val="BulletedChar"/>
    <w:qFormat/>
    <w:rsid w:val="009A1A2A"/>
    <w:rPr>
      <w:sz w:val="20"/>
      <w:szCs w:val="20"/>
      <w:lang w:eastAsia="sq-AL"/>
    </w:rPr>
  </w:style>
  <w:style w:type="character" w:customStyle="1" w:styleId="normalchar">
    <w:name w:val="normal__char"/>
    <w:basedOn w:val="DefaultParagraphFont"/>
    <w:rsid w:val="007200DC"/>
  </w:style>
  <w:style w:type="paragraph" w:customStyle="1" w:styleId="RowsHeading">
    <w:name w:val="Rows Heading"/>
    <w:basedOn w:val="Normal"/>
    <w:uiPriority w:val="99"/>
    <w:rsid w:val="000E44D7"/>
    <w:rPr>
      <w:rFonts w:ascii="Arial" w:hAnsi="Arial" w:cs="Arial"/>
      <w:sz w:val="18"/>
      <w:szCs w:val="18"/>
      <w:lang w:eastAsia="zh-CN"/>
    </w:rPr>
  </w:style>
  <w:style w:type="character" w:styleId="PlaceholderText">
    <w:name w:val="Placeholder Text"/>
    <w:basedOn w:val="DefaultParagraphFont"/>
    <w:uiPriority w:val="99"/>
    <w:unhideWhenUsed/>
    <w:rsid w:val="007D4888"/>
    <w:rPr>
      <w:color w:val="808080"/>
    </w:rPr>
  </w:style>
  <w:style w:type="table" w:customStyle="1" w:styleId="GridTable1Light1">
    <w:name w:val="Grid Table 1 Light1"/>
    <w:basedOn w:val="TableNormal"/>
    <w:uiPriority w:val="46"/>
    <w:rsid w:val="005E1631"/>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11">
    <w:name w:val="Plain Table 11"/>
    <w:basedOn w:val="TableNormal"/>
    <w:uiPriority w:val="41"/>
    <w:rsid w:val="00903866"/>
    <w:rPr>
      <w:rFonts w:asciiTheme="minorHAnsi" w:eastAsiaTheme="minorHAnsi" w:hAnsiTheme="minorHAnsi" w:cstheme="minorBidi"/>
      <w:sz w:val="22"/>
      <w:szCs w:val="22"/>
      <w:lang w:val="en-U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903866"/>
    <w:rPr>
      <w:rFonts w:asciiTheme="minorHAnsi" w:eastAsiaTheme="minorHAnsi" w:hAnsiTheme="minorHAnsi" w:cstheme="minorBidi"/>
      <w:sz w:val="22"/>
      <w:szCs w:val="22"/>
      <w:lang w:val="en-US"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Pa2">
    <w:name w:val="Pa2"/>
    <w:basedOn w:val="Normal"/>
    <w:next w:val="Normal"/>
    <w:uiPriority w:val="99"/>
    <w:rsid w:val="00364CA8"/>
    <w:pPr>
      <w:autoSpaceDE w:val="0"/>
      <w:autoSpaceDN w:val="0"/>
      <w:adjustRightInd w:val="0"/>
      <w:spacing w:line="241" w:lineRule="atLeast"/>
    </w:pPr>
    <w:rPr>
      <w:rFonts w:ascii="ARS Maquette Pro" w:eastAsiaTheme="minorHAnsi" w:hAnsi="ARS Maquette Pro" w:cstheme="minorBidi"/>
      <w:lang w:val="en-US"/>
    </w:rPr>
  </w:style>
  <w:style w:type="character" w:customStyle="1" w:styleId="A2">
    <w:name w:val="A2"/>
    <w:uiPriority w:val="99"/>
    <w:rsid w:val="00364CA8"/>
    <w:rPr>
      <w:rFonts w:cs="ARS Maquette Pro"/>
      <w:color w:val="000000"/>
      <w:sz w:val="22"/>
      <w:szCs w:val="22"/>
    </w:rPr>
  </w:style>
  <w:style w:type="character" w:customStyle="1" w:styleId="A10">
    <w:name w:val="A10"/>
    <w:uiPriority w:val="99"/>
    <w:rsid w:val="00364CA8"/>
    <w:rPr>
      <w:rFonts w:cs="ARS Maquette Pro"/>
      <w:color w:val="000000"/>
      <w:sz w:val="12"/>
      <w:szCs w:val="12"/>
    </w:rPr>
  </w:style>
  <w:style w:type="paragraph" w:customStyle="1" w:styleId="Text1">
    <w:name w:val="Text 1"/>
    <w:basedOn w:val="Normal"/>
    <w:uiPriority w:val="99"/>
    <w:qFormat/>
    <w:rsid w:val="00270CFE"/>
    <w:pPr>
      <w:suppressAutoHyphens/>
      <w:ind w:left="482"/>
    </w:pPr>
    <w:rPr>
      <w:rFonts w:ascii="Times New Roman" w:eastAsia="Times New Roman" w:hAnsi="Times New Roman"/>
      <w:lang w:eastAsia="en-GB"/>
    </w:rPr>
  </w:style>
  <w:style w:type="paragraph" w:styleId="EndnoteText">
    <w:name w:val="endnote text"/>
    <w:basedOn w:val="Normal"/>
    <w:link w:val="EndnoteTextChar"/>
    <w:uiPriority w:val="99"/>
    <w:semiHidden/>
    <w:unhideWhenUsed/>
    <w:rsid w:val="00762E16"/>
    <w:rPr>
      <w:sz w:val="20"/>
      <w:szCs w:val="20"/>
    </w:rPr>
  </w:style>
  <w:style w:type="character" w:customStyle="1" w:styleId="EndnoteTextChar">
    <w:name w:val="Endnote Text Char"/>
    <w:basedOn w:val="DefaultParagraphFont"/>
    <w:link w:val="EndnoteText"/>
    <w:uiPriority w:val="99"/>
    <w:semiHidden/>
    <w:rsid w:val="00762E16"/>
    <w:rPr>
      <w:lang w:val="en-GB" w:eastAsia="en-US"/>
    </w:rPr>
  </w:style>
  <w:style w:type="character" w:styleId="EndnoteReference">
    <w:name w:val="endnote reference"/>
    <w:basedOn w:val="DefaultParagraphFont"/>
    <w:uiPriority w:val="99"/>
    <w:semiHidden/>
    <w:unhideWhenUsed/>
    <w:rsid w:val="00762E16"/>
    <w:rPr>
      <w:vertAlign w:val="superscript"/>
    </w:rPr>
  </w:style>
  <w:style w:type="paragraph" w:customStyle="1" w:styleId="ECABullets">
    <w:name w:val="ECA Bullets"/>
    <w:basedOn w:val="Normal"/>
    <w:link w:val="ECABulletsChar"/>
    <w:qFormat/>
    <w:rsid w:val="002F736A"/>
    <w:pPr>
      <w:numPr>
        <w:numId w:val="9"/>
      </w:numPr>
      <w:spacing w:before="240" w:after="240"/>
    </w:pPr>
    <w:rPr>
      <w:rFonts w:ascii="Book Antiqua" w:eastAsia="Times New Roman" w:hAnsi="Book Antiqua"/>
      <w:sz w:val="22"/>
      <w:szCs w:val="20"/>
    </w:rPr>
  </w:style>
  <w:style w:type="character" w:customStyle="1" w:styleId="ECABulletsChar">
    <w:name w:val="ECA Bullets Char"/>
    <w:link w:val="ECABullets"/>
    <w:rsid w:val="002F736A"/>
    <w:rPr>
      <w:rFonts w:ascii="Book Antiqua" w:eastAsia="Times New Roman" w:hAnsi="Book Antiqua"/>
      <w:sz w:val="22"/>
      <w:lang w:val="en-GB" w:eastAsia="en-US"/>
    </w:rPr>
  </w:style>
  <w:style w:type="paragraph" w:customStyle="1" w:styleId="ECABulletsSub">
    <w:name w:val="ECA Bullets Sub"/>
    <w:basedOn w:val="Normal"/>
    <w:uiPriority w:val="99"/>
    <w:qFormat/>
    <w:rsid w:val="002F736A"/>
    <w:pPr>
      <w:numPr>
        <w:ilvl w:val="1"/>
        <w:numId w:val="9"/>
      </w:numPr>
      <w:spacing w:before="240" w:after="240"/>
    </w:pPr>
    <w:rPr>
      <w:rFonts w:ascii="Book Antiqua" w:eastAsia="Times New Roman" w:hAnsi="Book Antiqua"/>
      <w:sz w:val="22"/>
      <w:szCs w:val="20"/>
    </w:rPr>
  </w:style>
  <w:style w:type="paragraph" w:customStyle="1" w:styleId="ECABulletsSub-Sub">
    <w:name w:val="ECA Bullets Sub-Sub"/>
    <w:basedOn w:val="Normal"/>
    <w:autoRedefine/>
    <w:uiPriority w:val="99"/>
    <w:qFormat/>
    <w:rsid w:val="002F736A"/>
    <w:pPr>
      <w:tabs>
        <w:tab w:val="num" w:pos="2268"/>
      </w:tabs>
      <w:spacing w:after="240"/>
      <w:ind w:left="2268" w:hanging="567"/>
    </w:pPr>
    <w:rPr>
      <w:rFonts w:ascii="Book Antiqua" w:eastAsia="Times New Roman" w:hAnsi="Book Antiqua"/>
      <w:sz w:val="22"/>
      <w:szCs w:val="20"/>
    </w:rPr>
  </w:style>
  <w:style w:type="table" w:customStyle="1" w:styleId="GridTable1Light10">
    <w:name w:val="Grid Table 1 Light1"/>
    <w:basedOn w:val="TableNormal"/>
    <w:uiPriority w:val="46"/>
    <w:rsid w:val="00352148"/>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viiyi">
    <w:name w:val="viiyi"/>
    <w:basedOn w:val="DefaultParagraphFont"/>
    <w:rsid w:val="00352148"/>
  </w:style>
  <w:style w:type="character" w:customStyle="1" w:styleId="jlqj4b">
    <w:name w:val="jlqj4b"/>
    <w:basedOn w:val="DefaultParagraphFont"/>
    <w:rsid w:val="00352148"/>
  </w:style>
  <w:style w:type="paragraph" w:customStyle="1" w:styleId="xmsonormal">
    <w:name w:val="x_msonormal"/>
    <w:basedOn w:val="Normal"/>
    <w:uiPriority w:val="99"/>
    <w:rsid w:val="00D022F4"/>
    <w:pPr>
      <w:spacing w:before="100" w:beforeAutospacing="1" w:after="100" w:afterAutospacing="1"/>
    </w:pPr>
    <w:rPr>
      <w:rFonts w:ascii="Times New Roman" w:eastAsia="Times New Roman" w:hAnsi="Times New Roman"/>
      <w:lang w:val="en-US"/>
    </w:rPr>
  </w:style>
  <w:style w:type="table" w:customStyle="1" w:styleId="TableGrid2">
    <w:name w:val="Table Grid2"/>
    <w:basedOn w:val="TableNormal"/>
    <w:next w:val="TableGrid"/>
    <w:uiPriority w:val="59"/>
    <w:rsid w:val="008725CE"/>
    <w:pPr>
      <w:widowControl w:val="0"/>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t0xe">
    <w:name w:val="trt0xe"/>
    <w:basedOn w:val="Normal"/>
    <w:uiPriority w:val="99"/>
    <w:rsid w:val="0092752A"/>
    <w:pPr>
      <w:spacing w:before="100" w:beforeAutospacing="1" w:after="100" w:afterAutospacing="1"/>
    </w:pPr>
    <w:rPr>
      <w:rFonts w:ascii="Times New Roman" w:eastAsia="Times New Roman" w:hAnsi="Times New Roman"/>
      <w:lang w:val="en-US"/>
    </w:rPr>
  </w:style>
  <w:style w:type="table" w:customStyle="1" w:styleId="TableGrid11">
    <w:name w:val="Table Grid11"/>
    <w:basedOn w:val="TableNormal"/>
    <w:next w:val="TableGrid"/>
    <w:uiPriority w:val="59"/>
    <w:rsid w:val="004F59F4"/>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
    <w:name w:val="C1"/>
    <w:basedOn w:val="Normal"/>
    <w:next w:val="FootnoteText"/>
    <w:uiPriority w:val="99"/>
    <w:unhideWhenUsed/>
    <w:qFormat/>
    <w:rsid w:val="00A86175"/>
    <w:rPr>
      <w:rFonts w:asciiTheme="minorHAnsi" w:eastAsiaTheme="minorHAnsi" w:hAnsiTheme="minorHAnsi" w:cstheme="minorBidi"/>
      <w:sz w:val="20"/>
      <w:szCs w:val="20"/>
      <w:lang w:val="en-US"/>
    </w:rPr>
  </w:style>
  <w:style w:type="character" w:customStyle="1" w:styleId="FootnoteTextChar1">
    <w:name w:val="Footnote Text Char1"/>
    <w:aliases w:val="Footnote Text Char Char Char Char1,Footnote Text Char Char Char2,Fußnote Char1,Testo nota a piè di pagina Carattere Char1,Geneva 9 Char1,Font: Geneva 9 Char1,Boston 10 Char1,f Char1,single space Char1,FOOTNOTES Char1,fn Char1,C Char1"/>
    <w:basedOn w:val="DefaultParagraphFont"/>
    <w:uiPriority w:val="8"/>
    <w:semiHidden/>
    <w:rsid w:val="00A86175"/>
    <w:rPr>
      <w:sz w:val="20"/>
      <w:szCs w:val="20"/>
    </w:rPr>
  </w:style>
  <w:style w:type="character" w:customStyle="1" w:styleId="y2iqfc">
    <w:name w:val="y2iqfc"/>
    <w:basedOn w:val="DefaultParagraphFont"/>
    <w:qFormat/>
    <w:rsid w:val="00A72F9A"/>
  </w:style>
  <w:style w:type="table" w:customStyle="1" w:styleId="TableGrid31">
    <w:name w:val="Table Grid31"/>
    <w:basedOn w:val="TableNormal"/>
    <w:uiPriority w:val="39"/>
    <w:rsid w:val="00BC0117"/>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1">
    <w:name w:val="Grid Table 1 Light11"/>
    <w:basedOn w:val="TableNormal"/>
    <w:uiPriority w:val="46"/>
    <w:rsid w:val="00BC0117"/>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2-Accent51">
    <w:name w:val="Grid Table 2 - Accent 51"/>
    <w:basedOn w:val="TableNormal"/>
    <w:uiPriority w:val="47"/>
    <w:rsid w:val="00BC0117"/>
    <w:rPr>
      <w:rFonts w:asciiTheme="minorHAnsi" w:eastAsiaTheme="minorHAnsi" w:hAnsiTheme="minorHAnsi" w:cstheme="minorBidi"/>
      <w:sz w:val="22"/>
      <w:szCs w:val="22"/>
      <w:lang w:val="en-US" w:eastAsia="en-US"/>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51">
    <w:name w:val="Grid Table 4 - Accent 51"/>
    <w:basedOn w:val="TableNormal"/>
    <w:uiPriority w:val="49"/>
    <w:rsid w:val="00BC0117"/>
    <w:rPr>
      <w:rFonts w:asciiTheme="minorHAnsi" w:eastAsiaTheme="minorHAnsi" w:hAnsiTheme="minorHAnsi" w:cstheme="minorBidi"/>
      <w:sz w:val="22"/>
      <w:szCs w:val="22"/>
      <w:lang w:val="en-US"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Grid32">
    <w:name w:val="Table Grid32"/>
    <w:basedOn w:val="TableNormal"/>
    <w:uiPriority w:val="39"/>
    <w:rsid w:val="00A65EAE"/>
    <w:pPr>
      <w:widowControl w:val="0"/>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A65EAE"/>
    <w:pPr>
      <w:widowControl w:val="0"/>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094A26"/>
    <w:rPr>
      <w:rFonts w:ascii="Times New Roman" w:eastAsia="Times New Roman" w:hAnsi="Times New Roman"/>
      <w:i/>
      <w:iCs/>
      <w:color w:val="000000" w:themeColor="text1"/>
      <w:lang w:val="en-US"/>
    </w:rPr>
  </w:style>
  <w:style w:type="character" w:customStyle="1" w:styleId="QuoteChar">
    <w:name w:val="Quote Char"/>
    <w:basedOn w:val="DefaultParagraphFont"/>
    <w:link w:val="Quote"/>
    <w:uiPriority w:val="29"/>
    <w:rsid w:val="00094A26"/>
    <w:rPr>
      <w:rFonts w:ascii="Times New Roman" w:eastAsia="Times New Roman" w:hAnsi="Times New Roman"/>
      <w:i/>
      <w:iCs/>
      <w:color w:val="000000" w:themeColor="text1"/>
      <w:sz w:val="24"/>
      <w:szCs w:val="24"/>
      <w:lang w:val="en-US" w:eastAsia="en-US"/>
    </w:rPr>
  </w:style>
  <w:style w:type="character" w:customStyle="1" w:styleId="rynqvb">
    <w:name w:val="rynqvb"/>
    <w:basedOn w:val="DefaultParagraphFont"/>
    <w:rsid w:val="006B6BA8"/>
  </w:style>
  <w:style w:type="character" w:customStyle="1" w:styleId="hwtze">
    <w:name w:val="hwtze"/>
    <w:basedOn w:val="DefaultParagraphFont"/>
    <w:rsid w:val="006B6BA8"/>
  </w:style>
  <w:style w:type="table" w:customStyle="1" w:styleId="TableGrid3">
    <w:name w:val="Table Grid3"/>
    <w:basedOn w:val="TableNormal"/>
    <w:next w:val="TableGrid"/>
    <w:uiPriority w:val="39"/>
    <w:rsid w:val="002752DE"/>
    <w:pPr>
      <w:widowControl w:val="0"/>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007052"/>
    <w:rPr>
      <w:rFonts w:ascii="Segoe UI" w:hAnsi="Segoe UI" w:cs="Segoe UI" w:hint="default"/>
      <w:sz w:val="18"/>
      <w:szCs w:val="18"/>
    </w:rPr>
  </w:style>
  <w:style w:type="character" w:customStyle="1" w:styleId="WW8Num20z1">
    <w:name w:val="WW8Num20z1"/>
    <w:qFormat/>
    <w:rsid w:val="003A5B7E"/>
  </w:style>
  <w:style w:type="table" w:customStyle="1" w:styleId="GridTable3-Accent11">
    <w:name w:val="Grid Table 3 - Accent 11"/>
    <w:basedOn w:val="TableNormal"/>
    <w:uiPriority w:val="48"/>
    <w:rsid w:val="009D5D31"/>
    <w:rPr>
      <w:rFonts w:asciiTheme="minorHAnsi" w:eastAsiaTheme="minorHAnsi" w:hAnsiTheme="minorHAnsi" w:cstheme="minorBidi"/>
      <w:sz w:val="22"/>
      <w:szCs w:val="22"/>
      <w:lang w:val="en-US"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paragraph" w:customStyle="1" w:styleId="AAAAAAATEXXXX">
    <w:name w:val="AAAAAAATEXXXX"/>
    <w:basedOn w:val="ListParagraph"/>
    <w:qFormat/>
    <w:rsid w:val="00F468C9"/>
    <w:pPr>
      <w:tabs>
        <w:tab w:val="left" w:pos="720"/>
      </w:tabs>
      <w:ind w:left="0" w:firstLine="284"/>
      <w:jc w:val="both"/>
    </w:pPr>
    <w:rPr>
      <w:rFonts w:ascii="Garamond" w:hAnsi="Garamond" w:cs="Times New Roman"/>
      <w:color w:val="0D0D0D"/>
      <w:sz w:val="24"/>
      <w:szCs w:val="24"/>
    </w:rPr>
  </w:style>
  <w:style w:type="character" w:customStyle="1" w:styleId="ParagrafiChar">
    <w:name w:val="Paragrafi Char"/>
    <w:basedOn w:val="DefaultParagraphFont"/>
    <w:link w:val="Paragrafi"/>
    <w:locked/>
    <w:rsid w:val="00720244"/>
    <w:rPr>
      <w:rFonts w:ascii="Garamond" w:eastAsia="MS Mincho" w:hAnsi="Garamond" w:cs="CG Times"/>
      <w:sz w:val="24"/>
    </w:rPr>
  </w:style>
  <w:style w:type="paragraph" w:customStyle="1" w:styleId="Paragrafi">
    <w:name w:val="Paragrafi"/>
    <w:link w:val="ParagrafiChar"/>
    <w:qFormat/>
    <w:rsid w:val="00720244"/>
    <w:pPr>
      <w:widowControl w:val="0"/>
      <w:ind w:firstLine="284"/>
      <w:jc w:val="both"/>
    </w:pPr>
    <w:rPr>
      <w:rFonts w:ascii="Garamond" w:eastAsia="MS Mincho" w:hAnsi="Garamond" w:cs="CG Times"/>
      <w:sz w:val="24"/>
    </w:rPr>
  </w:style>
  <w:style w:type="character" w:customStyle="1" w:styleId="ParagraphNumberingChar">
    <w:name w:val="Paragraph Numbering Char"/>
    <w:basedOn w:val="DefaultParagraphFont"/>
    <w:link w:val="ParagraphNumbering"/>
    <w:locked/>
    <w:rsid w:val="00756B3E"/>
    <w:rPr>
      <w:rFonts w:ascii="Times New Roman" w:eastAsiaTheme="minorEastAsia" w:hAnsi="Times New Roman"/>
      <w:sz w:val="24"/>
      <w:szCs w:val="24"/>
      <w:lang w:val="en-US" w:eastAsia="zh-CN"/>
    </w:rPr>
  </w:style>
  <w:style w:type="paragraph" w:customStyle="1" w:styleId="ParagraphNumbering">
    <w:name w:val="Paragraph Numbering"/>
    <w:basedOn w:val="Normal"/>
    <w:link w:val="ParagraphNumberingChar"/>
    <w:qFormat/>
    <w:rsid w:val="00756B3E"/>
    <w:pPr>
      <w:spacing w:after="240" w:line="264" w:lineRule="auto"/>
    </w:pPr>
    <w:rPr>
      <w:rFonts w:ascii="Times New Roman" w:eastAsiaTheme="minorEastAsia" w:hAnsi="Times New Roman"/>
      <w:lang w:val="en-US" w:eastAsia="zh-CN"/>
    </w:rPr>
  </w:style>
  <w:style w:type="character" w:customStyle="1" w:styleId="fontstyle01">
    <w:name w:val="fontstyle01"/>
    <w:basedOn w:val="DefaultParagraphFont"/>
    <w:rsid w:val="00756B3E"/>
    <w:rPr>
      <w:rFonts w:ascii="Times New Roman" w:hAnsi="Times New Roman" w:cs="Times New Roman" w:hint="default"/>
      <w:b w:val="0"/>
      <w:bCs w:val="0"/>
      <w:i w:val="0"/>
      <w:iCs w:val="0"/>
      <w:color w:val="0D0D0D"/>
      <w:sz w:val="24"/>
      <w:szCs w:val="24"/>
    </w:rPr>
  </w:style>
  <w:style w:type="character" w:customStyle="1" w:styleId="fontstyle21">
    <w:name w:val="fontstyle21"/>
    <w:basedOn w:val="DefaultParagraphFont"/>
    <w:rsid w:val="00756B3E"/>
    <w:rPr>
      <w:rFonts w:ascii="Times New Roman" w:hAnsi="Times New Roman" w:cs="Times New Roman" w:hint="default"/>
      <w:b w:val="0"/>
      <w:bCs w:val="0"/>
      <w:i/>
      <w:iCs/>
      <w:color w:val="0D0D0D"/>
      <w:sz w:val="24"/>
      <w:szCs w:val="24"/>
    </w:rPr>
  </w:style>
  <w:style w:type="character" w:customStyle="1" w:styleId="q4iawc">
    <w:name w:val="q4iawc"/>
    <w:basedOn w:val="DefaultParagraphFont"/>
    <w:rsid w:val="00756B3E"/>
  </w:style>
  <w:style w:type="character" w:customStyle="1" w:styleId="UnresolvedMention">
    <w:name w:val="Unresolved Mention"/>
    <w:basedOn w:val="DefaultParagraphFont"/>
    <w:uiPriority w:val="99"/>
    <w:semiHidden/>
    <w:unhideWhenUsed/>
    <w:rsid w:val="00A054E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q-AL" w:eastAsia="sq-A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0" w:unhideWhenUsed="0" w:qFormat="1"/>
    <w:lsdException w:name="heading 3" w:semiHidden="0" w:uiPriority="1" w:unhideWhenUsed="0" w:qFormat="1"/>
    <w:lsdException w:name="heading 4" w:semiHidden="0" w:uiPriority="1" w:unhideWhenUsed="0" w:qFormat="1"/>
    <w:lsdException w:name="heading 5" w:semiHidden="0" w:uiPriority="9" w:unhideWhenUsed="0" w:qFormat="1"/>
    <w:lsdException w:name="heading 6" w:semiHidden="0" w:uiPriority="0" w:unhideWhenUsed="0" w:qFormat="1"/>
    <w:lsdException w:name="heading 7" w:semiHidden="0" w:unhideWhenUsed="0" w:qFormat="1"/>
    <w:lsdException w:name="heading 8" w:semiHidden="0" w:unhideWhenUsed="0" w:qFormat="1"/>
    <w:lsdException w:name="heading 9" w:semiHidden="0"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caption" w:semiHidden="0" w:uiPriority="35" w:unhideWhenUsed="0" w:qFormat="1"/>
    <w:lsdException w:name="footnote reference" w:qFormat="1"/>
    <w:lsdException w:name="annotation reference" w:qFormat="1"/>
    <w:lsdException w:name="List Bullet" w:uiPriority="2" w:qFormat="1"/>
    <w:lsdException w:name="Title" w:semiHidden="0" w:unhideWhenUsed="0" w:qFormat="1"/>
    <w:lsdException w:name="Default Paragraph Font" w:uiPriority="1"/>
    <w:lsdException w:name="Body Text" w:uiPriority="1" w:qFormat="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Elegant" w:uiPriority="0"/>
    <w:lsdException w:name="Table Grid" w:semiHidden="0" w:uiPriority="3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nhideWhenUsed="0" w:qFormat="1"/>
    <w:lsdException w:name="Quote" w:semiHidden="0" w:uiPriority="29"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39" w:qFormat="1"/>
  </w:latentStyles>
  <w:style w:type="paragraph" w:default="1" w:styleId="Normal">
    <w:name w:val="Normal"/>
    <w:qFormat/>
    <w:rsid w:val="009E096B"/>
    <w:rPr>
      <w:sz w:val="24"/>
      <w:szCs w:val="24"/>
      <w:lang w:eastAsia="en-US"/>
    </w:rPr>
  </w:style>
  <w:style w:type="paragraph" w:styleId="Heading1">
    <w:name w:val="heading 1"/>
    <w:basedOn w:val="Normal"/>
    <w:link w:val="Heading1Char"/>
    <w:uiPriority w:val="1"/>
    <w:qFormat/>
    <w:rsid w:val="00DF1828"/>
    <w:pPr>
      <w:widowControl w:val="0"/>
      <w:ind w:left="1380"/>
      <w:outlineLvl w:val="0"/>
    </w:pPr>
    <w:rPr>
      <w:rFonts w:ascii="Times New Roman" w:eastAsia="Times New Roman" w:hAnsi="Times New Roman"/>
      <w:b/>
      <w:bCs/>
    </w:rPr>
  </w:style>
  <w:style w:type="paragraph" w:styleId="Heading2">
    <w:name w:val="heading 2"/>
    <w:basedOn w:val="Normal"/>
    <w:link w:val="Heading2Char"/>
    <w:qFormat/>
    <w:rsid w:val="00DF1828"/>
    <w:pPr>
      <w:widowControl w:val="0"/>
      <w:ind w:left="1380"/>
      <w:outlineLvl w:val="1"/>
    </w:pPr>
    <w:rPr>
      <w:rFonts w:ascii="Times New Roman" w:eastAsia="Times New Roman" w:hAnsi="Times New Roman"/>
    </w:rPr>
  </w:style>
  <w:style w:type="paragraph" w:styleId="Heading3">
    <w:name w:val="heading 3"/>
    <w:basedOn w:val="Normal"/>
    <w:link w:val="Heading3Char"/>
    <w:uiPriority w:val="1"/>
    <w:qFormat/>
    <w:rsid w:val="00DF1828"/>
    <w:pPr>
      <w:widowControl w:val="0"/>
      <w:ind w:left="20"/>
      <w:outlineLvl w:val="2"/>
    </w:pPr>
    <w:rPr>
      <w:sz w:val="23"/>
      <w:szCs w:val="23"/>
    </w:rPr>
  </w:style>
  <w:style w:type="paragraph" w:styleId="Heading4">
    <w:name w:val="heading 4"/>
    <w:basedOn w:val="Normal"/>
    <w:link w:val="Heading4Char"/>
    <w:uiPriority w:val="1"/>
    <w:qFormat/>
    <w:rsid w:val="00DF1828"/>
    <w:pPr>
      <w:widowControl w:val="0"/>
      <w:ind w:left="1380"/>
      <w:outlineLvl w:val="3"/>
    </w:pPr>
    <w:rPr>
      <w:rFonts w:ascii="Arial Narrow" w:eastAsia="Arial Narrow" w:hAnsi="Arial Narrow"/>
      <w:b/>
      <w:bCs/>
      <w:sz w:val="22"/>
      <w:szCs w:val="22"/>
    </w:rPr>
  </w:style>
  <w:style w:type="paragraph" w:styleId="Heading5">
    <w:name w:val="heading 5"/>
    <w:basedOn w:val="Normal"/>
    <w:link w:val="Heading5Char"/>
    <w:uiPriority w:val="9"/>
    <w:qFormat/>
    <w:rsid w:val="00DF1828"/>
    <w:pPr>
      <w:widowControl w:val="0"/>
      <w:ind w:left="1379"/>
      <w:outlineLvl w:val="4"/>
    </w:pPr>
    <w:rPr>
      <w:rFonts w:ascii="Arial Narrow" w:eastAsia="Arial Narrow" w:hAnsi="Arial Narrow"/>
      <w:b/>
      <w:bCs/>
      <w:i/>
      <w:sz w:val="22"/>
      <w:szCs w:val="22"/>
    </w:rPr>
  </w:style>
  <w:style w:type="paragraph" w:styleId="Heading6">
    <w:name w:val="heading 6"/>
    <w:basedOn w:val="Normal"/>
    <w:next w:val="Normal"/>
    <w:link w:val="Heading6Char"/>
    <w:qFormat/>
    <w:rsid w:val="005D5609"/>
    <w:pPr>
      <w:numPr>
        <w:numId w:val="6"/>
      </w:numPr>
      <w:jc w:val="both"/>
      <w:outlineLvl w:val="5"/>
    </w:pPr>
    <w:rPr>
      <w:rFonts w:ascii="Times New Roman" w:eastAsia="Times New Roman" w:hAnsi="Times New Roman"/>
      <w:i/>
      <w:u w:val="single"/>
    </w:rPr>
  </w:style>
  <w:style w:type="paragraph" w:styleId="Heading7">
    <w:name w:val="heading 7"/>
    <w:basedOn w:val="Normal"/>
    <w:next w:val="Normal"/>
    <w:link w:val="Heading7Char"/>
    <w:uiPriority w:val="99"/>
    <w:qFormat/>
    <w:rsid w:val="00DF1828"/>
    <w:pPr>
      <w:tabs>
        <w:tab w:val="num" w:pos="360"/>
      </w:tabs>
      <w:spacing w:before="240" w:after="60"/>
      <w:ind w:left="360" w:hanging="360"/>
      <w:jc w:val="both"/>
      <w:outlineLvl w:val="6"/>
    </w:pPr>
    <w:rPr>
      <w:rFonts w:ascii="Arial" w:eastAsia="Times New Roman" w:hAnsi="Arial"/>
      <w:sz w:val="20"/>
      <w:szCs w:val="20"/>
    </w:rPr>
  </w:style>
  <w:style w:type="paragraph" w:styleId="Heading8">
    <w:name w:val="heading 8"/>
    <w:basedOn w:val="Normal"/>
    <w:next w:val="Normal"/>
    <w:link w:val="Heading8Char"/>
    <w:uiPriority w:val="99"/>
    <w:qFormat/>
    <w:rsid w:val="00DF1828"/>
    <w:pPr>
      <w:tabs>
        <w:tab w:val="num" w:pos="360"/>
      </w:tabs>
      <w:spacing w:before="240" w:after="60"/>
      <w:ind w:left="360" w:hanging="360"/>
      <w:jc w:val="both"/>
      <w:outlineLvl w:val="7"/>
    </w:pPr>
    <w:rPr>
      <w:rFonts w:ascii="Arial" w:eastAsia="Times New Roman" w:hAnsi="Arial"/>
      <w:i/>
      <w:sz w:val="20"/>
      <w:szCs w:val="20"/>
    </w:rPr>
  </w:style>
  <w:style w:type="paragraph" w:styleId="Heading9">
    <w:name w:val="heading 9"/>
    <w:basedOn w:val="Normal"/>
    <w:next w:val="Normal"/>
    <w:link w:val="Heading9Char"/>
    <w:uiPriority w:val="99"/>
    <w:qFormat/>
    <w:rsid w:val="00DF1828"/>
    <w:pPr>
      <w:tabs>
        <w:tab w:val="num" w:pos="360"/>
      </w:tabs>
      <w:spacing w:before="240" w:after="60"/>
      <w:ind w:left="360" w:hanging="360"/>
      <w:jc w:val="both"/>
      <w:outlineLvl w:val="8"/>
    </w:pPr>
    <w:rPr>
      <w:rFonts w:ascii="Arial" w:eastAsia="Times New Roman" w:hAnsi="Arial"/>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DF1828"/>
    <w:rPr>
      <w:rFonts w:ascii="Times New Roman" w:eastAsia="Times New Roman" w:hAnsi="Times New Roman"/>
      <w:b/>
      <w:bCs/>
      <w:lang w:val="en-GB"/>
    </w:rPr>
  </w:style>
  <w:style w:type="character" w:customStyle="1" w:styleId="Heading2Char">
    <w:name w:val="Heading 2 Char"/>
    <w:link w:val="Heading2"/>
    <w:rsid w:val="00DF1828"/>
    <w:rPr>
      <w:rFonts w:ascii="Times New Roman" w:eastAsia="Times New Roman" w:hAnsi="Times New Roman"/>
      <w:lang w:val="en-GB"/>
    </w:rPr>
  </w:style>
  <w:style w:type="character" w:customStyle="1" w:styleId="Heading3Char">
    <w:name w:val="Heading 3 Char"/>
    <w:link w:val="Heading3"/>
    <w:uiPriority w:val="1"/>
    <w:rsid w:val="00DF1828"/>
    <w:rPr>
      <w:rFonts w:ascii="Calibri" w:eastAsia="Calibri" w:hAnsi="Calibri"/>
      <w:sz w:val="23"/>
      <w:szCs w:val="23"/>
      <w:lang w:val="en-GB"/>
    </w:rPr>
  </w:style>
  <w:style w:type="character" w:customStyle="1" w:styleId="Heading4Char">
    <w:name w:val="Heading 4 Char"/>
    <w:link w:val="Heading4"/>
    <w:uiPriority w:val="1"/>
    <w:rsid w:val="00DF1828"/>
    <w:rPr>
      <w:rFonts w:ascii="Arial Narrow" w:eastAsia="Arial Narrow" w:hAnsi="Arial Narrow"/>
      <w:b/>
      <w:bCs/>
      <w:sz w:val="22"/>
      <w:szCs w:val="22"/>
      <w:lang w:val="en-GB"/>
    </w:rPr>
  </w:style>
  <w:style w:type="character" w:customStyle="1" w:styleId="Heading5Char">
    <w:name w:val="Heading 5 Char"/>
    <w:link w:val="Heading5"/>
    <w:uiPriority w:val="9"/>
    <w:rsid w:val="00DF1828"/>
    <w:rPr>
      <w:rFonts w:ascii="Arial Narrow" w:eastAsia="Arial Narrow" w:hAnsi="Arial Narrow"/>
      <w:b/>
      <w:bCs/>
      <w:i/>
      <w:sz w:val="22"/>
      <w:szCs w:val="22"/>
      <w:lang w:val="en-GB"/>
    </w:rPr>
  </w:style>
  <w:style w:type="character" w:customStyle="1" w:styleId="Heading6Char">
    <w:name w:val="Heading 6 Char"/>
    <w:link w:val="Heading6"/>
    <w:rsid w:val="005D5609"/>
    <w:rPr>
      <w:rFonts w:ascii="Times New Roman" w:eastAsia="Times New Roman" w:hAnsi="Times New Roman"/>
      <w:i/>
      <w:sz w:val="24"/>
      <w:szCs w:val="24"/>
      <w:u w:val="single"/>
    </w:rPr>
  </w:style>
  <w:style w:type="character" w:customStyle="1" w:styleId="Heading7Char">
    <w:name w:val="Heading 7 Char"/>
    <w:link w:val="Heading7"/>
    <w:uiPriority w:val="99"/>
    <w:rsid w:val="00DF1828"/>
    <w:rPr>
      <w:rFonts w:ascii="Arial" w:eastAsia="Times New Roman" w:hAnsi="Arial" w:cs="Times New Roman"/>
      <w:sz w:val="20"/>
      <w:szCs w:val="20"/>
    </w:rPr>
  </w:style>
  <w:style w:type="character" w:customStyle="1" w:styleId="Heading8Char">
    <w:name w:val="Heading 8 Char"/>
    <w:link w:val="Heading8"/>
    <w:uiPriority w:val="99"/>
    <w:rsid w:val="00DF1828"/>
    <w:rPr>
      <w:rFonts w:ascii="Arial" w:eastAsia="Times New Roman" w:hAnsi="Arial" w:cs="Times New Roman"/>
      <w:i/>
      <w:sz w:val="20"/>
      <w:szCs w:val="20"/>
    </w:rPr>
  </w:style>
  <w:style w:type="character" w:customStyle="1" w:styleId="Heading9Char">
    <w:name w:val="Heading 9 Char"/>
    <w:link w:val="Heading9"/>
    <w:uiPriority w:val="99"/>
    <w:rsid w:val="00DF1828"/>
    <w:rPr>
      <w:rFonts w:ascii="Arial" w:eastAsia="Times New Roman" w:hAnsi="Arial" w:cs="Times New Roman"/>
      <w:i/>
      <w:sz w:val="18"/>
      <w:szCs w:val="20"/>
    </w:rPr>
  </w:style>
  <w:style w:type="paragraph" w:styleId="BodyText">
    <w:name w:val="Body Text"/>
    <w:basedOn w:val="Normal"/>
    <w:link w:val="BodyTextChar"/>
    <w:uiPriority w:val="1"/>
    <w:qFormat/>
    <w:rsid w:val="00DF1828"/>
    <w:pPr>
      <w:widowControl w:val="0"/>
      <w:ind w:left="1380"/>
    </w:pPr>
    <w:rPr>
      <w:rFonts w:ascii="Arial Narrow" w:eastAsia="Arial Narrow" w:hAnsi="Arial Narrow"/>
      <w:sz w:val="22"/>
      <w:szCs w:val="22"/>
    </w:rPr>
  </w:style>
  <w:style w:type="character" w:customStyle="1" w:styleId="BodyTextChar">
    <w:name w:val="Body Text Char"/>
    <w:link w:val="BodyText"/>
    <w:uiPriority w:val="1"/>
    <w:rsid w:val="00DF1828"/>
    <w:rPr>
      <w:rFonts w:ascii="Arial Narrow" w:eastAsia="Arial Narrow" w:hAnsi="Arial Narrow"/>
      <w:sz w:val="22"/>
      <w:szCs w:val="22"/>
      <w:lang w:val="en-GB"/>
    </w:rPr>
  </w:style>
  <w:style w:type="paragraph" w:customStyle="1" w:styleId="ColorfulList-Accent11">
    <w:name w:val="Colorful List - Accent 11"/>
    <w:aliases w:val="List Paragraph (numbered (a)),Normal 1,List Paragraph 1,Akapit z listą BS,Bullets,List Paragraph1,Bullet1,NumberedParas,Dot pt,F5 List Paragraph,List Paragraph Char Char Char,Indicator Text,Numbered Para 1,Bullet 1"/>
    <w:basedOn w:val="Normal"/>
    <w:link w:val="ColorfulList-Accent1Char"/>
    <w:uiPriority w:val="34"/>
    <w:qFormat/>
    <w:rsid w:val="00DF1828"/>
    <w:pPr>
      <w:widowControl w:val="0"/>
    </w:pPr>
    <w:rPr>
      <w:sz w:val="22"/>
      <w:szCs w:val="22"/>
    </w:rPr>
  </w:style>
  <w:style w:type="character" w:customStyle="1" w:styleId="ColorfulList-Accent1Char">
    <w:name w:val="Colorful List - Accent 1 Char"/>
    <w:aliases w:val="List Paragraph (numbered (a)) Char,Normal 1 Char,List Paragraph 1 Char,Akapit z listą BS Char,Bullets Char,List Paragraph1 Char,Bullet1 Char,NumberedParas Char,Dot pt Char,F5 List Paragraph Char,Indicator Text Char"/>
    <w:link w:val="ColorfulList-Accent11"/>
    <w:uiPriority w:val="34"/>
    <w:qFormat/>
    <w:locked/>
    <w:rsid w:val="00DF1828"/>
    <w:rPr>
      <w:sz w:val="22"/>
      <w:szCs w:val="22"/>
      <w:lang w:val="en-GB"/>
    </w:rPr>
  </w:style>
  <w:style w:type="paragraph" w:customStyle="1" w:styleId="TableParagraph">
    <w:name w:val="Table Paragraph"/>
    <w:basedOn w:val="Normal"/>
    <w:uiPriority w:val="1"/>
    <w:qFormat/>
    <w:rsid w:val="00DF1828"/>
    <w:pPr>
      <w:widowControl w:val="0"/>
    </w:pPr>
    <w:rPr>
      <w:sz w:val="22"/>
      <w:szCs w:val="22"/>
    </w:rPr>
  </w:style>
  <w:style w:type="paragraph" w:styleId="Header">
    <w:name w:val="header"/>
    <w:basedOn w:val="Normal"/>
    <w:link w:val="HeaderChar"/>
    <w:uiPriority w:val="99"/>
    <w:unhideWhenUsed/>
    <w:rsid w:val="00DF1828"/>
    <w:pPr>
      <w:widowControl w:val="0"/>
      <w:tabs>
        <w:tab w:val="center" w:pos="4513"/>
        <w:tab w:val="right" w:pos="9026"/>
      </w:tabs>
    </w:pPr>
    <w:rPr>
      <w:sz w:val="22"/>
      <w:szCs w:val="22"/>
    </w:rPr>
  </w:style>
  <w:style w:type="character" w:customStyle="1" w:styleId="HeaderChar">
    <w:name w:val="Header Char"/>
    <w:link w:val="Header"/>
    <w:uiPriority w:val="99"/>
    <w:rsid w:val="00DF1828"/>
    <w:rPr>
      <w:sz w:val="22"/>
      <w:szCs w:val="22"/>
      <w:lang w:val="en-GB"/>
    </w:rPr>
  </w:style>
  <w:style w:type="paragraph" w:styleId="Footer">
    <w:name w:val="footer"/>
    <w:basedOn w:val="Normal"/>
    <w:link w:val="FooterChar"/>
    <w:uiPriority w:val="99"/>
    <w:unhideWhenUsed/>
    <w:rsid w:val="00DF1828"/>
    <w:pPr>
      <w:widowControl w:val="0"/>
      <w:tabs>
        <w:tab w:val="center" w:pos="4513"/>
        <w:tab w:val="right" w:pos="9026"/>
      </w:tabs>
    </w:pPr>
    <w:rPr>
      <w:sz w:val="22"/>
      <w:szCs w:val="22"/>
    </w:rPr>
  </w:style>
  <w:style w:type="character" w:customStyle="1" w:styleId="FooterChar">
    <w:name w:val="Footer Char"/>
    <w:link w:val="Footer"/>
    <w:uiPriority w:val="99"/>
    <w:rsid w:val="00DF1828"/>
    <w:rPr>
      <w:sz w:val="22"/>
      <w:szCs w:val="22"/>
      <w:lang w:val="en-GB"/>
    </w:rPr>
  </w:style>
  <w:style w:type="paragraph" w:styleId="BalloonText">
    <w:name w:val="Balloon Text"/>
    <w:basedOn w:val="Normal"/>
    <w:link w:val="BalloonTextChar"/>
    <w:uiPriority w:val="99"/>
    <w:semiHidden/>
    <w:unhideWhenUsed/>
    <w:rsid w:val="00DF1828"/>
    <w:pPr>
      <w:widowControl w:val="0"/>
    </w:pPr>
    <w:rPr>
      <w:rFonts w:ascii="Tahoma" w:hAnsi="Tahoma" w:cs="Tahoma"/>
      <w:sz w:val="16"/>
      <w:szCs w:val="16"/>
    </w:rPr>
  </w:style>
  <w:style w:type="character" w:customStyle="1" w:styleId="BalloonTextChar">
    <w:name w:val="Balloon Text Char"/>
    <w:link w:val="BalloonText"/>
    <w:uiPriority w:val="99"/>
    <w:semiHidden/>
    <w:rsid w:val="00DF1828"/>
    <w:rPr>
      <w:rFonts w:ascii="Tahoma" w:hAnsi="Tahoma" w:cs="Tahoma"/>
      <w:sz w:val="16"/>
      <w:szCs w:val="16"/>
      <w:lang w:val="en-GB"/>
    </w:rPr>
  </w:style>
  <w:style w:type="table" w:styleId="TableGrid">
    <w:name w:val="Table Grid"/>
    <w:basedOn w:val="TableNormal"/>
    <w:uiPriority w:val="39"/>
    <w:rsid w:val="00DF1828"/>
    <w:pPr>
      <w:widowControl w:val="0"/>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Heading1"/>
    <w:next w:val="Normal"/>
    <w:uiPriority w:val="39"/>
    <w:semiHidden/>
    <w:unhideWhenUsed/>
    <w:qFormat/>
    <w:rsid w:val="00DF1828"/>
    <w:pPr>
      <w:keepNext/>
      <w:keepLines/>
      <w:widowControl/>
      <w:spacing w:before="480" w:line="276" w:lineRule="auto"/>
      <w:ind w:left="0"/>
      <w:outlineLvl w:val="9"/>
    </w:pPr>
    <w:rPr>
      <w:rFonts w:ascii="Calibri Light" w:hAnsi="Calibri Light"/>
      <w:color w:val="2E74B5"/>
      <w:sz w:val="28"/>
      <w:szCs w:val="28"/>
      <w:lang w:eastAsia="ja-JP"/>
    </w:rPr>
  </w:style>
  <w:style w:type="paragraph" w:styleId="TOC1">
    <w:name w:val="toc 1"/>
    <w:basedOn w:val="Normal"/>
    <w:next w:val="Normal"/>
    <w:autoRedefine/>
    <w:uiPriority w:val="39"/>
    <w:unhideWhenUsed/>
    <w:qFormat/>
    <w:rsid w:val="00DF1828"/>
    <w:pPr>
      <w:widowControl w:val="0"/>
      <w:spacing w:after="100"/>
    </w:pPr>
    <w:rPr>
      <w:sz w:val="22"/>
      <w:szCs w:val="22"/>
    </w:rPr>
  </w:style>
  <w:style w:type="paragraph" w:styleId="TOC2">
    <w:name w:val="toc 2"/>
    <w:basedOn w:val="Normal"/>
    <w:next w:val="Normal"/>
    <w:autoRedefine/>
    <w:uiPriority w:val="39"/>
    <w:unhideWhenUsed/>
    <w:qFormat/>
    <w:rsid w:val="00DF1828"/>
    <w:pPr>
      <w:widowControl w:val="0"/>
      <w:spacing w:after="100"/>
      <w:ind w:left="220"/>
    </w:pPr>
    <w:rPr>
      <w:sz w:val="22"/>
      <w:szCs w:val="22"/>
    </w:rPr>
  </w:style>
  <w:style w:type="paragraph" w:styleId="TOC3">
    <w:name w:val="toc 3"/>
    <w:basedOn w:val="Normal"/>
    <w:next w:val="Normal"/>
    <w:autoRedefine/>
    <w:uiPriority w:val="39"/>
    <w:unhideWhenUsed/>
    <w:qFormat/>
    <w:rsid w:val="004D12D9"/>
    <w:pPr>
      <w:widowControl w:val="0"/>
      <w:tabs>
        <w:tab w:val="left" w:pos="1134"/>
        <w:tab w:val="right" w:leader="dot" w:pos="9632"/>
      </w:tabs>
      <w:spacing w:after="100"/>
      <w:ind w:left="567"/>
      <w:jc w:val="both"/>
    </w:pPr>
    <w:rPr>
      <w:sz w:val="22"/>
      <w:szCs w:val="22"/>
    </w:rPr>
  </w:style>
  <w:style w:type="character" w:styleId="Hyperlink">
    <w:name w:val="Hyperlink"/>
    <w:uiPriority w:val="99"/>
    <w:unhideWhenUsed/>
    <w:rsid w:val="00DF1828"/>
    <w:rPr>
      <w:color w:val="0563C1"/>
      <w:u w:val="single"/>
    </w:rPr>
  </w:style>
  <w:style w:type="paragraph" w:styleId="Caption">
    <w:name w:val="caption"/>
    <w:basedOn w:val="Normal"/>
    <w:next w:val="Normal"/>
    <w:uiPriority w:val="35"/>
    <w:qFormat/>
    <w:rsid w:val="00DF1828"/>
    <w:pPr>
      <w:widowControl w:val="0"/>
      <w:spacing w:after="200"/>
    </w:pPr>
    <w:rPr>
      <w:b/>
      <w:bCs/>
      <w:color w:val="5B9BD5"/>
      <w:sz w:val="18"/>
      <w:szCs w:val="18"/>
    </w:rPr>
  </w:style>
  <w:style w:type="paragraph" w:styleId="FootnoteText">
    <w:name w:val="footnote text"/>
    <w:aliases w:val="Footnote Text Char Char Char,Footnote Text Char Char,Fußnote,Testo nota a piè di pagina Carattere,Geneva 9,Font: Geneva 9,Boston 10,f,single space,FOOTNOTES,fn,ADB,pod carou,Char Char,Footnote Text1 Char Char,Char,Char Cha,Char Char Char,C"/>
    <w:basedOn w:val="Normal"/>
    <w:link w:val="FootnoteTextChar"/>
    <w:uiPriority w:val="99"/>
    <w:unhideWhenUsed/>
    <w:qFormat/>
    <w:rsid w:val="00DF1828"/>
    <w:pPr>
      <w:widowControl w:val="0"/>
    </w:pPr>
    <w:rPr>
      <w:sz w:val="20"/>
      <w:szCs w:val="20"/>
    </w:rPr>
  </w:style>
  <w:style w:type="character" w:customStyle="1" w:styleId="FootnoteTextChar">
    <w:name w:val="Footnote Text Char"/>
    <w:aliases w:val="Footnote Text Char Char Char Char,Footnote Text Char Char Char1,Fußnote Char,Testo nota a piè di pagina Carattere Char,Geneva 9 Char,Font: Geneva 9 Char,Boston 10 Char,f Char,single space Char,FOOTNOTES Char,fn Char,ADB Char,C Char"/>
    <w:link w:val="FootnoteText"/>
    <w:uiPriority w:val="99"/>
    <w:qFormat/>
    <w:rsid w:val="00DF1828"/>
    <w:rPr>
      <w:sz w:val="20"/>
      <w:szCs w:val="20"/>
      <w:lang w:val="en-GB"/>
    </w:rPr>
  </w:style>
  <w:style w:type="character" w:styleId="FootnoteReference">
    <w:name w:val="footnote reference"/>
    <w:aliases w:val="BVI fnr,16 Point,Superscript 6 Point,ftref,fr,Fußnotenzeichen DISS,Footnote,Footnote symbol,Char1 Char Char Char Char, Char1 Char Char Char Char,Odwołanie przypisu,nota pié di pagina,Footnote reference number,Times 10 Point,note TESI"/>
    <w:link w:val="BVIfnrCarCarCarCarChar"/>
    <w:uiPriority w:val="99"/>
    <w:unhideWhenUsed/>
    <w:qFormat/>
    <w:rsid w:val="00DF1828"/>
    <w:rPr>
      <w:vertAlign w:val="superscript"/>
    </w:rPr>
  </w:style>
  <w:style w:type="paragraph" w:customStyle="1" w:styleId="BVIfnrCarCarCarCarChar">
    <w:name w:val="BVI fnr Car Car Car Car Char"/>
    <w:basedOn w:val="Normal"/>
    <w:link w:val="FootnoteReference"/>
    <w:uiPriority w:val="99"/>
    <w:qFormat/>
    <w:rsid w:val="00763DBD"/>
    <w:pPr>
      <w:spacing w:after="160" w:line="240" w:lineRule="exact"/>
    </w:pPr>
    <w:rPr>
      <w:sz w:val="20"/>
      <w:szCs w:val="20"/>
      <w:vertAlign w:val="superscript"/>
      <w:lang w:eastAsia="sq-AL"/>
    </w:rPr>
  </w:style>
  <w:style w:type="paragraph" w:styleId="DocumentMap">
    <w:name w:val="Document Map"/>
    <w:basedOn w:val="Normal"/>
    <w:link w:val="DocumentMapChar"/>
    <w:uiPriority w:val="99"/>
    <w:semiHidden/>
    <w:unhideWhenUsed/>
    <w:rsid w:val="00DF1828"/>
    <w:pPr>
      <w:widowControl w:val="0"/>
    </w:pPr>
    <w:rPr>
      <w:rFonts w:ascii="Times New Roman" w:hAnsi="Times New Roman"/>
    </w:rPr>
  </w:style>
  <w:style w:type="character" w:customStyle="1" w:styleId="DocumentMapChar">
    <w:name w:val="Document Map Char"/>
    <w:link w:val="DocumentMap"/>
    <w:uiPriority w:val="99"/>
    <w:semiHidden/>
    <w:rsid w:val="00DF1828"/>
    <w:rPr>
      <w:rFonts w:ascii="Times New Roman" w:hAnsi="Times New Roman" w:cs="Times New Roman"/>
      <w:lang w:val="en-GB"/>
    </w:rPr>
  </w:style>
  <w:style w:type="character" w:styleId="PageNumber">
    <w:name w:val="page number"/>
    <w:uiPriority w:val="99"/>
    <w:semiHidden/>
    <w:unhideWhenUsed/>
    <w:rsid w:val="00DF1828"/>
  </w:style>
  <w:style w:type="character" w:customStyle="1" w:styleId="Notedebasdepage">
    <w:name w:val="Note de bas de page_"/>
    <w:link w:val="Notedebasdepage0"/>
    <w:uiPriority w:val="99"/>
    <w:rsid w:val="00DF1828"/>
    <w:rPr>
      <w:sz w:val="17"/>
      <w:szCs w:val="17"/>
      <w:shd w:val="clear" w:color="auto" w:fill="FFFFFF"/>
    </w:rPr>
  </w:style>
  <w:style w:type="paragraph" w:customStyle="1" w:styleId="Notedebasdepage0">
    <w:name w:val="Note de bas de page"/>
    <w:basedOn w:val="Normal"/>
    <w:link w:val="Notedebasdepage"/>
    <w:uiPriority w:val="99"/>
    <w:rsid w:val="00DF1828"/>
    <w:pPr>
      <w:widowControl w:val="0"/>
      <w:shd w:val="clear" w:color="auto" w:fill="FFFFFF"/>
      <w:spacing w:line="206" w:lineRule="exact"/>
      <w:ind w:hanging="180"/>
      <w:jc w:val="both"/>
    </w:pPr>
    <w:rPr>
      <w:sz w:val="17"/>
      <w:szCs w:val="17"/>
      <w:lang w:val="en-US"/>
    </w:rPr>
  </w:style>
  <w:style w:type="character" w:customStyle="1" w:styleId="Corpsdutexte2">
    <w:name w:val="Corps du texte (2)_"/>
    <w:link w:val="Corpsdutexte21"/>
    <w:uiPriority w:val="99"/>
    <w:rsid w:val="00DF1828"/>
    <w:rPr>
      <w:rFonts w:ascii="Arial" w:hAnsi="Arial" w:cs="Arial"/>
      <w:sz w:val="16"/>
      <w:szCs w:val="16"/>
      <w:shd w:val="clear" w:color="auto" w:fill="FFFFFF"/>
    </w:rPr>
  </w:style>
  <w:style w:type="paragraph" w:customStyle="1" w:styleId="Corpsdutexte21">
    <w:name w:val="Corps du texte (2)1"/>
    <w:basedOn w:val="Normal"/>
    <w:link w:val="Corpsdutexte2"/>
    <w:uiPriority w:val="99"/>
    <w:rsid w:val="00DF1828"/>
    <w:pPr>
      <w:widowControl w:val="0"/>
      <w:shd w:val="clear" w:color="auto" w:fill="FFFFFF"/>
      <w:spacing w:after="720" w:line="240" w:lineRule="atLeast"/>
      <w:jc w:val="right"/>
    </w:pPr>
    <w:rPr>
      <w:rFonts w:ascii="Arial" w:hAnsi="Arial" w:cs="Arial"/>
      <w:sz w:val="16"/>
      <w:szCs w:val="16"/>
      <w:lang w:val="en-US"/>
    </w:rPr>
  </w:style>
  <w:style w:type="character" w:customStyle="1" w:styleId="Corpsdutexte20">
    <w:name w:val="Corps du texte (2)"/>
    <w:uiPriority w:val="99"/>
    <w:rsid w:val="00DF1828"/>
    <w:rPr>
      <w:rFonts w:ascii="Arial" w:hAnsi="Arial" w:cs="Arial"/>
      <w:color w:val="000096"/>
      <w:sz w:val="16"/>
      <w:szCs w:val="16"/>
      <w:u w:val="none"/>
      <w:lang w:val="bg-BG" w:eastAsia="bg-BG"/>
    </w:rPr>
  </w:style>
  <w:style w:type="character" w:customStyle="1" w:styleId="Corpsdutexte24">
    <w:name w:val="Corps du texte (2)4"/>
    <w:uiPriority w:val="99"/>
    <w:rsid w:val="00DF1828"/>
    <w:rPr>
      <w:rFonts w:ascii="Arial" w:hAnsi="Arial" w:cs="Arial"/>
      <w:color w:val="4B4B4B"/>
      <w:sz w:val="16"/>
      <w:szCs w:val="16"/>
      <w:u w:val="none"/>
      <w:lang w:val="de-DE" w:eastAsia="de-DE"/>
    </w:rPr>
  </w:style>
  <w:style w:type="character" w:customStyle="1" w:styleId="Corpsdutexte3">
    <w:name w:val="Corps du texte (3)_"/>
    <w:link w:val="Corpsdutexte30"/>
    <w:uiPriority w:val="99"/>
    <w:rsid w:val="00DF1828"/>
    <w:rPr>
      <w:rFonts w:ascii="Arial" w:hAnsi="Arial" w:cs="Arial"/>
      <w:shd w:val="clear" w:color="auto" w:fill="FFFFFF"/>
      <w:lang w:val="fi-FI" w:eastAsia="fi-FI"/>
    </w:rPr>
  </w:style>
  <w:style w:type="paragraph" w:customStyle="1" w:styleId="Corpsdutexte30">
    <w:name w:val="Corps du texte (3)"/>
    <w:basedOn w:val="Normal"/>
    <w:link w:val="Corpsdutexte3"/>
    <w:uiPriority w:val="99"/>
    <w:rsid w:val="00DF1828"/>
    <w:pPr>
      <w:widowControl w:val="0"/>
      <w:shd w:val="clear" w:color="auto" w:fill="FFFFFF"/>
      <w:spacing w:before="720" w:after="60" w:line="240" w:lineRule="atLeast"/>
    </w:pPr>
    <w:rPr>
      <w:rFonts w:ascii="Arial" w:hAnsi="Arial" w:cs="Arial"/>
      <w:lang w:val="fi-FI" w:eastAsia="fi-FI"/>
    </w:rPr>
  </w:style>
  <w:style w:type="character" w:customStyle="1" w:styleId="Corpsdutexte4">
    <w:name w:val="Corps du texte (4)_"/>
    <w:link w:val="Corpsdutexte40"/>
    <w:uiPriority w:val="99"/>
    <w:rsid w:val="00DF1828"/>
    <w:rPr>
      <w:rFonts w:ascii="Arial" w:hAnsi="Arial" w:cs="Arial"/>
      <w:sz w:val="14"/>
      <w:szCs w:val="14"/>
      <w:shd w:val="clear" w:color="auto" w:fill="FFFFFF"/>
    </w:rPr>
  </w:style>
  <w:style w:type="paragraph" w:customStyle="1" w:styleId="Corpsdutexte40">
    <w:name w:val="Corps du texte (4)"/>
    <w:basedOn w:val="Normal"/>
    <w:link w:val="Corpsdutexte4"/>
    <w:uiPriority w:val="99"/>
    <w:rsid w:val="00DF1828"/>
    <w:pPr>
      <w:widowControl w:val="0"/>
      <w:shd w:val="clear" w:color="auto" w:fill="FFFFFF"/>
      <w:spacing w:before="60" w:after="5340" w:line="240" w:lineRule="atLeast"/>
    </w:pPr>
    <w:rPr>
      <w:rFonts w:ascii="Arial" w:hAnsi="Arial" w:cs="Arial"/>
      <w:sz w:val="14"/>
      <w:szCs w:val="14"/>
      <w:lang w:val="en-US"/>
    </w:rPr>
  </w:style>
  <w:style w:type="character" w:customStyle="1" w:styleId="Corpsdutexte5">
    <w:name w:val="Corps du texte (5)_"/>
    <w:link w:val="Corpsdutexte50"/>
    <w:uiPriority w:val="99"/>
    <w:rsid w:val="00DF1828"/>
    <w:rPr>
      <w:rFonts w:ascii="Times New Roman" w:hAnsi="Times New Roman" w:cs="Times New Roman"/>
      <w:b/>
      <w:bCs/>
      <w:sz w:val="31"/>
      <w:szCs w:val="31"/>
      <w:shd w:val="clear" w:color="auto" w:fill="FFFFFF"/>
      <w:lang w:val="de-DE" w:eastAsia="de-DE"/>
    </w:rPr>
  </w:style>
  <w:style w:type="paragraph" w:customStyle="1" w:styleId="Corpsdutexte50">
    <w:name w:val="Corps du texte (5)"/>
    <w:basedOn w:val="Normal"/>
    <w:link w:val="Corpsdutexte5"/>
    <w:uiPriority w:val="99"/>
    <w:rsid w:val="00DF1828"/>
    <w:pPr>
      <w:widowControl w:val="0"/>
      <w:shd w:val="clear" w:color="auto" w:fill="FFFFFF"/>
      <w:spacing w:before="5340" w:after="1800" w:line="370" w:lineRule="exact"/>
    </w:pPr>
    <w:rPr>
      <w:rFonts w:ascii="Times New Roman" w:hAnsi="Times New Roman"/>
      <w:b/>
      <w:bCs/>
      <w:sz w:val="31"/>
      <w:szCs w:val="31"/>
      <w:lang w:val="de-DE" w:eastAsia="de-DE"/>
    </w:rPr>
  </w:style>
  <w:style w:type="character" w:customStyle="1" w:styleId="Corpsdutexte6">
    <w:name w:val="Corps du texte (6)_"/>
    <w:link w:val="Corpsdutexte60"/>
    <w:uiPriority w:val="99"/>
    <w:rsid w:val="00DF1828"/>
    <w:rPr>
      <w:sz w:val="31"/>
      <w:szCs w:val="31"/>
      <w:shd w:val="clear" w:color="auto" w:fill="FFFFFF"/>
    </w:rPr>
  </w:style>
  <w:style w:type="paragraph" w:customStyle="1" w:styleId="Corpsdutexte60">
    <w:name w:val="Corps du texte (6)"/>
    <w:basedOn w:val="Normal"/>
    <w:link w:val="Corpsdutexte6"/>
    <w:uiPriority w:val="99"/>
    <w:rsid w:val="00DF1828"/>
    <w:pPr>
      <w:widowControl w:val="0"/>
      <w:shd w:val="clear" w:color="auto" w:fill="FFFFFF"/>
      <w:spacing w:before="1800" w:line="240" w:lineRule="atLeast"/>
    </w:pPr>
    <w:rPr>
      <w:sz w:val="31"/>
      <w:szCs w:val="31"/>
      <w:lang w:val="en-US"/>
    </w:rPr>
  </w:style>
  <w:style w:type="character" w:customStyle="1" w:styleId="Corpsdutexte">
    <w:name w:val="Corps du texte_"/>
    <w:link w:val="Corpsdutexte1"/>
    <w:uiPriority w:val="99"/>
    <w:rsid w:val="00DF1828"/>
    <w:rPr>
      <w:sz w:val="23"/>
      <w:szCs w:val="23"/>
      <w:shd w:val="clear" w:color="auto" w:fill="FFFFFF"/>
    </w:rPr>
  </w:style>
  <w:style w:type="paragraph" w:customStyle="1" w:styleId="Corpsdutexte1">
    <w:name w:val="Corps du texte1"/>
    <w:basedOn w:val="Normal"/>
    <w:link w:val="Corpsdutexte"/>
    <w:uiPriority w:val="99"/>
    <w:rsid w:val="00DF1828"/>
    <w:pPr>
      <w:widowControl w:val="0"/>
      <w:shd w:val="clear" w:color="auto" w:fill="FFFFFF"/>
      <w:spacing w:after="300" w:line="240" w:lineRule="atLeast"/>
      <w:jc w:val="both"/>
    </w:pPr>
    <w:rPr>
      <w:sz w:val="23"/>
      <w:szCs w:val="23"/>
      <w:lang w:val="en-US"/>
    </w:rPr>
  </w:style>
  <w:style w:type="character" w:customStyle="1" w:styleId="Corpsdutexte0">
    <w:name w:val="Corps du texte"/>
    <w:rsid w:val="00DF1828"/>
    <w:rPr>
      <w:sz w:val="23"/>
      <w:szCs w:val="23"/>
      <w:u w:val="single"/>
    </w:rPr>
  </w:style>
  <w:style w:type="character" w:customStyle="1" w:styleId="En-tteoupieddepage">
    <w:name w:val="En-tête ou pied de page_"/>
    <w:link w:val="En-tteoupieddepage0"/>
    <w:uiPriority w:val="99"/>
    <w:rsid w:val="00DF1828"/>
    <w:rPr>
      <w:rFonts w:ascii="Times New Roman" w:hAnsi="Times New Roman" w:cs="Times New Roman"/>
      <w:noProof/>
      <w:sz w:val="20"/>
      <w:szCs w:val="20"/>
      <w:shd w:val="clear" w:color="auto" w:fill="FFFFFF"/>
    </w:rPr>
  </w:style>
  <w:style w:type="paragraph" w:customStyle="1" w:styleId="En-tteoupieddepage0">
    <w:name w:val="En-tête ou pied de page"/>
    <w:basedOn w:val="Normal"/>
    <w:link w:val="En-tteoupieddepage"/>
    <w:uiPriority w:val="99"/>
    <w:rsid w:val="00DF1828"/>
    <w:pPr>
      <w:widowControl w:val="0"/>
      <w:shd w:val="clear" w:color="auto" w:fill="FFFFFF"/>
    </w:pPr>
    <w:rPr>
      <w:rFonts w:ascii="Times New Roman" w:hAnsi="Times New Roman"/>
      <w:noProof/>
      <w:sz w:val="20"/>
      <w:szCs w:val="20"/>
      <w:lang w:val="en-US"/>
    </w:rPr>
  </w:style>
  <w:style w:type="character" w:customStyle="1" w:styleId="En-tteoupieddepage11pt">
    <w:name w:val="En-tête ou pied de page + 11 pt"/>
    <w:uiPriority w:val="99"/>
    <w:rsid w:val="00DF1828"/>
    <w:rPr>
      <w:rFonts w:ascii="Times New Roman" w:hAnsi="Times New Roman" w:cs="Times New Roman"/>
      <w:noProof/>
      <w:sz w:val="22"/>
      <w:szCs w:val="22"/>
      <w:u w:val="none"/>
    </w:rPr>
  </w:style>
  <w:style w:type="character" w:customStyle="1" w:styleId="CorpsdutexteItalique">
    <w:name w:val="Corps du texte + Italique"/>
    <w:uiPriority w:val="99"/>
    <w:rsid w:val="00DF1828"/>
    <w:rPr>
      <w:i/>
      <w:iCs/>
      <w:sz w:val="23"/>
      <w:szCs w:val="23"/>
      <w:u w:val="none"/>
    </w:rPr>
  </w:style>
  <w:style w:type="character" w:customStyle="1" w:styleId="Corpsdutexte31">
    <w:name w:val="Corps du texte3"/>
    <w:uiPriority w:val="99"/>
    <w:rsid w:val="00DF1828"/>
    <w:rPr>
      <w:sz w:val="23"/>
      <w:szCs w:val="23"/>
      <w:u w:val="none"/>
    </w:rPr>
  </w:style>
  <w:style w:type="character" w:customStyle="1" w:styleId="CorpsdutexteGras">
    <w:name w:val="Corps du texte + Gras"/>
    <w:uiPriority w:val="99"/>
    <w:rsid w:val="00DF1828"/>
    <w:rPr>
      <w:rFonts w:ascii="Times New Roman" w:hAnsi="Times New Roman" w:cs="Times New Roman"/>
      <w:b/>
      <w:bCs/>
      <w:noProof/>
      <w:sz w:val="23"/>
      <w:szCs w:val="23"/>
      <w:u w:val="none"/>
    </w:rPr>
  </w:style>
  <w:style w:type="character" w:customStyle="1" w:styleId="CorpsdutexteGras4">
    <w:name w:val="Corps du texte + Gras4"/>
    <w:uiPriority w:val="99"/>
    <w:rsid w:val="00DF1828"/>
    <w:rPr>
      <w:b/>
      <w:bCs/>
      <w:sz w:val="23"/>
      <w:szCs w:val="23"/>
      <w:u w:val="single"/>
    </w:rPr>
  </w:style>
  <w:style w:type="character" w:customStyle="1" w:styleId="Corpsdutexte10pt">
    <w:name w:val="Corps du texte + 10 pt"/>
    <w:uiPriority w:val="99"/>
    <w:rsid w:val="00DF1828"/>
    <w:rPr>
      <w:color w:val="0000FF"/>
      <w:sz w:val="20"/>
      <w:szCs w:val="20"/>
      <w:u w:val="single"/>
    </w:rPr>
  </w:style>
  <w:style w:type="character" w:customStyle="1" w:styleId="Corpsdutexte7">
    <w:name w:val="Corps du texte (7)_"/>
    <w:link w:val="Corpsdutexte71"/>
    <w:uiPriority w:val="99"/>
    <w:rsid w:val="00DF1828"/>
    <w:rPr>
      <w:b/>
      <w:bCs/>
      <w:sz w:val="23"/>
      <w:szCs w:val="23"/>
      <w:shd w:val="clear" w:color="auto" w:fill="FFFFFF"/>
    </w:rPr>
  </w:style>
  <w:style w:type="paragraph" w:customStyle="1" w:styleId="Corpsdutexte71">
    <w:name w:val="Corps du texte (7)1"/>
    <w:basedOn w:val="Normal"/>
    <w:link w:val="Corpsdutexte7"/>
    <w:uiPriority w:val="99"/>
    <w:rsid w:val="00DF1828"/>
    <w:pPr>
      <w:widowControl w:val="0"/>
      <w:shd w:val="clear" w:color="auto" w:fill="FFFFFF"/>
      <w:spacing w:after="540" w:line="240" w:lineRule="atLeast"/>
      <w:jc w:val="center"/>
    </w:pPr>
    <w:rPr>
      <w:b/>
      <w:bCs/>
      <w:sz w:val="23"/>
      <w:szCs w:val="23"/>
      <w:lang w:val="en-US"/>
    </w:rPr>
  </w:style>
  <w:style w:type="character" w:customStyle="1" w:styleId="Corpsdutexte70">
    <w:name w:val="Corps du texte (7)"/>
    <w:uiPriority w:val="99"/>
    <w:rsid w:val="00DF1828"/>
    <w:rPr>
      <w:rFonts w:ascii="Times New Roman" w:hAnsi="Times New Roman" w:cs="Times New Roman"/>
      <w:b/>
      <w:bCs/>
      <w:sz w:val="23"/>
      <w:szCs w:val="23"/>
      <w:u w:val="single"/>
      <w:lang w:val="de-DE" w:eastAsia="de-DE"/>
    </w:rPr>
  </w:style>
  <w:style w:type="character" w:customStyle="1" w:styleId="Corpsdutexte710pt">
    <w:name w:val="Corps du texte (7) + 10 pt"/>
    <w:aliases w:val="Non Gras"/>
    <w:uiPriority w:val="99"/>
    <w:rsid w:val="00DF1828"/>
    <w:rPr>
      <w:b/>
      <w:bCs/>
      <w:sz w:val="20"/>
      <w:szCs w:val="20"/>
      <w:u w:val="none"/>
    </w:rPr>
  </w:style>
  <w:style w:type="character" w:customStyle="1" w:styleId="Corpsdutexte8">
    <w:name w:val="Corps du texte (8)_"/>
    <w:link w:val="Corpsdutexte80"/>
    <w:uiPriority w:val="99"/>
    <w:rsid w:val="00DF1828"/>
    <w:rPr>
      <w:i/>
      <w:iCs/>
      <w:sz w:val="21"/>
      <w:szCs w:val="21"/>
      <w:shd w:val="clear" w:color="auto" w:fill="FFFFFF"/>
    </w:rPr>
  </w:style>
  <w:style w:type="paragraph" w:customStyle="1" w:styleId="Corpsdutexte80">
    <w:name w:val="Corps du texte (8)"/>
    <w:basedOn w:val="Normal"/>
    <w:link w:val="Corpsdutexte8"/>
    <w:uiPriority w:val="99"/>
    <w:rsid w:val="00DF1828"/>
    <w:pPr>
      <w:widowControl w:val="0"/>
      <w:shd w:val="clear" w:color="auto" w:fill="FFFFFF"/>
      <w:spacing w:before="180" w:after="180" w:line="240" w:lineRule="atLeast"/>
      <w:ind w:hanging="340"/>
      <w:jc w:val="both"/>
    </w:pPr>
    <w:rPr>
      <w:i/>
      <w:iCs/>
      <w:sz w:val="21"/>
      <w:szCs w:val="21"/>
      <w:lang w:val="en-US"/>
    </w:rPr>
  </w:style>
  <w:style w:type="character" w:customStyle="1" w:styleId="Corpsdutexte8NonItalique">
    <w:name w:val="Corps du texte (8) + Non Italique"/>
    <w:uiPriority w:val="99"/>
    <w:rsid w:val="00DF1828"/>
    <w:rPr>
      <w:i/>
      <w:iCs/>
      <w:sz w:val="21"/>
      <w:szCs w:val="21"/>
      <w:u w:val="none"/>
    </w:rPr>
  </w:style>
  <w:style w:type="character" w:customStyle="1" w:styleId="Corpsdutexte710pt5">
    <w:name w:val="Corps du texte (7) + 10 pt5"/>
    <w:aliases w:val="Italique,Espacement 1 pt"/>
    <w:uiPriority w:val="99"/>
    <w:rsid w:val="00DF1828"/>
    <w:rPr>
      <w:rFonts w:ascii="Times New Roman" w:hAnsi="Times New Roman" w:cs="Times New Roman"/>
      <w:b/>
      <w:bCs/>
      <w:i/>
      <w:iCs/>
      <w:spacing w:val="20"/>
      <w:sz w:val="20"/>
      <w:szCs w:val="20"/>
      <w:u w:val="none"/>
      <w:lang w:val="sl-SI" w:eastAsia="sl-SI"/>
    </w:rPr>
  </w:style>
  <w:style w:type="character" w:customStyle="1" w:styleId="Corpsdutexte9">
    <w:name w:val="Corps du texte (9)_"/>
    <w:link w:val="Corpsdutexte90"/>
    <w:uiPriority w:val="99"/>
    <w:rsid w:val="00DF1828"/>
    <w:rPr>
      <w:b/>
      <w:bCs/>
      <w:i/>
      <w:iCs/>
      <w:sz w:val="21"/>
      <w:szCs w:val="21"/>
      <w:shd w:val="clear" w:color="auto" w:fill="FFFFFF"/>
    </w:rPr>
  </w:style>
  <w:style w:type="paragraph" w:customStyle="1" w:styleId="Corpsdutexte90">
    <w:name w:val="Corps du texte (9)"/>
    <w:basedOn w:val="Normal"/>
    <w:link w:val="Corpsdutexte9"/>
    <w:uiPriority w:val="99"/>
    <w:rsid w:val="00DF1828"/>
    <w:pPr>
      <w:widowControl w:val="0"/>
      <w:shd w:val="clear" w:color="auto" w:fill="FFFFFF"/>
      <w:spacing w:before="300" w:after="300" w:line="240" w:lineRule="atLeast"/>
      <w:jc w:val="both"/>
    </w:pPr>
    <w:rPr>
      <w:b/>
      <w:bCs/>
      <w:i/>
      <w:iCs/>
      <w:sz w:val="21"/>
      <w:szCs w:val="21"/>
      <w:lang w:val="en-US"/>
    </w:rPr>
  </w:style>
  <w:style w:type="character" w:customStyle="1" w:styleId="Corpsdutexte710pt4">
    <w:name w:val="Corps du texte (7) + 10 pt4"/>
    <w:aliases w:val="Non Gras2"/>
    <w:uiPriority w:val="99"/>
    <w:rsid w:val="00DF1828"/>
    <w:rPr>
      <w:b/>
      <w:bCs/>
      <w:sz w:val="20"/>
      <w:szCs w:val="20"/>
      <w:u w:val="none"/>
    </w:rPr>
  </w:style>
  <w:style w:type="character" w:customStyle="1" w:styleId="Corpsdutexte8NonItalique3">
    <w:name w:val="Corps du texte (8) + Non Italique3"/>
    <w:uiPriority w:val="99"/>
    <w:rsid w:val="00DF1828"/>
    <w:rPr>
      <w:i/>
      <w:iCs/>
      <w:sz w:val="21"/>
      <w:szCs w:val="21"/>
      <w:u w:val="none"/>
    </w:rPr>
  </w:style>
  <w:style w:type="character" w:customStyle="1" w:styleId="Corpsdutexte710pt3">
    <w:name w:val="Corps du texte (7) + 10 pt3"/>
    <w:aliases w:val="Italique2,Espacement 1 pt2"/>
    <w:uiPriority w:val="99"/>
    <w:rsid w:val="00DF1828"/>
    <w:rPr>
      <w:rFonts w:ascii="Times New Roman" w:hAnsi="Times New Roman" w:cs="Times New Roman"/>
      <w:b/>
      <w:bCs/>
      <w:i/>
      <w:iCs/>
      <w:spacing w:val="20"/>
      <w:sz w:val="20"/>
      <w:szCs w:val="20"/>
      <w:u w:val="none"/>
      <w:lang w:val="sl-SI" w:eastAsia="sl-SI"/>
    </w:rPr>
  </w:style>
  <w:style w:type="character" w:customStyle="1" w:styleId="Corpsdutexte8NonItalique2">
    <w:name w:val="Corps du texte (8) + Non Italique2"/>
    <w:uiPriority w:val="99"/>
    <w:rsid w:val="00DF1828"/>
    <w:rPr>
      <w:i/>
      <w:iCs/>
      <w:sz w:val="21"/>
      <w:szCs w:val="21"/>
      <w:u w:val="none"/>
    </w:rPr>
  </w:style>
  <w:style w:type="character" w:customStyle="1" w:styleId="Corpsdutexte710pt2">
    <w:name w:val="Corps du texte (7) + 10 pt2"/>
    <w:aliases w:val="Italique1,Espacement 1 pt1"/>
    <w:uiPriority w:val="99"/>
    <w:rsid w:val="00DF1828"/>
    <w:rPr>
      <w:rFonts w:ascii="Times New Roman" w:hAnsi="Times New Roman" w:cs="Times New Roman"/>
      <w:b/>
      <w:bCs/>
      <w:i/>
      <w:iCs/>
      <w:spacing w:val="20"/>
      <w:sz w:val="20"/>
      <w:szCs w:val="20"/>
      <w:u w:val="none"/>
      <w:lang w:val="sl-SI" w:eastAsia="sl-SI"/>
    </w:rPr>
  </w:style>
  <w:style w:type="character" w:customStyle="1" w:styleId="Corpsdutexte710pt1">
    <w:name w:val="Corps du texte (7) + 10 pt1"/>
    <w:aliases w:val="Non Gras1"/>
    <w:uiPriority w:val="99"/>
    <w:rsid w:val="00DF1828"/>
    <w:rPr>
      <w:b/>
      <w:bCs/>
      <w:sz w:val="20"/>
      <w:szCs w:val="20"/>
      <w:u w:val="none"/>
    </w:rPr>
  </w:style>
  <w:style w:type="character" w:customStyle="1" w:styleId="Corpsdutexte8NonItalique1">
    <w:name w:val="Corps du texte (8) + Non Italique1"/>
    <w:uiPriority w:val="99"/>
    <w:rsid w:val="00DF1828"/>
    <w:rPr>
      <w:i/>
      <w:iCs/>
      <w:sz w:val="21"/>
      <w:szCs w:val="21"/>
      <w:u w:val="none"/>
    </w:rPr>
  </w:style>
  <w:style w:type="character" w:customStyle="1" w:styleId="En-tte1">
    <w:name w:val="En-tête #1_"/>
    <w:link w:val="En-tte11"/>
    <w:uiPriority w:val="99"/>
    <w:rsid w:val="00DF1828"/>
    <w:rPr>
      <w:b/>
      <w:bCs/>
      <w:sz w:val="23"/>
      <w:szCs w:val="23"/>
      <w:shd w:val="clear" w:color="auto" w:fill="FFFFFF"/>
    </w:rPr>
  </w:style>
  <w:style w:type="paragraph" w:customStyle="1" w:styleId="En-tte11">
    <w:name w:val="En-tête #11"/>
    <w:basedOn w:val="Normal"/>
    <w:link w:val="En-tte1"/>
    <w:uiPriority w:val="99"/>
    <w:rsid w:val="00DF1828"/>
    <w:pPr>
      <w:widowControl w:val="0"/>
      <w:shd w:val="clear" w:color="auto" w:fill="FFFFFF"/>
      <w:spacing w:after="600" w:line="240" w:lineRule="atLeast"/>
      <w:ind w:hanging="360"/>
      <w:jc w:val="center"/>
      <w:outlineLvl w:val="0"/>
    </w:pPr>
    <w:rPr>
      <w:b/>
      <w:bCs/>
      <w:sz w:val="23"/>
      <w:szCs w:val="23"/>
      <w:lang w:val="en-US"/>
    </w:rPr>
  </w:style>
  <w:style w:type="character" w:customStyle="1" w:styleId="En-tte10">
    <w:name w:val="En-tête #1"/>
    <w:uiPriority w:val="99"/>
    <w:rsid w:val="00DF1828"/>
    <w:rPr>
      <w:b/>
      <w:bCs/>
      <w:sz w:val="23"/>
      <w:szCs w:val="23"/>
      <w:u w:val="single"/>
    </w:rPr>
  </w:style>
  <w:style w:type="character" w:customStyle="1" w:styleId="Corpsdutexte12">
    <w:name w:val="Corps du texte (12)_"/>
    <w:link w:val="Corpsdutexte120"/>
    <w:uiPriority w:val="99"/>
    <w:rsid w:val="00DF1828"/>
    <w:rPr>
      <w:i/>
      <w:iCs/>
      <w:sz w:val="23"/>
      <w:szCs w:val="23"/>
      <w:shd w:val="clear" w:color="auto" w:fill="FFFFFF"/>
    </w:rPr>
  </w:style>
  <w:style w:type="paragraph" w:customStyle="1" w:styleId="Corpsdutexte120">
    <w:name w:val="Corps du texte (12)"/>
    <w:basedOn w:val="Normal"/>
    <w:link w:val="Corpsdutexte12"/>
    <w:uiPriority w:val="99"/>
    <w:rsid w:val="00DF1828"/>
    <w:pPr>
      <w:widowControl w:val="0"/>
      <w:shd w:val="clear" w:color="auto" w:fill="FFFFFF"/>
      <w:spacing w:before="300" w:after="180" w:line="274" w:lineRule="exact"/>
      <w:ind w:hanging="360"/>
    </w:pPr>
    <w:rPr>
      <w:i/>
      <w:iCs/>
      <w:sz w:val="23"/>
      <w:szCs w:val="23"/>
      <w:lang w:val="en-US"/>
    </w:rPr>
  </w:style>
  <w:style w:type="character" w:customStyle="1" w:styleId="Corpsdutexte10">
    <w:name w:val="Corps du texte (10)_"/>
    <w:link w:val="Corpsdutexte101"/>
    <w:uiPriority w:val="99"/>
    <w:rsid w:val="00DF1828"/>
    <w:rPr>
      <w:rFonts w:ascii="Arial" w:hAnsi="Arial" w:cs="Arial"/>
      <w:b/>
      <w:bCs/>
      <w:sz w:val="17"/>
      <w:szCs w:val="17"/>
      <w:shd w:val="clear" w:color="auto" w:fill="FFFFFF"/>
    </w:rPr>
  </w:style>
  <w:style w:type="paragraph" w:customStyle="1" w:styleId="Corpsdutexte101">
    <w:name w:val="Corps du texte (10)1"/>
    <w:basedOn w:val="Normal"/>
    <w:link w:val="Corpsdutexte10"/>
    <w:uiPriority w:val="99"/>
    <w:rsid w:val="00DF1828"/>
    <w:pPr>
      <w:widowControl w:val="0"/>
      <w:shd w:val="clear" w:color="auto" w:fill="FFFFFF"/>
      <w:spacing w:line="240" w:lineRule="atLeast"/>
    </w:pPr>
    <w:rPr>
      <w:rFonts w:ascii="Arial" w:hAnsi="Arial" w:cs="Arial"/>
      <w:b/>
      <w:bCs/>
      <w:sz w:val="17"/>
      <w:szCs w:val="17"/>
      <w:lang w:val="en-US"/>
    </w:rPr>
  </w:style>
  <w:style w:type="character" w:customStyle="1" w:styleId="Corpsdutexte100">
    <w:name w:val="Corps du texte (10)"/>
    <w:uiPriority w:val="99"/>
    <w:rsid w:val="00DF1828"/>
    <w:rPr>
      <w:rFonts w:ascii="Arial" w:hAnsi="Arial" w:cs="Arial"/>
      <w:b/>
      <w:bCs/>
      <w:color w:val="FF0000"/>
      <w:sz w:val="17"/>
      <w:szCs w:val="17"/>
      <w:u w:val="none"/>
    </w:rPr>
  </w:style>
  <w:style w:type="character" w:customStyle="1" w:styleId="Corpsdutexte23">
    <w:name w:val="Corps du texte (2)3"/>
    <w:uiPriority w:val="99"/>
    <w:rsid w:val="00DF1828"/>
    <w:rPr>
      <w:rFonts w:ascii="Arial" w:hAnsi="Arial" w:cs="Arial"/>
      <w:color w:val="FF0000"/>
      <w:sz w:val="16"/>
      <w:szCs w:val="16"/>
      <w:u w:val="none"/>
    </w:rPr>
  </w:style>
  <w:style w:type="character" w:customStyle="1" w:styleId="Corpsdutexte22">
    <w:name w:val="Corps du texte (2)2"/>
    <w:uiPriority w:val="99"/>
    <w:rsid w:val="00DF1828"/>
    <w:rPr>
      <w:rFonts w:ascii="Arial" w:hAnsi="Arial" w:cs="Arial"/>
      <w:color w:val="FF0000"/>
      <w:sz w:val="16"/>
      <w:szCs w:val="16"/>
      <w:u w:val="none"/>
    </w:rPr>
  </w:style>
  <w:style w:type="character" w:customStyle="1" w:styleId="Corpsdutexte2Exact">
    <w:name w:val="Corps du texte (2) Exact"/>
    <w:uiPriority w:val="99"/>
    <w:rsid w:val="00DF1828"/>
    <w:rPr>
      <w:rFonts w:ascii="Arial" w:hAnsi="Arial" w:cs="Arial"/>
      <w:spacing w:val="5"/>
      <w:sz w:val="15"/>
      <w:szCs w:val="15"/>
      <w:u w:val="none"/>
    </w:rPr>
  </w:style>
  <w:style w:type="character" w:customStyle="1" w:styleId="Corpsdutexte13">
    <w:name w:val="Corps du texte (13)_"/>
    <w:link w:val="Corpsdutexte130"/>
    <w:uiPriority w:val="99"/>
    <w:rsid w:val="00DF1828"/>
    <w:rPr>
      <w:rFonts w:ascii="Times New Roman" w:hAnsi="Times New Roman" w:cs="Times New Roman"/>
      <w:sz w:val="17"/>
      <w:szCs w:val="17"/>
      <w:shd w:val="clear" w:color="auto" w:fill="FFFFFF"/>
      <w:lang w:val="sk-SK" w:eastAsia="sk-SK"/>
    </w:rPr>
  </w:style>
  <w:style w:type="paragraph" w:customStyle="1" w:styleId="Corpsdutexte130">
    <w:name w:val="Corps du texte (13)"/>
    <w:basedOn w:val="Normal"/>
    <w:link w:val="Corpsdutexte13"/>
    <w:uiPriority w:val="99"/>
    <w:rsid w:val="00DF1828"/>
    <w:pPr>
      <w:widowControl w:val="0"/>
      <w:shd w:val="clear" w:color="auto" w:fill="FFFFFF"/>
      <w:spacing w:line="240" w:lineRule="atLeast"/>
      <w:jc w:val="right"/>
    </w:pPr>
    <w:rPr>
      <w:rFonts w:ascii="Times New Roman" w:hAnsi="Times New Roman"/>
      <w:sz w:val="17"/>
      <w:szCs w:val="17"/>
      <w:lang w:val="sk-SK" w:eastAsia="sk-SK"/>
    </w:rPr>
  </w:style>
  <w:style w:type="character" w:customStyle="1" w:styleId="CorpsdutexteGras3">
    <w:name w:val="Corps du texte + Gras3"/>
    <w:uiPriority w:val="99"/>
    <w:rsid w:val="00DF1828"/>
    <w:rPr>
      <w:rFonts w:ascii="Times New Roman" w:hAnsi="Times New Roman" w:cs="Times New Roman"/>
      <w:b/>
      <w:bCs/>
      <w:sz w:val="23"/>
      <w:szCs w:val="23"/>
      <w:u w:val="none"/>
      <w:lang w:val="sl-SI" w:eastAsia="sl-SI"/>
    </w:rPr>
  </w:style>
  <w:style w:type="character" w:customStyle="1" w:styleId="CorpsdutexteGras2">
    <w:name w:val="Corps du texte + Gras2"/>
    <w:uiPriority w:val="99"/>
    <w:rsid w:val="00DF1828"/>
    <w:rPr>
      <w:rFonts w:ascii="Times New Roman" w:hAnsi="Times New Roman" w:cs="Times New Roman"/>
      <w:b/>
      <w:bCs/>
      <w:sz w:val="23"/>
      <w:szCs w:val="23"/>
      <w:u w:val="none"/>
      <w:lang w:val="sl-SI" w:eastAsia="sl-SI"/>
    </w:rPr>
  </w:style>
  <w:style w:type="character" w:customStyle="1" w:styleId="Corpsdutexte25">
    <w:name w:val="Corps du texte2"/>
    <w:uiPriority w:val="99"/>
    <w:rsid w:val="00DF1828"/>
    <w:rPr>
      <w:sz w:val="23"/>
      <w:szCs w:val="23"/>
      <w:u w:val="none"/>
    </w:rPr>
  </w:style>
  <w:style w:type="character" w:customStyle="1" w:styleId="CorpsdutexteItalique2">
    <w:name w:val="Corps du texte + Italique2"/>
    <w:uiPriority w:val="99"/>
    <w:rsid w:val="00DF1828"/>
    <w:rPr>
      <w:i/>
      <w:iCs/>
      <w:sz w:val="23"/>
      <w:szCs w:val="23"/>
      <w:u w:val="none"/>
    </w:rPr>
  </w:style>
  <w:style w:type="character" w:customStyle="1" w:styleId="CorpsdutexteItalique1">
    <w:name w:val="Corps du texte + Italique1"/>
    <w:uiPriority w:val="99"/>
    <w:rsid w:val="00DF1828"/>
    <w:rPr>
      <w:i/>
      <w:iCs/>
      <w:sz w:val="23"/>
      <w:szCs w:val="23"/>
      <w:u w:val="none"/>
    </w:rPr>
  </w:style>
  <w:style w:type="character" w:customStyle="1" w:styleId="Corpsdutexte11Exact">
    <w:name w:val="Corps du texte (11) Exact"/>
    <w:link w:val="Corpsdutexte11"/>
    <w:uiPriority w:val="99"/>
    <w:rsid w:val="00DF1828"/>
    <w:rPr>
      <w:rFonts w:ascii="Times New Roman" w:hAnsi="Times New Roman" w:cs="Times New Roman"/>
      <w:sz w:val="20"/>
      <w:szCs w:val="20"/>
      <w:shd w:val="clear" w:color="auto" w:fill="FFFFFF"/>
      <w:lang w:val="bg-BG" w:eastAsia="bg-BG"/>
    </w:rPr>
  </w:style>
  <w:style w:type="paragraph" w:customStyle="1" w:styleId="Corpsdutexte11">
    <w:name w:val="Corps du texte (11)"/>
    <w:basedOn w:val="Normal"/>
    <w:link w:val="Corpsdutexte11Exact"/>
    <w:uiPriority w:val="99"/>
    <w:rsid w:val="00DF1828"/>
    <w:pPr>
      <w:widowControl w:val="0"/>
      <w:shd w:val="clear" w:color="auto" w:fill="FFFFFF"/>
      <w:spacing w:line="240" w:lineRule="atLeast"/>
    </w:pPr>
    <w:rPr>
      <w:rFonts w:ascii="Times New Roman" w:hAnsi="Times New Roman"/>
      <w:sz w:val="20"/>
      <w:szCs w:val="20"/>
      <w:lang w:val="bg-BG" w:eastAsia="bg-BG"/>
    </w:rPr>
  </w:style>
  <w:style w:type="character" w:customStyle="1" w:styleId="CorpsdutexteGras1">
    <w:name w:val="Corps du texte + Gras1"/>
    <w:uiPriority w:val="99"/>
    <w:rsid w:val="00DF1828"/>
    <w:rPr>
      <w:rFonts w:ascii="Times New Roman" w:hAnsi="Times New Roman" w:cs="Times New Roman"/>
      <w:b/>
      <w:bCs/>
      <w:sz w:val="23"/>
      <w:szCs w:val="23"/>
      <w:u w:val="none"/>
      <w:lang w:val="sl-SI" w:eastAsia="sl-SI"/>
    </w:rPr>
  </w:style>
  <w:style w:type="character" w:customStyle="1" w:styleId="Corpsdutexte14">
    <w:name w:val="Corps du texte (14)_"/>
    <w:link w:val="Corpsdutexte140"/>
    <w:uiPriority w:val="99"/>
    <w:rsid w:val="00DF1828"/>
    <w:rPr>
      <w:rFonts w:ascii="Arial" w:hAnsi="Arial" w:cs="Arial"/>
      <w:b/>
      <w:bCs/>
      <w:i/>
      <w:iCs/>
      <w:sz w:val="17"/>
      <w:szCs w:val="17"/>
      <w:shd w:val="clear" w:color="auto" w:fill="FFFFFF"/>
    </w:rPr>
  </w:style>
  <w:style w:type="paragraph" w:customStyle="1" w:styleId="Corpsdutexte140">
    <w:name w:val="Corps du texte (14)"/>
    <w:basedOn w:val="Normal"/>
    <w:link w:val="Corpsdutexte14"/>
    <w:uiPriority w:val="99"/>
    <w:rsid w:val="00DF1828"/>
    <w:pPr>
      <w:widowControl w:val="0"/>
      <w:shd w:val="clear" w:color="auto" w:fill="FFFFFF"/>
      <w:spacing w:line="240" w:lineRule="atLeast"/>
      <w:jc w:val="center"/>
    </w:pPr>
    <w:rPr>
      <w:rFonts w:ascii="Arial" w:hAnsi="Arial" w:cs="Arial"/>
      <w:b/>
      <w:bCs/>
      <w:i/>
      <w:iCs/>
      <w:sz w:val="17"/>
      <w:szCs w:val="17"/>
      <w:lang w:val="en-US"/>
    </w:rPr>
  </w:style>
  <w:style w:type="character" w:customStyle="1" w:styleId="En-tte12">
    <w:name w:val="En-tête #12"/>
    <w:uiPriority w:val="99"/>
    <w:rsid w:val="00DF1828"/>
    <w:rPr>
      <w:rFonts w:ascii="Times New Roman" w:hAnsi="Times New Roman" w:cs="Times New Roman"/>
      <w:b/>
      <w:bCs/>
      <w:noProof/>
      <w:sz w:val="23"/>
      <w:szCs w:val="23"/>
      <w:u w:val="single"/>
    </w:rPr>
  </w:style>
  <w:style w:type="character" w:styleId="CommentReference">
    <w:name w:val="annotation reference"/>
    <w:uiPriority w:val="99"/>
    <w:unhideWhenUsed/>
    <w:qFormat/>
    <w:rsid w:val="00DF1828"/>
    <w:rPr>
      <w:sz w:val="16"/>
      <w:szCs w:val="16"/>
    </w:rPr>
  </w:style>
  <w:style w:type="paragraph" w:styleId="CommentText">
    <w:name w:val="annotation text"/>
    <w:basedOn w:val="Normal"/>
    <w:link w:val="CommentTextChar"/>
    <w:uiPriority w:val="99"/>
    <w:unhideWhenUsed/>
    <w:qFormat/>
    <w:rsid w:val="00DF1828"/>
    <w:pPr>
      <w:widowControl w:val="0"/>
    </w:pPr>
    <w:rPr>
      <w:rFonts w:ascii="Times New Roman" w:eastAsia="Times New Roman" w:hAnsi="Times New Roman"/>
      <w:color w:val="000000"/>
      <w:sz w:val="20"/>
      <w:szCs w:val="20"/>
    </w:rPr>
  </w:style>
  <w:style w:type="character" w:customStyle="1" w:styleId="CommentTextChar">
    <w:name w:val="Comment Text Char"/>
    <w:link w:val="CommentText"/>
    <w:uiPriority w:val="99"/>
    <w:qFormat/>
    <w:rsid w:val="00DF1828"/>
    <w:rPr>
      <w:rFonts w:ascii="Times New Roman" w:eastAsia="Times New Roman" w:hAnsi="Times New Roman" w:cs="Times New Roman"/>
      <w:color w:val="000000"/>
      <w:sz w:val="20"/>
      <w:szCs w:val="20"/>
      <w:lang w:val="en-GB"/>
    </w:rPr>
  </w:style>
  <w:style w:type="character" w:customStyle="1" w:styleId="CommentSubjectChar">
    <w:name w:val="Comment Subject Char"/>
    <w:link w:val="CommentSubject"/>
    <w:uiPriority w:val="99"/>
    <w:semiHidden/>
    <w:rsid w:val="00DF1828"/>
    <w:rPr>
      <w:rFonts w:ascii="Times New Roman" w:eastAsia="Times New Roman" w:hAnsi="Times New Roman" w:cs="Times New Roman"/>
      <w:b/>
      <w:bCs/>
      <w:color w:val="000000"/>
      <w:sz w:val="20"/>
      <w:szCs w:val="20"/>
      <w:lang w:val="en-GB"/>
    </w:rPr>
  </w:style>
  <w:style w:type="paragraph" w:styleId="CommentSubject">
    <w:name w:val="annotation subject"/>
    <w:basedOn w:val="CommentText"/>
    <w:next w:val="CommentText"/>
    <w:link w:val="CommentSubjectChar"/>
    <w:uiPriority w:val="99"/>
    <w:semiHidden/>
    <w:unhideWhenUsed/>
    <w:rsid w:val="00DF1828"/>
    <w:rPr>
      <w:b/>
      <w:bCs/>
    </w:rPr>
  </w:style>
  <w:style w:type="paragraph" w:customStyle="1" w:styleId="Logo">
    <w:name w:val="Logo"/>
    <w:basedOn w:val="Normal"/>
    <w:uiPriority w:val="99"/>
    <w:rsid w:val="00DF1828"/>
    <w:rPr>
      <w:rFonts w:ascii="Arial" w:eastAsia="Times New Roman" w:hAnsi="Arial"/>
      <w:sz w:val="26"/>
      <w:szCs w:val="20"/>
      <w:lang w:eastAsia="en-GB"/>
    </w:rPr>
  </w:style>
  <w:style w:type="paragraph" w:customStyle="1" w:styleId="ZDG">
    <w:name w:val="Z_DG"/>
    <w:basedOn w:val="Logo"/>
    <w:uiPriority w:val="99"/>
    <w:rsid w:val="00DF1828"/>
    <w:rPr>
      <w:sz w:val="16"/>
      <w:lang w:val="fr-FR"/>
    </w:rPr>
  </w:style>
  <w:style w:type="paragraph" w:customStyle="1" w:styleId="ZD">
    <w:name w:val="Z_D"/>
    <w:basedOn w:val="Logo"/>
    <w:uiPriority w:val="99"/>
    <w:rsid w:val="00DF1828"/>
    <w:rPr>
      <w:sz w:val="16"/>
      <w:lang w:val="fr-FR"/>
    </w:rPr>
  </w:style>
  <w:style w:type="paragraph" w:customStyle="1" w:styleId="ListBullet1">
    <w:name w:val="List Bullet 1"/>
    <w:basedOn w:val="Normal"/>
    <w:uiPriority w:val="99"/>
    <w:rsid w:val="00DF1828"/>
    <w:pPr>
      <w:numPr>
        <w:numId w:val="2"/>
      </w:numPr>
      <w:spacing w:after="240"/>
      <w:jc w:val="both"/>
    </w:pPr>
    <w:rPr>
      <w:rFonts w:ascii="Times New Roman" w:eastAsia="Times New Roman" w:hAnsi="Times New Roman"/>
      <w:szCs w:val="20"/>
    </w:rPr>
  </w:style>
  <w:style w:type="paragraph" w:styleId="TOC4">
    <w:name w:val="toc 4"/>
    <w:basedOn w:val="Normal"/>
    <w:next w:val="Normal"/>
    <w:autoRedefine/>
    <w:uiPriority w:val="39"/>
    <w:rsid w:val="00DF1828"/>
    <w:pPr>
      <w:ind w:left="720"/>
    </w:pPr>
    <w:rPr>
      <w:rFonts w:ascii="Times New Roman" w:eastAsia="Times New Roman" w:hAnsi="Times New Roman"/>
      <w:szCs w:val="20"/>
      <w:lang w:val="fr-FR" w:eastAsia="en-GB"/>
    </w:rPr>
  </w:style>
  <w:style w:type="paragraph" w:customStyle="1" w:styleId="Normal8pt">
    <w:name w:val="Normal + 8 pt"/>
    <w:aliases w:val="Before:  12 pt"/>
    <w:basedOn w:val="Normal"/>
    <w:uiPriority w:val="99"/>
    <w:rsid w:val="00DF1828"/>
    <w:pPr>
      <w:spacing w:before="240" w:after="180"/>
    </w:pPr>
    <w:rPr>
      <w:rFonts w:ascii="Times New Roman" w:eastAsia="Times New Roman" w:hAnsi="Times New Roman"/>
      <w:sz w:val="16"/>
      <w:szCs w:val="16"/>
      <w:lang w:eastAsia="en-GB"/>
    </w:rPr>
  </w:style>
  <w:style w:type="character" w:styleId="FollowedHyperlink">
    <w:name w:val="FollowedHyperlink"/>
    <w:rsid w:val="00DF1828"/>
    <w:rPr>
      <w:color w:val="800080"/>
      <w:u w:val="single"/>
    </w:rPr>
  </w:style>
  <w:style w:type="paragraph" w:customStyle="1" w:styleId="ZCom">
    <w:name w:val="Z_Com"/>
    <w:basedOn w:val="Normal"/>
    <w:next w:val="ZDGName"/>
    <w:uiPriority w:val="99"/>
    <w:rsid w:val="00DF1828"/>
    <w:pPr>
      <w:widowControl w:val="0"/>
      <w:autoSpaceDE w:val="0"/>
      <w:autoSpaceDN w:val="0"/>
      <w:ind w:right="85"/>
      <w:jc w:val="both"/>
    </w:pPr>
    <w:rPr>
      <w:rFonts w:ascii="Arial" w:eastAsia="Times New Roman" w:hAnsi="Arial" w:cs="Arial"/>
      <w:lang w:eastAsia="en-GB"/>
    </w:rPr>
  </w:style>
  <w:style w:type="paragraph" w:customStyle="1" w:styleId="ZDGName">
    <w:name w:val="Z_DGName"/>
    <w:basedOn w:val="Normal"/>
    <w:uiPriority w:val="99"/>
    <w:rsid w:val="00DF1828"/>
    <w:pPr>
      <w:widowControl w:val="0"/>
      <w:autoSpaceDE w:val="0"/>
      <w:autoSpaceDN w:val="0"/>
      <w:ind w:right="85"/>
    </w:pPr>
    <w:rPr>
      <w:rFonts w:ascii="Arial" w:eastAsia="Times New Roman" w:hAnsi="Arial" w:cs="Arial"/>
      <w:sz w:val="16"/>
      <w:szCs w:val="16"/>
      <w:lang w:eastAsia="en-GB"/>
    </w:rPr>
  </w:style>
  <w:style w:type="paragraph" w:customStyle="1" w:styleId="Heading4a">
    <w:name w:val="Heading 4a"/>
    <w:basedOn w:val="Heading3"/>
    <w:uiPriority w:val="99"/>
    <w:rsid w:val="00DF1828"/>
    <w:pPr>
      <w:keepNext/>
      <w:widowControl/>
      <w:tabs>
        <w:tab w:val="left" w:pos="510"/>
        <w:tab w:val="num" w:pos="851"/>
      </w:tabs>
      <w:spacing w:before="300" w:after="60"/>
      <w:ind w:left="851" w:hanging="567"/>
      <w:jc w:val="both"/>
    </w:pPr>
    <w:rPr>
      <w:rFonts w:ascii="Times New Roman Bold" w:eastAsia="Times New Roman" w:hAnsi="Times New Roman Bold"/>
      <w:b/>
    </w:rPr>
  </w:style>
  <w:style w:type="character" w:customStyle="1" w:styleId="hps">
    <w:name w:val="hps"/>
    <w:rsid w:val="00DF1828"/>
  </w:style>
  <w:style w:type="paragraph" w:styleId="NormalWeb">
    <w:name w:val="Normal (Web)"/>
    <w:basedOn w:val="Normal"/>
    <w:uiPriority w:val="99"/>
    <w:unhideWhenUsed/>
    <w:rsid w:val="00DF1828"/>
    <w:pPr>
      <w:spacing w:before="100" w:beforeAutospacing="1" w:after="100" w:afterAutospacing="1"/>
    </w:pPr>
    <w:rPr>
      <w:rFonts w:ascii="Times New Roman" w:eastAsia="Times New Roman" w:hAnsi="Times New Roman"/>
    </w:rPr>
  </w:style>
  <w:style w:type="paragraph" w:customStyle="1" w:styleId="Default">
    <w:name w:val="Default"/>
    <w:uiPriority w:val="99"/>
    <w:rsid w:val="00DF1828"/>
    <w:pPr>
      <w:autoSpaceDE w:val="0"/>
      <w:autoSpaceDN w:val="0"/>
      <w:adjustRightInd w:val="0"/>
    </w:pPr>
    <w:rPr>
      <w:rFonts w:ascii="Times New Roman" w:hAnsi="Times New Roman"/>
      <w:color w:val="000000"/>
      <w:sz w:val="24"/>
      <w:szCs w:val="24"/>
      <w:lang w:val="en-US" w:eastAsia="en-US"/>
    </w:rPr>
  </w:style>
  <w:style w:type="paragraph" w:customStyle="1" w:styleId="MediumGrid21">
    <w:name w:val="Medium Grid 21"/>
    <w:link w:val="MediumGrid2Char"/>
    <w:uiPriority w:val="1"/>
    <w:qFormat/>
    <w:rsid w:val="00DF1828"/>
    <w:rPr>
      <w:rFonts w:ascii="Arial" w:hAnsi="Arial"/>
      <w:szCs w:val="22"/>
      <w:lang w:val="en-AU"/>
    </w:rPr>
  </w:style>
  <w:style w:type="character" w:customStyle="1" w:styleId="MediumGrid2Char">
    <w:name w:val="Medium Grid 2 Char"/>
    <w:link w:val="MediumGrid21"/>
    <w:uiPriority w:val="1"/>
    <w:rsid w:val="00DF1828"/>
    <w:rPr>
      <w:rFonts w:ascii="Arial" w:eastAsia="Calibri" w:hAnsi="Arial" w:cs="Times New Roman"/>
      <w:sz w:val="20"/>
      <w:szCs w:val="22"/>
      <w:lang w:val="en-AU" w:eastAsia="sq-AL"/>
    </w:rPr>
  </w:style>
  <w:style w:type="paragraph" w:customStyle="1" w:styleId="Body">
    <w:name w:val="Body"/>
    <w:uiPriority w:val="99"/>
    <w:rsid w:val="00DF1828"/>
    <w:pPr>
      <w:pBdr>
        <w:top w:val="nil"/>
        <w:left w:val="nil"/>
        <w:bottom w:val="nil"/>
        <w:right w:val="nil"/>
        <w:between w:val="nil"/>
        <w:bar w:val="nil"/>
      </w:pBdr>
      <w:spacing w:after="200" w:line="276" w:lineRule="auto"/>
    </w:pPr>
    <w:rPr>
      <w:rFonts w:cs="Calibri"/>
      <w:color w:val="000000"/>
      <w:sz w:val="22"/>
      <w:szCs w:val="22"/>
      <w:u w:color="000000"/>
      <w:bdr w:val="nil"/>
      <w:lang w:val="en-US" w:eastAsia="en-US"/>
    </w:rPr>
  </w:style>
  <w:style w:type="character" w:customStyle="1" w:styleId="longtext">
    <w:name w:val="long_text"/>
    <w:rsid w:val="00DF1828"/>
  </w:style>
  <w:style w:type="paragraph" w:styleId="Title">
    <w:name w:val="Title"/>
    <w:basedOn w:val="Normal"/>
    <w:next w:val="Normal"/>
    <w:link w:val="TitleChar"/>
    <w:uiPriority w:val="99"/>
    <w:qFormat/>
    <w:rsid w:val="00DF1828"/>
    <w:pPr>
      <w:pBdr>
        <w:bottom w:val="single" w:sz="8" w:space="4" w:color="4F81BD"/>
      </w:pBdr>
      <w:spacing w:after="300"/>
      <w:contextualSpacing/>
    </w:pPr>
    <w:rPr>
      <w:rFonts w:ascii="Cambria" w:eastAsia="Times New Roman" w:hAnsi="Cambria"/>
      <w:color w:val="17365D"/>
      <w:spacing w:val="5"/>
      <w:kern w:val="28"/>
      <w:sz w:val="52"/>
      <w:szCs w:val="52"/>
      <w:lang w:eastAsia="en-GB"/>
    </w:rPr>
  </w:style>
  <w:style w:type="character" w:customStyle="1" w:styleId="TitleChar">
    <w:name w:val="Title Char"/>
    <w:link w:val="Title"/>
    <w:uiPriority w:val="99"/>
    <w:rsid w:val="00DF1828"/>
    <w:rPr>
      <w:rFonts w:ascii="Cambria" w:eastAsia="Times New Roman" w:hAnsi="Cambria" w:cs="Times New Roman"/>
      <w:color w:val="17365D"/>
      <w:spacing w:val="5"/>
      <w:kern w:val="28"/>
      <w:sz w:val="52"/>
      <w:szCs w:val="52"/>
      <w:lang w:val="en-GB" w:eastAsia="en-GB"/>
    </w:rPr>
  </w:style>
  <w:style w:type="character" w:customStyle="1" w:styleId="Bodytext0">
    <w:name w:val="Body text_"/>
    <w:link w:val="BodyText189"/>
    <w:locked/>
    <w:rsid w:val="00DF1828"/>
    <w:rPr>
      <w:sz w:val="25"/>
      <w:szCs w:val="25"/>
      <w:shd w:val="clear" w:color="auto" w:fill="FFFFFF"/>
    </w:rPr>
  </w:style>
  <w:style w:type="paragraph" w:customStyle="1" w:styleId="BodyText189">
    <w:name w:val="Body Text189"/>
    <w:basedOn w:val="Normal"/>
    <w:link w:val="Bodytext0"/>
    <w:rsid w:val="00DF1828"/>
    <w:pPr>
      <w:shd w:val="clear" w:color="auto" w:fill="FFFFFF"/>
      <w:spacing w:before="420" w:after="240" w:line="322" w:lineRule="exact"/>
      <w:ind w:hanging="1420"/>
      <w:jc w:val="center"/>
    </w:pPr>
    <w:rPr>
      <w:sz w:val="25"/>
      <w:szCs w:val="25"/>
      <w:lang w:val="en-US"/>
    </w:rPr>
  </w:style>
  <w:style w:type="character" w:customStyle="1" w:styleId="BodyText3">
    <w:name w:val="Body Text3"/>
    <w:rsid w:val="00DF1828"/>
  </w:style>
  <w:style w:type="character" w:customStyle="1" w:styleId="BodytextBold">
    <w:name w:val="Body text + Bold"/>
    <w:aliases w:val="Italic"/>
    <w:rsid w:val="00DF1828"/>
    <w:rPr>
      <w:rFonts w:ascii="Times New Roman" w:hAnsi="Times New Roman" w:cs="Times New Roman"/>
      <w:b/>
      <w:bCs/>
      <w:i/>
      <w:iCs/>
      <w:spacing w:val="0"/>
      <w:sz w:val="25"/>
      <w:szCs w:val="25"/>
      <w:lang w:bidi="ar-SA"/>
    </w:rPr>
  </w:style>
  <w:style w:type="character" w:customStyle="1" w:styleId="BodytextArialUnicodeMS">
    <w:name w:val="Body text + Arial Unicode MS"/>
    <w:aliases w:val="7 pt"/>
    <w:rsid w:val="00DF1828"/>
    <w:rPr>
      <w:rFonts w:ascii="Arial Unicode MS" w:eastAsia="Arial Unicode MS" w:hAnsi="Arial Unicode MS" w:cs="Arial Unicode MS"/>
      <w:spacing w:val="0"/>
      <w:sz w:val="14"/>
      <w:szCs w:val="14"/>
      <w:lang w:bidi="ar-SA"/>
    </w:rPr>
  </w:style>
  <w:style w:type="paragraph" w:customStyle="1" w:styleId="BodyText2">
    <w:name w:val="Body Text2"/>
    <w:basedOn w:val="Normal"/>
    <w:uiPriority w:val="99"/>
    <w:rsid w:val="00DF1828"/>
    <w:pPr>
      <w:shd w:val="clear" w:color="auto" w:fill="FFFFFF"/>
      <w:spacing w:after="660" w:line="240" w:lineRule="atLeast"/>
      <w:ind w:hanging="340"/>
    </w:pPr>
    <w:rPr>
      <w:rFonts w:ascii="Arial" w:eastAsia="Times New Roman" w:hAnsi="Arial" w:cs="Arial"/>
      <w:color w:val="000000"/>
      <w:sz w:val="22"/>
      <w:szCs w:val="22"/>
    </w:rPr>
  </w:style>
  <w:style w:type="character" w:customStyle="1" w:styleId="Heading1714">
    <w:name w:val="Heading #1714"/>
    <w:rsid w:val="00DF1828"/>
    <w:rPr>
      <w:sz w:val="35"/>
      <w:szCs w:val="35"/>
      <w:lang w:bidi="ar-SA"/>
    </w:rPr>
  </w:style>
  <w:style w:type="character" w:customStyle="1" w:styleId="Bodytext4">
    <w:name w:val="Body text (4)"/>
    <w:rsid w:val="00DF1828"/>
    <w:rPr>
      <w:sz w:val="23"/>
      <w:szCs w:val="23"/>
      <w:lang w:bidi="ar-SA"/>
    </w:rPr>
  </w:style>
  <w:style w:type="paragraph" w:customStyle="1" w:styleId="1">
    <w:name w:val="Абзац списка1"/>
    <w:basedOn w:val="Normal"/>
    <w:uiPriority w:val="99"/>
    <w:rsid w:val="00DF1828"/>
    <w:pPr>
      <w:suppressAutoHyphens/>
      <w:spacing w:after="200" w:line="276" w:lineRule="auto"/>
      <w:ind w:left="720" w:firstLine="360"/>
    </w:pPr>
    <w:rPr>
      <w:rFonts w:eastAsia="SimSun"/>
      <w:sz w:val="22"/>
      <w:szCs w:val="22"/>
      <w:lang w:eastAsia="ar-SA"/>
    </w:rPr>
  </w:style>
  <w:style w:type="character" w:customStyle="1" w:styleId="alt-edited">
    <w:name w:val="alt-edited"/>
    <w:rsid w:val="00DF1828"/>
  </w:style>
  <w:style w:type="paragraph" w:styleId="BodyTextIndent2">
    <w:name w:val="Body Text Indent 2"/>
    <w:basedOn w:val="Normal"/>
    <w:link w:val="BodyTextIndent2Char"/>
    <w:uiPriority w:val="99"/>
    <w:rsid w:val="00DF1828"/>
    <w:pPr>
      <w:spacing w:after="120" w:line="480" w:lineRule="auto"/>
      <w:ind w:left="360"/>
    </w:pPr>
    <w:rPr>
      <w:rFonts w:ascii="Times New Roman" w:eastAsia="MS Mincho" w:hAnsi="Times New Roman"/>
      <w:sz w:val="20"/>
      <w:szCs w:val="20"/>
    </w:rPr>
  </w:style>
  <w:style w:type="character" w:customStyle="1" w:styleId="BodyTextIndent2Char">
    <w:name w:val="Body Text Indent 2 Char"/>
    <w:link w:val="BodyTextIndent2"/>
    <w:uiPriority w:val="99"/>
    <w:rsid w:val="00DF1828"/>
    <w:rPr>
      <w:rFonts w:ascii="Times New Roman" w:eastAsia="MS Mincho" w:hAnsi="Times New Roman" w:cs="Times New Roman"/>
      <w:sz w:val="20"/>
      <w:szCs w:val="20"/>
    </w:rPr>
  </w:style>
  <w:style w:type="character" w:customStyle="1" w:styleId="atn">
    <w:name w:val="atn"/>
    <w:rsid w:val="00DF1828"/>
  </w:style>
  <w:style w:type="character" w:customStyle="1" w:styleId="shorttext">
    <w:name w:val="short_text"/>
    <w:uiPriority w:val="99"/>
    <w:rsid w:val="00DF1828"/>
  </w:style>
  <w:style w:type="character" w:customStyle="1" w:styleId="hpsatn">
    <w:name w:val="hps atn"/>
    <w:uiPriority w:val="99"/>
    <w:rsid w:val="00DF1828"/>
  </w:style>
  <w:style w:type="paragraph" w:styleId="List">
    <w:name w:val="List"/>
    <w:basedOn w:val="Normal"/>
    <w:uiPriority w:val="99"/>
    <w:rsid w:val="00DF1828"/>
    <w:pPr>
      <w:suppressAutoHyphens/>
      <w:ind w:left="360" w:hanging="360"/>
    </w:pPr>
    <w:rPr>
      <w:rFonts w:ascii="Times New Roman" w:eastAsia="Times New Roman" w:hAnsi="Times New Roman"/>
      <w:lang w:eastAsia="zh-CN"/>
    </w:rPr>
  </w:style>
  <w:style w:type="character" w:customStyle="1" w:styleId="st">
    <w:name w:val="st"/>
    <w:rsid w:val="00DF1828"/>
  </w:style>
  <w:style w:type="character" w:styleId="Emphasis">
    <w:name w:val="Emphasis"/>
    <w:uiPriority w:val="20"/>
    <w:qFormat/>
    <w:rsid w:val="00DF1828"/>
    <w:rPr>
      <w:i/>
      <w:iCs/>
    </w:rPr>
  </w:style>
  <w:style w:type="paragraph" w:customStyle="1" w:styleId="paragraph">
    <w:name w:val="paragraph"/>
    <w:basedOn w:val="ColorfulList-Accent11"/>
    <w:uiPriority w:val="99"/>
    <w:rsid w:val="00DF1828"/>
    <w:pPr>
      <w:keepNext/>
      <w:widowControl/>
      <w:spacing w:after="200" w:line="276" w:lineRule="auto"/>
      <w:contextualSpacing/>
    </w:pPr>
    <w:rPr>
      <w:rFonts w:eastAsia="Times New Roman"/>
      <w:b/>
      <w:lang w:val="en-US" w:bidi="en-US"/>
    </w:rPr>
  </w:style>
  <w:style w:type="paragraph" w:styleId="ListBullet">
    <w:name w:val="List Bullet"/>
    <w:aliases w:val="List Bullet Char,List Bullet-Richard's,List Bullet Char1 Char Char,List Bullet Char Char Char Char,List Bullet Char Char1,List Bullet Char1 Char,List Bullet Char Char Char,List Bullet Char Char Char Char Char Char Char Char,List Bullet Char2"/>
    <w:basedOn w:val="Normal"/>
    <w:link w:val="ListBulletChar1"/>
    <w:uiPriority w:val="2"/>
    <w:qFormat/>
    <w:rsid w:val="00DF1828"/>
    <w:pPr>
      <w:tabs>
        <w:tab w:val="num" w:pos="720"/>
      </w:tabs>
      <w:spacing w:after="240" w:line="264" w:lineRule="auto"/>
      <w:ind w:left="720" w:hanging="720"/>
    </w:pPr>
    <w:rPr>
      <w:rFonts w:ascii="Times New Roman" w:hAnsi="Times New Roman"/>
    </w:rPr>
  </w:style>
  <w:style w:type="character" w:customStyle="1" w:styleId="ListBulletChar1">
    <w:name w:val="List Bullet Char1"/>
    <w:aliases w:val="List Bullet Char Char,List Bullet-Richard's Char,List Bullet Char1 Char Char Char,List Bullet Char Char Char Char Char,List Bullet Char Char1 Char,List Bullet Char1 Char Char1,List Bullet Char Char Char Char1,List Bullet Char2 Char"/>
    <w:link w:val="ListBullet"/>
    <w:uiPriority w:val="2"/>
    <w:rsid w:val="00DF1828"/>
    <w:rPr>
      <w:rFonts w:ascii="Times New Roman" w:hAnsi="Times New Roman"/>
      <w:sz w:val="24"/>
      <w:szCs w:val="24"/>
      <w:lang w:val="en-GB" w:eastAsia="en-US"/>
    </w:rPr>
  </w:style>
  <w:style w:type="paragraph" w:customStyle="1" w:styleId="LightGrid-Accent31">
    <w:name w:val="Light Grid - Accent 31"/>
    <w:basedOn w:val="Normal"/>
    <w:uiPriority w:val="34"/>
    <w:qFormat/>
    <w:rsid w:val="00DF1828"/>
    <w:pPr>
      <w:spacing w:after="200" w:line="276" w:lineRule="auto"/>
      <w:ind w:left="720"/>
      <w:contextualSpacing/>
      <w:jc w:val="both"/>
    </w:pPr>
    <w:rPr>
      <w:rFonts w:eastAsia="MS PGothic"/>
      <w:sz w:val="22"/>
      <w:szCs w:val="22"/>
      <w:lang w:eastAsia="zh-CN"/>
    </w:rPr>
  </w:style>
  <w:style w:type="paragraph" w:customStyle="1" w:styleId="BoxBullet">
    <w:name w:val="Box Bullet"/>
    <w:basedOn w:val="Normal"/>
    <w:uiPriority w:val="3"/>
    <w:qFormat/>
    <w:rsid w:val="00DF1828"/>
    <w:pPr>
      <w:spacing w:after="120"/>
      <w:ind w:left="720" w:hanging="360"/>
    </w:pPr>
    <w:rPr>
      <w:rFonts w:ascii="Segoe UI" w:eastAsia="MS Mincho" w:hAnsi="Segoe UI" w:cs="Segoe UI"/>
      <w:sz w:val="19"/>
      <w:szCs w:val="20"/>
      <w:lang w:val="en-US"/>
    </w:rPr>
  </w:style>
  <w:style w:type="paragraph" w:styleId="ListParagraph">
    <w:name w:val="List Paragraph"/>
    <w:aliases w:val="Bullet Points,Bullet Number,List Paragraph Char Char,MAIN CONTENT,Párrafo de lista,Recommendation,List Paragraph2,Graphic,Table/Figure Heading,Listeafsnit,Bullet List,FooterText,Colorful List Accent 1,numbered,Paragraphe de liste1,列出段落,L"/>
    <w:basedOn w:val="Normal"/>
    <w:link w:val="ListParagraphChar"/>
    <w:uiPriority w:val="99"/>
    <w:qFormat/>
    <w:rsid w:val="00FF2753"/>
    <w:pPr>
      <w:widowControl w:val="0"/>
      <w:ind w:left="2100" w:hanging="360"/>
    </w:pPr>
    <w:rPr>
      <w:rFonts w:ascii="Arial Narrow" w:eastAsia="Arial Narrow" w:hAnsi="Arial Narrow" w:cs="Arial Narrow"/>
      <w:sz w:val="22"/>
      <w:szCs w:val="22"/>
      <w:lang w:val="en-US"/>
    </w:rPr>
  </w:style>
  <w:style w:type="character" w:customStyle="1" w:styleId="ListParagraphChar">
    <w:name w:val="List Paragraph Char"/>
    <w:aliases w:val="Bullet Points Char,Bullet Number Char,List Paragraph Char Char Char1,MAIN CONTENT Char,Párrafo de lista Char,Recommendation Char,List Paragraph2 Char,Graphic Char,Table/Figure Heading Char,Listeafsnit Char,Bullet List Char,列出段落 Char"/>
    <w:link w:val="ListParagraph"/>
    <w:uiPriority w:val="34"/>
    <w:qFormat/>
    <w:rsid w:val="0000324D"/>
    <w:rPr>
      <w:rFonts w:ascii="Arial Narrow" w:eastAsia="Arial Narrow" w:hAnsi="Arial Narrow" w:cs="Arial Narrow"/>
      <w:sz w:val="22"/>
      <w:szCs w:val="22"/>
      <w:lang w:val="en-US" w:eastAsia="en-US"/>
    </w:rPr>
  </w:style>
  <w:style w:type="paragraph" w:customStyle="1" w:styleId="Cell">
    <w:name w:val="Cell"/>
    <w:basedOn w:val="Normal"/>
    <w:uiPriority w:val="99"/>
    <w:qFormat/>
    <w:rsid w:val="00FF2753"/>
    <w:rPr>
      <w:rFonts w:ascii="Arial" w:eastAsia="Times New Roman" w:hAnsi="Arial" w:cs="Arial"/>
      <w:sz w:val="18"/>
      <w:szCs w:val="18"/>
      <w:lang w:eastAsia="zh-CN"/>
    </w:rPr>
  </w:style>
  <w:style w:type="paragraph" w:styleId="TOCHeading">
    <w:name w:val="TOC Heading"/>
    <w:basedOn w:val="Heading1"/>
    <w:next w:val="Normal"/>
    <w:uiPriority w:val="39"/>
    <w:unhideWhenUsed/>
    <w:qFormat/>
    <w:rsid w:val="005D1E34"/>
    <w:pPr>
      <w:keepNext/>
      <w:keepLines/>
      <w:widowControl/>
      <w:spacing w:before="480" w:line="276" w:lineRule="auto"/>
      <w:ind w:left="0"/>
      <w:outlineLvl w:val="9"/>
    </w:pPr>
    <w:rPr>
      <w:rFonts w:asciiTheme="majorHAnsi" w:eastAsiaTheme="majorEastAsia" w:hAnsiTheme="majorHAnsi" w:cstheme="majorBidi"/>
      <w:color w:val="365F91" w:themeColor="accent1" w:themeShade="BF"/>
      <w:sz w:val="28"/>
      <w:szCs w:val="28"/>
      <w:lang w:val="en-US" w:eastAsia="ja-JP"/>
    </w:rPr>
  </w:style>
  <w:style w:type="character" w:styleId="Strong">
    <w:name w:val="Strong"/>
    <w:basedOn w:val="DefaultParagraphFont"/>
    <w:uiPriority w:val="22"/>
    <w:qFormat/>
    <w:rsid w:val="004B36BB"/>
    <w:rPr>
      <w:b/>
      <w:bCs/>
    </w:rPr>
  </w:style>
  <w:style w:type="paragraph" w:styleId="Revision">
    <w:name w:val="Revision"/>
    <w:hidden/>
    <w:uiPriority w:val="71"/>
    <w:semiHidden/>
    <w:rsid w:val="00D10763"/>
    <w:rPr>
      <w:sz w:val="24"/>
      <w:szCs w:val="24"/>
      <w:lang w:val="en-GB" w:eastAsia="en-US"/>
    </w:rPr>
  </w:style>
  <w:style w:type="paragraph" w:customStyle="1" w:styleId="BodyA">
    <w:name w:val="Body A"/>
    <w:uiPriority w:val="99"/>
    <w:rsid w:val="00950BEB"/>
    <w:pPr>
      <w:pBdr>
        <w:top w:val="nil"/>
        <w:left w:val="nil"/>
        <w:bottom w:val="nil"/>
        <w:right w:val="nil"/>
        <w:between w:val="nil"/>
        <w:bar w:val="nil"/>
      </w:pBdr>
      <w:spacing w:line="216" w:lineRule="auto"/>
      <w:jc w:val="both"/>
    </w:pPr>
    <w:rPr>
      <w:rFonts w:ascii="Times New Roman" w:eastAsia="Times New Roman" w:hAnsi="Times New Roman"/>
      <w:color w:val="000000"/>
      <w:sz w:val="24"/>
      <w:szCs w:val="24"/>
      <w:u w:color="000000"/>
      <w:bdr w:val="nil"/>
      <w:lang w:val="en-US" w:eastAsia="en-US"/>
    </w:rPr>
  </w:style>
  <w:style w:type="paragraph" w:customStyle="1" w:styleId="Pa22">
    <w:name w:val="Pa22"/>
    <w:basedOn w:val="Default"/>
    <w:next w:val="Default"/>
    <w:uiPriority w:val="99"/>
    <w:rsid w:val="005543C2"/>
    <w:pPr>
      <w:spacing w:line="241" w:lineRule="atLeast"/>
    </w:pPr>
    <w:rPr>
      <w:rFonts w:ascii="Times" w:eastAsiaTheme="minorHAnsi" w:hAnsi="Times" w:cs="Times"/>
      <w:color w:val="auto"/>
    </w:rPr>
  </w:style>
  <w:style w:type="table" w:customStyle="1" w:styleId="TableGrid1">
    <w:name w:val="Table Grid1"/>
    <w:basedOn w:val="TableNormal"/>
    <w:next w:val="TableGrid"/>
    <w:uiPriority w:val="59"/>
    <w:rsid w:val="001061C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A41B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sq-AL"/>
    </w:rPr>
  </w:style>
  <w:style w:type="character" w:customStyle="1" w:styleId="HTMLPreformattedChar">
    <w:name w:val="HTML Preformatted Char"/>
    <w:basedOn w:val="DefaultParagraphFont"/>
    <w:link w:val="HTMLPreformatted"/>
    <w:uiPriority w:val="99"/>
    <w:rsid w:val="00A41B52"/>
    <w:rPr>
      <w:rFonts w:ascii="Courier New" w:eastAsia="Times New Roman" w:hAnsi="Courier New" w:cs="Courier New"/>
    </w:rPr>
  </w:style>
  <w:style w:type="character" w:customStyle="1" w:styleId="table0020gridchar">
    <w:name w:val="table_0020grid__char"/>
    <w:basedOn w:val="DefaultParagraphFont"/>
    <w:rsid w:val="00743563"/>
  </w:style>
  <w:style w:type="paragraph" w:customStyle="1" w:styleId="OCtext">
    <w:name w:val="OC text"/>
    <w:basedOn w:val="Normal"/>
    <w:uiPriority w:val="99"/>
    <w:qFormat/>
    <w:rsid w:val="00CE308D"/>
    <w:pPr>
      <w:shd w:val="clear" w:color="auto" w:fill="FFFFFF"/>
      <w:spacing w:after="240"/>
      <w:jc w:val="both"/>
    </w:pPr>
    <w:rPr>
      <w:rFonts w:ascii="Times New Roman" w:eastAsia="Times New Roman" w:hAnsi="Times New Roman"/>
      <w:color w:val="000000"/>
      <w:sz w:val="20"/>
      <w:lang w:eastAsia="en-GB"/>
    </w:rPr>
  </w:style>
  <w:style w:type="paragraph" w:styleId="NoSpacing">
    <w:name w:val="No Spacing"/>
    <w:uiPriority w:val="1"/>
    <w:qFormat/>
    <w:rsid w:val="0057176B"/>
    <w:rPr>
      <w:sz w:val="22"/>
      <w:szCs w:val="22"/>
      <w:lang w:val="en-US" w:eastAsia="en-US"/>
    </w:rPr>
  </w:style>
  <w:style w:type="character" w:customStyle="1" w:styleId="tlid-translation">
    <w:name w:val="tlid-translation"/>
    <w:basedOn w:val="DefaultParagraphFont"/>
    <w:rsid w:val="000969D0"/>
  </w:style>
  <w:style w:type="table" w:customStyle="1" w:styleId="PlainTable31">
    <w:name w:val="Plain Table 31"/>
    <w:basedOn w:val="TableNormal"/>
    <w:uiPriority w:val="43"/>
    <w:rsid w:val="00951413"/>
    <w:rPr>
      <w:rFonts w:asciiTheme="minorHAnsi" w:eastAsiaTheme="minorHAnsi" w:hAnsiTheme="minorHAnsi" w:cstheme="minorBidi"/>
      <w:sz w:val="22"/>
      <w:szCs w:val="22"/>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TabletextChar">
    <w:name w:val="Table text Char"/>
    <w:link w:val="Tabletext"/>
    <w:rsid w:val="00C04499"/>
    <w:rPr>
      <w:rFonts w:cs="Arial"/>
      <w:color w:val="616264"/>
    </w:rPr>
  </w:style>
  <w:style w:type="paragraph" w:customStyle="1" w:styleId="Tabletext">
    <w:name w:val="Table text"/>
    <w:basedOn w:val="Normal"/>
    <w:link w:val="TabletextChar"/>
    <w:qFormat/>
    <w:rsid w:val="00C04499"/>
    <w:pPr>
      <w:jc w:val="center"/>
    </w:pPr>
    <w:rPr>
      <w:rFonts w:cs="Arial"/>
      <w:color w:val="616264"/>
      <w:sz w:val="20"/>
      <w:szCs w:val="20"/>
      <w:lang w:eastAsia="sq-AL"/>
    </w:rPr>
  </w:style>
  <w:style w:type="paragraph" w:customStyle="1" w:styleId="Char2">
    <w:name w:val="Char2"/>
    <w:aliases w:val="Char Char Char Char"/>
    <w:basedOn w:val="Normal"/>
    <w:uiPriority w:val="99"/>
    <w:rsid w:val="0099131A"/>
    <w:pPr>
      <w:spacing w:after="160" w:line="240" w:lineRule="exact"/>
    </w:pPr>
    <w:rPr>
      <w:rFonts w:asciiTheme="minorHAnsi" w:eastAsiaTheme="minorHAnsi" w:hAnsiTheme="minorHAnsi" w:cstheme="minorBidi"/>
      <w:sz w:val="22"/>
      <w:szCs w:val="22"/>
      <w:vertAlign w:val="superscript"/>
      <w:lang w:val="en-US"/>
    </w:rPr>
  </w:style>
  <w:style w:type="character" w:customStyle="1" w:styleId="BulletedChar">
    <w:name w:val="Bulleted Char"/>
    <w:link w:val="Bulleted"/>
    <w:locked/>
    <w:rsid w:val="009A1A2A"/>
  </w:style>
  <w:style w:type="paragraph" w:customStyle="1" w:styleId="Bulleted">
    <w:name w:val="Bulleted"/>
    <w:basedOn w:val="Normal"/>
    <w:link w:val="BulletedChar"/>
    <w:qFormat/>
    <w:rsid w:val="009A1A2A"/>
    <w:rPr>
      <w:sz w:val="20"/>
      <w:szCs w:val="20"/>
      <w:lang w:eastAsia="sq-AL"/>
    </w:rPr>
  </w:style>
  <w:style w:type="character" w:customStyle="1" w:styleId="normalchar">
    <w:name w:val="normal__char"/>
    <w:basedOn w:val="DefaultParagraphFont"/>
    <w:rsid w:val="007200DC"/>
  </w:style>
  <w:style w:type="paragraph" w:customStyle="1" w:styleId="RowsHeading">
    <w:name w:val="Rows Heading"/>
    <w:basedOn w:val="Normal"/>
    <w:uiPriority w:val="99"/>
    <w:rsid w:val="000E44D7"/>
    <w:rPr>
      <w:rFonts w:ascii="Arial" w:hAnsi="Arial" w:cs="Arial"/>
      <w:sz w:val="18"/>
      <w:szCs w:val="18"/>
      <w:lang w:eastAsia="zh-CN"/>
    </w:rPr>
  </w:style>
  <w:style w:type="character" w:styleId="PlaceholderText">
    <w:name w:val="Placeholder Text"/>
    <w:basedOn w:val="DefaultParagraphFont"/>
    <w:uiPriority w:val="99"/>
    <w:unhideWhenUsed/>
    <w:rsid w:val="007D4888"/>
    <w:rPr>
      <w:color w:val="808080"/>
    </w:rPr>
  </w:style>
  <w:style w:type="table" w:customStyle="1" w:styleId="GridTable1Light1">
    <w:name w:val="Grid Table 1 Light1"/>
    <w:basedOn w:val="TableNormal"/>
    <w:uiPriority w:val="46"/>
    <w:rsid w:val="005E1631"/>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11">
    <w:name w:val="Plain Table 11"/>
    <w:basedOn w:val="TableNormal"/>
    <w:uiPriority w:val="41"/>
    <w:rsid w:val="00903866"/>
    <w:rPr>
      <w:rFonts w:asciiTheme="minorHAnsi" w:eastAsiaTheme="minorHAnsi" w:hAnsiTheme="minorHAnsi" w:cstheme="minorBidi"/>
      <w:sz w:val="22"/>
      <w:szCs w:val="22"/>
      <w:lang w:val="en-U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903866"/>
    <w:rPr>
      <w:rFonts w:asciiTheme="minorHAnsi" w:eastAsiaTheme="minorHAnsi" w:hAnsiTheme="minorHAnsi" w:cstheme="minorBidi"/>
      <w:sz w:val="22"/>
      <w:szCs w:val="22"/>
      <w:lang w:val="en-US"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Pa2">
    <w:name w:val="Pa2"/>
    <w:basedOn w:val="Normal"/>
    <w:next w:val="Normal"/>
    <w:uiPriority w:val="99"/>
    <w:rsid w:val="00364CA8"/>
    <w:pPr>
      <w:autoSpaceDE w:val="0"/>
      <w:autoSpaceDN w:val="0"/>
      <w:adjustRightInd w:val="0"/>
      <w:spacing w:line="241" w:lineRule="atLeast"/>
    </w:pPr>
    <w:rPr>
      <w:rFonts w:ascii="ARS Maquette Pro" w:eastAsiaTheme="minorHAnsi" w:hAnsi="ARS Maquette Pro" w:cstheme="minorBidi"/>
      <w:lang w:val="en-US"/>
    </w:rPr>
  </w:style>
  <w:style w:type="character" w:customStyle="1" w:styleId="A2">
    <w:name w:val="A2"/>
    <w:uiPriority w:val="99"/>
    <w:rsid w:val="00364CA8"/>
    <w:rPr>
      <w:rFonts w:cs="ARS Maquette Pro"/>
      <w:color w:val="000000"/>
      <w:sz w:val="22"/>
      <w:szCs w:val="22"/>
    </w:rPr>
  </w:style>
  <w:style w:type="character" w:customStyle="1" w:styleId="A10">
    <w:name w:val="A10"/>
    <w:uiPriority w:val="99"/>
    <w:rsid w:val="00364CA8"/>
    <w:rPr>
      <w:rFonts w:cs="ARS Maquette Pro"/>
      <w:color w:val="000000"/>
      <w:sz w:val="12"/>
      <w:szCs w:val="12"/>
    </w:rPr>
  </w:style>
  <w:style w:type="paragraph" w:customStyle="1" w:styleId="Text1">
    <w:name w:val="Text 1"/>
    <w:basedOn w:val="Normal"/>
    <w:uiPriority w:val="99"/>
    <w:qFormat/>
    <w:rsid w:val="00270CFE"/>
    <w:pPr>
      <w:suppressAutoHyphens/>
      <w:ind w:left="482"/>
    </w:pPr>
    <w:rPr>
      <w:rFonts w:ascii="Times New Roman" w:eastAsia="Times New Roman" w:hAnsi="Times New Roman"/>
      <w:lang w:eastAsia="en-GB"/>
    </w:rPr>
  </w:style>
  <w:style w:type="paragraph" w:styleId="EndnoteText">
    <w:name w:val="endnote text"/>
    <w:basedOn w:val="Normal"/>
    <w:link w:val="EndnoteTextChar"/>
    <w:uiPriority w:val="99"/>
    <w:semiHidden/>
    <w:unhideWhenUsed/>
    <w:rsid w:val="00762E16"/>
    <w:rPr>
      <w:sz w:val="20"/>
      <w:szCs w:val="20"/>
    </w:rPr>
  </w:style>
  <w:style w:type="character" w:customStyle="1" w:styleId="EndnoteTextChar">
    <w:name w:val="Endnote Text Char"/>
    <w:basedOn w:val="DefaultParagraphFont"/>
    <w:link w:val="EndnoteText"/>
    <w:uiPriority w:val="99"/>
    <w:semiHidden/>
    <w:rsid w:val="00762E16"/>
    <w:rPr>
      <w:lang w:val="en-GB" w:eastAsia="en-US"/>
    </w:rPr>
  </w:style>
  <w:style w:type="character" w:styleId="EndnoteReference">
    <w:name w:val="endnote reference"/>
    <w:basedOn w:val="DefaultParagraphFont"/>
    <w:uiPriority w:val="99"/>
    <w:semiHidden/>
    <w:unhideWhenUsed/>
    <w:rsid w:val="00762E16"/>
    <w:rPr>
      <w:vertAlign w:val="superscript"/>
    </w:rPr>
  </w:style>
  <w:style w:type="paragraph" w:customStyle="1" w:styleId="ECABullets">
    <w:name w:val="ECA Bullets"/>
    <w:basedOn w:val="Normal"/>
    <w:link w:val="ECABulletsChar"/>
    <w:qFormat/>
    <w:rsid w:val="002F736A"/>
    <w:pPr>
      <w:numPr>
        <w:numId w:val="9"/>
      </w:numPr>
      <w:spacing w:before="240" w:after="240"/>
    </w:pPr>
    <w:rPr>
      <w:rFonts w:ascii="Book Antiqua" w:eastAsia="Times New Roman" w:hAnsi="Book Antiqua"/>
      <w:sz w:val="22"/>
      <w:szCs w:val="20"/>
    </w:rPr>
  </w:style>
  <w:style w:type="character" w:customStyle="1" w:styleId="ECABulletsChar">
    <w:name w:val="ECA Bullets Char"/>
    <w:link w:val="ECABullets"/>
    <w:rsid w:val="002F736A"/>
    <w:rPr>
      <w:rFonts w:ascii="Book Antiqua" w:eastAsia="Times New Roman" w:hAnsi="Book Antiqua"/>
      <w:sz w:val="22"/>
      <w:lang w:val="en-GB" w:eastAsia="en-US"/>
    </w:rPr>
  </w:style>
  <w:style w:type="paragraph" w:customStyle="1" w:styleId="ECABulletsSub">
    <w:name w:val="ECA Bullets Sub"/>
    <w:basedOn w:val="Normal"/>
    <w:uiPriority w:val="99"/>
    <w:qFormat/>
    <w:rsid w:val="002F736A"/>
    <w:pPr>
      <w:numPr>
        <w:ilvl w:val="1"/>
        <w:numId w:val="9"/>
      </w:numPr>
      <w:spacing w:before="240" w:after="240"/>
    </w:pPr>
    <w:rPr>
      <w:rFonts w:ascii="Book Antiqua" w:eastAsia="Times New Roman" w:hAnsi="Book Antiqua"/>
      <w:sz w:val="22"/>
      <w:szCs w:val="20"/>
    </w:rPr>
  </w:style>
  <w:style w:type="paragraph" w:customStyle="1" w:styleId="ECABulletsSub-Sub">
    <w:name w:val="ECA Bullets Sub-Sub"/>
    <w:basedOn w:val="Normal"/>
    <w:autoRedefine/>
    <w:uiPriority w:val="99"/>
    <w:qFormat/>
    <w:rsid w:val="002F736A"/>
    <w:pPr>
      <w:tabs>
        <w:tab w:val="num" w:pos="2268"/>
      </w:tabs>
      <w:spacing w:after="240"/>
      <w:ind w:left="2268" w:hanging="567"/>
    </w:pPr>
    <w:rPr>
      <w:rFonts w:ascii="Book Antiqua" w:eastAsia="Times New Roman" w:hAnsi="Book Antiqua"/>
      <w:sz w:val="22"/>
      <w:szCs w:val="20"/>
    </w:rPr>
  </w:style>
  <w:style w:type="table" w:customStyle="1" w:styleId="GridTable1Light10">
    <w:name w:val="Grid Table 1 Light1"/>
    <w:basedOn w:val="TableNormal"/>
    <w:uiPriority w:val="46"/>
    <w:rsid w:val="00352148"/>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viiyi">
    <w:name w:val="viiyi"/>
    <w:basedOn w:val="DefaultParagraphFont"/>
    <w:rsid w:val="00352148"/>
  </w:style>
  <w:style w:type="character" w:customStyle="1" w:styleId="jlqj4b">
    <w:name w:val="jlqj4b"/>
    <w:basedOn w:val="DefaultParagraphFont"/>
    <w:rsid w:val="00352148"/>
  </w:style>
  <w:style w:type="paragraph" w:customStyle="1" w:styleId="xmsonormal">
    <w:name w:val="x_msonormal"/>
    <w:basedOn w:val="Normal"/>
    <w:uiPriority w:val="99"/>
    <w:rsid w:val="00D022F4"/>
    <w:pPr>
      <w:spacing w:before="100" w:beforeAutospacing="1" w:after="100" w:afterAutospacing="1"/>
    </w:pPr>
    <w:rPr>
      <w:rFonts w:ascii="Times New Roman" w:eastAsia="Times New Roman" w:hAnsi="Times New Roman"/>
      <w:lang w:val="en-US"/>
    </w:rPr>
  </w:style>
  <w:style w:type="table" w:customStyle="1" w:styleId="TableGrid2">
    <w:name w:val="Table Grid2"/>
    <w:basedOn w:val="TableNormal"/>
    <w:next w:val="TableGrid"/>
    <w:uiPriority w:val="59"/>
    <w:rsid w:val="008725CE"/>
    <w:pPr>
      <w:widowControl w:val="0"/>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t0xe">
    <w:name w:val="trt0xe"/>
    <w:basedOn w:val="Normal"/>
    <w:uiPriority w:val="99"/>
    <w:rsid w:val="0092752A"/>
    <w:pPr>
      <w:spacing w:before="100" w:beforeAutospacing="1" w:after="100" w:afterAutospacing="1"/>
    </w:pPr>
    <w:rPr>
      <w:rFonts w:ascii="Times New Roman" w:eastAsia="Times New Roman" w:hAnsi="Times New Roman"/>
      <w:lang w:val="en-US"/>
    </w:rPr>
  </w:style>
  <w:style w:type="table" w:customStyle="1" w:styleId="TableGrid11">
    <w:name w:val="Table Grid11"/>
    <w:basedOn w:val="TableNormal"/>
    <w:next w:val="TableGrid"/>
    <w:uiPriority w:val="59"/>
    <w:rsid w:val="004F59F4"/>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
    <w:name w:val="C1"/>
    <w:basedOn w:val="Normal"/>
    <w:next w:val="FootnoteText"/>
    <w:uiPriority w:val="99"/>
    <w:unhideWhenUsed/>
    <w:qFormat/>
    <w:rsid w:val="00A86175"/>
    <w:rPr>
      <w:rFonts w:asciiTheme="minorHAnsi" w:eastAsiaTheme="minorHAnsi" w:hAnsiTheme="minorHAnsi" w:cstheme="minorBidi"/>
      <w:sz w:val="20"/>
      <w:szCs w:val="20"/>
      <w:lang w:val="en-US"/>
    </w:rPr>
  </w:style>
  <w:style w:type="character" w:customStyle="1" w:styleId="FootnoteTextChar1">
    <w:name w:val="Footnote Text Char1"/>
    <w:aliases w:val="Footnote Text Char Char Char Char1,Footnote Text Char Char Char2,Fußnote Char1,Testo nota a piè di pagina Carattere Char1,Geneva 9 Char1,Font: Geneva 9 Char1,Boston 10 Char1,f Char1,single space Char1,FOOTNOTES Char1,fn Char1,C Char1"/>
    <w:basedOn w:val="DefaultParagraphFont"/>
    <w:uiPriority w:val="8"/>
    <w:semiHidden/>
    <w:rsid w:val="00A86175"/>
    <w:rPr>
      <w:sz w:val="20"/>
      <w:szCs w:val="20"/>
    </w:rPr>
  </w:style>
  <w:style w:type="character" w:customStyle="1" w:styleId="y2iqfc">
    <w:name w:val="y2iqfc"/>
    <w:basedOn w:val="DefaultParagraphFont"/>
    <w:qFormat/>
    <w:rsid w:val="00A72F9A"/>
  </w:style>
  <w:style w:type="table" w:customStyle="1" w:styleId="TableGrid31">
    <w:name w:val="Table Grid31"/>
    <w:basedOn w:val="TableNormal"/>
    <w:uiPriority w:val="39"/>
    <w:rsid w:val="00BC0117"/>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1">
    <w:name w:val="Grid Table 1 Light11"/>
    <w:basedOn w:val="TableNormal"/>
    <w:uiPriority w:val="46"/>
    <w:rsid w:val="00BC0117"/>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2-Accent51">
    <w:name w:val="Grid Table 2 - Accent 51"/>
    <w:basedOn w:val="TableNormal"/>
    <w:uiPriority w:val="47"/>
    <w:rsid w:val="00BC0117"/>
    <w:rPr>
      <w:rFonts w:asciiTheme="minorHAnsi" w:eastAsiaTheme="minorHAnsi" w:hAnsiTheme="minorHAnsi" w:cstheme="minorBidi"/>
      <w:sz w:val="22"/>
      <w:szCs w:val="22"/>
      <w:lang w:val="en-US" w:eastAsia="en-US"/>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51">
    <w:name w:val="Grid Table 4 - Accent 51"/>
    <w:basedOn w:val="TableNormal"/>
    <w:uiPriority w:val="49"/>
    <w:rsid w:val="00BC0117"/>
    <w:rPr>
      <w:rFonts w:asciiTheme="minorHAnsi" w:eastAsiaTheme="minorHAnsi" w:hAnsiTheme="minorHAnsi" w:cstheme="minorBidi"/>
      <w:sz w:val="22"/>
      <w:szCs w:val="22"/>
      <w:lang w:val="en-US"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Grid32">
    <w:name w:val="Table Grid32"/>
    <w:basedOn w:val="TableNormal"/>
    <w:uiPriority w:val="39"/>
    <w:rsid w:val="00A65EAE"/>
    <w:pPr>
      <w:widowControl w:val="0"/>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A65EAE"/>
    <w:pPr>
      <w:widowControl w:val="0"/>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094A26"/>
    <w:rPr>
      <w:rFonts w:ascii="Times New Roman" w:eastAsia="Times New Roman" w:hAnsi="Times New Roman"/>
      <w:i/>
      <w:iCs/>
      <w:color w:val="000000" w:themeColor="text1"/>
      <w:lang w:val="en-US"/>
    </w:rPr>
  </w:style>
  <w:style w:type="character" w:customStyle="1" w:styleId="QuoteChar">
    <w:name w:val="Quote Char"/>
    <w:basedOn w:val="DefaultParagraphFont"/>
    <w:link w:val="Quote"/>
    <w:uiPriority w:val="29"/>
    <w:rsid w:val="00094A26"/>
    <w:rPr>
      <w:rFonts w:ascii="Times New Roman" w:eastAsia="Times New Roman" w:hAnsi="Times New Roman"/>
      <w:i/>
      <w:iCs/>
      <w:color w:val="000000" w:themeColor="text1"/>
      <w:sz w:val="24"/>
      <w:szCs w:val="24"/>
      <w:lang w:val="en-US" w:eastAsia="en-US"/>
    </w:rPr>
  </w:style>
  <w:style w:type="character" w:customStyle="1" w:styleId="rynqvb">
    <w:name w:val="rynqvb"/>
    <w:basedOn w:val="DefaultParagraphFont"/>
    <w:rsid w:val="006B6BA8"/>
  </w:style>
  <w:style w:type="character" w:customStyle="1" w:styleId="hwtze">
    <w:name w:val="hwtze"/>
    <w:basedOn w:val="DefaultParagraphFont"/>
    <w:rsid w:val="006B6BA8"/>
  </w:style>
  <w:style w:type="table" w:customStyle="1" w:styleId="TableGrid3">
    <w:name w:val="Table Grid3"/>
    <w:basedOn w:val="TableNormal"/>
    <w:next w:val="TableGrid"/>
    <w:uiPriority w:val="39"/>
    <w:rsid w:val="002752DE"/>
    <w:pPr>
      <w:widowControl w:val="0"/>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007052"/>
    <w:rPr>
      <w:rFonts w:ascii="Segoe UI" w:hAnsi="Segoe UI" w:cs="Segoe UI" w:hint="default"/>
      <w:sz w:val="18"/>
      <w:szCs w:val="18"/>
    </w:rPr>
  </w:style>
  <w:style w:type="character" w:customStyle="1" w:styleId="WW8Num20z1">
    <w:name w:val="WW8Num20z1"/>
    <w:qFormat/>
    <w:rsid w:val="003A5B7E"/>
  </w:style>
  <w:style w:type="table" w:customStyle="1" w:styleId="GridTable3-Accent11">
    <w:name w:val="Grid Table 3 - Accent 11"/>
    <w:basedOn w:val="TableNormal"/>
    <w:uiPriority w:val="48"/>
    <w:rsid w:val="009D5D31"/>
    <w:rPr>
      <w:rFonts w:asciiTheme="minorHAnsi" w:eastAsiaTheme="minorHAnsi" w:hAnsiTheme="minorHAnsi" w:cstheme="minorBidi"/>
      <w:sz w:val="22"/>
      <w:szCs w:val="22"/>
      <w:lang w:val="en-US"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paragraph" w:customStyle="1" w:styleId="AAAAAAATEXXXX">
    <w:name w:val="AAAAAAATEXXXX"/>
    <w:basedOn w:val="ListParagraph"/>
    <w:qFormat/>
    <w:rsid w:val="00F468C9"/>
    <w:pPr>
      <w:tabs>
        <w:tab w:val="left" w:pos="720"/>
      </w:tabs>
      <w:ind w:left="0" w:firstLine="284"/>
      <w:jc w:val="both"/>
    </w:pPr>
    <w:rPr>
      <w:rFonts w:ascii="Garamond" w:hAnsi="Garamond" w:cs="Times New Roman"/>
      <w:color w:val="0D0D0D"/>
      <w:sz w:val="24"/>
      <w:szCs w:val="24"/>
    </w:rPr>
  </w:style>
  <w:style w:type="character" w:customStyle="1" w:styleId="ParagrafiChar">
    <w:name w:val="Paragrafi Char"/>
    <w:basedOn w:val="DefaultParagraphFont"/>
    <w:link w:val="Paragrafi"/>
    <w:locked/>
    <w:rsid w:val="00720244"/>
    <w:rPr>
      <w:rFonts w:ascii="Garamond" w:eastAsia="MS Mincho" w:hAnsi="Garamond" w:cs="CG Times"/>
      <w:sz w:val="24"/>
    </w:rPr>
  </w:style>
  <w:style w:type="paragraph" w:customStyle="1" w:styleId="Paragrafi">
    <w:name w:val="Paragrafi"/>
    <w:link w:val="ParagrafiChar"/>
    <w:qFormat/>
    <w:rsid w:val="00720244"/>
    <w:pPr>
      <w:widowControl w:val="0"/>
      <w:ind w:firstLine="284"/>
      <w:jc w:val="both"/>
    </w:pPr>
    <w:rPr>
      <w:rFonts w:ascii="Garamond" w:eastAsia="MS Mincho" w:hAnsi="Garamond" w:cs="CG Times"/>
      <w:sz w:val="24"/>
    </w:rPr>
  </w:style>
  <w:style w:type="character" w:customStyle="1" w:styleId="ParagraphNumberingChar">
    <w:name w:val="Paragraph Numbering Char"/>
    <w:basedOn w:val="DefaultParagraphFont"/>
    <w:link w:val="ParagraphNumbering"/>
    <w:locked/>
    <w:rsid w:val="00756B3E"/>
    <w:rPr>
      <w:rFonts w:ascii="Times New Roman" w:eastAsiaTheme="minorEastAsia" w:hAnsi="Times New Roman"/>
      <w:sz w:val="24"/>
      <w:szCs w:val="24"/>
      <w:lang w:val="en-US" w:eastAsia="zh-CN"/>
    </w:rPr>
  </w:style>
  <w:style w:type="paragraph" w:customStyle="1" w:styleId="ParagraphNumbering">
    <w:name w:val="Paragraph Numbering"/>
    <w:basedOn w:val="Normal"/>
    <w:link w:val="ParagraphNumberingChar"/>
    <w:qFormat/>
    <w:rsid w:val="00756B3E"/>
    <w:pPr>
      <w:spacing w:after="240" w:line="264" w:lineRule="auto"/>
    </w:pPr>
    <w:rPr>
      <w:rFonts w:ascii="Times New Roman" w:eastAsiaTheme="minorEastAsia" w:hAnsi="Times New Roman"/>
      <w:lang w:val="en-US" w:eastAsia="zh-CN"/>
    </w:rPr>
  </w:style>
  <w:style w:type="character" w:customStyle="1" w:styleId="fontstyle01">
    <w:name w:val="fontstyle01"/>
    <w:basedOn w:val="DefaultParagraphFont"/>
    <w:rsid w:val="00756B3E"/>
    <w:rPr>
      <w:rFonts w:ascii="Times New Roman" w:hAnsi="Times New Roman" w:cs="Times New Roman" w:hint="default"/>
      <w:b w:val="0"/>
      <w:bCs w:val="0"/>
      <w:i w:val="0"/>
      <w:iCs w:val="0"/>
      <w:color w:val="0D0D0D"/>
      <w:sz w:val="24"/>
      <w:szCs w:val="24"/>
    </w:rPr>
  </w:style>
  <w:style w:type="character" w:customStyle="1" w:styleId="fontstyle21">
    <w:name w:val="fontstyle21"/>
    <w:basedOn w:val="DefaultParagraphFont"/>
    <w:rsid w:val="00756B3E"/>
    <w:rPr>
      <w:rFonts w:ascii="Times New Roman" w:hAnsi="Times New Roman" w:cs="Times New Roman" w:hint="default"/>
      <w:b w:val="0"/>
      <w:bCs w:val="0"/>
      <w:i/>
      <w:iCs/>
      <w:color w:val="0D0D0D"/>
      <w:sz w:val="24"/>
      <w:szCs w:val="24"/>
    </w:rPr>
  </w:style>
  <w:style w:type="character" w:customStyle="1" w:styleId="q4iawc">
    <w:name w:val="q4iawc"/>
    <w:basedOn w:val="DefaultParagraphFont"/>
    <w:rsid w:val="00756B3E"/>
  </w:style>
  <w:style w:type="character" w:customStyle="1" w:styleId="UnresolvedMention">
    <w:name w:val="Unresolved Mention"/>
    <w:basedOn w:val="DefaultParagraphFont"/>
    <w:uiPriority w:val="99"/>
    <w:semiHidden/>
    <w:unhideWhenUsed/>
    <w:rsid w:val="00A054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859572">
      <w:bodyDiv w:val="1"/>
      <w:marLeft w:val="0"/>
      <w:marRight w:val="0"/>
      <w:marTop w:val="0"/>
      <w:marBottom w:val="0"/>
      <w:divBdr>
        <w:top w:val="none" w:sz="0" w:space="0" w:color="auto"/>
        <w:left w:val="none" w:sz="0" w:space="0" w:color="auto"/>
        <w:bottom w:val="none" w:sz="0" w:space="0" w:color="auto"/>
        <w:right w:val="none" w:sz="0" w:space="0" w:color="auto"/>
      </w:divBdr>
    </w:div>
    <w:div w:id="105125374">
      <w:bodyDiv w:val="1"/>
      <w:marLeft w:val="0"/>
      <w:marRight w:val="0"/>
      <w:marTop w:val="0"/>
      <w:marBottom w:val="0"/>
      <w:divBdr>
        <w:top w:val="none" w:sz="0" w:space="0" w:color="auto"/>
        <w:left w:val="none" w:sz="0" w:space="0" w:color="auto"/>
        <w:bottom w:val="none" w:sz="0" w:space="0" w:color="auto"/>
        <w:right w:val="none" w:sz="0" w:space="0" w:color="auto"/>
      </w:divBdr>
    </w:div>
    <w:div w:id="148139406">
      <w:bodyDiv w:val="1"/>
      <w:marLeft w:val="0"/>
      <w:marRight w:val="0"/>
      <w:marTop w:val="0"/>
      <w:marBottom w:val="0"/>
      <w:divBdr>
        <w:top w:val="none" w:sz="0" w:space="0" w:color="auto"/>
        <w:left w:val="none" w:sz="0" w:space="0" w:color="auto"/>
        <w:bottom w:val="none" w:sz="0" w:space="0" w:color="auto"/>
        <w:right w:val="none" w:sz="0" w:space="0" w:color="auto"/>
      </w:divBdr>
    </w:div>
    <w:div w:id="159741038">
      <w:bodyDiv w:val="1"/>
      <w:marLeft w:val="0"/>
      <w:marRight w:val="0"/>
      <w:marTop w:val="0"/>
      <w:marBottom w:val="0"/>
      <w:divBdr>
        <w:top w:val="none" w:sz="0" w:space="0" w:color="auto"/>
        <w:left w:val="none" w:sz="0" w:space="0" w:color="auto"/>
        <w:bottom w:val="none" w:sz="0" w:space="0" w:color="auto"/>
        <w:right w:val="none" w:sz="0" w:space="0" w:color="auto"/>
      </w:divBdr>
    </w:div>
    <w:div w:id="192503976">
      <w:bodyDiv w:val="1"/>
      <w:marLeft w:val="0"/>
      <w:marRight w:val="0"/>
      <w:marTop w:val="0"/>
      <w:marBottom w:val="0"/>
      <w:divBdr>
        <w:top w:val="none" w:sz="0" w:space="0" w:color="auto"/>
        <w:left w:val="none" w:sz="0" w:space="0" w:color="auto"/>
        <w:bottom w:val="none" w:sz="0" w:space="0" w:color="auto"/>
        <w:right w:val="none" w:sz="0" w:space="0" w:color="auto"/>
      </w:divBdr>
    </w:div>
    <w:div w:id="198932017">
      <w:bodyDiv w:val="1"/>
      <w:marLeft w:val="0"/>
      <w:marRight w:val="0"/>
      <w:marTop w:val="0"/>
      <w:marBottom w:val="0"/>
      <w:divBdr>
        <w:top w:val="none" w:sz="0" w:space="0" w:color="auto"/>
        <w:left w:val="none" w:sz="0" w:space="0" w:color="auto"/>
        <w:bottom w:val="none" w:sz="0" w:space="0" w:color="auto"/>
        <w:right w:val="none" w:sz="0" w:space="0" w:color="auto"/>
      </w:divBdr>
    </w:div>
    <w:div w:id="276451604">
      <w:bodyDiv w:val="1"/>
      <w:marLeft w:val="0"/>
      <w:marRight w:val="0"/>
      <w:marTop w:val="0"/>
      <w:marBottom w:val="0"/>
      <w:divBdr>
        <w:top w:val="none" w:sz="0" w:space="0" w:color="auto"/>
        <w:left w:val="none" w:sz="0" w:space="0" w:color="auto"/>
        <w:bottom w:val="none" w:sz="0" w:space="0" w:color="auto"/>
        <w:right w:val="none" w:sz="0" w:space="0" w:color="auto"/>
      </w:divBdr>
    </w:div>
    <w:div w:id="298533707">
      <w:bodyDiv w:val="1"/>
      <w:marLeft w:val="0"/>
      <w:marRight w:val="0"/>
      <w:marTop w:val="0"/>
      <w:marBottom w:val="0"/>
      <w:divBdr>
        <w:top w:val="none" w:sz="0" w:space="0" w:color="auto"/>
        <w:left w:val="none" w:sz="0" w:space="0" w:color="auto"/>
        <w:bottom w:val="none" w:sz="0" w:space="0" w:color="auto"/>
        <w:right w:val="none" w:sz="0" w:space="0" w:color="auto"/>
      </w:divBdr>
    </w:div>
    <w:div w:id="358354704">
      <w:bodyDiv w:val="1"/>
      <w:marLeft w:val="0"/>
      <w:marRight w:val="0"/>
      <w:marTop w:val="0"/>
      <w:marBottom w:val="0"/>
      <w:divBdr>
        <w:top w:val="none" w:sz="0" w:space="0" w:color="auto"/>
        <w:left w:val="none" w:sz="0" w:space="0" w:color="auto"/>
        <w:bottom w:val="none" w:sz="0" w:space="0" w:color="auto"/>
        <w:right w:val="none" w:sz="0" w:space="0" w:color="auto"/>
      </w:divBdr>
    </w:div>
    <w:div w:id="369956699">
      <w:bodyDiv w:val="1"/>
      <w:marLeft w:val="0"/>
      <w:marRight w:val="0"/>
      <w:marTop w:val="0"/>
      <w:marBottom w:val="0"/>
      <w:divBdr>
        <w:top w:val="none" w:sz="0" w:space="0" w:color="auto"/>
        <w:left w:val="none" w:sz="0" w:space="0" w:color="auto"/>
        <w:bottom w:val="none" w:sz="0" w:space="0" w:color="auto"/>
        <w:right w:val="none" w:sz="0" w:space="0" w:color="auto"/>
      </w:divBdr>
    </w:div>
    <w:div w:id="472798126">
      <w:bodyDiv w:val="1"/>
      <w:marLeft w:val="0"/>
      <w:marRight w:val="0"/>
      <w:marTop w:val="0"/>
      <w:marBottom w:val="0"/>
      <w:divBdr>
        <w:top w:val="none" w:sz="0" w:space="0" w:color="auto"/>
        <w:left w:val="none" w:sz="0" w:space="0" w:color="auto"/>
        <w:bottom w:val="none" w:sz="0" w:space="0" w:color="auto"/>
        <w:right w:val="none" w:sz="0" w:space="0" w:color="auto"/>
      </w:divBdr>
    </w:div>
    <w:div w:id="551037729">
      <w:bodyDiv w:val="1"/>
      <w:marLeft w:val="0"/>
      <w:marRight w:val="0"/>
      <w:marTop w:val="0"/>
      <w:marBottom w:val="0"/>
      <w:divBdr>
        <w:top w:val="none" w:sz="0" w:space="0" w:color="auto"/>
        <w:left w:val="none" w:sz="0" w:space="0" w:color="auto"/>
        <w:bottom w:val="none" w:sz="0" w:space="0" w:color="auto"/>
        <w:right w:val="none" w:sz="0" w:space="0" w:color="auto"/>
      </w:divBdr>
    </w:div>
    <w:div w:id="557321458">
      <w:bodyDiv w:val="1"/>
      <w:marLeft w:val="0"/>
      <w:marRight w:val="0"/>
      <w:marTop w:val="0"/>
      <w:marBottom w:val="0"/>
      <w:divBdr>
        <w:top w:val="none" w:sz="0" w:space="0" w:color="auto"/>
        <w:left w:val="none" w:sz="0" w:space="0" w:color="auto"/>
        <w:bottom w:val="none" w:sz="0" w:space="0" w:color="auto"/>
        <w:right w:val="none" w:sz="0" w:space="0" w:color="auto"/>
      </w:divBdr>
    </w:div>
    <w:div w:id="575211775">
      <w:bodyDiv w:val="1"/>
      <w:marLeft w:val="0"/>
      <w:marRight w:val="0"/>
      <w:marTop w:val="0"/>
      <w:marBottom w:val="0"/>
      <w:divBdr>
        <w:top w:val="none" w:sz="0" w:space="0" w:color="auto"/>
        <w:left w:val="none" w:sz="0" w:space="0" w:color="auto"/>
        <w:bottom w:val="none" w:sz="0" w:space="0" w:color="auto"/>
        <w:right w:val="none" w:sz="0" w:space="0" w:color="auto"/>
      </w:divBdr>
    </w:div>
    <w:div w:id="604776331">
      <w:bodyDiv w:val="1"/>
      <w:marLeft w:val="0"/>
      <w:marRight w:val="0"/>
      <w:marTop w:val="0"/>
      <w:marBottom w:val="0"/>
      <w:divBdr>
        <w:top w:val="none" w:sz="0" w:space="0" w:color="auto"/>
        <w:left w:val="none" w:sz="0" w:space="0" w:color="auto"/>
        <w:bottom w:val="none" w:sz="0" w:space="0" w:color="auto"/>
        <w:right w:val="none" w:sz="0" w:space="0" w:color="auto"/>
      </w:divBdr>
    </w:div>
    <w:div w:id="687490555">
      <w:bodyDiv w:val="1"/>
      <w:marLeft w:val="0"/>
      <w:marRight w:val="0"/>
      <w:marTop w:val="0"/>
      <w:marBottom w:val="0"/>
      <w:divBdr>
        <w:top w:val="none" w:sz="0" w:space="0" w:color="auto"/>
        <w:left w:val="none" w:sz="0" w:space="0" w:color="auto"/>
        <w:bottom w:val="none" w:sz="0" w:space="0" w:color="auto"/>
        <w:right w:val="none" w:sz="0" w:space="0" w:color="auto"/>
      </w:divBdr>
    </w:div>
    <w:div w:id="741484845">
      <w:bodyDiv w:val="1"/>
      <w:marLeft w:val="0"/>
      <w:marRight w:val="0"/>
      <w:marTop w:val="0"/>
      <w:marBottom w:val="0"/>
      <w:divBdr>
        <w:top w:val="none" w:sz="0" w:space="0" w:color="auto"/>
        <w:left w:val="none" w:sz="0" w:space="0" w:color="auto"/>
        <w:bottom w:val="none" w:sz="0" w:space="0" w:color="auto"/>
        <w:right w:val="none" w:sz="0" w:space="0" w:color="auto"/>
      </w:divBdr>
    </w:div>
    <w:div w:id="758406448">
      <w:bodyDiv w:val="1"/>
      <w:marLeft w:val="0"/>
      <w:marRight w:val="0"/>
      <w:marTop w:val="0"/>
      <w:marBottom w:val="0"/>
      <w:divBdr>
        <w:top w:val="none" w:sz="0" w:space="0" w:color="auto"/>
        <w:left w:val="none" w:sz="0" w:space="0" w:color="auto"/>
        <w:bottom w:val="none" w:sz="0" w:space="0" w:color="auto"/>
        <w:right w:val="none" w:sz="0" w:space="0" w:color="auto"/>
      </w:divBdr>
    </w:div>
    <w:div w:id="760377178">
      <w:bodyDiv w:val="1"/>
      <w:marLeft w:val="0"/>
      <w:marRight w:val="0"/>
      <w:marTop w:val="0"/>
      <w:marBottom w:val="0"/>
      <w:divBdr>
        <w:top w:val="none" w:sz="0" w:space="0" w:color="auto"/>
        <w:left w:val="none" w:sz="0" w:space="0" w:color="auto"/>
        <w:bottom w:val="none" w:sz="0" w:space="0" w:color="auto"/>
        <w:right w:val="none" w:sz="0" w:space="0" w:color="auto"/>
      </w:divBdr>
    </w:div>
    <w:div w:id="761684368">
      <w:bodyDiv w:val="1"/>
      <w:marLeft w:val="0"/>
      <w:marRight w:val="0"/>
      <w:marTop w:val="0"/>
      <w:marBottom w:val="0"/>
      <w:divBdr>
        <w:top w:val="none" w:sz="0" w:space="0" w:color="auto"/>
        <w:left w:val="none" w:sz="0" w:space="0" w:color="auto"/>
        <w:bottom w:val="none" w:sz="0" w:space="0" w:color="auto"/>
        <w:right w:val="none" w:sz="0" w:space="0" w:color="auto"/>
      </w:divBdr>
    </w:div>
    <w:div w:id="787507907">
      <w:bodyDiv w:val="1"/>
      <w:marLeft w:val="0"/>
      <w:marRight w:val="0"/>
      <w:marTop w:val="0"/>
      <w:marBottom w:val="0"/>
      <w:divBdr>
        <w:top w:val="none" w:sz="0" w:space="0" w:color="auto"/>
        <w:left w:val="none" w:sz="0" w:space="0" w:color="auto"/>
        <w:bottom w:val="none" w:sz="0" w:space="0" w:color="auto"/>
        <w:right w:val="none" w:sz="0" w:space="0" w:color="auto"/>
      </w:divBdr>
    </w:div>
    <w:div w:id="793905997">
      <w:bodyDiv w:val="1"/>
      <w:marLeft w:val="0"/>
      <w:marRight w:val="0"/>
      <w:marTop w:val="0"/>
      <w:marBottom w:val="0"/>
      <w:divBdr>
        <w:top w:val="none" w:sz="0" w:space="0" w:color="auto"/>
        <w:left w:val="none" w:sz="0" w:space="0" w:color="auto"/>
        <w:bottom w:val="none" w:sz="0" w:space="0" w:color="auto"/>
        <w:right w:val="none" w:sz="0" w:space="0" w:color="auto"/>
      </w:divBdr>
    </w:div>
    <w:div w:id="798499894">
      <w:bodyDiv w:val="1"/>
      <w:marLeft w:val="0"/>
      <w:marRight w:val="0"/>
      <w:marTop w:val="0"/>
      <w:marBottom w:val="0"/>
      <w:divBdr>
        <w:top w:val="none" w:sz="0" w:space="0" w:color="auto"/>
        <w:left w:val="none" w:sz="0" w:space="0" w:color="auto"/>
        <w:bottom w:val="none" w:sz="0" w:space="0" w:color="auto"/>
        <w:right w:val="none" w:sz="0" w:space="0" w:color="auto"/>
      </w:divBdr>
    </w:div>
    <w:div w:id="845746835">
      <w:bodyDiv w:val="1"/>
      <w:marLeft w:val="0"/>
      <w:marRight w:val="0"/>
      <w:marTop w:val="0"/>
      <w:marBottom w:val="0"/>
      <w:divBdr>
        <w:top w:val="none" w:sz="0" w:space="0" w:color="auto"/>
        <w:left w:val="none" w:sz="0" w:space="0" w:color="auto"/>
        <w:bottom w:val="none" w:sz="0" w:space="0" w:color="auto"/>
        <w:right w:val="none" w:sz="0" w:space="0" w:color="auto"/>
      </w:divBdr>
    </w:div>
    <w:div w:id="855196010">
      <w:bodyDiv w:val="1"/>
      <w:marLeft w:val="0"/>
      <w:marRight w:val="0"/>
      <w:marTop w:val="0"/>
      <w:marBottom w:val="0"/>
      <w:divBdr>
        <w:top w:val="none" w:sz="0" w:space="0" w:color="auto"/>
        <w:left w:val="none" w:sz="0" w:space="0" w:color="auto"/>
        <w:bottom w:val="none" w:sz="0" w:space="0" w:color="auto"/>
        <w:right w:val="none" w:sz="0" w:space="0" w:color="auto"/>
      </w:divBdr>
    </w:div>
    <w:div w:id="876426737">
      <w:bodyDiv w:val="1"/>
      <w:marLeft w:val="0"/>
      <w:marRight w:val="0"/>
      <w:marTop w:val="0"/>
      <w:marBottom w:val="0"/>
      <w:divBdr>
        <w:top w:val="none" w:sz="0" w:space="0" w:color="auto"/>
        <w:left w:val="none" w:sz="0" w:space="0" w:color="auto"/>
        <w:bottom w:val="none" w:sz="0" w:space="0" w:color="auto"/>
        <w:right w:val="none" w:sz="0" w:space="0" w:color="auto"/>
      </w:divBdr>
    </w:div>
    <w:div w:id="894311811">
      <w:bodyDiv w:val="1"/>
      <w:marLeft w:val="0"/>
      <w:marRight w:val="0"/>
      <w:marTop w:val="0"/>
      <w:marBottom w:val="0"/>
      <w:divBdr>
        <w:top w:val="none" w:sz="0" w:space="0" w:color="auto"/>
        <w:left w:val="none" w:sz="0" w:space="0" w:color="auto"/>
        <w:bottom w:val="none" w:sz="0" w:space="0" w:color="auto"/>
        <w:right w:val="none" w:sz="0" w:space="0" w:color="auto"/>
      </w:divBdr>
    </w:div>
    <w:div w:id="920678869">
      <w:bodyDiv w:val="1"/>
      <w:marLeft w:val="0"/>
      <w:marRight w:val="0"/>
      <w:marTop w:val="0"/>
      <w:marBottom w:val="0"/>
      <w:divBdr>
        <w:top w:val="none" w:sz="0" w:space="0" w:color="auto"/>
        <w:left w:val="none" w:sz="0" w:space="0" w:color="auto"/>
        <w:bottom w:val="none" w:sz="0" w:space="0" w:color="auto"/>
        <w:right w:val="none" w:sz="0" w:space="0" w:color="auto"/>
      </w:divBdr>
    </w:div>
    <w:div w:id="921371757">
      <w:bodyDiv w:val="1"/>
      <w:marLeft w:val="0"/>
      <w:marRight w:val="0"/>
      <w:marTop w:val="0"/>
      <w:marBottom w:val="0"/>
      <w:divBdr>
        <w:top w:val="none" w:sz="0" w:space="0" w:color="auto"/>
        <w:left w:val="none" w:sz="0" w:space="0" w:color="auto"/>
        <w:bottom w:val="none" w:sz="0" w:space="0" w:color="auto"/>
        <w:right w:val="none" w:sz="0" w:space="0" w:color="auto"/>
      </w:divBdr>
    </w:div>
    <w:div w:id="993141797">
      <w:bodyDiv w:val="1"/>
      <w:marLeft w:val="0"/>
      <w:marRight w:val="0"/>
      <w:marTop w:val="0"/>
      <w:marBottom w:val="0"/>
      <w:divBdr>
        <w:top w:val="none" w:sz="0" w:space="0" w:color="auto"/>
        <w:left w:val="none" w:sz="0" w:space="0" w:color="auto"/>
        <w:bottom w:val="none" w:sz="0" w:space="0" w:color="auto"/>
        <w:right w:val="none" w:sz="0" w:space="0" w:color="auto"/>
      </w:divBdr>
    </w:div>
    <w:div w:id="1005324193">
      <w:bodyDiv w:val="1"/>
      <w:marLeft w:val="0"/>
      <w:marRight w:val="0"/>
      <w:marTop w:val="0"/>
      <w:marBottom w:val="0"/>
      <w:divBdr>
        <w:top w:val="none" w:sz="0" w:space="0" w:color="auto"/>
        <w:left w:val="none" w:sz="0" w:space="0" w:color="auto"/>
        <w:bottom w:val="none" w:sz="0" w:space="0" w:color="auto"/>
        <w:right w:val="none" w:sz="0" w:space="0" w:color="auto"/>
      </w:divBdr>
    </w:div>
    <w:div w:id="1008754811">
      <w:bodyDiv w:val="1"/>
      <w:marLeft w:val="0"/>
      <w:marRight w:val="0"/>
      <w:marTop w:val="0"/>
      <w:marBottom w:val="0"/>
      <w:divBdr>
        <w:top w:val="none" w:sz="0" w:space="0" w:color="auto"/>
        <w:left w:val="none" w:sz="0" w:space="0" w:color="auto"/>
        <w:bottom w:val="none" w:sz="0" w:space="0" w:color="auto"/>
        <w:right w:val="none" w:sz="0" w:space="0" w:color="auto"/>
      </w:divBdr>
    </w:div>
    <w:div w:id="1018779713">
      <w:bodyDiv w:val="1"/>
      <w:marLeft w:val="0"/>
      <w:marRight w:val="0"/>
      <w:marTop w:val="0"/>
      <w:marBottom w:val="0"/>
      <w:divBdr>
        <w:top w:val="none" w:sz="0" w:space="0" w:color="auto"/>
        <w:left w:val="none" w:sz="0" w:space="0" w:color="auto"/>
        <w:bottom w:val="none" w:sz="0" w:space="0" w:color="auto"/>
        <w:right w:val="none" w:sz="0" w:space="0" w:color="auto"/>
      </w:divBdr>
    </w:div>
    <w:div w:id="1019434826">
      <w:bodyDiv w:val="1"/>
      <w:marLeft w:val="0"/>
      <w:marRight w:val="0"/>
      <w:marTop w:val="0"/>
      <w:marBottom w:val="0"/>
      <w:divBdr>
        <w:top w:val="none" w:sz="0" w:space="0" w:color="auto"/>
        <w:left w:val="none" w:sz="0" w:space="0" w:color="auto"/>
        <w:bottom w:val="none" w:sz="0" w:space="0" w:color="auto"/>
        <w:right w:val="none" w:sz="0" w:space="0" w:color="auto"/>
      </w:divBdr>
    </w:div>
    <w:div w:id="1135877592">
      <w:bodyDiv w:val="1"/>
      <w:marLeft w:val="0"/>
      <w:marRight w:val="0"/>
      <w:marTop w:val="0"/>
      <w:marBottom w:val="0"/>
      <w:divBdr>
        <w:top w:val="none" w:sz="0" w:space="0" w:color="auto"/>
        <w:left w:val="none" w:sz="0" w:space="0" w:color="auto"/>
        <w:bottom w:val="none" w:sz="0" w:space="0" w:color="auto"/>
        <w:right w:val="none" w:sz="0" w:space="0" w:color="auto"/>
      </w:divBdr>
    </w:div>
    <w:div w:id="1137263902">
      <w:bodyDiv w:val="1"/>
      <w:marLeft w:val="0"/>
      <w:marRight w:val="0"/>
      <w:marTop w:val="0"/>
      <w:marBottom w:val="0"/>
      <w:divBdr>
        <w:top w:val="none" w:sz="0" w:space="0" w:color="auto"/>
        <w:left w:val="none" w:sz="0" w:space="0" w:color="auto"/>
        <w:bottom w:val="none" w:sz="0" w:space="0" w:color="auto"/>
        <w:right w:val="none" w:sz="0" w:space="0" w:color="auto"/>
      </w:divBdr>
    </w:div>
    <w:div w:id="1173758429">
      <w:bodyDiv w:val="1"/>
      <w:marLeft w:val="0"/>
      <w:marRight w:val="0"/>
      <w:marTop w:val="0"/>
      <w:marBottom w:val="0"/>
      <w:divBdr>
        <w:top w:val="none" w:sz="0" w:space="0" w:color="auto"/>
        <w:left w:val="none" w:sz="0" w:space="0" w:color="auto"/>
        <w:bottom w:val="none" w:sz="0" w:space="0" w:color="auto"/>
        <w:right w:val="none" w:sz="0" w:space="0" w:color="auto"/>
      </w:divBdr>
    </w:div>
    <w:div w:id="1227106945">
      <w:bodyDiv w:val="1"/>
      <w:marLeft w:val="0"/>
      <w:marRight w:val="0"/>
      <w:marTop w:val="0"/>
      <w:marBottom w:val="0"/>
      <w:divBdr>
        <w:top w:val="none" w:sz="0" w:space="0" w:color="auto"/>
        <w:left w:val="none" w:sz="0" w:space="0" w:color="auto"/>
        <w:bottom w:val="none" w:sz="0" w:space="0" w:color="auto"/>
        <w:right w:val="none" w:sz="0" w:space="0" w:color="auto"/>
      </w:divBdr>
    </w:div>
    <w:div w:id="1328361048">
      <w:bodyDiv w:val="1"/>
      <w:marLeft w:val="0"/>
      <w:marRight w:val="0"/>
      <w:marTop w:val="0"/>
      <w:marBottom w:val="0"/>
      <w:divBdr>
        <w:top w:val="none" w:sz="0" w:space="0" w:color="auto"/>
        <w:left w:val="none" w:sz="0" w:space="0" w:color="auto"/>
        <w:bottom w:val="none" w:sz="0" w:space="0" w:color="auto"/>
        <w:right w:val="none" w:sz="0" w:space="0" w:color="auto"/>
      </w:divBdr>
    </w:div>
    <w:div w:id="1362366295">
      <w:bodyDiv w:val="1"/>
      <w:marLeft w:val="0"/>
      <w:marRight w:val="0"/>
      <w:marTop w:val="0"/>
      <w:marBottom w:val="0"/>
      <w:divBdr>
        <w:top w:val="none" w:sz="0" w:space="0" w:color="auto"/>
        <w:left w:val="none" w:sz="0" w:space="0" w:color="auto"/>
        <w:bottom w:val="none" w:sz="0" w:space="0" w:color="auto"/>
        <w:right w:val="none" w:sz="0" w:space="0" w:color="auto"/>
      </w:divBdr>
    </w:div>
    <w:div w:id="1413743916">
      <w:bodyDiv w:val="1"/>
      <w:marLeft w:val="0"/>
      <w:marRight w:val="0"/>
      <w:marTop w:val="0"/>
      <w:marBottom w:val="0"/>
      <w:divBdr>
        <w:top w:val="none" w:sz="0" w:space="0" w:color="auto"/>
        <w:left w:val="none" w:sz="0" w:space="0" w:color="auto"/>
        <w:bottom w:val="none" w:sz="0" w:space="0" w:color="auto"/>
        <w:right w:val="none" w:sz="0" w:space="0" w:color="auto"/>
      </w:divBdr>
    </w:div>
    <w:div w:id="1454976968">
      <w:bodyDiv w:val="1"/>
      <w:marLeft w:val="0"/>
      <w:marRight w:val="0"/>
      <w:marTop w:val="0"/>
      <w:marBottom w:val="0"/>
      <w:divBdr>
        <w:top w:val="none" w:sz="0" w:space="0" w:color="auto"/>
        <w:left w:val="none" w:sz="0" w:space="0" w:color="auto"/>
        <w:bottom w:val="none" w:sz="0" w:space="0" w:color="auto"/>
        <w:right w:val="none" w:sz="0" w:space="0" w:color="auto"/>
      </w:divBdr>
    </w:div>
    <w:div w:id="1646230620">
      <w:bodyDiv w:val="1"/>
      <w:marLeft w:val="0"/>
      <w:marRight w:val="0"/>
      <w:marTop w:val="0"/>
      <w:marBottom w:val="0"/>
      <w:divBdr>
        <w:top w:val="none" w:sz="0" w:space="0" w:color="auto"/>
        <w:left w:val="none" w:sz="0" w:space="0" w:color="auto"/>
        <w:bottom w:val="none" w:sz="0" w:space="0" w:color="auto"/>
        <w:right w:val="none" w:sz="0" w:space="0" w:color="auto"/>
      </w:divBdr>
    </w:div>
    <w:div w:id="1647510297">
      <w:bodyDiv w:val="1"/>
      <w:marLeft w:val="0"/>
      <w:marRight w:val="0"/>
      <w:marTop w:val="0"/>
      <w:marBottom w:val="0"/>
      <w:divBdr>
        <w:top w:val="none" w:sz="0" w:space="0" w:color="auto"/>
        <w:left w:val="none" w:sz="0" w:space="0" w:color="auto"/>
        <w:bottom w:val="none" w:sz="0" w:space="0" w:color="auto"/>
        <w:right w:val="none" w:sz="0" w:space="0" w:color="auto"/>
      </w:divBdr>
    </w:div>
    <w:div w:id="1756199493">
      <w:bodyDiv w:val="1"/>
      <w:marLeft w:val="0"/>
      <w:marRight w:val="0"/>
      <w:marTop w:val="0"/>
      <w:marBottom w:val="0"/>
      <w:divBdr>
        <w:top w:val="none" w:sz="0" w:space="0" w:color="auto"/>
        <w:left w:val="none" w:sz="0" w:space="0" w:color="auto"/>
        <w:bottom w:val="none" w:sz="0" w:space="0" w:color="auto"/>
        <w:right w:val="none" w:sz="0" w:space="0" w:color="auto"/>
      </w:divBdr>
    </w:div>
    <w:div w:id="1778941402">
      <w:bodyDiv w:val="1"/>
      <w:marLeft w:val="0"/>
      <w:marRight w:val="0"/>
      <w:marTop w:val="0"/>
      <w:marBottom w:val="0"/>
      <w:divBdr>
        <w:top w:val="none" w:sz="0" w:space="0" w:color="auto"/>
        <w:left w:val="none" w:sz="0" w:space="0" w:color="auto"/>
        <w:bottom w:val="none" w:sz="0" w:space="0" w:color="auto"/>
        <w:right w:val="none" w:sz="0" w:space="0" w:color="auto"/>
      </w:divBdr>
    </w:div>
    <w:div w:id="1793327579">
      <w:bodyDiv w:val="1"/>
      <w:marLeft w:val="0"/>
      <w:marRight w:val="0"/>
      <w:marTop w:val="0"/>
      <w:marBottom w:val="0"/>
      <w:divBdr>
        <w:top w:val="none" w:sz="0" w:space="0" w:color="auto"/>
        <w:left w:val="none" w:sz="0" w:space="0" w:color="auto"/>
        <w:bottom w:val="none" w:sz="0" w:space="0" w:color="auto"/>
        <w:right w:val="none" w:sz="0" w:space="0" w:color="auto"/>
      </w:divBdr>
    </w:div>
    <w:div w:id="1798721782">
      <w:bodyDiv w:val="1"/>
      <w:marLeft w:val="0"/>
      <w:marRight w:val="0"/>
      <w:marTop w:val="0"/>
      <w:marBottom w:val="0"/>
      <w:divBdr>
        <w:top w:val="none" w:sz="0" w:space="0" w:color="auto"/>
        <w:left w:val="none" w:sz="0" w:space="0" w:color="auto"/>
        <w:bottom w:val="none" w:sz="0" w:space="0" w:color="auto"/>
        <w:right w:val="none" w:sz="0" w:space="0" w:color="auto"/>
      </w:divBdr>
    </w:div>
    <w:div w:id="1800143794">
      <w:bodyDiv w:val="1"/>
      <w:marLeft w:val="0"/>
      <w:marRight w:val="0"/>
      <w:marTop w:val="0"/>
      <w:marBottom w:val="0"/>
      <w:divBdr>
        <w:top w:val="none" w:sz="0" w:space="0" w:color="auto"/>
        <w:left w:val="none" w:sz="0" w:space="0" w:color="auto"/>
        <w:bottom w:val="none" w:sz="0" w:space="0" w:color="auto"/>
        <w:right w:val="none" w:sz="0" w:space="0" w:color="auto"/>
      </w:divBdr>
    </w:div>
    <w:div w:id="1804733254">
      <w:bodyDiv w:val="1"/>
      <w:marLeft w:val="0"/>
      <w:marRight w:val="0"/>
      <w:marTop w:val="0"/>
      <w:marBottom w:val="0"/>
      <w:divBdr>
        <w:top w:val="none" w:sz="0" w:space="0" w:color="auto"/>
        <w:left w:val="none" w:sz="0" w:space="0" w:color="auto"/>
        <w:bottom w:val="none" w:sz="0" w:space="0" w:color="auto"/>
        <w:right w:val="none" w:sz="0" w:space="0" w:color="auto"/>
      </w:divBdr>
    </w:div>
    <w:div w:id="1858227373">
      <w:bodyDiv w:val="1"/>
      <w:marLeft w:val="0"/>
      <w:marRight w:val="0"/>
      <w:marTop w:val="0"/>
      <w:marBottom w:val="0"/>
      <w:divBdr>
        <w:top w:val="none" w:sz="0" w:space="0" w:color="auto"/>
        <w:left w:val="none" w:sz="0" w:space="0" w:color="auto"/>
        <w:bottom w:val="none" w:sz="0" w:space="0" w:color="auto"/>
        <w:right w:val="none" w:sz="0" w:space="0" w:color="auto"/>
      </w:divBdr>
    </w:div>
    <w:div w:id="1934194654">
      <w:bodyDiv w:val="1"/>
      <w:marLeft w:val="0"/>
      <w:marRight w:val="0"/>
      <w:marTop w:val="0"/>
      <w:marBottom w:val="0"/>
      <w:divBdr>
        <w:top w:val="none" w:sz="0" w:space="0" w:color="auto"/>
        <w:left w:val="none" w:sz="0" w:space="0" w:color="auto"/>
        <w:bottom w:val="none" w:sz="0" w:space="0" w:color="auto"/>
        <w:right w:val="none" w:sz="0" w:space="0" w:color="auto"/>
      </w:divBdr>
    </w:div>
    <w:div w:id="1935698707">
      <w:bodyDiv w:val="1"/>
      <w:marLeft w:val="0"/>
      <w:marRight w:val="0"/>
      <w:marTop w:val="0"/>
      <w:marBottom w:val="0"/>
      <w:divBdr>
        <w:top w:val="none" w:sz="0" w:space="0" w:color="auto"/>
        <w:left w:val="none" w:sz="0" w:space="0" w:color="auto"/>
        <w:bottom w:val="none" w:sz="0" w:space="0" w:color="auto"/>
        <w:right w:val="none" w:sz="0" w:space="0" w:color="auto"/>
      </w:divBdr>
    </w:div>
    <w:div w:id="2010476101">
      <w:bodyDiv w:val="1"/>
      <w:marLeft w:val="0"/>
      <w:marRight w:val="0"/>
      <w:marTop w:val="0"/>
      <w:marBottom w:val="0"/>
      <w:divBdr>
        <w:top w:val="none" w:sz="0" w:space="0" w:color="auto"/>
        <w:left w:val="none" w:sz="0" w:space="0" w:color="auto"/>
        <w:bottom w:val="none" w:sz="0" w:space="0" w:color="auto"/>
        <w:right w:val="none" w:sz="0" w:space="0" w:color="auto"/>
      </w:divBdr>
    </w:div>
    <w:div w:id="2055619343">
      <w:bodyDiv w:val="1"/>
      <w:marLeft w:val="0"/>
      <w:marRight w:val="0"/>
      <w:marTop w:val="0"/>
      <w:marBottom w:val="0"/>
      <w:divBdr>
        <w:top w:val="none" w:sz="0" w:space="0" w:color="auto"/>
        <w:left w:val="none" w:sz="0" w:space="0" w:color="auto"/>
        <w:bottom w:val="none" w:sz="0" w:space="0" w:color="auto"/>
        <w:right w:val="none" w:sz="0" w:space="0" w:color="auto"/>
      </w:divBdr>
    </w:div>
    <w:div w:id="21411437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117" Type="http://schemas.openxmlformats.org/officeDocument/2006/relationships/image" Target="media/image93.jpg"/><Relationship Id="rId21" Type="http://schemas.openxmlformats.org/officeDocument/2006/relationships/image" Target="media/image5.png"/><Relationship Id="rId42" Type="http://schemas.openxmlformats.org/officeDocument/2006/relationships/image" Target="media/image26.emf"/><Relationship Id="rId47" Type="http://schemas.openxmlformats.org/officeDocument/2006/relationships/chart" Target="charts/chart5.xml"/><Relationship Id="rId63" Type="http://schemas.openxmlformats.org/officeDocument/2006/relationships/image" Target="media/image41.emf"/><Relationship Id="rId68" Type="http://schemas.openxmlformats.org/officeDocument/2006/relationships/image" Target="media/image46.png"/><Relationship Id="rId84" Type="http://schemas.openxmlformats.org/officeDocument/2006/relationships/image" Target="media/image60.jpg"/><Relationship Id="rId89" Type="http://schemas.openxmlformats.org/officeDocument/2006/relationships/image" Target="media/image65.jpeg"/><Relationship Id="rId112" Type="http://schemas.openxmlformats.org/officeDocument/2006/relationships/image" Target="media/image88.jpg"/><Relationship Id="rId16" Type="http://schemas.openxmlformats.org/officeDocument/2006/relationships/image" Target="media/image2.emf"/><Relationship Id="rId107" Type="http://schemas.openxmlformats.org/officeDocument/2006/relationships/image" Target="media/image83.jpg"/><Relationship Id="rId11" Type="http://schemas.openxmlformats.org/officeDocument/2006/relationships/webSettings" Target="webSettings.xml"/><Relationship Id="rId32" Type="http://schemas.openxmlformats.org/officeDocument/2006/relationships/image" Target="media/image16.emf"/><Relationship Id="rId37" Type="http://schemas.openxmlformats.org/officeDocument/2006/relationships/image" Target="media/image21.png"/><Relationship Id="rId53" Type="http://schemas.openxmlformats.org/officeDocument/2006/relationships/image" Target="media/image31.emf"/><Relationship Id="rId58" Type="http://schemas.openxmlformats.org/officeDocument/2006/relationships/image" Target="media/image36.png"/><Relationship Id="rId74" Type="http://schemas.openxmlformats.org/officeDocument/2006/relationships/hyperlink" Target="https://financa.gov.al/ftese-per-konsultim-te-gjere-te-draft-programit-te-reformave-ekonomike-2023-2025-erp/" TargetMode="External"/><Relationship Id="rId79" Type="http://schemas.openxmlformats.org/officeDocument/2006/relationships/image" Target="media/image55.jpg"/><Relationship Id="rId102" Type="http://schemas.openxmlformats.org/officeDocument/2006/relationships/image" Target="media/image78.jpg"/><Relationship Id="rId123" Type="http://schemas.openxmlformats.org/officeDocument/2006/relationships/footer" Target="footer2.xml"/><Relationship Id="rId5" Type="http://schemas.openxmlformats.org/officeDocument/2006/relationships/customXml" Target="../customXml/item5.xml"/><Relationship Id="rId90" Type="http://schemas.openxmlformats.org/officeDocument/2006/relationships/image" Target="media/image66.jpeg"/><Relationship Id="rId95" Type="http://schemas.openxmlformats.org/officeDocument/2006/relationships/image" Target="media/image71.jpg"/><Relationship Id="rId22" Type="http://schemas.openxmlformats.org/officeDocument/2006/relationships/image" Target="media/image6.png"/><Relationship Id="rId27" Type="http://schemas.openxmlformats.org/officeDocument/2006/relationships/image" Target="media/image11.emf"/><Relationship Id="rId43" Type="http://schemas.openxmlformats.org/officeDocument/2006/relationships/image" Target="media/image27.wmf"/><Relationship Id="rId48" Type="http://schemas.openxmlformats.org/officeDocument/2006/relationships/chart" Target="charts/chart6.xml"/><Relationship Id="rId64" Type="http://schemas.openxmlformats.org/officeDocument/2006/relationships/image" Target="media/image42.png"/><Relationship Id="rId69" Type="http://schemas.openxmlformats.org/officeDocument/2006/relationships/image" Target="media/image47.emf"/><Relationship Id="rId113" Type="http://schemas.openxmlformats.org/officeDocument/2006/relationships/image" Target="media/image89.jpg"/><Relationship Id="rId118" Type="http://schemas.openxmlformats.org/officeDocument/2006/relationships/image" Target="media/image94.jpg"/><Relationship Id="rId80" Type="http://schemas.openxmlformats.org/officeDocument/2006/relationships/image" Target="media/image56.jpg"/><Relationship Id="rId85" Type="http://schemas.openxmlformats.org/officeDocument/2006/relationships/image" Target="media/image61.jpg"/><Relationship Id="rId12" Type="http://schemas.openxmlformats.org/officeDocument/2006/relationships/footnotes" Target="footnotes.xml"/><Relationship Id="rId17" Type="http://schemas.openxmlformats.org/officeDocument/2006/relationships/hyperlink" Target="http://www.fanduelpromocode.org/" TargetMode="External"/><Relationship Id="rId33" Type="http://schemas.openxmlformats.org/officeDocument/2006/relationships/image" Target="media/image17.png"/><Relationship Id="rId38" Type="http://schemas.openxmlformats.org/officeDocument/2006/relationships/image" Target="media/image22.png"/><Relationship Id="rId59" Type="http://schemas.openxmlformats.org/officeDocument/2006/relationships/image" Target="media/image37.png"/><Relationship Id="rId103" Type="http://schemas.openxmlformats.org/officeDocument/2006/relationships/image" Target="media/image79.jpg"/><Relationship Id="rId108" Type="http://schemas.openxmlformats.org/officeDocument/2006/relationships/image" Target="media/image84.jpg"/><Relationship Id="rId124" Type="http://schemas.openxmlformats.org/officeDocument/2006/relationships/footer" Target="footer3.xml"/><Relationship Id="rId54" Type="http://schemas.openxmlformats.org/officeDocument/2006/relationships/image" Target="media/image32.emf"/><Relationship Id="rId70" Type="http://schemas.openxmlformats.org/officeDocument/2006/relationships/image" Target="media/image48.emf"/><Relationship Id="rId75" Type="http://schemas.openxmlformats.org/officeDocument/2006/relationships/hyperlink" Target="https://konsultimipublik.gov.al/Konsultime/Detaje/596" TargetMode="External"/><Relationship Id="rId91" Type="http://schemas.openxmlformats.org/officeDocument/2006/relationships/image" Target="media/image67.jpg"/><Relationship Id="rId96" Type="http://schemas.openxmlformats.org/officeDocument/2006/relationships/image" Target="media/image72.jpg"/><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image" Target="media/image7.png"/><Relationship Id="rId28" Type="http://schemas.openxmlformats.org/officeDocument/2006/relationships/image" Target="media/image12.emf"/><Relationship Id="rId49" Type="http://schemas.openxmlformats.org/officeDocument/2006/relationships/chart" Target="charts/chart7.xml"/><Relationship Id="rId114" Type="http://schemas.openxmlformats.org/officeDocument/2006/relationships/image" Target="media/image90.jpg"/><Relationship Id="rId119" Type="http://schemas.openxmlformats.org/officeDocument/2006/relationships/image" Target="media/image95.jpg"/><Relationship Id="rId44" Type="http://schemas.openxmlformats.org/officeDocument/2006/relationships/chart" Target="charts/chart2.xml"/><Relationship Id="rId60" Type="http://schemas.openxmlformats.org/officeDocument/2006/relationships/image" Target="media/image38.png"/><Relationship Id="rId65" Type="http://schemas.openxmlformats.org/officeDocument/2006/relationships/image" Target="media/image43.png"/><Relationship Id="rId81" Type="http://schemas.openxmlformats.org/officeDocument/2006/relationships/image" Target="media/image57.jpeg"/><Relationship Id="rId86" Type="http://schemas.openxmlformats.org/officeDocument/2006/relationships/image" Target="media/image62.jpg"/><Relationship Id="rId13" Type="http://schemas.openxmlformats.org/officeDocument/2006/relationships/endnotes" Target="endnotes.xml"/><Relationship Id="rId18" Type="http://schemas.openxmlformats.org/officeDocument/2006/relationships/hyperlink" Target="http://shendetesia.gov.al/njoftime-2" TargetMode="External"/><Relationship Id="rId39" Type="http://schemas.openxmlformats.org/officeDocument/2006/relationships/image" Target="media/image23.png"/><Relationship Id="rId109" Type="http://schemas.openxmlformats.org/officeDocument/2006/relationships/image" Target="media/image85.jpg"/><Relationship Id="rId34" Type="http://schemas.openxmlformats.org/officeDocument/2006/relationships/image" Target="media/image18.png"/><Relationship Id="rId50" Type="http://schemas.openxmlformats.org/officeDocument/2006/relationships/image" Target="media/image28.emf"/><Relationship Id="rId55" Type="http://schemas.openxmlformats.org/officeDocument/2006/relationships/image" Target="media/image33.png"/><Relationship Id="rId76" Type="http://schemas.openxmlformats.org/officeDocument/2006/relationships/image" Target="media/image52.jpg"/><Relationship Id="rId97" Type="http://schemas.openxmlformats.org/officeDocument/2006/relationships/image" Target="media/image73.jpg"/><Relationship Id="rId104" Type="http://schemas.openxmlformats.org/officeDocument/2006/relationships/image" Target="media/image80.jpg"/><Relationship Id="rId120" Type="http://schemas.openxmlformats.org/officeDocument/2006/relationships/image" Target="media/image96.jpg"/><Relationship Id="rId125" Type="http://schemas.openxmlformats.org/officeDocument/2006/relationships/fontTable" Target="fontTable.xml"/><Relationship Id="rId7" Type="http://schemas.openxmlformats.org/officeDocument/2006/relationships/numbering" Target="numbering.xml"/><Relationship Id="rId71" Type="http://schemas.openxmlformats.org/officeDocument/2006/relationships/image" Target="media/image49.emf"/><Relationship Id="rId92" Type="http://schemas.openxmlformats.org/officeDocument/2006/relationships/image" Target="media/image68.jpg"/><Relationship Id="rId2" Type="http://schemas.openxmlformats.org/officeDocument/2006/relationships/customXml" Target="../customXml/item2.xml"/><Relationship Id="rId29" Type="http://schemas.openxmlformats.org/officeDocument/2006/relationships/image" Target="media/image13.emf"/><Relationship Id="rId24" Type="http://schemas.openxmlformats.org/officeDocument/2006/relationships/image" Target="media/image8.png"/><Relationship Id="rId40" Type="http://schemas.openxmlformats.org/officeDocument/2006/relationships/image" Target="media/image24.png"/><Relationship Id="rId45" Type="http://schemas.openxmlformats.org/officeDocument/2006/relationships/chart" Target="charts/chart3.xml"/><Relationship Id="rId66" Type="http://schemas.openxmlformats.org/officeDocument/2006/relationships/image" Target="media/image44.png"/><Relationship Id="rId87" Type="http://schemas.openxmlformats.org/officeDocument/2006/relationships/image" Target="media/image63.jpg"/><Relationship Id="rId110" Type="http://schemas.openxmlformats.org/officeDocument/2006/relationships/image" Target="media/image86.jpg"/><Relationship Id="rId115" Type="http://schemas.openxmlformats.org/officeDocument/2006/relationships/image" Target="media/image91.jpg"/><Relationship Id="rId61" Type="http://schemas.openxmlformats.org/officeDocument/2006/relationships/image" Target="media/image39.emf"/><Relationship Id="rId82" Type="http://schemas.openxmlformats.org/officeDocument/2006/relationships/image" Target="media/image58.jpg"/><Relationship Id="rId19" Type="http://schemas.openxmlformats.org/officeDocument/2006/relationships/image" Target="media/image3.png"/><Relationship Id="rId14" Type="http://schemas.openxmlformats.org/officeDocument/2006/relationships/chart" Target="charts/chart1.xml"/><Relationship Id="rId30" Type="http://schemas.openxmlformats.org/officeDocument/2006/relationships/image" Target="media/image14.emf"/><Relationship Id="rId35" Type="http://schemas.openxmlformats.org/officeDocument/2006/relationships/image" Target="media/image19.png"/><Relationship Id="rId56" Type="http://schemas.openxmlformats.org/officeDocument/2006/relationships/image" Target="media/image34.png"/><Relationship Id="rId77" Type="http://schemas.openxmlformats.org/officeDocument/2006/relationships/image" Target="media/image53.jpg"/><Relationship Id="rId100" Type="http://schemas.openxmlformats.org/officeDocument/2006/relationships/image" Target="media/image76.jpg"/><Relationship Id="rId105" Type="http://schemas.openxmlformats.org/officeDocument/2006/relationships/image" Target="media/image81.jpg"/><Relationship Id="rId126" Type="http://schemas.openxmlformats.org/officeDocument/2006/relationships/theme" Target="theme/theme1.xml"/><Relationship Id="rId8" Type="http://schemas.openxmlformats.org/officeDocument/2006/relationships/styles" Target="styles.xml"/><Relationship Id="rId51" Type="http://schemas.openxmlformats.org/officeDocument/2006/relationships/image" Target="media/image29.emf"/><Relationship Id="rId72" Type="http://schemas.openxmlformats.org/officeDocument/2006/relationships/image" Target="media/image50.emf"/><Relationship Id="rId93" Type="http://schemas.openxmlformats.org/officeDocument/2006/relationships/image" Target="media/image69.jpg"/><Relationship Id="rId98" Type="http://schemas.openxmlformats.org/officeDocument/2006/relationships/image" Target="media/image74.jpg"/><Relationship Id="rId121" Type="http://schemas.openxmlformats.org/officeDocument/2006/relationships/image" Target="media/image97.jpg"/><Relationship Id="rId3" Type="http://schemas.openxmlformats.org/officeDocument/2006/relationships/customXml" Target="../customXml/item3.xml"/><Relationship Id="rId25" Type="http://schemas.openxmlformats.org/officeDocument/2006/relationships/image" Target="media/image9.png"/><Relationship Id="rId46" Type="http://schemas.openxmlformats.org/officeDocument/2006/relationships/chart" Target="charts/chart4.xml"/><Relationship Id="rId67" Type="http://schemas.openxmlformats.org/officeDocument/2006/relationships/image" Target="media/image45.png"/><Relationship Id="rId116" Type="http://schemas.openxmlformats.org/officeDocument/2006/relationships/image" Target="media/image92.jpg"/><Relationship Id="rId20" Type="http://schemas.openxmlformats.org/officeDocument/2006/relationships/image" Target="media/image4.png"/><Relationship Id="rId41" Type="http://schemas.openxmlformats.org/officeDocument/2006/relationships/image" Target="media/image25.emf"/><Relationship Id="rId62" Type="http://schemas.openxmlformats.org/officeDocument/2006/relationships/image" Target="media/image40.emf"/><Relationship Id="rId83" Type="http://schemas.openxmlformats.org/officeDocument/2006/relationships/image" Target="media/image59.jpg"/><Relationship Id="rId88" Type="http://schemas.openxmlformats.org/officeDocument/2006/relationships/image" Target="media/image64.jpeg"/><Relationship Id="rId111" Type="http://schemas.openxmlformats.org/officeDocument/2006/relationships/image" Target="media/image87.jpg"/><Relationship Id="rId15" Type="http://schemas.openxmlformats.org/officeDocument/2006/relationships/image" Target="media/image1.emf"/><Relationship Id="rId36" Type="http://schemas.openxmlformats.org/officeDocument/2006/relationships/image" Target="media/image20.png"/><Relationship Id="rId57" Type="http://schemas.openxmlformats.org/officeDocument/2006/relationships/image" Target="media/image35.png"/><Relationship Id="rId106" Type="http://schemas.openxmlformats.org/officeDocument/2006/relationships/image" Target="media/image82.jpg"/><Relationship Id="rId10" Type="http://schemas.openxmlformats.org/officeDocument/2006/relationships/settings" Target="settings.xml"/><Relationship Id="rId31" Type="http://schemas.openxmlformats.org/officeDocument/2006/relationships/image" Target="media/image15.emf"/><Relationship Id="rId52" Type="http://schemas.openxmlformats.org/officeDocument/2006/relationships/image" Target="media/image30.emf"/><Relationship Id="rId73" Type="http://schemas.openxmlformats.org/officeDocument/2006/relationships/image" Target="media/image51.emf"/><Relationship Id="rId78" Type="http://schemas.openxmlformats.org/officeDocument/2006/relationships/image" Target="media/image54.jpg"/><Relationship Id="rId94" Type="http://schemas.openxmlformats.org/officeDocument/2006/relationships/image" Target="media/image70.jpg"/><Relationship Id="rId99" Type="http://schemas.openxmlformats.org/officeDocument/2006/relationships/image" Target="media/image75.jpg"/><Relationship Id="rId101" Type="http://schemas.openxmlformats.org/officeDocument/2006/relationships/image" Target="media/image77.jpg"/><Relationship Id="rId122" Type="http://schemas.openxmlformats.org/officeDocument/2006/relationships/footer" Target="footer1.xml"/><Relationship Id="rId4" Type="http://schemas.openxmlformats.org/officeDocument/2006/relationships/customXml" Target="../customXml/item4.xml"/><Relationship Id="rId9" Type="http://schemas.microsoft.com/office/2007/relationships/stylesWithEffects" Target="stylesWithEffects.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neighbourhood-enlargement/sites/near/files/communication_on_wb_economic_and_investment_plan_october_2020_en.pdf" TargetMode="External"/><Relationship Id="rId2" Type="http://schemas.openxmlformats.org/officeDocument/2006/relationships/hyperlink" Target="https://www.imf.org/en/Publications/WEO/weo-database/2022/October" TargetMode="External"/><Relationship Id="rId1" Type="http://schemas.openxmlformats.org/officeDocument/2006/relationships/hyperlink" Target="http://go.worldbank.org/KQCHUD4JN0"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Chart%20in%20Microsoft%20PowerPoint"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Chart%202%20in%20Microsoft%20PowerPoint"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sq-A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a:pPr>
            <a:r>
              <a:rPr lang="en-US" baseline="0"/>
              <a:t>Stoku i Detyrimeve të Prapambetura</a:t>
            </a:r>
            <a:r>
              <a:rPr lang="en-US" sz="840" b="1" i="0" u="none" strike="noStrike" kern="1200" baseline="0">
                <a:solidFill>
                  <a:sysClr val="windowText" lastClr="000000"/>
                </a:solidFill>
                <a:latin typeface="+mj-lt"/>
                <a:ea typeface="+mn-ea"/>
                <a:cs typeface="+mn-cs"/>
              </a:rPr>
              <a:t> </a:t>
            </a:r>
            <a:r>
              <a:rPr lang="en-US" baseline="0"/>
              <a:t>(2018-9M 2022)</a:t>
            </a:r>
            <a:endParaRPr lang="sq-AL"/>
          </a:p>
        </c:rich>
      </c:tx>
      <c:layout>
        <c:manualLayout>
          <c:xMode val="edge"/>
          <c:yMode val="edge"/>
          <c:x val="0.2508646068364262"/>
          <c:y val="1.8426283992607439E-2"/>
        </c:manualLayout>
      </c:layout>
      <c:overlay val="0"/>
      <c:spPr>
        <a:noFill/>
        <a:ln>
          <a:noFill/>
        </a:ln>
        <a:effectLst/>
      </c:spPr>
    </c:title>
    <c:autoTitleDeleted val="0"/>
    <c:plotArea>
      <c:layout>
        <c:manualLayout>
          <c:layoutTarget val="inner"/>
          <c:xMode val="edge"/>
          <c:yMode val="edge"/>
          <c:x val="3.4390741890419775E-2"/>
          <c:y val="0.14505632949727446"/>
          <c:w val="0.63650289327869136"/>
          <c:h val="0.69501206245743141"/>
        </c:manualLayout>
      </c:layout>
      <c:barChart>
        <c:barDir val="col"/>
        <c:grouping val="stacked"/>
        <c:varyColors val="0"/>
        <c:ser>
          <c:idx val="0"/>
          <c:order val="0"/>
          <c:tx>
            <c:strRef>
              <c:f>'Detyrimet Tot'!$B$4</c:f>
              <c:strCache>
                <c:ptCount val="1"/>
                <c:pt idx="0">
                  <c:v> Vendime Gjyqësore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sq-AL"/>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'[1]Detyrimet Tot'!$C$3:$K$3</c:f>
              <c:numCache>
                <c:formatCode>General</c:formatCode>
                <c:ptCount val="9"/>
                <c:pt idx="0">
                  <c:v>0</c:v>
                </c:pt>
                <c:pt idx="1">
                  <c:v>0</c:v>
                </c:pt>
                <c:pt idx="2">
                  <c:v>0</c:v>
                </c:pt>
                <c:pt idx="3">
                  <c:v>0</c:v>
                </c:pt>
                <c:pt idx="4">
                  <c:v>0</c:v>
                </c:pt>
                <c:pt idx="5">
                  <c:v>0</c:v>
                </c:pt>
                <c:pt idx="6">
                  <c:v>0</c:v>
                </c:pt>
                <c:pt idx="7">
                  <c:v>0</c:v>
                </c:pt>
                <c:pt idx="8">
                  <c:v>0</c:v>
                </c:pt>
              </c:numCache>
            </c:numRef>
          </c:cat>
          <c:val>
            <c:numRef>
              <c:f>'Detyrimet Tot'!$C$4:$K$4</c:f>
            </c:numRef>
          </c:val>
          <c:extLst xmlns:c16r2="http://schemas.microsoft.com/office/drawing/2015/06/chart">
            <c:ext xmlns:c16="http://schemas.microsoft.com/office/drawing/2014/chart" uri="{C3380CC4-5D6E-409C-BE32-E72D297353CC}">
              <c16:uniqueId val="{00000000-30F4-4B33-967E-EA3D98A17582}"/>
            </c:ext>
          </c:extLst>
        </c:ser>
        <c:ser>
          <c:idx val="1"/>
          <c:order val="1"/>
          <c:tx>
            <c:strRef>
              <c:f>'Detyrimet Tot'!$B$5</c:f>
              <c:strCache>
                <c:ptCount val="1"/>
                <c:pt idx="0">
                  <c:v> Mirëmbajtje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sq-AL"/>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'[1]Detyrimet Tot'!$C$3:$K$3</c:f>
              <c:numCache>
                <c:formatCode>General</c:formatCode>
                <c:ptCount val="9"/>
                <c:pt idx="0">
                  <c:v>0</c:v>
                </c:pt>
                <c:pt idx="1">
                  <c:v>0</c:v>
                </c:pt>
                <c:pt idx="2">
                  <c:v>0</c:v>
                </c:pt>
                <c:pt idx="3">
                  <c:v>0</c:v>
                </c:pt>
                <c:pt idx="4">
                  <c:v>0</c:v>
                </c:pt>
                <c:pt idx="5">
                  <c:v>0</c:v>
                </c:pt>
                <c:pt idx="6">
                  <c:v>0</c:v>
                </c:pt>
                <c:pt idx="7">
                  <c:v>0</c:v>
                </c:pt>
                <c:pt idx="8">
                  <c:v>0</c:v>
                </c:pt>
              </c:numCache>
            </c:numRef>
          </c:cat>
          <c:val>
            <c:numRef>
              <c:f>'Detyrimet Tot'!$C$5:$K$5</c:f>
            </c:numRef>
          </c:val>
          <c:extLst xmlns:c16r2="http://schemas.microsoft.com/office/drawing/2015/06/chart">
            <c:ext xmlns:c16="http://schemas.microsoft.com/office/drawing/2014/chart" uri="{C3380CC4-5D6E-409C-BE32-E72D297353CC}">
              <c16:uniqueId val="{00000001-30F4-4B33-967E-EA3D98A17582}"/>
            </c:ext>
          </c:extLst>
        </c:ser>
        <c:ser>
          <c:idx val="2"/>
          <c:order val="2"/>
          <c:tx>
            <c:strRef>
              <c:f>'Detyrimet Tot'!$B$6</c:f>
              <c:strCache>
                <c:ptCount val="1"/>
                <c:pt idx="0">
                  <c:v> Investime (infrastrukturë) </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sq-AL"/>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'[1]Detyrimet Tot'!$C$3:$K$3</c:f>
              <c:numCache>
                <c:formatCode>General</c:formatCode>
                <c:ptCount val="9"/>
                <c:pt idx="0">
                  <c:v>0</c:v>
                </c:pt>
                <c:pt idx="1">
                  <c:v>0</c:v>
                </c:pt>
                <c:pt idx="2">
                  <c:v>0</c:v>
                </c:pt>
                <c:pt idx="3">
                  <c:v>0</c:v>
                </c:pt>
                <c:pt idx="4">
                  <c:v>0</c:v>
                </c:pt>
                <c:pt idx="5">
                  <c:v>0</c:v>
                </c:pt>
                <c:pt idx="6">
                  <c:v>0</c:v>
                </c:pt>
                <c:pt idx="7">
                  <c:v>0</c:v>
                </c:pt>
                <c:pt idx="8">
                  <c:v>0</c:v>
                </c:pt>
              </c:numCache>
            </c:numRef>
          </c:cat>
          <c:val>
            <c:numRef>
              <c:f>'Detyrimet Tot'!$C$6:$K$6</c:f>
            </c:numRef>
          </c:val>
          <c:extLst xmlns:c16r2="http://schemas.microsoft.com/office/drawing/2015/06/chart">
            <c:ext xmlns:c16="http://schemas.microsoft.com/office/drawing/2014/chart" uri="{C3380CC4-5D6E-409C-BE32-E72D297353CC}">
              <c16:uniqueId val="{00000002-30F4-4B33-967E-EA3D98A17582}"/>
            </c:ext>
          </c:extLst>
        </c:ser>
        <c:ser>
          <c:idx val="3"/>
          <c:order val="3"/>
          <c:tx>
            <c:strRef>
              <c:f>'Detyrimet Tot'!$B$7</c:f>
              <c:strCache>
                <c:ptCount val="1"/>
                <c:pt idx="0">
                  <c:v> Te tjera </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sq-AL"/>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'[1]Detyrimet Tot'!$C$3:$K$3</c:f>
              <c:numCache>
                <c:formatCode>General</c:formatCode>
                <c:ptCount val="9"/>
                <c:pt idx="0">
                  <c:v>0</c:v>
                </c:pt>
                <c:pt idx="1">
                  <c:v>0</c:v>
                </c:pt>
                <c:pt idx="2">
                  <c:v>0</c:v>
                </c:pt>
                <c:pt idx="3">
                  <c:v>0</c:v>
                </c:pt>
                <c:pt idx="4">
                  <c:v>0</c:v>
                </c:pt>
                <c:pt idx="5">
                  <c:v>0</c:v>
                </c:pt>
                <c:pt idx="6">
                  <c:v>0</c:v>
                </c:pt>
                <c:pt idx="7">
                  <c:v>0</c:v>
                </c:pt>
                <c:pt idx="8">
                  <c:v>0</c:v>
                </c:pt>
              </c:numCache>
            </c:numRef>
          </c:cat>
          <c:val>
            <c:numRef>
              <c:f>'Detyrimet Tot'!$C$7:$K$7</c:f>
            </c:numRef>
          </c:val>
          <c:extLst xmlns:c16r2="http://schemas.microsoft.com/office/drawing/2015/06/chart">
            <c:ext xmlns:c16="http://schemas.microsoft.com/office/drawing/2014/chart" uri="{C3380CC4-5D6E-409C-BE32-E72D297353CC}">
              <c16:uniqueId val="{00000003-30F4-4B33-967E-EA3D98A17582}"/>
            </c:ext>
          </c:extLst>
        </c:ser>
        <c:ser>
          <c:idx val="4"/>
          <c:order val="4"/>
          <c:tx>
            <c:strRef>
              <c:f>'Detyrimet Tot'!$B$8</c:f>
              <c:strCache>
                <c:ptCount val="1"/>
                <c:pt idx="0">
                  <c:v>Totali Detyrimeve të Qeverisë Qendrore</c:v>
                </c:pt>
              </c:strCache>
            </c:strRef>
          </c:tx>
          <c:spPr>
            <a:solidFill>
              <a:schemeClr val="accent5"/>
            </a:solidFill>
            <a:ln>
              <a:noFill/>
            </a:ln>
            <a:effectLst/>
          </c:spPr>
          <c:invertIfNegative val="0"/>
          <c:dLbls>
            <c:spPr>
              <a:solidFill>
                <a:sysClr val="window" lastClr="FFFFFF"/>
              </a:solidFill>
              <a:ln>
                <a:noFill/>
              </a:ln>
              <a:effectLst/>
            </c:spPr>
            <c:txPr>
              <a:bodyPr rot="0" vert="horz"/>
              <a:lstStyle/>
              <a:p>
                <a:pPr>
                  <a:defRPr/>
                </a:pPr>
                <a:endParaRPr lang="sq-AL"/>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'Detyrimet Tot'!$C$3:$Q$3</c:f>
              <c:strCache>
                <c:ptCount val="6"/>
                <c:pt idx="0">
                  <c:v>2018</c:v>
                </c:pt>
                <c:pt idx="1">
                  <c:v>2019</c:v>
                </c:pt>
                <c:pt idx="2">
                  <c:v>2020</c:v>
                </c:pt>
                <c:pt idx="3">
                  <c:v>9M 2021</c:v>
                </c:pt>
                <c:pt idx="4">
                  <c:v>2021</c:v>
                </c:pt>
                <c:pt idx="5">
                  <c:v>9M 2022</c:v>
                </c:pt>
              </c:strCache>
            </c:strRef>
          </c:cat>
          <c:val>
            <c:numRef>
              <c:f>'Detyrimet Tot'!$C$8:$Q$8</c:f>
              <c:numCache>
                <c:formatCode>_-* #,##0_L_e_k_-;\-* #,##0_L_e_k_-;_-* "-"??_L_e_k_-;_-@_-</c:formatCode>
                <c:ptCount val="6"/>
                <c:pt idx="0">
                  <c:v>6176.09</c:v>
                </c:pt>
                <c:pt idx="1">
                  <c:v>8200.25</c:v>
                </c:pt>
                <c:pt idx="2">
                  <c:v>6969.9161947100019</c:v>
                </c:pt>
                <c:pt idx="3">
                  <c:v>11940.682551000004</c:v>
                </c:pt>
                <c:pt idx="4">
                  <c:v>6149.7587629099999</c:v>
                </c:pt>
                <c:pt idx="5">
                  <c:v>10289.463039699993</c:v>
                </c:pt>
              </c:numCache>
            </c:numRef>
          </c:val>
          <c:extLst xmlns:c16r2="http://schemas.microsoft.com/office/drawing/2015/06/chart">
            <c:ext xmlns:c16="http://schemas.microsoft.com/office/drawing/2014/chart" uri="{C3380CC4-5D6E-409C-BE32-E72D297353CC}">
              <c16:uniqueId val="{00000004-30F4-4B33-967E-EA3D98A17582}"/>
            </c:ext>
          </c:extLst>
        </c:ser>
        <c:ser>
          <c:idx val="5"/>
          <c:order val="5"/>
          <c:tx>
            <c:strRef>
              <c:f>'Detyrimet Tot'!$B$9</c:f>
              <c:strCache>
                <c:ptCount val="1"/>
                <c:pt idx="0">
                  <c:v>Totali Detyrimeve të Qeverisë Vendore</c:v>
                </c:pt>
              </c:strCache>
            </c:strRef>
          </c:tx>
          <c:spPr>
            <a:solidFill>
              <a:schemeClr val="accent6"/>
            </a:solidFill>
            <a:ln>
              <a:noFill/>
            </a:ln>
            <a:effectLst/>
          </c:spPr>
          <c:invertIfNegative val="0"/>
          <c:dLbls>
            <c:spPr>
              <a:solidFill>
                <a:sysClr val="window" lastClr="FFFFFF"/>
              </a:solidFill>
              <a:ln>
                <a:noFill/>
              </a:ln>
              <a:effectLst/>
            </c:spPr>
            <c:txPr>
              <a:bodyPr rot="0" vert="horz"/>
              <a:lstStyle/>
              <a:p>
                <a:pPr>
                  <a:defRPr/>
                </a:pPr>
                <a:endParaRPr lang="sq-AL"/>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'Detyrimet Tot'!$C$3:$Q$3</c:f>
              <c:strCache>
                <c:ptCount val="6"/>
                <c:pt idx="0">
                  <c:v>2018</c:v>
                </c:pt>
                <c:pt idx="1">
                  <c:v>2019</c:v>
                </c:pt>
                <c:pt idx="2">
                  <c:v>2020</c:v>
                </c:pt>
                <c:pt idx="3">
                  <c:v>9M 2021</c:v>
                </c:pt>
                <c:pt idx="4">
                  <c:v>2021</c:v>
                </c:pt>
                <c:pt idx="5">
                  <c:v>9M 2022</c:v>
                </c:pt>
              </c:strCache>
            </c:strRef>
          </c:cat>
          <c:val>
            <c:numRef>
              <c:f>'Detyrimet Tot'!$C$9:$Q$9</c:f>
              <c:numCache>
                <c:formatCode>_-* #,##0_L_e_k_-;\-* #,##0_L_e_k_-;_-* "-"??_L_e_k_-;_-@_-</c:formatCode>
                <c:ptCount val="6"/>
                <c:pt idx="0">
                  <c:v>6769.4109796536814</c:v>
                </c:pt>
                <c:pt idx="1">
                  <c:v>8170.0943504226288</c:v>
                </c:pt>
                <c:pt idx="2">
                  <c:v>7058.9435894000007</c:v>
                </c:pt>
                <c:pt idx="3">
                  <c:v>7305.1040410000005</c:v>
                </c:pt>
                <c:pt idx="4">
                  <c:v>6604.1740495400009</c:v>
                </c:pt>
                <c:pt idx="5">
                  <c:v>6667.7121687300014</c:v>
                </c:pt>
              </c:numCache>
            </c:numRef>
          </c:val>
          <c:extLst xmlns:c16r2="http://schemas.microsoft.com/office/drawing/2015/06/chart">
            <c:ext xmlns:c16="http://schemas.microsoft.com/office/drawing/2014/chart" uri="{C3380CC4-5D6E-409C-BE32-E72D297353CC}">
              <c16:uniqueId val="{00000005-30F4-4B33-967E-EA3D98A17582}"/>
            </c:ext>
          </c:extLst>
        </c:ser>
        <c:ser>
          <c:idx val="6"/>
          <c:order val="6"/>
          <c:tx>
            <c:strRef>
              <c:f>'Detyrimet Tot'!$B$10</c:f>
              <c:strCache>
                <c:ptCount val="1"/>
                <c:pt idx="0">
                  <c:v>Rimbursim i TVSH</c:v>
                </c:pt>
              </c:strCache>
            </c:strRef>
          </c:tx>
          <c:spPr>
            <a:solidFill>
              <a:schemeClr val="accent1">
                <a:lumMod val="60000"/>
              </a:schemeClr>
            </a:solidFill>
            <a:ln>
              <a:noFill/>
            </a:ln>
            <a:effectLst/>
          </c:spPr>
          <c:invertIfNegative val="0"/>
          <c:dLbls>
            <c:spPr>
              <a:solidFill>
                <a:sysClr val="window" lastClr="FFFFFF"/>
              </a:solidFill>
              <a:ln>
                <a:noFill/>
              </a:ln>
              <a:effectLst/>
            </c:spPr>
            <c:txPr>
              <a:bodyPr rot="0" vert="horz"/>
              <a:lstStyle/>
              <a:p>
                <a:pPr>
                  <a:defRPr/>
                </a:pPr>
                <a:endParaRPr lang="sq-AL"/>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'Detyrimet Tot'!$C$3:$Q$3</c:f>
              <c:strCache>
                <c:ptCount val="6"/>
                <c:pt idx="0">
                  <c:v>2018</c:v>
                </c:pt>
                <c:pt idx="1">
                  <c:v>2019</c:v>
                </c:pt>
                <c:pt idx="2">
                  <c:v>2020</c:v>
                </c:pt>
                <c:pt idx="3">
                  <c:v>9M 2021</c:v>
                </c:pt>
                <c:pt idx="4">
                  <c:v>2021</c:v>
                </c:pt>
                <c:pt idx="5">
                  <c:v>9M 2022</c:v>
                </c:pt>
              </c:strCache>
            </c:strRef>
          </c:cat>
          <c:val>
            <c:numRef>
              <c:f>'Detyrimet Tot'!$C$10:$Q$10</c:f>
              <c:numCache>
                <c:formatCode>_-* #,##0_L_e_k_-;\-* #,##0_L_e_k_-;_-* "-"??_L_e_k_-;_-@_-</c:formatCode>
                <c:ptCount val="6"/>
                <c:pt idx="0">
                  <c:v>16840</c:v>
                </c:pt>
                <c:pt idx="1">
                  <c:v>11251</c:v>
                </c:pt>
                <c:pt idx="2">
                  <c:v>9797.3091709999971</c:v>
                </c:pt>
                <c:pt idx="3">
                  <c:v>476.65039000000002</c:v>
                </c:pt>
                <c:pt idx="4">
                  <c:v>476.65039000000002</c:v>
                </c:pt>
                <c:pt idx="5">
                  <c:v>0</c:v>
                </c:pt>
              </c:numCache>
            </c:numRef>
          </c:val>
          <c:extLst xmlns:c16r2="http://schemas.microsoft.com/office/drawing/2015/06/chart">
            <c:ext xmlns:c16="http://schemas.microsoft.com/office/drawing/2014/chart" uri="{C3380CC4-5D6E-409C-BE32-E72D297353CC}">
              <c16:uniqueId val="{00000006-30F4-4B33-967E-EA3D98A17582}"/>
            </c:ext>
          </c:extLst>
        </c:ser>
        <c:dLbls>
          <c:showLegendKey val="0"/>
          <c:showVal val="1"/>
          <c:showCatName val="0"/>
          <c:showSerName val="0"/>
          <c:showPercent val="0"/>
          <c:showBubbleSize val="0"/>
        </c:dLbls>
        <c:gapWidth val="79"/>
        <c:overlap val="100"/>
        <c:axId val="183959040"/>
        <c:axId val="181343872"/>
      </c:barChart>
      <c:lineChart>
        <c:grouping val="standard"/>
        <c:varyColors val="0"/>
        <c:ser>
          <c:idx val="7"/>
          <c:order val="7"/>
          <c:tx>
            <c:strRef>
              <c:f>'Detyrimet Tot'!$B$11</c:f>
              <c:strCache>
                <c:ptCount val="1"/>
                <c:pt idx="0">
                  <c:v>Total</c:v>
                </c:pt>
              </c:strCache>
            </c:strRef>
          </c:tx>
          <c:spPr>
            <a:ln w="19050" cap="rnd">
              <a:solidFill>
                <a:schemeClr val="accent2">
                  <a:lumMod val="60000"/>
                </a:schemeClr>
              </a:solidFill>
              <a:round/>
            </a:ln>
            <a:effectLst/>
          </c:spPr>
          <c:marker>
            <c:symbol val="none"/>
          </c:marker>
          <c:dLbls>
            <c:spPr>
              <a:noFill/>
              <a:ln>
                <a:noFill/>
              </a:ln>
              <a:effectLst/>
            </c:spPr>
            <c:txPr>
              <a:bodyPr rot="0" vert="horz"/>
              <a:lstStyle/>
              <a:p>
                <a:pPr>
                  <a:defRPr b="1"/>
                </a:pPr>
                <a:endParaRPr lang="sq-AL"/>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'Detyrimet Tot'!$C$3:$K$3</c:f>
              <c:strCache>
                <c:ptCount val="3"/>
                <c:pt idx="0">
                  <c:v>2018</c:v>
                </c:pt>
                <c:pt idx="1">
                  <c:v>2019</c:v>
                </c:pt>
                <c:pt idx="2">
                  <c:v>2020</c:v>
                </c:pt>
              </c:strCache>
            </c:strRef>
          </c:cat>
          <c:val>
            <c:numRef>
              <c:f>'Detyrimet Tot'!$C$11:$Q$11</c:f>
              <c:numCache>
                <c:formatCode>_-* #,##0_L_e_k_-;\-* #,##0_L_e_k_-;_-* "-"??_L_e_k_-;_-@_-</c:formatCode>
                <c:ptCount val="6"/>
                <c:pt idx="0">
                  <c:v>29785.50097965368</c:v>
                </c:pt>
                <c:pt idx="1">
                  <c:v>27621.344350422631</c:v>
                </c:pt>
                <c:pt idx="2">
                  <c:v>23826.16895511001</c:v>
                </c:pt>
                <c:pt idx="3">
                  <c:v>19722.436981999999</c:v>
                </c:pt>
                <c:pt idx="4">
                  <c:v>13230.583202450005</c:v>
                </c:pt>
                <c:pt idx="5">
                  <c:v>16957.175208429991</c:v>
                </c:pt>
              </c:numCache>
            </c:numRef>
          </c:val>
          <c:smooth val="0"/>
          <c:extLst xmlns:c16r2="http://schemas.microsoft.com/office/drawing/2015/06/chart">
            <c:ext xmlns:c16="http://schemas.microsoft.com/office/drawing/2014/chart" uri="{C3380CC4-5D6E-409C-BE32-E72D297353CC}">
              <c16:uniqueId val="{00000007-30F4-4B33-967E-EA3D98A17582}"/>
            </c:ext>
          </c:extLst>
        </c:ser>
        <c:dLbls>
          <c:showLegendKey val="0"/>
          <c:showVal val="0"/>
          <c:showCatName val="0"/>
          <c:showSerName val="0"/>
          <c:showPercent val="0"/>
          <c:showBubbleSize val="0"/>
        </c:dLbls>
        <c:marker val="1"/>
        <c:smooth val="0"/>
        <c:axId val="184414720"/>
        <c:axId val="181344448"/>
      </c:lineChart>
      <c:catAx>
        <c:axId val="1839590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accent1">
                <a:shade val="95000"/>
                <a:satMod val="105000"/>
              </a:schemeClr>
            </a:solidFill>
            <a:prstDash val="solid"/>
            <a:round/>
          </a:ln>
          <a:effectLst/>
        </c:spPr>
        <c:txPr>
          <a:bodyPr rot="-60000000" vert="horz"/>
          <a:lstStyle/>
          <a:p>
            <a:pPr>
              <a:defRPr/>
            </a:pPr>
            <a:endParaRPr lang="sq-AL"/>
          </a:p>
        </c:txPr>
        <c:crossAx val="181343872"/>
        <c:crosses val="autoZero"/>
        <c:auto val="1"/>
        <c:lblAlgn val="ctr"/>
        <c:lblOffset val="100"/>
        <c:noMultiLvlLbl val="0"/>
      </c:catAx>
      <c:valAx>
        <c:axId val="181343872"/>
        <c:scaling>
          <c:orientation val="minMax"/>
        </c:scaling>
        <c:delete val="1"/>
        <c:axPos val="l"/>
        <c:numFmt formatCode="_-* #,##0_L_e_k_-;\-* #,##0_L_e_k_-;_-* &quot;-&quot;??_L_e_k_-;_-@_-" sourceLinked="1"/>
        <c:majorTickMark val="none"/>
        <c:minorTickMark val="none"/>
        <c:tickLblPos val="nextTo"/>
        <c:crossAx val="183959040"/>
        <c:crosses val="autoZero"/>
        <c:crossBetween val="between"/>
      </c:valAx>
      <c:valAx>
        <c:axId val="181344448"/>
        <c:scaling>
          <c:orientation val="minMax"/>
        </c:scaling>
        <c:delete val="0"/>
        <c:axPos val="r"/>
        <c:numFmt formatCode="_-* #,##0_L_e_k_-;\-* #,##0_L_e_k_-;_-* &quot;-&quot;??_L_e_k_-;_-@_-" sourceLinked="1"/>
        <c:majorTickMark val="out"/>
        <c:minorTickMark val="none"/>
        <c:tickLblPos val="nextTo"/>
        <c:spPr>
          <a:noFill/>
          <a:ln w="9525" cap="flat" cmpd="sng" algn="ctr">
            <a:solidFill>
              <a:schemeClr val="accent1">
                <a:shade val="95000"/>
                <a:satMod val="105000"/>
              </a:schemeClr>
            </a:solidFill>
            <a:prstDash val="solid"/>
            <a:round/>
          </a:ln>
          <a:effectLst/>
        </c:spPr>
        <c:txPr>
          <a:bodyPr rot="-60000000" vert="horz"/>
          <a:lstStyle/>
          <a:p>
            <a:pPr>
              <a:defRPr/>
            </a:pPr>
            <a:endParaRPr lang="sq-AL"/>
          </a:p>
        </c:txPr>
        <c:crossAx val="184414720"/>
        <c:crosses val="max"/>
        <c:crossBetween val="between"/>
      </c:valAx>
      <c:catAx>
        <c:axId val="184414720"/>
        <c:scaling>
          <c:orientation val="minMax"/>
        </c:scaling>
        <c:delete val="1"/>
        <c:axPos val="b"/>
        <c:numFmt formatCode="General" sourceLinked="1"/>
        <c:majorTickMark val="out"/>
        <c:minorTickMark val="none"/>
        <c:tickLblPos val="nextTo"/>
        <c:crossAx val="181344448"/>
        <c:crosses val="autoZero"/>
        <c:auto val="1"/>
        <c:lblAlgn val="ctr"/>
        <c:lblOffset val="100"/>
        <c:noMultiLvlLbl val="0"/>
      </c:catAx>
      <c:spPr>
        <a:solidFill>
          <a:srgbClr val="DBEFF9"/>
        </a:solidFill>
        <a:ln w="9525" cap="flat" cmpd="sng" algn="ctr">
          <a:noFill/>
          <a:prstDash val="solid"/>
        </a:ln>
        <a:effectLst/>
      </c:spPr>
    </c:plotArea>
    <c:legend>
      <c:legendPos val="r"/>
      <c:layout>
        <c:manualLayout>
          <c:xMode val="edge"/>
          <c:yMode val="edge"/>
          <c:x val="0.75456800356095854"/>
          <c:y val="0.1625358368665456"/>
          <c:w val="0.23641248791269526"/>
          <c:h val="0.73082226260179062"/>
        </c:manualLayout>
      </c:layout>
      <c:overlay val="0"/>
      <c:spPr>
        <a:noFill/>
        <a:ln>
          <a:noFill/>
        </a:ln>
        <a:effectLst/>
      </c:spPr>
      <c:txPr>
        <a:bodyPr rot="0" vert="horz"/>
        <a:lstStyle/>
        <a:p>
          <a:pPr>
            <a:defRPr/>
          </a:pPr>
          <a:endParaRPr lang="sq-AL"/>
        </a:p>
      </c:txPr>
    </c:legend>
    <c:plotVisOnly val="1"/>
    <c:dispBlanksAs val="zero"/>
    <c:showDLblsOverMax val="0"/>
  </c:chart>
  <c:spPr>
    <a:solidFill>
      <a:srgbClr val="DBEFF9"/>
    </a:solidFill>
    <a:ln w="9525" cap="flat" cmpd="sng" algn="ctr">
      <a:solidFill>
        <a:schemeClr val="dk1"/>
      </a:solidFill>
      <a:prstDash val="solid"/>
      <a:round/>
    </a:ln>
    <a:effectLst/>
  </c:spPr>
  <c:txPr>
    <a:bodyPr/>
    <a:lstStyle/>
    <a:p>
      <a:pPr>
        <a:defRPr sz="700" b="1">
          <a:solidFill>
            <a:schemeClr val="dk1"/>
          </a:solidFill>
          <a:latin typeface="+mj-lt"/>
          <a:ea typeface="+mn-ea"/>
          <a:cs typeface="+mn-cs"/>
        </a:defRPr>
      </a:pPr>
      <a:endParaRPr lang="sq-AL"/>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sq-A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1936856624522308"/>
          <c:y val="0.12253422902000988"/>
          <c:w val="0.68063143375477686"/>
          <c:h val="0.87698269138147456"/>
        </c:manualLayout>
      </c:layout>
      <c:barChart>
        <c:barDir val="bar"/>
        <c:grouping val="clustered"/>
        <c:varyColors val="0"/>
        <c:ser>
          <c:idx val="0"/>
          <c:order val="0"/>
          <c:spPr>
            <a:solidFill>
              <a:srgbClr val="FF0000"/>
            </a:solidFill>
          </c:spPr>
          <c:invertIfNegative val="0"/>
          <c:dPt>
            <c:idx val="0"/>
            <c:invertIfNegative val="0"/>
            <c:bubble3D val="0"/>
            <c:spPr>
              <a:solidFill>
                <a:srgbClr val="D93535"/>
              </a:solidFill>
            </c:spPr>
            <c:extLst xmlns:c16r2="http://schemas.microsoft.com/office/drawing/2015/06/chart">
              <c:ext xmlns:c16="http://schemas.microsoft.com/office/drawing/2014/chart" uri="{C3380CC4-5D6E-409C-BE32-E72D297353CC}">
                <c16:uniqueId val="{00000001-0C0E-4218-B889-78C849572FAC}"/>
              </c:ext>
            </c:extLst>
          </c:dPt>
          <c:dPt>
            <c:idx val="1"/>
            <c:invertIfNegative val="0"/>
            <c:bubble3D val="0"/>
            <c:spPr>
              <a:solidFill>
                <a:srgbClr val="C00000"/>
              </a:solidFill>
            </c:spPr>
            <c:extLst xmlns:c16r2="http://schemas.microsoft.com/office/drawing/2015/06/chart">
              <c:ext xmlns:c16="http://schemas.microsoft.com/office/drawing/2014/chart" uri="{C3380CC4-5D6E-409C-BE32-E72D297353CC}">
                <c16:uniqueId val="{00000003-0C0E-4218-B889-78C849572FAC}"/>
              </c:ext>
            </c:extLst>
          </c:dPt>
          <c:dPt>
            <c:idx val="2"/>
            <c:invertIfNegative val="0"/>
            <c:bubble3D val="0"/>
            <c:spPr>
              <a:solidFill>
                <a:srgbClr val="D93535"/>
              </a:solidFill>
            </c:spPr>
            <c:extLst xmlns:c16r2="http://schemas.microsoft.com/office/drawing/2015/06/chart">
              <c:ext xmlns:c16="http://schemas.microsoft.com/office/drawing/2014/chart" uri="{C3380CC4-5D6E-409C-BE32-E72D297353CC}">
                <c16:uniqueId val="{00000005-0C0E-4218-B889-78C849572FAC}"/>
              </c:ext>
            </c:extLst>
          </c:dPt>
          <c:dPt>
            <c:idx val="3"/>
            <c:invertIfNegative val="0"/>
            <c:bubble3D val="0"/>
            <c:spPr>
              <a:solidFill>
                <a:srgbClr val="C00000"/>
              </a:solidFill>
            </c:spPr>
            <c:extLst xmlns:c16r2="http://schemas.microsoft.com/office/drawing/2015/06/chart">
              <c:ext xmlns:c16="http://schemas.microsoft.com/office/drawing/2014/chart" uri="{C3380CC4-5D6E-409C-BE32-E72D297353CC}">
                <c16:uniqueId val="{00000007-0C0E-4218-B889-78C849572FAC}"/>
              </c:ext>
            </c:extLst>
          </c:dPt>
          <c:dPt>
            <c:idx val="4"/>
            <c:invertIfNegative val="0"/>
            <c:bubble3D val="0"/>
            <c:spPr>
              <a:solidFill>
                <a:srgbClr val="C00000"/>
              </a:solidFill>
            </c:spPr>
            <c:extLst xmlns:c16r2="http://schemas.microsoft.com/office/drawing/2015/06/chart">
              <c:ext xmlns:c16="http://schemas.microsoft.com/office/drawing/2014/chart" uri="{C3380CC4-5D6E-409C-BE32-E72D297353CC}">
                <c16:uniqueId val="{00000009-0C0E-4218-B889-78C849572FAC}"/>
              </c:ext>
            </c:extLst>
          </c:dPt>
          <c:dPt>
            <c:idx val="5"/>
            <c:invertIfNegative val="0"/>
            <c:bubble3D val="0"/>
            <c:spPr>
              <a:solidFill>
                <a:srgbClr val="0070C0"/>
              </a:solidFill>
            </c:spPr>
            <c:extLst xmlns:c16r2="http://schemas.microsoft.com/office/drawing/2015/06/chart">
              <c:ext xmlns:c16="http://schemas.microsoft.com/office/drawing/2014/chart" uri="{C3380CC4-5D6E-409C-BE32-E72D297353CC}">
                <c16:uniqueId val="{0000000B-0C0E-4218-B889-78C849572FAC}"/>
              </c:ext>
            </c:extLst>
          </c:dPt>
          <c:dPt>
            <c:idx val="6"/>
            <c:invertIfNegative val="0"/>
            <c:bubble3D val="0"/>
            <c:spPr>
              <a:solidFill>
                <a:srgbClr val="0066CC"/>
              </a:solidFill>
            </c:spPr>
            <c:extLst xmlns:c16r2="http://schemas.microsoft.com/office/drawing/2015/06/chart">
              <c:ext xmlns:c16="http://schemas.microsoft.com/office/drawing/2014/chart" uri="{C3380CC4-5D6E-409C-BE32-E72D297353CC}">
                <c16:uniqueId val="{0000000D-0C0E-4218-B889-78C849572FAC}"/>
              </c:ext>
            </c:extLst>
          </c:dPt>
          <c:dPt>
            <c:idx val="7"/>
            <c:invertIfNegative val="0"/>
            <c:bubble3D val="0"/>
            <c:spPr>
              <a:solidFill>
                <a:srgbClr val="0066CC"/>
              </a:solidFill>
            </c:spPr>
            <c:extLst xmlns:c16r2="http://schemas.microsoft.com/office/drawing/2015/06/chart">
              <c:ext xmlns:c16="http://schemas.microsoft.com/office/drawing/2014/chart" uri="{C3380CC4-5D6E-409C-BE32-E72D297353CC}">
                <c16:uniqueId val="{0000000F-0C0E-4218-B889-78C849572FAC}"/>
              </c:ext>
            </c:extLst>
          </c:dPt>
          <c:dPt>
            <c:idx val="8"/>
            <c:invertIfNegative val="0"/>
            <c:bubble3D val="0"/>
            <c:spPr>
              <a:solidFill>
                <a:srgbClr val="0066CC"/>
              </a:solidFill>
            </c:spPr>
            <c:extLst xmlns:c16r2="http://schemas.microsoft.com/office/drawing/2015/06/chart">
              <c:ext xmlns:c16="http://schemas.microsoft.com/office/drawing/2014/chart" uri="{C3380CC4-5D6E-409C-BE32-E72D297353CC}">
                <c16:uniqueId val="{00000011-0C0E-4218-B889-78C849572FAC}"/>
              </c:ext>
            </c:extLst>
          </c:dPt>
          <c:dLbls>
            <c:dLbl>
              <c:idx val="0"/>
              <c:layout>
                <c:manualLayout>
                  <c:x val="9.6397864060096556E-3"/>
                  <c:y val="-1.478231232913107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0C0E-4218-B889-78C849572FAC}"/>
                </c:ext>
                <c:ext xmlns:c15="http://schemas.microsoft.com/office/drawing/2012/chart" uri="{CE6537A1-D6FC-4f65-9D91-7224C49458BB}"/>
              </c:extLst>
            </c:dLbl>
            <c:dLbl>
              <c:idx val="1"/>
              <c:layout>
                <c:manualLayout>
                  <c:x val="1.2772126111973237E-7"/>
                  <c:y val="2.3191179317120212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0C0E-4218-B889-78C849572FAC}"/>
                </c:ext>
                <c:ext xmlns:c15="http://schemas.microsoft.com/office/drawing/2012/chart" uri="{CE6537A1-D6FC-4f65-9D91-7224C49458BB}">
                  <c15:layout/>
                </c:ext>
              </c:extLst>
            </c:dLbl>
            <c:dLbl>
              <c:idx val="8"/>
              <c:layout>
                <c:manualLayout>
                  <c:x val="0"/>
                  <c:y val="4.784688995215312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0C0E-4218-B889-78C849572FAC}"/>
                </c:ext>
                <c:ext xmlns:c15="http://schemas.microsoft.com/office/drawing/2012/chart" uri="{CE6537A1-D6FC-4f65-9D91-7224C49458BB}">
                  <c15:layout>
                    <c:manualLayout>
                      <c:w val="8.3492133835586083E-2"/>
                      <c:h val="0.10730462519936204"/>
                    </c:manualLayout>
                  </c15:layout>
                </c:ext>
              </c:extLst>
            </c:dLbl>
            <c:dLbl>
              <c:idx val="14"/>
              <c:layout>
                <c:manualLayout>
                  <c:x val="-2.1178985548533252E-3"/>
                  <c:y val="-6.4729605056232141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4-0C0E-4218-B889-78C849572FAC}"/>
                </c:ext>
                <c:ext xmlns:c15="http://schemas.microsoft.com/office/drawing/2012/chart" uri="{CE6537A1-D6FC-4f65-9D91-7224C49458BB}"/>
              </c:extLst>
            </c:dLbl>
            <c:spPr>
              <a:noFill/>
            </c:spPr>
            <c:txPr>
              <a:bodyPr/>
              <a:lstStyle/>
              <a:p>
                <a:pPr>
                  <a:defRPr sz="1050" b="0" i="1">
                    <a:solidFill>
                      <a:schemeClr val="tx1"/>
                    </a:solidFill>
                    <a:latin typeface="Times New Roman" panose="02020603050405020304" pitchFamily="18" charset="0"/>
                    <a:cs typeface="Times New Roman" panose="02020603050405020304" pitchFamily="18" charset="0"/>
                  </a:defRPr>
                </a:pPr>
                <a:endParaRPr lang="sq-A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'Kontribuesit Kryesore (TR)'!$G$4:$G$12</c:f>
              <c:strCache>
                <c:ptCount val="9"/>
                <c:pt idx="1">
                  <c:v>Telefona Celulare </c:v>
                </c:pt>
                <c:pt idx="2">
                  <c:v>Birrë Prodhim Vendi </c:v>
                </c:pt>
                <c:pt idx="3">
                  <c:v>Bicikletat dhe pjeset </c:v>
                </c:pt>
                <c:pt idx="4">
                  <c:v>Helikopterë në copë </c:v>
                </c:pt>
                <c:pt idx="5">
                  <c:v>Metalet bazë dhe artikujt prej tyre</c:v>
                </c:pt>
                <c:pt idx="6">
                  <c:v>Cigare </c:v>
                </c:pt>
                <c:pt idx="7">
                  <c:v>Energji Elektrike </c:v>
                </c:pt>
                <c:pt idx="8">
                  <c:v>Karburante Import </c:v>
                </c:pt>
              </c:strCache>
            </c:strRef>
          </c:cat>
          <c:val>
            <c:numRef>
              <c:f>'Kontribuesit Kryesore (TR)'!$H$4:$H$12</c:f>
              <c:numCache>
                <c:formatCode>_(* #,##0_);_(* \(#,##0\);_(* "-"??_);_(@_)</c:formatCode>
                <c:ptCount val="9"/>
                <c:pt idx="1">
                  <c:v>-206.71470300000001</c:v>
                </c:pt>
                <c:pt idx="2">
                  <c:v>-185.99876750440791</c:v>
                </c:pt>
                <c:pt idx="3">
                  <c:v>-44.618891000000005</c:v>
                </c:pt>
                <c:pt idx="4">
                  <c:v>-0.90868100000000029</c:v>
                </c:pt>
                <c:pt idx="5">
                  <c:v>6349.0210510000015</c:v>
                </c:pt>
                <c:pt idx="6">
                  <c:v>6471.3918225000016</c:v>
                </c:pt>
                <c:pt idx="7">
                  <c:v>6559.9266930000003</c:v>
                </c:pt>
                <c:pt idx="8">
                  <c:v>11122.025248427999</c:v>
                </c:pt>
              </c:numCache>
            </c:numRef>
          </c:val>
          <c:extLst xmlns:c16r2="http://schemas.microsoft.com/office/drawing/2015/06/chart">
            <c:ext xmlns:c16="http://schemas.microsoft.com/office/drawing/2014/chart" uri="{C3380CC4-5D6E-409C-BE32-E72D297353CC}">
              <c16:uniqueId val="{00000015-0C0E-4218-B889-78C849572FAC}"/>
            </c:ext>
          </c:extLst>
        </c:ser>
        <c:dLbls>
          <c:showLegendKey val="0"/>
          <c:showVal val="1"/>
          <c:showCatName val="0"/>
          <c:showSerName val="0"/>
          <c:showPercent val="0"/>
          <c:showBubbleSize val="0"/>
        </c:dLbls>
        <c:gapWidth val="150"/>
        <c:overlap val="-37"/>
        <c:axId val="184415744"/>
        <c:axId val="184215808"/>
      </c:barChart>
      <c:catAx>
        <c:axId val="184415744"/>
        <c:scaling>
          <c:orientation val="minMax"/>
        </c:scaling>
        <c:delete val="0"/>
        <c:axPos val="l"/>
        <c:numFmt formatCode="General" sourceLinked="0"/>
        <c:majorTickMark val="none"/>
        <c:minorTickMark val="none"/>
        <c:tickLblPos val="low"/>
        <c:txPr>
          <a:bodyPr/>
          <a:lstStyle/>
          <a:p>
            <a:pPr>
              <a:defRPr sz="1050" i="0">
                <a:latin typeface="Times New Roman" panose="02020603050405020304" pitchFamily="18" charset="0"/>
                <a:cs typeface="Times New Roman" panose="02020603050405020304" pitchFamily="18" charset="0"/>
              </a:defRPr>
            </a:pPr>
            <a:endParaRPr lang="sq-AL"/>
          </a:p>
        </c:txPr>
        <c:crossAx val="184215808"/>
        <c:crosses val="autoZero"/>
        <c:auto val="1"/>
        <c:lblAlgn val="ctr"/>
        <c:lblOffset val="100"/>
        <c:noMultiLvlLbl val="0"/>
      </c:catAx>
      <c:valAx>
        <c:axId val="184215808"/>
        <c:scaling>
          <c:orientation val="minMax"/>
        </c:scaling>
        <c:delete val="1"/>
        <c:axPos val="b"/>
        <c:numFmt formatCode="_(* #,##0_);_(* \(#,##0\);_(* &quot;-&quot;??_);_(@_)" sourceLinked="1"/>
        <c:majorTickMark val="none"/>
        <c:minorTickMark val="none"/>
        <c:tickLblPos val="nextTo"/>
        <c:crossAx val="184415744"/>
        <c:crosses val="autoZero"/>
        <c:crossBetween val="between"/>
      </c:valAx>
      <c:spPr>
        <a:noFill/>
        <a:ln>
          <a:noFill/>
        </a:ln>
      </c:spPr>
    </c:plotArea>
    <c:plotVisOnly val="1"/>
    <c:dispBlanksAs val="gap"/>
    <c:showDLblsOverMax val="0"/>
  </c:chart>
  <c:spPr>
    <a:noFill/>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sq-A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3225451727747252E-2"/>
          <c:y val="8.7300180568573915E-2"/>
          <c:w val="0.89149708673772843"/>
          <c:h val="0.72165980063390611"/>
        </c:manualLayout>
      </c:layout>
      <c:lineChart>
        <c:grouping val="standard"/>
        <c:varyColors val="0"/>
        <c:ser>
          <c:idx val="0"/>
          <c:order val="0"/>
          <c:tx>
            <c:strRef>
              <c:f>'[Chart in Microsoft PowerPoint]S5+S6 TVSH Bruto dhe Neto+Rimb'!$C$3</c:f>
              <c:strCache>
                <c:ptCount val="1"/>
                <c:pt idx="0">
                  <c:v>Tvsh Bruto</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tx>
                <c:rich>
                  <a:bodyPr/>
                  <a:lstStyle/>
                  <a:p>
                    <a:fld id="{F828DC13-487D-4BAA-B826-0CD70874DCC7}" type="VALUE">
                      <a:rPr lang="en-US" sz="500"/>
                      <a:pPr/>
                      <a:t>[VALUE]</a:t>
                    </a:fld>
                    <a:endParaRPr lang="en-US"/>
                  </a:p>
                </c:rich>
              </c:tx>
              <c:dLblPos val="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D78C-4E0C-B5DE-3E4509C02763}"/>
                </c:ext>
                <c:ext xmlns:c15="http://schemas.microsoft.com/office/drawing/2012/chart" uri="{CE6537A1-D6FC-4f65-9D91-7224C49458BB}">
                  <c15:layout/>
                  <c15:dlblFieldTable/>
                  <c15:showDataLabelsRange val="0"/>
                </c:ext>
              </c:extLst>
            </c:dLbl>
            <c:dLbl>
              <c:idx val="1"/>
              <c:spPr>
                <a:noFill/>
                <a:ln>
                  <a:noFill/>
                </a:ln>
                <a:effectLst/>
              </c:spPr>
              <c:txPr>
                <a:bodyPr rot="0" spcFirstLastPara="1" vertOverflow="ellipsis" vert="horz" wrap="square" anchor="ctr" anchorCtr="1"/>
                <a:lstStyle/>
                <a:p>
                  <a:pPr>
                    <a:defRPr sz="500" b="0" i="0" u="none" strike="noStrike" kern="1200" baseline="0">
                      <a:solidFill>
                        <a:schemeClr val="tx1">
                          <a:lumMod val="75000"/>
                          <a:lumOff val="25000"/>
                        </a:schemeClr>
                      </a:solidFill>
                      <a:latin typeface="+mn-lt"/>
                      <a:ea typeface="+mn-ea"/>
                      <a:cs typeface="+mn-cs"/>
                    </a:defRPr>
                  </a:pPr>
                  <a:endParaRPr lang="sq-AL"/>
                </a:p>
              </c:txPr>
              <c:dLblPos val="t"/>
              <c:showLegendKey val="0"/>
              <c:showVal val="1"/>
              <c:showCatName val="0"/>
              <c:showSerName val="0"/>
              <c:showPercent val="0"/>
              <c:showBubbleSize val="0"/>
            </c:dLbl>
            <c:dLbl>
              <c:idx val="2"/>
              <c:spPr>
                <a:noFill/>
                <a:ln>
                  <a:noFill/>
                </a:ln>
                <a:effectLst/>
              </c:spPr>
              <c:txPr>
                <a:bodyPr rot="0" spcFirstLastPara="1" vertOverflow="ellipsis" vert="horz" wrap="square" anchor="ctr" anchorCtr="1"/>
                <a:lstStyle/>
                <a:p>
                  <a:pPr>
                    <a:defRPr sz="500" b="0" i="0" u="none" strike="noStrike" kern="1200" baseline="0">
                      <a:solidFill>
                        <a:schemeClr val="tx1">
                          <a:lumMod val="75000"/>
                          <a:lumOff val="25000"/>
                        </a:schemeClr>
                      </a:solidFill>
                      <a:latin typeface="+mn-lt"/>
                      <a:ea typeface="+mn-ea"/>
                      <a:cs typeface="+mn-cs"/>
                    </a:defRPr>
                  </a:pPr>
                  <a:endParaRPr lang="sq-AL"/>
                </a:p>
              </c:txPr>
              <c:dLblPos val="t"/>
              <c:showLegendKey val="0"/>
              <c:showVal val="1"/>
              <c:showCatName val="0"/>
              <c:showSerName val="0"/>
              <c:showPercent val="0"/>
              <c:showBubbleSize val="0"/>
            </c:dLbl>
            <c:dLbl>
              <c:idx val="3"/>
              <c:spPr>
                <a:noFill/>
                <a:ln>
                  <a:noFill/>
                </a:ln>
                <a:effectLst/>
              </c:spPr>
              <c:txPr>
                <a:bodyPr rot="0" spcFirstLastPara="1" vertOverflow="ellipsis" vert="horz" wrap="square" anchor="ctr" anchorCtr="1"/>
                <a:lstStyle/>
                <a:p>
                  <a:pPr>
                    <a:defRPr sz="500" b="0" i="0" u="none" strike="noStrike" kern="1200" baseline="0">
                      <a:solidFill>
                        <a:schemeClr val="tx1">
                          <a:lumMod val="75000"/>
                          <a:lumOff val="25000"/>
                        </a:schemeClr>
                      </a:solidFill>
                      <a:latin typeface="+mn-lt"/>
                      <a:ea typeface="+mn-ea"/>
                      <a:cs typeface="+mn-cs"/>
                    </a:defRPr>
                  </a:pPr>
                  <a:endParaRPr lang="sq-AL"/>
                </a:p>
              </c:txPr>
              <c:dLblPos val="t"/>
              <c:showLegendKey val="0"/>
              <c:showVal val="1"/>
              <c:showCatName val="0"/>
              <c:showSerName val="0"/>
              <c:showPercent val="0"/>
              <c:showBubbleSize val="0"/>
            </c:dLbl>
            <c:dLbl>
              <c:idx val="4"/>
              <c:spPr>
                <a:noFill/>
                <a:ln>
                  <a:noFill/>
                </a:ln>
                <a:effectLst/>
              </c:spPr>
              <c:txPr>
                <a:bodyPr rot="0" spcFirstLastPara="1" vertOverflow="ellipsis" vert="horz" wrap="square" anchor="ctr" anchorCtr="1"/>
                <a:lstStyle/>
                <a:p>
                  <a:pPr>
                    <a:defRPr sz="500" b="0" i="0" u="none" strike="noStrike" kern="1200" baseline="0">
                      <a:solidFill>
                        <a:schemeClr val="tx1">
                          <a:lumMod val="75000"/>
                          <a:lumOff val="25000"/>
                        </a:schemeClr>
                      </a:solidFill>
                      <a:latin typeface="+mn-lt"/>
                      <a:ea typeface="+mn-ea"/>
                      <a:cs typeface="+mn-cs"/>
                    </a:defRPr>
                  </a:pPr>
                  <a:endParaRPr lang="sq-AL"/>
                </a:p>
              </c:txPr>
              <c:dLblPos val="t"/>
              <c:showLegendKey val="0"/>
              <c:showVal val="1"/>
              <c:showCatName val="0"/>
              <c:showSerName val="0"/>
              <c:showPercent val="0"/>
              <c:showBubbleSize val="0"/>
            </c:dLbl>
            <c:dLbl>
              <c:idx val="5"/>
              <c:spPr>
                <a:noFill/>
                <a:ln>
                  <a:noFill/>
                </a:ln>
                <a:effectLst/>
              </c:spPr>
              <c:txPr>
                <a:bodyPr rot="0" spcFirstLastPara="1" vertOverflow="ellipsis" vert="horz" wrap="square" anchor="ctr" anchorCtr="1"/>
                <a:lstStyle/>
                <a:p>
                  <a:pPr>
                    <a:defRPr sz="500" b="0" i="0" u="none" strike="noStrike" kern="1200" baseline="0">
                      <a:solidFill>
                        <a:schemeClr val="tx1">
                          <a:lumMod val="75000"/>
                          <a:lumOff val="25000"/>
                        </a:schemeClr>
                      </a:solidFill>
                      <a:latin typeface="+mn-lt"/>
                      <a:ea typeface="+mn-ea"/>
                      <a:cs typeface="+mn-cs"/>
                    </a:defRPr>
                  </a:pPr>
                  <a:endParaRPr lang="sq-AL"/>
                </a:p>
              </c:txPr>
              <c:dLblPos val="t"/>
              <c:showLegendKey val="0"/>
              <c:showVal val="1"/>
              <c:showCatName val="0"/>
              <c:showSerName val="0"/>
              <c:showPercent val="0"/>
              <c:showBubbleSize val="0"/>
            </c:dLbl>
            <c:dLbl>
              <c:idx val="6"/>
              <c:spPr>
                <a:noFill/>
                <a:ln>
                  <a:noFill/>
                </a:ln>
                <a:effectLst/>
              </c:spPr>
              <c:txPr>
                <a:bodyPr rot="0" spcFirstLastPara="1" vertOverflow="ellipsis" vert="horz" wrap="square" anchor="ctr" anchorCtr="1"/>
                <a:lstStyle/>
                <a:p>
                  <a:pPr>
                    <a:defRPr sz="500" b="0" i="0" u="none" strike="noStrike" kern="1200" baseline="0">
                      <a:solidFill>
                        <a:schemeClr val="tx1">
                          <a:lumMod val="75000"/>
                          <a:lumOff val="25000"/>
                        </a:schemeClr>
                      </a:solidFill>
                      <a:latin typeface="+mn-lt"/>
                      <a:ea typeface="+mn-ea"/>
                      <a:cs typeface="+mn-cs"/>
                    </a:defRPr>
                  </a:pPr>
                  <a:endParaRPr lang="sq-AL"/>
                </a:p>
              </c:txPr>
              <c:dLblPos val="t"/>
              <c:showLegendKey val="0"/>
              <c:showVal val="1"/>
              <c:showCatName val="0"/>
              <c:showSerName val="0"/>
              <c:showPercent val="0"/>
              <c:showBubbleSize val="0"/>
            </c:dLbl>
            <c:dLbl>
              <c:idx val="7"/>
              <c:spPr>
                <a:noFill/>
                <a:ln>
                  <a:noFill/>
                </a:ln>
                <a:effectLst/>
              </c:spPr>
              <c:txPr>
                <a:bodyPr rot="0" spcFirstLastPara="1" vertOverflow="ellipsis" vert="horz" wrap="square" anchor="ctr" anchorCtr="1"/>
                <a:lstStyle/>
                <a:p>
                  <a:pPr>
                    <a:defRPr sz="500" b="0" i="0" u="none" strike="noStrike" kern="1200" baseline="0">
                      <a:solidFill>
                        <a:schemeClr val="tx1">
                          <a:lumMod val="75000"/>
                          <a:lumOff val="25000"/>
                        </a:schemeClr>
                      </a:solidFill>
                      <a:latin typeface="+mn-lt"/>
                      <a:ea typeface="+mn-ea"/>
                      <a:cs typeface="+mn-cs"/>
                    </a:defRPr>
                  </a:pPr>
                  <a:endParaRPr lang="sq-AL"/>
                </a:p>
              </c:txPr>
              <c:dLblPos val="t"/>
              <c:showLegendKey val="0"/>
              <c:showVal val="1"/>
              <c:showCatName val="0"/>
              <c:showSerName val="0"/>
              <c:showPercent val="0"/>
              <c:showBubbleSize val="0"/>
            </c:dLbl>
            <c:dLbl>
              <c:idx val="8"/>
              <c:spPr>
                <a:noFill/>
                <a:ln>
                  <a:noFill/>
                </a:ln>
                <a:effectLst/>
              </c:spPr>
              <c:txPr>
                <a:bodyPr rot="0" spcFirstLastPara="1" vertOverflow="ellipsis" vert="horz" wrap="square" anchor="ctr" anchorCtr="1"/>
                <a:lstStyle/>
                <a:p>
                  <a:pPr>
                    <a:defRPr sz="500" b="0" i="0" u="none" strike="noStrike" kern="1200" baseline="0">
                      <a:solidFill>
                        <a:schemeClr val="tx1">
                          <a:lumMod val="75000"/>
                          <a:lumOff val="25000"/>
                        </a:schemeClr>
                      </a:solidFill>
                      <a:latin typeface="+mn-lt"/>
                      <a:ea typeface="+mn-ea"/>
                      <a:cs typeface="+mn-cs"/>
                    </a:defRPr>
                  </a:pPr>
                  <a:endParaRPr lang="sq-AL"/>
                </a:p>
              </c:txPr>
              <c:dLblPos val="t"/>
              <c:showLegendKey val="0"/>
              <c:showVal val="1"/>
              <c:showCatName val="0"/>
              <c:showSerName val="0"/>
              <c:showPercent val="0"/>
              <c:showBubbleSize val="0"/>
            </c:dLbl>
            <c:dLbl>
              <c:idx val="9"/>
              <c:spPr>
                <a:noFill/>
                <a:ln>
                  <a:noFill/>
                </a:ln>
                <a:effectLst/>
              </c:spPr>
              <c:txPr>
                <a:bodyPr rot="0" spcFirstLastPara="1" vertOverflow="ellipsis" vert="horz" wrap="square" anchor="ctr" anchorCtr="1"/>
                <a:lstStyle/>
                <a:p>
                  <a:pPr>
                    <a:defRPr sz="500" b="0" i="0" u="none" strike="noStrike" kern="1200" baseline="0">
                      <a:solidFill>
                        <a:schemeClr val="tx1">
                          <a:lumMod val="75000"/>
                          <a:lumOff val="25000"/>
                        </a:schemeClr>
                      </a:solidFill>
                      <a:latin typeface="+mn-lt"/>
                      <a:ea typeface="+mn-ea"/>
                      <a:cs typeface="+mn-cs"/>
                    </a:defRPr>
                  </a:pPr>
                  <a:endParaRPr lang="sq-AL"/>
                </a:p>
              </c:txPr>
              <c:dLblPos val="t"/>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sq-AL"/>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 in Microsoft PowerPoint]S5+S6 TVSH Bruto dhe Neto+Rimb'!$B$4:$B$13</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cat>
          <c:val>
            <c:numRef>
              <c:f>'[Chart in Microsoft PowerPoint]S5+S6 TVSH Bruto dhe Neto+Rimb'!$C$4:$C$13</c:f>
              <c:numCache>
                <c:formatCode>#,##0</c:formatCode>
                <c:ptCount val="10"/>
                <c:pt idx="0">
                  <c:v>28650</c:v>
                </c:pt>
                <c:pt idx="1">
                  <c:v>32519</c:v>
                </c:pt>
                <c:pt idx="2">
                  <c:v>34163</c:v>
                </c:pt>
                <c:pt idx="3">
                  <c:v>38742</c:v>
                </c:pt>
                <c:pt idx="4">
                  <c:v>44206</c:v>
                </c:pt>
                <c:pt idx="5">
                  <c:v>46633</c:v>
                </c:pt>
                <c:pt idx="6">
                  <c:v>44374</c:v>
                </c:pt>
                <c:pt idx="7">
                  <c:v>41828</c:v>
                </c:pt>
                <c:pt idx="8">
                  <c:v>49769</c:v>
                </c:pt>
                <c:pt idx="9">
                  <c:v>51539</c:v>
                </c:pt>
              </c:numCache>
            </c:numRef>
          </c:val>
          <c:smooth val="0"/>
          <c:extLst xmlns:c16r2="http://schemas.microsoft.com/office/drawing/2015/06/chart">
            <c:ext xmlns:c16="http://schemas.microsoft.com/office/drawing/2014/chart" uri="{C3380CC4-5D6E-409C-BE32-E72D297353CC}">
              <c16:uniqueId val="{0000000A-D78C-4E0C-B5DE-3E4509C02763}"/>
            </c:ext>
          </c:extLst>
        </c:ser>
        <c:ser>
          <c:idx val="1"/>
          <c:order val="1"/>
          <c:tx>
            <c:strRef>
              <c:f>'[Chart in Microsoft PowerPoint]S5+S6 TVSH Bruto dhe Neto+Rimb'!$D$3</c:f>
              <c:strCache>
                <c:ptCount val="1"/>
                <c:pt idx="0">
                  <c:v>Tvsh Neto</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4.2128205997205882E-2"/>
                  <c:y val="5.2583856913790868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D78C-4E0C-B5DE-3E4509C02763}"/>
                </c:ext>
                <c:ext xmlns:c15="http://schemas.microsoft.com/office/drawing/2012/chart" uri="{CE6537A1-D6FC-4f65-9D91-7224C49458BB}">
                  <c15:layout/>
                </c:ext>
              </c:extLst>
            </c:dLbl>
            <c:dLbl>
              <c:idx val="1"/>
              <c:layout>
                <c:manualLayout>
                  <c:x val="-3.5853696193284344E-2"/>
                  <c:y val="5.647680035606639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D78C-4E0C-B5DE-3E4509C02763}"/>
                </c:ext>
                <c:ext xmlns:c15="http://schemas.microsoft.com/office/drawing/2012/chart" uri="{CE6537A1-D6FC-4f65-9D91-7224C49458BB}">
                  <c15:layout/>
                </c:ext>
              </c:extLst>
            </c:dLbl>
            <c:dLbl>
              <c:idx val="2"/>
              <c:layout>
                <c:manualLayout>
                  <c:x val="-4.212820599720591E-2"/>
                  <c:y val="5.258385691379092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D78C-4E0C-B5DE-3E4509C02763}"/>
                </c:ext>
                <c:ext xmlns:c15="http://schemas.microsoft.com/office/drawing/2012/chart" uri="{CE6537A1-D6FC-4f65-9D91-7224C49458BB}">
                  <c15:layout/>
                </c:ext>
              </c:extLst>
            </c:dLbl>
            <c:dLbl>
              <c:idx val="3"/>
              <c:layout>
                <c:manualLayout>
                  <c:x val="-4.0215245691132287E-2"/>
                  <c:y val="5.2583856913790868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D78C-4E0C-B5DE-3E4509C02763}"/>
                </c:ext>
                <c:ext xmlns:c15="http://schemas.microsoft.com/office/drawing/2012/chart" uri="{CE6537A1-D6FC-4f65-9D91-7224C49458BB}">
                  <c15:layout/>
                </c:ext>
              </c:extLst>
            </c:dLbl>
            <c:dLbl>
              <c:idx val="4"/>
              <c:layout>
                <c:manualLayout>
                  <c:x val="-3.4476364772911286E-2"/>
                  <c:y val="5.258385691379092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D78C-4E0C-B5DE-3E4509C02763}"/>
                </c:ext>
                <c:ext xmlns:c15="http://schemas.microsoft.com/office/drawing/2012/chart" uri="{CE6537A1-D6FC-4f65-9D91-7224C49458BB}">
                  <c15:layout/>
                </c:ext>
              </c:extLst>
            </c:dLbl>
            <c:dLbl>
              <c:idx val="5"/>
              <c:layout>
                <c:manualLayout>
                  <c:x val="-3.8302285385058574E-2"/>
                  <c:y val="4.869091347151545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D78C-4E0C-B5DE-3E4509C02763}"/>
                </c:ext>
                <c:ext xmlns:c15="http://schemas.microsoft.com/office/drawing/2012/chart" uri="{CE6537A1-D6FC-4f65-9D91-7224C49458BB}">
                  <c15:layout/>
                </c:ext>
              </c:extLst>
            </c:dLbl>
            <c:dLbl>
              <c:idx val="6"/>
              <c:layout>
                <c:manualLayout>
                  <c:x val="-8.6961187686105459E-2"/>
                  <c:y val="4.609683277102531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D78C-4E0C-B5DE-3E4509C02763}"/>
                </c:ext>
                <c:ext xmlns:c15="http://schemas.microsoft.com/office/drawing/2012/chart" uri="{CE6537A1-D6FC-4f65-9D91-7224C49458BB}">
                  <c15:layout/>
                </c:ext>
              </c:extLst>
            </c:dLbl>
            <c:dLbl>
              <c:idx val="7"/>
              <c:layout>
                <c:manualLayout>
                  <c:x val="-7.3511288560348997E-2"/>
                  <c:y val="4.609683277102527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2-D78C-4E0C-B5DE-3E4509C02763}"/>
                </c:ext>
                <c:ext xmlns:c15="http://schemas.microsoft.com/office/drawing/2012/chart" uri="{CE6537A1-D6FC-4f65-9D91-7224C49458BB}">
                  <c15:layout/>
                </c:ext>
              </c:extLst>
            </c:dLbl>
            <c:dLbl>
              <c:idx val="8"/>
              <c:layout>
                <c:manualLayout>
                  <c:x val="-4.4956199573910192E-2"/>
                  <c:y val="3.85824217642596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D78C-4E0C-B5DE-3E4509C02763}"/>
                </c:ext>
                <c:ext xmlns:c15="http://schemas.microsoft.com/office/drawing/2012/chart" uri="{CE6537A1-D6FC-4f65-9D91-7224C49458BB}">
                  <c15:layout/>
                </c:ext>
              </c:extLst>
            </c:dLbl>
            <c:dLbl>
              <c:idx val="9"/>
              <c:layout>
                <c:manualLayout>
                  <c:x val="-4.9206155888214025E-2"/>
                  <c:y val="-3.56427551648486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4-D78C-4E0C-B5DE-3E4509C02763}"/>
                </c:ext>
                <c:ext xmlns:c15="http://schemas.microsoft.com/office/drawing/2012/chart" uri="{CE6537A1-D6FC-4f65-9D91-7224C49458BB}">
                  <c15:layout/>
                </c:ext>
              </c:extLst>
            </c:dLbl>
            <c:spPr>
              <a:noFill/>
              <a:ln>
                <a:noFill/>
              </a:ln>
              <a:effectLst/>
            </c:spPr>
            <c:txPr>
              <a:bodyPr rot="0" spcFirstLastPara="1" vertOverflow="ellipsis" vert="horz" wrap="square" anchor="ctr" anchorCtr="1"/>
              <a:lstStyle/>
              <a:p>
                <a:pPr>
                  <a:defRPr sz="500" b="0" i="0" u="none" strike="noStrike" kern="1200" baseline="0">
                    <a:solidFill>
                      <a:schemeClr val="tx1">
                        <a:lumMod val="75000"/>
                        <a:lumOff val="25000"/>
                      </a:schemeClr>
                    </a:solidFill>
                    <a:latin typeface="+mn-lt"/>
                    <a:ea typeface="+mn-ea"/>
                    <a:cs typeface="+mn-cs"/>
                  </a:defRPr>
                </a:pPr>
                <a:endParaRPr lang="sq-AL"/>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'[Chart in Microsoft PowerPoint]S5+S6 TVSH Bruto dhe Neto+Rimb'!$B$4:$B$13</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cat>
          <c:val>
            <c:numRef>
              <c:f>'[Chart in Microsoft PowerPoint]S5+S6 TVSH Bruto dhe Neto+Rimb'!$D$4:$D$13</c:f>
              <c:numCache>
                <c:formatCode>_(* #,##0_);_(* \(#,##0\);_(* "-"??_);_(@_)</c:formatCode>
                <c:ptCount val="10"/>
                <c:pt idx="0">
                  <c:v>21475</c:v>
                </c:pt>
                <c:pt idx="1">
                  <c:v>25270</c:v>
                </c:pt>
                <c:pt idx="2">
                  <c:v>27588</c:v>
                </c:pt>
                <c:pt idx="3">
                  <c:v>30817</c:v>
                </c:pt>
                <c:pt idx="4">
                  <c:v>31762</c:v>
                </c:pt>
                <c:pt idx="5">
                  <c:v>33945</c:v>
                </c:pt>
                <c:pt idx="6">
                  <c:v>27198</c:v>
                </c:pt>
                <c:pt idx="7">
                  <c:v>27232</c:v>
                </c:pt>
                <c:pt idx="8">
                  <c:v>27463</c:v>
                </c:pt>
                <c:pt idx="9">
                  <c:v>35907</c:v>
                </c:pt>
              </c:numCache>
            </c:numRef>
          </c:val>
          <c:smooth val="0"/>
          <c:extLst xmlns:c16r2="http://schemas.microsoft.com/office/drawing/2015/06/chart">
            <c:ext xmlns:c16="http://schemas.microsoft.com/office/drawing/2014/chart" uri="{C3380CC4-5D6E-409C-BE32-E72D297353CC}">
              <c16:uniqueId val="{00000015-D78C-4E0C-B5DE-3E4509C02763}"/>
            </c:ext>
          </c:extLst>
        </c:ser>
        <c:dLbls>
          <c:showLegendKey val="0"/>
          <c:showVal val="1"/>
          <c:showCatName val="0"/>
          <c:showSerName val="0"/>
          <c:showPercent val="0"/>
          <c:showBubbleSize val="0"/>
        </c:dLbls>
        <c:marker val="1"/>
        <c:smooth val="0"/>
        <c:axId val="184417280"/>
        <c:axId val="184214656"/>
      </c:lineChart>
      <c:catAx>
        <c:axId val="184417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sq-AL"/>
          </a:p>
        </c:txPr>
        <c:crossAx val="184214656"/>
        <c:crosses val="autoZero"/>
        <c:auto val="1"/>
        <c:lblAlgn val="ctr"/>
        <c:lblOffset val="100"/>
        <c:noMultiLvlLbl val="0"/>
      </c:catAx>
      <c:valAx>
        <c:axId val="18421465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sq-AL"/>
          </a:p>
        </c:txPr>
        <c:crossAx val="184417280"/>
        <c:crosses val="autoZero"/>
        <c:crossBetween val="between"/>
      </c:valAx>
      <c:spPr>
        <a:noFill/>
        <a:ln>
          <a:noFill/>
        </a:ln>
        <a:effectLst/>
      </c:spPr>
    </c:plotArea>
    <c:legend>
      <c:legendPos val="b"/>
      <c:layout>
        <c:manualLayout>
          <c:xMode val="edge"/>
          <c:yMode val="edge"/>
          <c:x val="0.21175471761389611"/>
          <c:y val="0.89971165216414162"/>
          <c:w val="0.57649056477220739"/>
          <c:h val="6.1365221011337297E-2"/>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sq-AL"/>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700"/>
      </a:pPr>
      <a:endParaRPr lang="sq-AL"/>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sq-A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868746835350147"/>
          <c:y val="7.0762302991315557E-2"/>
          <c:w val="0.85869370592422467"/>
          <c:h val="0.82773710056908723"/>
        </c:manualLayout>
      </c:layout>
      <c:barChart>
        <c:barDir val="col"/>
        <c:grouping val="clustered"/>
        <c:varyColors val="0"/>
        <c:ser>
          <c:idx val="4"/>
          <c:order val="0"/>
          <c:tx>
            <c:strRef>
              <c:f>'[Chart 2 in Microsoft PowerPoint]S5+S6 TVSH Bruto dhe Neto+Rimb'!$G$3</c:f>
              <c:strCache>
                <c:ptCount val="1"/>
                <c:pt idx="0">
                  <c:v>Rimbursim Fakt</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'[Chart 2 in Microsoft PowerPoint]S5+S6 TVSH Bruto dhe Neto+Rimb'!$B$4:$B$13</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cat>
          <c:val>
            <c:numRef>
              <c:f>'[Chart 2 in Microsoft PowerPoint]S5+S6 TVSH Bruto dhe Neto+Rimb'!$G$4:$G$13</c:f>
              <c:numCache>
                <c:formatCode>_(* #,##0_);_(* \(#,##0\);_(* "-"??_);_(@_)</c:formatCode>
                <c:ptCount val="10"/>
                <c:pt idx="0">
                  <c:v>7175</c:v>
                </c:pt>
                <c:pt idx="1">
                  <c:v>7249</c:v>
                </c:pt>
                <c:pt idx="2">
                  <c:v>6575</c:v>
                </c:pt>
                <c:pt idx="3">
                  <c:v>7925</c:v>
                </c:pt>
                <c:pt idx="4">
                  <c:v>12444</c:v>
                </c:pt>
                <c:pt idx="5">
                  <c:v>12688</c:v>
                </c:pt>
                <c:pt idx="6">
                  <c:v>17176</c:v>
                </c:pt>
                <c:pt idx="7">
                  <c:v>14596</c:v>
                </c:pt>
                <c:pt idx="8">
                  <c:v>22306</c:v>
                </c:pt>
                <c:pt idx="9">
                  <c:v>15632</c:v>
                </c:pt>
              </c:numCache>
            </c:numRef>
          </c:val>
          <c:extLst xmlns:c16r2="http://schemas.microsoft.com/office/drawing/2015/06/chart">
            <c:ext xmlns:c16="http://schemas.microsoft.com/office/drawing/2014/chart" uri="{C3380CC4-5D6E-409C-BE32-E72D297353CC}">
              <c16:uniqueId val="{00000000-9F68-4F7F-82C4-6D45CE975480}"/>
            </c:ext>
          </c:extLst>
        </c:ser>
        <c:dLbls>
          <c:showLegendKey val="0"/>
          <c:showVal val="0"/>
          <c:showCatName val="0"/>
          <c:showSerName val="0"/>
          <c:showPercent val="0"/>
          <c:showBubbleSize val="0"/>
        </c:dLbls>
        <c:gapWidth val="219"/>
        <c:overlap val="-27"/>
        <c:axId val="230688256"/>
        <c:axId val="184219264"/>
      </c:barChart>
      <c:catAx>
        <c:axId val="230688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sq-AL"/>
          </a:p>
        </c:txPr>
        <c:crossAx val="184219264"/>
        <c:crosses val="autoZero"/>
        <c:auto val="1"/>
        <c:lblAlgn val="ctr"/>
        <c:lblOffset val="100"/>
        <c:noMultiLvlLbl val="0"/>
      </c:catAx>
      <c:valAx>
        <c:axId val="184219264"/>
        <c:scaling>
          <c:orientation val="minMax"/>
        </c:scaling>
        <c:delete val="0"/>
        <c:axPos val="l"/>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sq-AL"/>
          </a:p>
        </c:txPr>
        <c:crossAx val="23068825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sq-A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9246641199553038E-2"/>
          <c:y val="2.1367521367521368E-2"/>
          <c:w val="0.90655093855842273"/>
          <c:h val="0.74243135473450461"/>
        </c:manualLayout>
      </c:layout>
      <c:lineChart>
        <c:grouping val="standard"/>
        <c:varyColors val="0"/>
        <c:ser>
          <c:idx val="0"/>
          <c:order val="0"/>
          <c:tx>
            <c:strRef>
              <c:f>Sheet1!$C$28</c:f>
              <c:strCache>
                <c:ptCount val="1"/>
                <c:pt idx="0">
                  <c:v>Fakt</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7"/>
              <c:layout>
                <c:manualLayout>
                  <c:x val="-7.1867612293144232E-3"/>
                  <c:y val="-1.6154195412636435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8866-49FD-9621-1899444CD5A3}"/>
                </c:ext>
                <c:ext xmlns:c15="http://schemas.microsoft.com/office/drawing/2012/chart" uri="{CE6537A1-D6FC-4f65-9D91-7224C49458BB}">
                  <c15:layout/>
                </c:ext>
              </c:extLst>
            </c:dLbl>
            <c:dLbl>
              <c:idx val="8"/>
              <c:layout>
                <c:manualLayout>
                  <c:x val="-4.0759162530426274E-2"/>
                  <c:y val="-7.074870711363893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8866-49FD-9621-1899444CD5A3}"/>
                </c:ext>
                <c:ext xmlns:c15="http://schemas.microsoft.com/office/drawing/2012/chart" uri="{CE6537A1-D6FC-4f65-9D91-7224C49458BB}">
                  <c15:layout/>
                </c:ext>
              </c:extLst>
            </c:dLbl>
            <c:dLbl>
              <c:idx val="9"/>
              <c:layout>
                <c:manualLayout>
                  <c:x val="-6.4961582772450635E-2"/>
                  <c:y val="-2.706695984374808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8866-49FD-9621-1899444CD5A3}"/>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ln w="0">
                      <a:noFill/>
                    </a:ln>
                    <a:solidFill>
                      <a:schemeClr val="accent1"/>
                    </a:solidFill>
                    <a:latin typeface="+mn-lt"/>
                    <a:ea typeface="+mn-ea"/>
                    <a:cs typeface="+mn-cs"/>
                  </a:defRPr>
                </a:pPr>
                <a:endParaRPr lang="sq-AL"/>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Sheet1!$B$29:$B$38</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cat>
          <c:val>
            <c:numRef>
              <c:f>Sheet1!$C$29:$C$38</c:f>
              <c:numCache>
                <c:formatCode>_(* #,##0_);_(* \(#,##0\);_(* "-"??_);_(@_)</c:formatCode>
                <c:ptCount val="10"/>
                <c:pt idx="0">
                  <c:v>13563</c:v>
                </c:pt>
                <c:pt idx="1">
                  <c:v>19289</c:v>
                </c:pt>
                <c:pt idx="2">
                  <c:v>21622</c:v>
                </c:pt>
                <c:pt idx="3">
                  <c:v>26179</c:v>
                </c:pt>
                <c:pt idx="4">
                  <c:v>27631</c:v>
                </c:pt>
                <c:pt idx="5">
                  <c:v>30173</c:v>
                </c:pt>
                <c:pt idx="6">
                  <c:v>32744</c:v>
                </c:pt>
                <c:pt idx="7">
                  <c:v>24813</c:v>
                </c:pt>
                <c:pt idx="8">
                  <c:v>30670</c:v>
                </c:pt>
                <c:pt idx="9">
                  <c:v>40909</c:v>
                </c:pt>
              </c:numCache>
            </c:numRef>
          </c:val>
          <c:smooth val="0"/>
          <c:extLst xmlns:c16r2="http://schemas.microsoft.com/office/drawing/2015/06/chart">
            <c:ext xmlns:c16="http://schemas.microsoft.com/office/drawing/2014/chart" uri="{C3380CC4-5D6E-409C-BE32-E72D297353CC}">
              <c16:uniqueId val="{00000003-8866-49FD-9621-1899444CD5A3}"/>
            </c:ext>
          </c:extLst>
        </c:ser>
        <c:ser>
          <c:idx val="1"/>
          <c:order val="1"/>
          <c:tx>
            <c:strRef>
              <c:f>Sheet1!$D$28</c:f>
              <c:strCache>
                <c:ptCount val="1"/>
                <c:pt idx="0">
                  <c:v>Plan</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3"/>
              <c:layout>
                <c:manualLayout>
                  <c:x val="-3.8558942508424163E-2"/>
                  <c:y val="-0.12269903079587749"/>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8866-49FD-9621-1899444CD5A3}"/>
                </c:ext>
                <c:ext xmlns:c15="http://schemas.microsoft.com/office/drawing/2012/chart" uri="{CE6537A1-D6FC-4f65-9D91-7224C49458BB}">
                  <c15:layout/>
                </c:ext>
              </c:extLst>
            </c:dLbl>
            <c:dLbl>
              <c:idx val="7"/>
              <c:layout>
                <c:manualLayout>
                  <c:x val="-3.8083383141463832E-2"/>
                  <c:y val="-5.1748375446828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8866-49FD-9621-1899444CD5A3}"/>
                </c:ext>
                <c:ext xmlns:c15="http://schemas.microsoft.com/office/drawing/2012/chart" uri="{CE6537A1-D6FC-4f65-9D91-7224C49458BB}">
                  <c15:layout/>
                </c:ext>
              </c:extLst>
            </c:dLbl>
            <c:dLbl>
              <c:idx val="8"/>
              <c:layout>
                <c:manualLayout>
                  <c:x val="-3.8558942508424093E-2"/>
                  <c:y val="5.2027958283685678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8866-49FD-9621-1899444CD5A3}"/>
                </c:ext>
                <c:ext xmlns:c15="http://schemas.microsoft.com/office/drawing/2012/chart" uri="{CE6537A1-D6FC-4f65-9D91-7224C49458BB}">
                  <c15:layout/>
                </c:ext>
              </c:extLst>
            </c:dLbl>
            <c:dLbl>
              <c:idx val="9"/>
              <c:layout>
                <c:manualLayout>
                  <c:x val="-3.8558942508424093E-2"/>
                  <c:y val="6.3024064269657398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8866-49FD-9621-1899444CD5A3}"/>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rgbClr val="C00000"/>
                    </a:solidFill>
                    <a:latin typeface="+mn-lt"/>
                    <a:ea typeface="+mn-ea"/>
                    <a:cs typeface="+mn-cs"/>
                  </a:defRPr>
                </a:pPr>
                <a:endParaRPr lang="sq-AL"/>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Sheet1!$B$29:$B$38</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cat>
          <c:val>
            <c:numRef>
              <c:f>Sheet1!$D$29:$D$38</c:f>
              <c:numCache>
                <c:formatCode>_(* #,##0_);_(* \(#,##0\);_(* "-"??_);_(@_)</c:formatCode>
                <c:ptCount val="10"/>
                <c:pt idx="0">
                  <c:v>13742</c:v>
                </c:pt>
                <c:pt idx="1">
                  <c:v>19241</c:v>
                </c:pt>
                <c:pt idx="2">
                  <c:v>21830</c:v>
                </c:pt>
                <c:pt idx="3">
                  <c:v>21580</c:v>
                </c:pt>
                <c:pt idx="4">
                  <c:v>26785</c:v>
                </c:pt>
                <c:pt idx="5">
                  <c:v>30076.136000000002</c:v>
                </c:pt>
                <c:pt idx="6">
                  <c:v>29587.419599081466</c:v>
                </c:pt>
                <c:pt idx="7">
                  <c:v>26760</c:v>
                </c:pt>
                <c:pt idx="8" formatCode="_-* #,##0_-;\-* #,##0_-;_-* &quot;-&quot;??_-;_-@_-">
                  <c:v>29790.01678057541</c:v>
                </c:pt>
                <c:pt idx="9">
                  <c:v>40688</c:v>
                </c:pt>
              </c:numCache>
            </c:numRef>
          </c:val>
          <c:smooth val="0"/>
          <c:extLst xmlns:c16r2="http://schemas.microsoft.com/office/drawing/2015/06/chart">
            <c:ext xmlns:c16="http://schemas.microsoft.com/office/drawing/2014/chart" uri="{C3380CC4-5D6E-409C-BE32-E72D297353CC}">
              <c16:uniqueId val="{00000008-8866-49FD-9621-1899444CD5A3}"/>
            </c:ext>
          </c:extLst>
        </c:ser>
        <c:dLbls>
          <c:showLegendKey val="0"/>
          <c:showVal val="0"/>
          <c:showCatName val="0"/>
          <c:showSerName val="0"/>
          <c:showPercent val="0"/>
          <c:showBubbleSize val="0"/>
        </c:dLbls>
        <c:marker val="1"/>
        <c:smooth val="0"/>
        <c:axId val="230690304"/>
        <c:axId val="184487296"/>
      </c:lineChart>
      <c:catAx>
        <c:axId val="230690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sq-AL"/>
          </a:p>
        </c:txPr>
        <c:crossAx val="184487296"/>
        <c:crosses val="autoZero"/>
        <c:auto val="1"/>
        <c:lblAlgn val="ctr"/>
        <c:lblOffset val="100"/>
        <c:noMultiLvlLbl val="0"/>
      </c:catAx>
      <c:valAx>
        <c:axId val="184487296"/>
        <c:scaling>
          <c:orientation val="minMax"/>
        </c:scaling>
        <c:delete val="0"/>
        <c:axPos val="l"/>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sq-AL"/>
          </a:p>
        </c:txPr>
        <c:crossAx val="230690304"/>
        <c:crosses val="autoZero"/>
        <c:crossBetween val="between"/>
      </c:valAx>
      <c:spPr>
        <a:noFill/>
        <a:ln>
          <a:gradFill flip="none" rotWithShape="1">
            <a:gsLst>
              <a:gs pos="0">
                <a:schemeClr val="accent5">
                  <a:lumMod val="5000"/>
                  <a:lumOff val="95000"/>
                </a:schemeClr>
              </a:gs>
              <a:gs pos="74000">
                <a:schemeClr val="accent5">
                  <a:lumMod val="45000"/>
                  <a:lumOff val="55000"/>
                </a:schemeClr>
              </a:gs>
              <a:gs pos="83000">
                <a:schemeClr val="accent5">
                  <a:lumMod val="45000"/>
                  <a:lumOff val="55000"/>
                </a:schemeClr>
              </a:gs>
              <a:gs pos="100000">
                <a:schemeClr val="accent5">
                  <a:lumMod val="30000"/>
                  <a:lumOff val="70000"/>
                </a:schemeClr>
              </a:gs>
            </a:gsLst>
            <a:lin ang="5400000" scaled="1"/>
            <a:tileRect/>
          </a:gra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sq-A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752182234699057E-2"/>
          <c:y val="3.3775826098660741E-2"/>
          <c:w val="0.90810414707468012"/>
          <c:h val="0.78418719294703509"/>
        </c:manualLayout>
      </c:layout>
      <c:lineChart>
        <c:grouping val="standard"/>
        <c:varyColors val="0"/>
        <c:ser>
          <c:idx val="0"/>
          <c:order val="0"/>
          <c:tx>
            <c:strRef>
              <c:f>Sheet1!$C$28</c:f>
              <c:strCache>
                <c:ptCount val="1"/>
                <c:pt idx="0">
                  <c:v>Fakt</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6"/>
              <c:layout>
                <c:manualLayout>
                  <c:x val="-2.1162051477624396E-2"/>
                  <c:y val="-3.385406151154184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3AF8-4A99-89FF-9F4F14EFA314}"/>
                </c:ext>
                <c:ext xmlns:c15="http://schemas.microsoft.com/office/drawing/2012/chart" uri="{CE6537A1-D6FC-4f65-9D91-7224C49458BB}">
                  <c15:layout/>
                </c:ext>
              </c:extLst>
            </c:dLbl>
            <c:dLbl>
              <c:idx val="7"/>
              <c:layout>
                <c:manualLayout>
                  <c:x val="-4.0512606997220153E-2"/>
                  <c:y val="4.260633286223840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3AF8-4A99-89FF-9F4F14EFA314}"/>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ln w="0">
                      <a:noFill/>
                    </a:ln>
                    <a:solidFill>
                      <a:schemeClr val="accent1"/>
                    </a:solidFill>
                    <a:latin typeface="+mn-lt"/>
                    <a:ea typeface="+mn-ea"/>
                    <a:cs typeface="+mn-cs"/>
                  </a:defRPr>
                </a:pPr>
                <a:endParaRPr lang="sq-AL"/>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Sheet1!$B$29:$B$38</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cat>
          <c:val>
            <c:numRef>
              <c:f>Sheet1!$C$29:$C$38</c:f>
              <c:numCache>
                <c:formatCode>_(* #,##0_);_(* \(#,##0\);_(* "-"??_);_(@_)</c:formatCode>
                <c:ptCount val="10"/>
                <c:pt idx="0">
                  <c:v>26002</c:v>
                </c:pt>
                <c:pt idx="1">
                  <c:v>24794</c:v>
                </c:pt>
                <c:pt idx="2">
                  <c:v>26721</c:v>
                </c:pt>
                <c:pt idx="3">
                  <c:v>29066</c:v>
                </c:pt>
                <c:pt idx="4">
                  <c:v>29504</c:v>
                </c:pt>
                <c:pt idx="5">
                  <c:v>33700</c:v>
                </c:pt>
                <c:pt idx="6">
                  <c:v>43328</c:v>
                </c:pt>
                <c:pt idx="7">
                  <c:v>30906</c:v>
                </c:pt>
                <c:pt idx="8">
                  <c:v>36074</c:v>
                </c:pt>
                <c:pt idx="9">
                  <c:v>41146</c:v>
                </c:pt>
              </c:numCache>
            </c:numRef>
          </c:val>
          <c:smooth val="0"/>
          <c:extLst xmlns:c16r2="http://schemas.microsoft.com/office/drawing/2015/06/chart">
            <c:ext xmlns:c16="http://schemas.microsoft.com/office/drawing/2014/chart" uri="{C3380CC4-5D6E-409C-BE32-E72D297353CC}">
              <c16:uniqueId val="{00000002-3AF8-4A99-89FF-9F4F14EFA314}"/>
            </c:ext>
          </c:extLst>
        </c:ser>
        <c:ser>
          <c:idx val="1"/>
          <c:order val="1"/>
          <c:tx>
            <c:strRef>
              <c:f>Sheet1!$D$28</c:f>
              <c:strCache>
                <c:ptCount val="1"/>
                <c:pt idx="0">
                  <c:v>Plan</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6"/>
              <c:layout>
                <c:manualLayout>
                  <c:x val="-4.1157608020614925E-2"/>
                  <c:y val="3.9195941853422185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3AF8-4A99-89FF-9F4F14EFA314}"/>
                </c:ext>
                <c:ext xmlns:c15="http://schemas.microsoft.com/office/drawing/2012/chart" uri="{CE6537A1-D6FC-4f65-9D91-7224C49458BB}">
                  <c15:layout/>
                </c:ext>
              </c:extLst>
            </c:dLbl>
            <c:dLbl>
              <c:idx val="7"/>
              <c:layout>
                <c:manualLayout>
                  <c:x val="-3.5840154506347754E-2"/>
                  <c:y val="-4.00211992731677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3AF8-4A99-89FF-9F4F14EFA314}"/>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rgbClr val="C00000"/>
                    </a:solidFill>
                    <a:latin typeface="+mn-lt"/>
                    <a:ea typeface="+mn-ea"/>
                    <a:cs typeface="+mn-cs"/>
                  </a:defRPr>
                </a:pPr>
                <a:endParaRPr lang="sq-AL"/>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Sheet1!$B$29:$B$38</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cat>
          <c:val>
            <c:numRef>
              <c:f>Sheet1!$D$29:$D$38</c:f>
              <c:numCache>
                <c:formatCode>_(* #,##0_);_(* \(#,##0\);_(* "-"??_);_(@_)</c:formatCode>
                <c:ptCount val="10"/>
                <c:pt idx="0">
                  <c:v>27292</c:v>
                </c:pt>
                <c:pt idx="1">
                  <c:v>25252</c:v>
                </c:pt>
                <c:pt idx="2">
                  <c:v>28637</c:v>
                </c:pt>
                <c:pt idx="3">
                  <c:v>29240</c:v>
                </c:pt>
                <c:pt idx="4">
                  <c:v>30748</c:v>
                </c:pt>
                <c:pt idx="5">
                  <c:v>33764.048000000003</c:v>
                </c:pt>
                <c:pt idx="6">
                  <c:v>37792.159632065704</c:v>
                </c:pt>
                <c:pt idx="7">
                  <c:v>36702</c:v>
                </c:pt>
                <c:pt idx="8" formatCode="_-* #,##0_-;\-* #,##0_-;_-* &quot;-&quot;??_-;_-@_-">
                  <c:v>37386.37549255522</c:v>
                </c:pt>
                <c:pt idx="9">
                  <c:v>42368</c:v>
                </c:pt>
              </c:numCache>
            </c:numRef>
          </c:val>
          <c:smooth val="0"/>
          <c:extLst xmlns:c16r2="http://schemas.microsoft.com/office/drawing/2015/06/chart">
            <c:ext xmlns:c16="http://schemas.microsoft.com/office/drawing/2014/chart" uri="{C3380CC4-5D6E-409C-BE32-E72D297353CC}">
              <c16:uniqueId val="{00000005-3AF8-4A99-89FF-9F4F14EFA314}"/>
            </c:ext>
          </c:extLst>
        </c:ser>
        <c:dLbls>
          <c:showLegendKey val="0"/>
          <c:showVal val="0"/>
          <c:showCatName val="0"/>
          <c:showSerName val="0"/>
          <c:showPercent val="0"/>
          <c:showBubbleSize val="0"/>
        </c:dLbls>
        <c:marker val="1"/>
        <c:smooth val="0"/>
        <c:axId val="230689280"/>
        <c:axId val="184489024"/>
      </c:lineChart>
      <c:catAx>
        <c:axId val="230689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sq-AL"/>
          </a:p>
        </c:txPr>
        <c:crossAx val="184489024"/>
        <c:crosses val="autoZero"/>
        <c:auto val="1"/>
        <c:lblAlgn val="ctr"/>
        <c:lblOffset val="100"/>
        <c:noMultiLvlLbl val="0"/>
      </c:catAx>
      <c:valAx>
        <c:axId val="184489024"/>
        <c:scaling>
          <c:orientation val="minMax"/>
        </c:scaling>
        <c:delete val="0"/>
        <c:axPos val="l"/>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sq-AL"/>
          </a:p>
        </c:txPr>
        <c:crossAx val="230689280"/>
        <c:crosses val="autoZero"/>
        <c:crossBetween val="between"/>
      </c:valAx>
      <c:spPr>
        <a:noFill/>
        <a:ln>
          <a:gradFill flip="none" rotWithShape="1">
            <a:gsLst>
              <a:gs pos="0">
                <a:schemeClr val="accent5">
                  <a:lumMod val="5000"/>
                  <a:lumOff val="95000"/>
                </a:schemeClr>
              </a:gs>
              <a:gs pos="74000">
                <a:schemeClr val="accent5">
                  <a:lumMod val="45000"/>
                  <a:lumOff val="55000"/>
                </a:schemeClr>
              </a:gs>
              <a:gs pos="83000">
                <a:schemeClr val="accent5">
                  <a:lumMod val="45000"/>
                  <a:lumOff val="55000"/>
                </a:schemeClr>
              </a:gs>
              <a:gs pos="100000">
                <a:schemeClr val="accent5">
                  <a:lumMod val="30000"/>
                  <a:lumOff val="70000"/>
                </a:schemeClr>
              </a:gs>
            </a:gsLst>
            <a:lin ang="5400000" scaled="1"/>
            <a:tileRect/>
          </a:gra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sq-A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9488838647644324E-2"/>
          <c:y val="3.9659535413214868E-2"/>
          <c:w val="0.92053706158017379"/>
          <c:h val="0.75793126727749693"/>
        </c:manualLayout>
      </c:layout>
      <c:lineChart>
        <c:grouping val="standard"/>
        <c:varyColors val="0"/>
        <c:ser>
          <c:idx val="0"/>
          <c:order val="0"/>
          <c:tx>
            <c:strRef>
              <c:f>Sheet1!$C$4</c:f>
              <c:strCache>
                <c:ptCount val="1"/>
                <c:pt idx="0">
                  <c:v>Fakt</c:v>
                </c:pt>
              </c:strCache>
            </c:strRef>
          </c:tx>
          <c:spPr>
            <a:ln w="22225" cap="rnd" cmpd="sng" algn="ctr">
              <a:solidFill>
                <a:schemeClr val="accent1"/>
              </a:solidFill>
              <a:round/>
            </a:ln>
            <a:effectLst/>
          </c:spPr>
          <c:marker>
            <c:symbol val="none"/>
          </c:marker>
          <c:dLbls>
            <c:dLbl>
              <c:idx val="7"/>
              <c:layout>
                <c:manualLayout>
                  <c:x val="-5.5277777777777863E-2"/>
                  <c:y val="5.327537182852143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3B9F-424F-89A2-4FEE45FD9CB5}"/>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ln w="6350">
                      <a:noFill/>
                    </a:ln>
                    <a:solidFill>
                      <a:schemeClr val="accent1"/>
                    </a:solidFill>
                    <a:latin typeface="+mn-lt"/>
                    <a:ea typeface="+mn-ea"/>
                    <a:cs typeface="+mn-cs"/>
                  </a:defRPr>
                </a:pPr>
                <a:endParaRPr lang="sq-AL"/>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Sheet1!$B$5:$B$14</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cat>
          <c:val>
            <c:numRef>
              <c:f>Sheet1!$C$5:$C$14</c:f>
              <c:numCache>
                <c:formatCode>_(* #,##0_);_(* \(#,##0\);_(* "-"??_);_(@_)</c:formatCode>
                <c:ptCount val="10"/>
                <c:pt idx="0">
                  <c:v>18004</c:v>
                </c:pt>
                <c:pt idx="1">
                  <c:v>23348</c:v>
                </c:pt>
                <c:pt idx="2">
                  <c:v>26990</c:v>
                </c:pt>
                <c:pt idx="3">
                  <c:v>29888</c:v>
                </c:pt>
                <c:pt idx="4">
                  <c:v>33708</c:v>
                </c:pt>
                <c:pt idx="5">
                  <c:v>32953</c:v>
                </c:pt>
                <c:pt idx="6">
                  <c:v>30802</c:v>
                </c:pt>
                <c:pt idx="7">
                  <c:v>30319</c:v>
                </c:pt>
                <c:pt idx="8">
                  <c:v>36275</c:v>
                </c:pt>
                <c:pt idx="9">
                  <c:v>37726</c:v>
                </c:pt>
              </c:numCache>
            </c:numRef>
          </c:val>
          <c:smooth val="0"/>
          <c:extLst xmlns:c16r2="http://schemas.microsoft.com/office/drawing/2015/06/chart">
            <c:ext xmlns:c16="http://schemas.microsoft.com/office/drawing/2014/chart" uri="{C3380CC4-5D6E-409C-BE32-E72D297353CC}">
              <c16:uniqueId val="{00000001-3B9F-424F-89A2-4FEE45FD9CB5}"/>
            </c:ext>
          </c:extLst>
        </c:ser>
        <c:ser>
          <c:idx val="1"/>
          <c:order val="1"/>
          <c:tx>
            <c:strRef>
              <c:f>Sheet1!$D$4</c:f>
              <c:strCache>
                <c:ptCount val="1"/>
                <c:pt idx="0">
                  <c:v>Plan</c:v>
                </c:pt>
              </c:strCache>
            </c:strRef>
          </c:tx>
          <c:spPr>
            <a:ln w="22225" cap="rnd" cmpd="sng" algn="ctr">
              <a:solidFill>
                <a:schemeClr val="accent2"/>
              </a:solidFill>
              <a:round/>
            </a:ln>
            <a:effectLst/>
          </c:spPr>
          <c:marker>
            <c:symbol val="none"/>
          </c:marker>
          <c:dLbls>
            <c:dLbl>
              <c:idx val="7"/>
              <c:layout>
                <c:manualLayout>
                  <c:x val="-5.5277777777777863E-2"/>
                  <c:y val="-4.4016112569262168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3B9F-424F-89A2-4FEE45FD9CB5}"/>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rgbClr val="FF0000"/>
                    </a:solidFill>
                    <a:latin typeface="+mn-lt"/>
                    <a:ea typeface="+mn-ea"/>
                    <a:cs typeface="+mn-cs"/>
                  </a:defRPr>
                </a:pPr>
                <a:endParaRPr lang="sq-AL"/>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numRef>
              <c:f>Sheet1!$B$5:$B$14</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cat>
          <c:val>
            <c:numRef>
              <c:f>Sheet1!$D$5:$D$14</c:f>
              <c:numCache>
                <c:formatCode>_(* #,##0_);_(* \(#,##0\);_(* "-"??_);_(@_)</c:formatCode>
                <c:ptCount val="10"/>
                <c:pt idx="0">
                  <c:v>16221</c:v>
                </c:pt>
                <c:pt idx="1">
                  <c:v>23913</c:v>
                </c:pt>
                <c:pt idx="2">
                  <c:v>28214</c:v>
                </c:pt>
                <c:pt idx="3">
                  <c:v>30320</c:v>
                </c:pt>
                <c:pt idx="4">
                  <c:v>34300</c:v>
                </c:pt>
                <c:pt idx="5">
                  <c:v>32652.496600000009</c:v>
                </c:pt>
                <c:pt idx="6">
                  <c:v>35014.515528810509</c:v>
                </c:pt>
                <c:pt idx="7">
                  <c:v>30039</c:v>
                </c:pt>
                <c:pt idx="8">
                  <c:v>32366.2951421863</c:v>
                </c:pt>
                <c:pt idx="9">
                  <c:v>40311</c:v>
                </c:pt>
              </c:numCache>
            </c:numRef>
          </c:val>
          <c:smooth val="0"/>
          <c:extLst xmlns:c16r2="http://schemas.microsoft.com/office/drawing/2015/06/chart">
            <c:ext xmlns:c16="http://schemas.microsoft.com/office/drawing/2014/chart" uri="{C3380CC4-5D6E-409C-BE32-E72D297353CC}">
              <c16:uniqueId val="{00000003-3B9F-424F-89A2-4FEE45FD9CB5}"/>
            </c:ext>
          </c:extLst>
        </c:ser>
        <c:dLbls>
          <c:showLegendKey val="0"/>
          <c:showVal val="0"/>
          <c:showCatName val="0"/>
          <c:showSerName val="0"/>
          <c:showPercent val="0"/>
          <c:showBubbleSize val="0"/>
        </c:dLbls>
        <c:marker val="1"/>
        <c:smooth val="0"/>
        <c:axId val="234078208"/>
        <c:axId val="184487872"/>
      </c:lineChart>
      <c:catAx>
        <c:axId val="234078208"/>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0" i="0" u="none" strike="noStrike" kern="1200" spc="20" baseline="0">
                <a:solidFill>
                  <a:schemeClr val="dk1">
                    <a:lumMod val="65000"/>
                    <a:lumOff val="35000"/>
                  </a:schemeClr>
                </a:solidFill>
                <a:latin typeface="+mn-lt"/>
                <a:ea typeface="+mn-ea"/>
                <a:cs typeface="+mn-cs"/>
              </a:defRPr>
            </a:pPr>
            <a:endParaRPr lang="sq-AL"/>
          </a:p>
        </c:txPr>
        <c:crossAx val="184487872"/>
        <c:crosses val="autoZero"/>
        <c:auto val="1"/>
        <c:lblAlgn val="ctr"/>
        <c:lblOffset val="100"/>
        <c:noMultiLvlLbl val="0"/>
      </c:catAx>
      <c:valAx>
        <c:axId val="184487872"/>
        <c:scaling>
          <c:orientation val="minMax"/>
        </c:scaling>
        <c:delete val="0"/>
        <c:axPos val="l"/>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spc="20" baseline="0">
                <a:solidFill>
                  <a:schemeClr val="dk1">
                    <a:lumMod val="65000"/>
                    <a:lumOff val="35000"/>
                  </a:schemeClr>
                </a:solidFill>
                <a:latin typeface="+mn-lt"/>
                <a:ea typeface="+mn-ea"/>
                <a:cs typeface="+mn-cs"/>
              </a:defRPr>
            </a:pPr>
            <a:endParaRPr lang="sq-AL"/>
          </a:p>
        </c:txPr>
        <c:crossAx val="234078208"/>
        <c:crosses val="autoZero"/>
        <c:crossBetween val="between"/>
      </c:valAx>
      <c:spPr>
        <a:gradFill>
          <a:gsLst>
            <a:gs pos="100000">
              <a:schemeClr val="lt1">
                <a:lumMod val="95000"/>
              </a:schemeClr>
            </a:gs>
            <a:gs pos="0">
              <a:schemeClr val="lt1"/>
            </a:gs>
          </a:gsLst>
          <a:lin ang="5400000" scaled="0"/>
        </a:gradFill>
        <a:ln>
          <a:noFill/>
        </a:ln>
        <a:effectLst/>
      </c:spPr>
    </c:plotArea>
    <c:legend>
      <c:legendPos val="b"/>
      <c:layout>
        <c:manualLayout>
          <c:xMode val="edge"/>
          <c:yMode val="edge"/>
          <c:x val="0.39530677477196563"/>
          <c:y val="0.90166972990596739"/>
          <c:w val="0.30839635144616817"/>
          <c:h val="9.764875946021588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sq-AL"/>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rgbClr val="E7E6E6"/>
      </a:solidFill>
      <a:round/>
    </a:ln>
    <a:effectLst/>
  </c:spPr>
  <c:txPr>
    <a:bodyPr/>
    <a:lstStyle/>
    <a:p>
      <a:pPr>
        <a:defRPr/>
      </a:pPr>
      <a:endParaRPr lang="sq-AL"/>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116</Nr_x002e__x0020_akti>
    <Data_x0020_e_x0020_Krijimit xmlns="0e656187-b300-4fb0-8bf4-3a50f872073c">2023-03-02T14:22:47Z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ERP;Shqiperi</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2023-03-01T23:00:00Z</Date_x0020_protokolli>
    <Titulli xmlns="0e656187-b300-4fb0-8bf4-3a50f872073c">Për miratimin e programit të reformave ekonomike (ERP) 2023-2025</Titulli>
    <Modifikuesi xmlns="0e656187-b300-4fb0-8bf4-3a50f872073c">valjeta.kaftalli</Modifikuesi>
    <Nr_x002e__x0020_prot_x0020_QBZ xmlns="0e656187-b300-4fb0-8bf4-3a50f872073c">344</Nr_x002e__x0020_prot_x0020_QBZ>
    <Data_x0020_e_x0020_Modifikimit xmlns="0e656187-b300-4fb0-8bf4-3a50f872073c">2023-03-09T12:31:05Z</Data_x0020_e_x0020_Modifikimit>
    <Dekretuar xmlns="0e656187-b300-4fb0-8bf4-3a50f872073c">false</Dekretuar>
    <Data xmlns="0e656187-b300-4fb0-8bf4-3a50f872073c">2023-02-28T23:00:00Z</Data>
    <Nr_x002e__x0020_protokolli_x0020_i_x0020_aktit xmlns="0e656187-b300-4fb0-8bf4-3a50f872073c">316/7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2E657BD6DF204F868A4188BA72B1683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2E657BD6DF204F868A4188BA72B1683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2C9115-3849-4F26-812A-C8F0BFFE50EE}">
  <ds:schemaRefs>
    <ds:schemaRef ds:uri="http://purl.org/dc/terms/"/>
    <ds:schemaRef ds:uri="http://www.w3.org/XML/1998/namespace"/>
    <ds:schemaRef ds:uri="http://purl.org/dc/elements/1.1/"/>
    <ds:schemaRef ds:uri="http://schemas.microsoft.com/office/2006/documentManagement/types"/>
    <ds:schemaRef ds:uri="http://schemas.microsoft.com/office/2006/metadata/properties"/>
    <ds:schemaRef ds:uri="http://schemas.openxmlformats.org/package/2006/metadata/core-properties"/>
    <ds:schemaRef ds:uri="0e656187-b300-4fb0-8bf4-3a50f872073c"/>
    <ds:schemaRef ds:uri="http://purl.org/dc/dcmitype/"/>
  </ds:schemaRefs>
</ds:datastoreItem>
</file>

<file path=customXml/itemProps2.xml><?xml version="1.0" encoding="utf-8"?>
<ds:datastoreItem xmlns:ds="http://schemas.openxmlformats.org/officeDocument/2006/customXml" ds:itemID="{A8F65B73-94FE-4A67-B3E1-9EBBECEA84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C343AA2-1453-4225-A1EA-9AB74A248B0F}">
  <ds:schemaRefs>
    <ds:schemaRef ds:uri="http://schemas.microsoft.com/sharepoint/v3/contenttype/forms"/>
  </ds:schemaRefs>
</ds:datastoreItem>
</file>

<file path=customXml/itemProps4.xml><?xml version="1.0" encoding="utf-8"?>
<ds:datastoreItem xmlns:ds="http://schemas.openxmlformats.org/officeDocument/2006/customXml" ds:itemID="{3836596E-2330-4262-8F91-EACFF1FBE8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E9B593A-0E7D-49BF-80C9-EEBA8B907B04}">
  <ds:schemaRefs>
    <ds:schemaRef ds:uri="http://schemas.microsoft.com/sharepoint/v3/contenttype/forms"/>
  </ds:schemaRefs>
</ds:datastoreItem>
</file>

<file path=customXml/itemProps6.xml><?xml version="1.0" encoding="utf-8"?>
<ds:datastoreItem xmlns:ds="http://schemas.openxmlformats.org/officeDocument/2006/customXml" ds:itemID="{417396C0-A155-4409-BB16-E76121A43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198</Pages>
  <Words>79870</Words>
  <Characters>455265</Characters>
  <Application>Microsoft Office Word</Application>
  <DocSecurity>0</DocSecurity>
  <Lines>3793</Lines>
  <Paragraphs>1068</Paragraphs>
  <ScaleCrop>false</ScaleCrop>
  <HeadingPairs>
    <vt:vector size="2" baseType="variant">
      <vt:variant>
        <vt:lpstr>Title</vt:lpstr>
      </vt:variant>
      <vt:variant>
        <vt:i4>1</vt:i4>
      </vt:variant>
    </vt:vector>
  </HeadingPairs>
  <TitlesOfParts>
    <vt:vector size="1" baseType="lpstr">
      <vt:lpstr>Për miratimin e programit të reformave ekonomike (ERP) 2023-2025</vt:lpstr>
    </vt:vector>
  </TitlesOfParts>
  <Company/>
  <LinksUpToDate>false</LinksUpToDate>
  <CharactersWithSpaces>534067</CharactersWithSpaces>
  <SharedDoc>false</SharedDoc>
  <HLinks>
    <vt:vector size="210" baseType="variant">
      <vt:variant>
        <vt:i4>3538996</vt:i4>
      </vt:variant>
      <vt:variant>
        <vt:i4>459</vt:i4>
      </vt:variant>
      <vt:variant>
        <vt:i4>0</vt:i4>
      </vt:variant>
      <vt:variant>
        <vt:i4>5</vt:i4>
      </vt:variant>
      <vt:variant>
        <vt:lpwstr>http://www.puna.gov.al/</vt:lpwstr>
      </vt:variant>
      <vt:variant>
        <vt:lpwstr/>
      </vt:variant>
      <vt:variant>
        <vt:i4>5111898</vt:i4>
      </vt:variant>
      <vt:variant>
        <vt:i4>456</vt:i4>
      </vt:variant>
      <vt:variant>
        <vt:i4>0</vt:i4>
      </vt:variant>
      <vt:variant>
        <vt:i4>5</vt:i4>
      </vt:variant>
      <vt:variant>
        <vt:lpwstr>https://www.e-albania.al/sherbimi.aspx?kodi=6093</vt:lpwstr>
      </vt:variant>
      <vt:variant>
        <vt:lpwstr/>
      </vt:variant>
      <vt:variant>
        <vt:i4>2031674</vt:i4>
      </vt:variant>
      <vt:variant>
        <vt:i4>182</vt:i4>
      </vt:variant>
      <vt:variant>
        <vt:i4>0</vt:i4>
      </vt:variant>
      <vt:variant>
        <vt:i4>5</vt:i4>
      </vt:variant>
      <vt:variant>
        <vt:lpwstr/>
      </vt:variant>
      <vt:variant>
        <vt:lpwstr>_Toc473552880</vt:lpwstr>
      </vt:variant>
      <vt:variant>
        <vt:i4>1048634</vt:i4>
      </vt:variant>
      <vt:variant>
        <vt:i4>176</vt:i4>
      </vt:variant>
      <vt:variant>
        <vt:i4>0</vt:i4>
      </vt:variant>
      <vt:variant>
        <vt:i4>5</vt:i4>
      </vt:variant>
      <vt:variant>
        <vt:lpwstr/>
      </vt:variant>
      <vt:variant>
        <vt:lpwstr>_Toc473552879</vt:lpwstr>
      </vt:variant>
      <vt:variant>
        <vt:i4>1048634</vt:i4>
      </vt:variant>
      <vt:variant>
        <vt:i4>170</vt:i4>
      </vt:variant>
      <vt:variant>
        <vt:i4>0</vt:i4>
      </vt:variant>
      <vt:variant>
        <vt:i4>5</vt:i4>
      </vt:variant>
      <vt:variant>
        <vt:lpwstr/>
      </vt:variant>
      <vt:variant>
        <vt:lpwstr>_Toc473552878</vt:lpwstr>
      </vt:variant>
      <vt:variant>
        <vt:i4>1048634</vt:i4>
      </vt:variant>
      <vt:variant>
        <vt:i4>164</vt:i4>
      </vt:variant>
      <vt:variant>
        <vt:i4>0</vt:i4>
      </vt:variant>
      <vt:variant>
        <vt:i4>5</vt:i4>
      </vt:variant>
      <vt:variant>
        <vt:lpwstr/>
      </vt:variant>
      <vt:variant>
        <vt:lpwstr>_Toc473552877</vt:lpwstr>
      </vt:variant>
      <vt:variant>
        <vt:i4>1048634</vt:i4>
      </vt:variant>
      <vt:variant>
        <vt:i4>158</vt:i4>
      </vt:variant>
      <vt:variant>
        <vt:i4>0</vt:i4>
      </vt:variant>
      <vt:variant>
        <vt:i4>5</vt:i4>
      </vt:variant>
      <vt:variant>
        <vt:lpwstr/>
      </vt:variant>
      <vt:variant>
        <vt:lpwstr>_Toc473552876</vt:lpwstr>
      </vt:variant>
      <vt:variant>
        <vt:i4>1048634</vt:i4>
      </vt:variant>
      <vt:variant>
        <vt:i4>152</vt:i4>
      </vt:variant>
      <vt:variant>
        <vt:i4>0</vt:i4>
      </vt:variant>
      <vt:variant>
        <vt:i4>5</vt:i4>
      </vt:variant>
      <vt:variant>
        <vt:lpwstr/>
      </vt:variant>
      <vt:variant>
        <vt:lpwstr>_Toc473552875</vt:lpwstr>
      </vt:variant>
      <vt:variant>
        <vt:i4>1048634</vt:i4>
      </vt:variant>
      <vt:variant>
        <vt:i4>146</vt:i4>
      </vt:variant>
      <vt:variant>
        <vt:i4>0</vt:i4>
      </vt:variant>
      <vt:variant>
        <vt:i4>5</vt:i4>
      </vt:variant>
      <vt:variant>
        <vt:lpwstr/>
      </vt:variant>
      <vt:variant>
        <vt:lpwstr>_Toc473552874</vt:lpwstr>
      </vt:variant>
      <vt:variant>
        <vt:i4>1048634</vt:i4>
      </vt:variant>
      <vt:variant>
        <vt:i4>140</vt:i4>
      </vt:variant>
      <vt:variant>
        <vt:i4>0</vt:i4>
      </vt:variant>
      <vt:variant>
        <vt:i4>5</vt:i4>
      </vt:variant>
      <vt:variant>
        <vt:lpwstr/>
      </vt:variant>
      <vt:variant>
        <vt:lpwstr>_Toc473552873</vt:lpwstr>
      </vt:variant>
      <vt:variant>
        <vt:i4>1048634</vt:i4>
      </vt:variant>
      <vt:variant>
        <vt:i4>134</vt:i4>
      </vt:variant>
      <vt:variant>
        <vt:i4>0</vt:i4>
      </vt:variant>
      <vt:variant>
        <vt:i4>5</vt:i4>
      </vt:variant>
      <vt:variant>
        <vt:lpwstr/>
      </vt:variant>
      <vt:variant>
        <vt:lpwstr>_Toc473552872</vt:lpwstr>
      </vt:variant>
      <vt:variant>
        <vt:i4>1048634</vt:i4>
      </vt:variant>
      <vt:variant>
        <vt:i4>128</vt:i4>
      </vt:variant>
      <vt:variant>
        <vt:i4>0</vt:i4>
      </vt:variant>
      <vt:variant>
        <vt:i4>5</vt:i4>
      </vt:variant>
      <vt:variant>
        <vt:lpwstr/>
      </vt:variant>
      <vt:variant>
        <vt:lpwstr>_Toc473552871</vt:lpwstr>
      </vt:variant>
      <vt:variant>
        <vt:i4>1048634</vt:i4>
      </vt:variant>
      <vt:variant>
        <vt:i4>122</vt:i4>
      </vt:variant>
      <vt:variant>
        <vt:i4>0</vt:i4>
      </vt:variant>
      <vt:variant>
        <vt:i4>5</vt:i4>
      </vt:variant>
      <vt:variant>
        <vt:lpwstr/>
      </vt:variant>
      <vt:variant>
        <vt:lpwstr>_Toc473552870</vt:lpwstr>
      </vt:variant>
      <vt:variant>
        <vt:i4>1114170</vt:i4>
      </vt:variant>
      <vt:variant>
        <vt:i4>116</vt:i4>
      </vt:variant>
      <vt:variant>
        <vt:i4>0</vt:i4>
      </vt:variant>
      <vt:variant>
        <vt:i4>5</vt:i4>
      </vt:variant>
      <vt:variant>
        <vt:lpwstr/>
      </vt:variant>
      <vt:variant>
        <vt:lpwstr>_Toc473552869</vt:lpwstr>
      </vt:variant>
      <vt:variant>
        <vt:i4>1114170</vt:i4>
      </vt:variant>
      <vt:variant>
        <vt:i4>110</vt:i4>
      </vt:variant>
      <vt:variant>
        <vt:i4>0</vt:i4>
      </vt:variant>
      <vt:variant>
        <vt:i4>5</vt:i4>
      </vt:variant>
      <vt:variant>
        <vt:lpwstr/>
      </vt:variant>
      <vt:variant>
        <vt:lpwstr>_Toc473552868</vt:lpwstr>
      </vt:variant>
      <vt:variant>
        <vt:i4>1114170</vt:i4>
      </vt:variant>
      <vt:variant>
        <vt:i4>104</vt:i4>
      </vt:variant>
      <vt:variant>
        <vt:i4>0</vt:i4>
      </vt:variant>
      <vt:variant>
        <vt:i4>5</vt:i4>
      </vt:variant>
      <vt:variant>
        <vt:lpwstr/>
      </vt:variant>
      <vt:variant>
        <vt:lpwstr>_Toc473552867</vt:lpwstr>
      </vt:variant>
      <vt:variant>
        <vt:i4>1114170</vt:i4>
      </vt:variant>
      <vt:variant>
        <vt:i4>98</vt:i4>
      </vt:variant>
      <vt:variant>
        <vt:i4>0</vt:i4>
      </vt:variant>
      <vt:variant>
        <vt:i4>5</vt:i4>
      </vt:variant>
      <vt:variant>
        <vt:lpwstr/>
      </vt:variant>
      <vt:variant>
        <vt:lpwstr>_Toc473552866</vt:lpwstr>
      </vt:variant>
      <vt:variant>
        <vt:i4>1114170</vt:i4>
      </vt:variant>
      <vt:variant>
        <vt:i4>92</vt:i4>
      </vt:variant>
      <vt:variant>
        <vt:i4>0</vt:i4>
      </vt:variant>
      <vt:variant>
        <vt:i4>5</vt:i4>
      </vt:variant>
      <vt:variant>
        <vt:lpwstr/>
      </vt:variant>
      <vt:variant>
        <vt:lpwstr>_Toc473552865</vt:lpwstr>
      </vt:variant>
      <vt:variant>
        <vt:i4>1114170</vt:i4>
      </vt:variant>
      <vt:variant>
        <vt:i4>86</vt:i4>
      </vt:variant>
      <vt:variant>
        <vt:i4>0</vt:i4>
      </vt:variant>
      <vt:variant>
        <vt:i4>5</vt:i4>
      </vt:variant>
      <vt:variant>
        <vt:lpwstr/>
      </vt:variant>
      <vt:variant>
        <vt:lpwstr>_Toc473552864</vt:lpwstr>
      </vt:variant>
      <vt:variant>
        <vt:i4>1114170</vt:i4>
      </vt:variant>
      <vt:variant>
        <vt:i4>80</vt:i4>
      </vt:variant>
      <vt:variant>
        <vt:i4>0</vt:i4>
      </vt:variant>
      <vt:variant>
        <vt:i4>5</vt:i4>
      </vt:variant>
      <vt:variant>
        <vt:lpwstr/>
      </vt:variant>
      <vt:variant>
        <vt:lpwstr>_Toc473552863</vt:lpwstr>
      </vt:variant>
      <vt:variant>
        <vt:i4>1114170</vt:i4>
      </vt:variant>
      <vt:variant>
        <vt:i4>74</vt:i4>
      </vt:variant>
      <vt:variant>
        <vt:i4>0</vt:i4>
      </vt:variant>
      <vt:variant>
        <vt:i4>5</vt:i4>
      </vt:variant>
      <vt:variant>
        <vt:lpwstr/>
      </vt:variant>
      <vt:variant>
        <vt:lpwstr>_Toc473552862</vt:lpwstr>
      </vt:variant>
      <vt:variant>
        <vt:i4>1114170</vt:i4>
      </vt:variant>
      <vt:variant>
        <vt:i4>68</vt:i4>
      </vt:variant>
      <vt:variant>
        <vt:i4>0</vt:i4>
      </vt:variant>
      <vt:variant>
        <vt:i4>5</vt:i4>
      </vt:variant>
      <vt:variant>
        <vt:lpwstr/>
      </vt:variant>
      <vt:variant>
        <vt:lpwstr>_Toc473552861</vt:lpwstr>
      </vt:variant>
      <vt:variant>
        <vt:i4>1114170</vt:i4>
      </vt:variant>
      <vt:variant>
        <vt:i4>62</vt:i4>
      </vt:variant>
      <vt:variant>
        <vt:i4>0</vt:i4>
      </vt:variant>
      <vt:variant>
        <vt:i4>5</vt:i4>
      </vt:variant>
      <vt:variant>
        <vt:lpwstr/>
      </vt:variant>
      <vt:variant>
        <vt:lpwstr>_Toc473552860</vt:lpwstr>
      </vt:variant>
      <vt:variant>
        <vt:i4>1179706</vt:i4>
      </vt:variant>
      <vt:variant>
        <vt:i4>56</vt:i4>
      </vt:variant>
      <vt:variant>
        <vt:i4>0</vt:i4>
      </vt:variant>
      <vt:variant>
        <vt:i4>5</vt:i4>
      </vt:variant>
      <vt:variant>
        <vt:lpwstr/>
      </vt:variant>
      <vt:variant>
        <vt:lpwstr>_Toc473552859</vt:lpwstr>
      </vt:variant>
      <vt:variant>
        <vt:i4>1179706</vt:i4>
      </vt:variant>
      <vt:variant>
        <vt:i4>50</vt:i4>
      </vt:variant>
      <vt:variant>
        <vt:i4>0</vt:i4>
      </vt:variant>
      <vt:variant>
        <vt:i4>5</vt:i4>
      </vt:variant>
      <vt:variant>
        <vt:lpwstr/>
      </vt:variant>
      <vt:variant>
        <vt:lpwstr>_Toc473552858</vt:lpwstr>
      </vt:variant>
      <vt:variant>
        <vt:i4>1179706</vt:i4>
      </vt:variant>
      <vt:variant>
        <vt:i4>44</vt:i4>
      </vt:variant>
      <vt:variant>
        <vt:i4>0</vt:i4>
      </vt:variant>
      <vt:variant>
        <vt:i4>5</vt:i4>
      </vt:variant>
      <vt:variant>
        <vt:lpwstr/>
      </vt:variant>
      <vt:variant>
        <vt:lpwstr>_Toc473552857</vt:lpwstr>
      </vt:variant>
      <vt:variant>
        <vt:i4>1179706</vt:i4>
      </vt:variant>
      <vt:variant>
        <vt:i4>38</vt:i4>
      </vt:variant>
      <vt:variant>
        <vt:i4>0</vt:i4>
      </vt:variant>
      <vt:variant>
        <vt:i4>5</vt:i4>
      </vt:variant>
      <vt:variant>
        <vt:lpwstr/>
      </vt:variant>
      <vt:variant>
        <vt:lpwstr>_Toc473552856</vt:lpwstr>
      </vt:variant>
      <vt:variant>
        <vt:i4>1179706</vt:i4>
      </vt:variant>
      <vt:variant>
        <vt:i4>32</vt:i4>
      </vt:variant>
      <vt:variant>
        <vt:i4>0</vt:i4>
      </vt:variant>
      <vt:variant>
        <vt:i4>5</vt:i4>
      </vt:variant>
      <vt:variant>
        <vt:lpwstr/>
      </vt:variant>
      <vt:variant>
        <vt:lpwstr>_Toc473552855</vt:lpwstr>
      </vt:variant>
      <vt:variant>
        <vt:i4>1179706</vt:i4>
      </vt:variant>
      <vt:variant>
        <vt:i4>26</vt:i4>
      </vt:variant>
      <vt:variant>
        <vt:i4>0</vt:i4>
      </vt:variant>
      <vt:variant>
        <vt:i4>5</vt:i4>
      </vt:variant>
      <vt:variant>
        <vt:lpwstr/>
      </vt:variant>
      <vt:variant>
        <vt:lpwstr>_Toc473552854</vt:lpwstr>
      </vt:variant>
      <vt:variant>
        <vt:i4>1179706</vt:i4>
      </vt:variant>
      <vt:variant>
        <vt:i4>20</vt:i4>
      </vt:variant>
      <vt:variant>
        <vt:i4>0</vt:i4>
      </vt:variant>
      <vt:variant>
        <vt:i4>5</vt:i4>
      </vt:variant>
      <vt:variant>
        <vt:lpwstr/>
      </vt:variant>
      <vt:variant>
        <vt:lpwstr>_Toc473552853</vt:lpwstr>
      </vt:variant>
      <vt:variant>
        <vt:i4>1179706</vt:i4>
      </vt:variant>
      <vt:variant>
        <vt:i4>14</vt:i4>
      </vt:variant>
      <vt:variant>
        <vt:i4>0</vt:i4>
      </vt:variant>
      <vt:variant>
        <vt:i4>5</vt:i4>
      </vt:variant>
      <vt:variant>
        <vt:lpwstr/>
      </vt:variant>
      <vt:variant>
        <vt:lpwstr>_Toc473552852</vt:lpwstr>
      </vt:variant>
      <vt:variant>
        <vt:i4>1179706</vt:i4>
      </vt:variant>
      <vt:variant>
        <vt:i4>8</vt:i4>
      </vt:variant>
      <vt:variant>
        <vt:i4>0</vt:i4>
      </vt:variant>
      <vt:variant>
        <vt:i4>5</vt:i4>
      </vt:variant>
      <vt:variant>
        <vt:lpwstr/>
      </vt:variant>
      <vt:variant>
        <vt:lpwstr>_Toc473552851</vt:lpwstr>
      </vt:variant>
      <vt:variant>
        <vt:i4>1179706</vt:i4>
      </vt:variant>
      <vt:variant>
        <vt:i4>2</vt:i4>
      </vt:variant>
      <vt:variant>
        <vt:i4>0</vt:i4>
      </vt:variant>
      <vt:variant>
        <vt:i4>5</vt:i4>
      </vt:variant>
      <vt:variant>
        <vt:lpwstr/>
      </vt:variant>
      <vt:variant>
        <vt:lpwstr>_Toc473552850</vt:lpwstr>
      </vt:variant>
      <vt:variant>
        <vt:i4>1179667</vt:i4>
      </vt:variant>
      <vt:variant>
        <vt:i4>3</vt:i4>
      </vt:variant>
      <vt:variant>
        <vt:i4>0</vt:i4>
      </vt:variant>
      <vt:variant>
        <vt:i4>5</vt:i4>
      </vt:variant>
      <vt:variant>
        <vt:lpwstr>http://www.arsimi.gov.al/files/userfiles/buxheti/2016/perditesime/Raporti_i_Monitorimit_12-mujori_Janar-Dhjetor_2015_30.01._2016_F_N_(4).pdf</vt:lpwstr>
      </vt:variant>
      <vt:variant>
        <vt:lpwstr/>
      </vt:variant>
      <vt:variant>
        <vt:i4>3407994</vt:i4>
      </vt:variant>
      <vt:variant>
        <vt:i4>0</vt:i4>
      </vt:variant>
      <vt:variant>
        <vt:i4>0</vt:i4>
      </vt:variant>
      <vt:variant>
        <vt:i4>5</vt:i4>
      </vt:variant>
      <vt:variant>
        <vt:lpwstr>http://www.akti.gov.al/dokumenta/strategjia_2009_2015.pdf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programit të reformave ekonomike (ERP) 2023-2025</dc:title>
  <dc:creator>Elson Caka</dc:creator>
  <cp:keywords>ERP;Shqiperi</cp:keywords>
  <cp:lastModifiedBy>Nevila Samarxhi</cp:lastModifiedBy>
  <cp:revision>301</cp:revision>
  <cp:lastPrinted>2023-01-17T09:07:00Z</cp:lastPrinted>
  <dcterms:created xsi:type="dcterms:W3CDTF">2023-03-09T08:13:00Z</dcterms:created>
  <dcterms:modified xsi:type="dcterms:W3CDTF">2023-03-09T13:03:00Z</dcterms:modified>
</cp:coreProperties>
</file>