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AFA67" w14:textId="77777777" w:rsidR="00BD0C77" w:rsidRPr="000E152E" w:rsidRDefault="00B24F9B" w:rsidP="00B24F9B">
      <w:pPr>
        <w:spacing w:after="0" w:line="240" w:lineRule="auto"/>
        <w:ind w:firstLine="284"/>
        <w:jc w:val="center"/>
        <w:rPr>
          <w:rFonts w:ascii="Garamond" w:hAnsi="Garamond"/>
          <w:b/>
          <w:sz w:val="24"/>
          <w:szCs w:val="24"/>
        </w:rPr>
      </w:pPr>
      <w:r w:rsidRPr="000E152E">
        <w:rPr>
          <w:rFonts w:ascii="Garamond" w:hAnsi="Garamond"/>
          <w:b/>
          <w:sz w:val="24"/>
          <w:szCs w:val="24"/>
        </w:rPr>
        <w:t>VENDI</w:t>
      </w:r>
      <w:r w:rsidR="00BD0C77" w:rsidRPr="000E152E">
        <w:rPr>
          <w:rFonts w:ascii="Garamond" w:hAnsi="Garamond"/>
          <w:b/>
          <w:sz w:val="24"/>
          <w:szCs w:val="24"/>
        </w:rPr>
        <w:t>M</w:t>
      </w:r>
    </w:p>
    <w:p w14:paraId="01BAFA68" w14:textId="77777777" w:rsidR="00BD0C77" w:rsidRPr="000E152E" w:rsidRDefault="00BD0C77" w:rsidP="00B24F9B">
      <w:pPr>
        <w:spacing w:after="0" w:line="240" w:lineRule="auto"/>
        <w:ind w:firstLine="284"/>
        <w:jc w:val="center"/>
        <w:rPr>
          <w:rFonts w:ascii="Garamond" w:hAnsi="Garamond"/>
          <w:b/>
          <w:sz w:val="24"/>
          <w:szCs w:val="24"/>
        </w:rPr>
      </w:pPr>
      <w:r w:rsidRPr="000E152E">
        <w:rPr>
          <w:rFonts w:ascii="Garamond" w:hAnsi="Garamond"/>
          <w:b/>
          <w:sz w:val="24"/>
          <w:szCs w:val="24"/>
        </w:rPr>
        <w:t>Nr.</w:t>
      </w:r>
      <w:r w:rsidR="008B19ED" w:rsidRPr="000E152E">
        <w:rPr>
          <w:rFonts w:ascii="Garamond" w:hAnsi="Garamond"/>
          <w:b/>
          <w:sz w:val="24"/>
          <w:szCs w:val="24"/>
        </w:rPr>
        <w:t xml:space="preserve"> 173</w:t>
      </w:r>
      <w:r w:rsidRPr="000E152E">
        <w:rPr>
          <w:rFonts w:ascii="Garamond" w:hAnsi="Garamond"/>
          <w:b/>
          <w:sz w:val="24"/>
          <w:szCs w:val="24"/>
        </w:rPr>
        <w:t>, datë</w:t>
      </w:r>
      <w:r w:rsidR="008B19ED" w:rsidRPr="000E152E">
        <w:rPr>
          <w:rFonts w:ascii="Garamond" w:hAnsi="Garamond"/>
          <w:b/>
          <w:sz w:val="24"/>
          <w:szCs w:val="24"/>
        </w:rPr>
        <w:t xml:space="preserve"> 24.3.2023</w:t>
      </w:r>
    </w:p>
    <w:p w14:paraId="01BAFA69" w14:textId="77777777" w:rsidR="00BD0C77" w:rsidRPr="000E152E" w:rsidRDefault="00BD0C77" w:rsidP="00B24F9B">
      <w:pPr>
        <w:spacing w:after="0" w:line="240" w:lineRule="auto"/>
        <w:ind w:firstLine="284"/>
        <w:jc w:val="center"/>
        <w:rPr>
          <w:rFonts w:ascii="Garamond" w:hAnsi="Garamond"/>
          <w:b/>
          <w:sz w:val="24"/>
          <w:szCs w:val="24"/>
        </w:rPr>
      </w:pPr>
    </w:p>
    <w:p w14:paraId="01BAFA6A" w14:textId="576693CD" w:rsidR="00BD0C77" w:rsidRPr="000E152E" w:rsidRDefault="00BD0C77" w:rsidP="006E5A52">
      <w:pPr>
        <w:spacing w:after="0" w:line="240" w:lineRule="auto"/>
        <w:jc w:val="center"/>
        <w:rPr>
          <w:rFonts w:ascii="Garamond" w:hAnsi="Garamond"/>
          <w:b/>
          <w:sz w:val="24"/>
          <w:szCs w:val="24"/>
        </w:rPr>
      </w:pPr>
      <w:r w:rsidRPr="000E152E">
        <w:rPr>
          <w:rFonts w:ascii="Garamond" w:hAnsi="Garamond"/>
          <w:b/>
          <w:sz w:val="24"/>
          <w:szCs w:val="24"/>
        </w:rPr>
        <w:t>PËR</w:t>
      </w:r>
      <w:r w:rsidR="00B24F9B" w:rsidRPr="000E152E">
        <w:rPr>
          <w:rFonts w:ascii="Garamond" w:hAnsi="Garamond"/>
          <w:b/>
          <w:sz w:val="24"/>
          <w:szCs w:val="24"/>
        </w:rPr>
        <w:t xml:space="preserve"> </w:t>
      </w:r>
      <w:r w:rsidRPr="000E152E">
        <w:rPr>
          <w:rFonts w:ascii="Garamond" w:hAnsi="Garamond"/>
          <w:b/>
          <w:sz w:val="24"/>
          <w:szCs w:val="24"/>
        </w:rPr>
        <w:t>MIRATIMIN E STRATEGJISË KOMBËTARE TË PUNËSIMIT DHE AFTËSIVE 2023</w:t>
      </w:r>
      <w:r w:rsidR="00F16A4B" w:rsidRPr="000E152E">
        <w:rPr>
          <w:rFonts w:ascii="Garamond" w:hAnsi="Garamond"/>
          <w:sz w:val="24"/>
          <w:szCs w:val="24"/>
        </w:rPr>
        <w:t>–</w:t>
      </w:r>
      <w:r w:rsidRPr="000E152E">
        <w:rPr>
          <w:rFonts w:ascii="Garamond" w:hAnsi="Garamond"/>
          <w:b/>
          <w:sz w:val="24"/>
          <w:szCs w:val="24"/>
        </w:rPr>
        <w:t>2030</w:t>
      </w:r>
      <w:r w:rsidR="00E10550" w:rsidRPr="000E152E">
        <w:rPr>
          <w:rFonts w:ascii="Garamond" w:hAnsi="Garamond"/>
          <w:b/>
          <w:sz w:val="24"/>
          <w:szCs w:val="24"/>
        </w:rPr>
        <w:t xml:space="preserve">, </w:t>
      </w:r>
      <w:r w:rsidRPr="000E152E">
        <w:rPr>
          <w:rFonts w:ascii="Garamond" w:hAnsi="Garamond"/>
          <w:b/>
          <w:sz w:val="24"/>
          <w:szCs w:val="24"/>
        </w:rPr>
        <w:t>PLANIT TË VEPRIMIT</w:t>
      </w:r>
      <w:r w:rsidR="000E152E" w:rsidRPr="000E152E">
        <w:rPr>
          <w:rFonts w:ascii="Garamond" w:hAnsi="Garamond"/>
          <w:b/>
          <w:sz w:val="24"/>
          <w:szCs w:val="24"/>
        </w:rPr>
        <w:t xml:space="preserve"> </w:t>
      </w:r>
      <w:r w:rsidRPr="000E152E">
        <w:rPr>
          <w:rFonts w:ascii="Garamond" w:hAnsi="Garamond"/>
          <w:b/>
          <w:sz w:val="24"/>
          <w:szCs w:val="24"/>
        </w:rPr>
        <w:t>PËR ZBATIMIN E SAJ</w:t>
      </w:r>
      <w:r w:rsidR="00D349F4" w:rsidRPr="000E152E">
        <w:rPr>
          <w:rFonts w:ascii="Garamond" w:hAnsi="Garamond"/>
          <w:b/>
          <w:sz w:val="24"/>
          <w:szCs w:val="24"/>
        </w:rPr>
        <w:t>,</w:t>
      </w:r>
      <w:r w:rsidRPr="000E152E">
        <w:rPr>
          <w:rFonts w:ascii="Garamond" w:hAnsi="Garamond"/>
          <w:b/>
          <w:sz w:val="24"/>
          <w:szCs w:val="24"/>
        </w:rPr>
        <w:t xml:space="preserve"> </w:t>
      </w:r>
      <w:r w:rsidR="00E10550" w:rsidRPr="000E152E">
        <w:rPr>
          <w:rFonts w:ascii="Garamond" w:hAnsi="Garamond"/>
          <w:b/>
          <w:sz w:val="24"/>
          <w:szCs w:val="24"/>
        </w:rPr>
        <w:t>SI DHE PLANIT TË ZBATIMI</w:t>
      </w:r>
      <w:r w:rsidR="00D349F4" w:rsidRPr="000E152E">
        <w:rPr>
          <w:rFonts w:ascii="Garamond" w:hAnsi="Garamond"/>
          <w:b/>
          <w:sz w:val="24"/>
          <w:szCs w:val="24"/>
        </w:rPr>
        <w:t>T TË GARANCISË RINORE 2023</w:t>
      </w:r>
      <w:r w:rsidR="00F16A4B" w:rsidRPr="000E152E">
        <w:rPr>
          <w:rFonts w:ascii="Garamond" w:hAnsi="Garamond"/>
          <w:sz w:val="24"/>
          <w:szCs w:val="24"/>
        </w:rPr>
        <w:t>–</w:t>
      </w:r>
      <w:r w:rsidR="00D349F4" w:rsidRPr="000E152E">
        <w:rPr>
          <w:rFonts w:ascii="Garamond" w:hAnsi="Garamond"/>
          <w:b/>
          <w:sz w:val="24"/>
          <w:szCs w:val="24"/>
        </w:rPr>
        <w:t>2024</w:t>
      </w:r>
    </w:p>
    <w:p w14:paraId="01BAFA6B" w14:textId="77777777" w:rsidR="00BD0C77" w:rsidRPr="000E152E" w:rsidRDefault="00BD0C77" w:rsidP="00B24F9B">
      <w:pPr>
        <w:spacing w:after="0" w:line="240" w:lineRule="auto"/>
        <w:ind w:firstLine="284"/>
        <w:jc w:val="both"/>
        <w:rPr>
          <w:rFonts w:ascii="Garamond" w:hAnsi="Garamond"/>
          <w:sz w:val="24"/>
          <w:szCs w:val="24"/>
        </w:rPr>
      </w:pPr>
    </w:p>
    <w:p w14:paraId="01BAFA6C" w14:textId="77777777" w:rsidR="00BD0C77" w:rsidRPr="000E152E" w:rsidRDefault="00BD0C77" w:rsidP="00B24F9B">
      <w:pPr>
        <w:spacing w:after="0" w:line="240" w:lineRule="auto"/>
        <w:ind w:firstLine="284"/>
        <w:jc w:val="both"/>
        <w:rPr>
          <w:rFonts w:ascii="Garamond" w:hAnsi="Garamond"/>
          <w:sz w:val="24"/>
          <w:szCs w:val="24"/>
        </w:rPr>
      </w:pPr>
      <w:r w:rsidRPr="000E152E">
        <w:rPr>
          <w:rFonts w:ascii="Garamond" w:hAnsi="Garamond"/>
          <w:sz w:val="24"/>
          <w:szCs w:val="24"/>
        </w:rPr>
        <w:t>Në mbështetje të nenit 100 të Kushtetutës, me propozimin e ministrit të Financave dhe Ekonomisë, Këshilli i Ministrave</w:t>
      </w:r>
    </w:p>
    <w:p w14:paraId="01BAFA6D" w14:textId="77777777" w:rsidR="005E06BB" w:rsidRPr="000E152E" w:rsidRDefault="005E06BB" w:rsidP="00B24F9B">
      <w:pPr>
        <w:spacing w:after="0" w:line="240" w:lineRule="auto"/>
        <w:ind w:firstLine="284"/>
        <w:jc w:val="both"/>
        <w:rPr>
          <w:rFonts w:ascii="Garamond" w:hAnsi="Garamond"/>
          <w:sz w:val="24"/>
          <w:szCs w:val="24"/>
        </w:rPr>
      </w:pPr>
    </w:p>
    <w:p w14:paraId="01BAFA6E" w14:textId="77777777" w:rsidR="00BD0C77" w:rsidRPr="000E152E" w:rsidRDefault="00B24F9B" w:rsidP="00B24F9B">
      <w:pPr>
        <w:spacing w:after="0" w:line="240" w:lineRule="auto"/>
        <w:ind w:firstLine="284"/>
        <w:jc w:val="center"/>
        <w:rPr>
          <w:rFonts w:ascii="Garamond" w:hAnsi="Garamond"/>
          <w:sz w:val="24"/>
          <w:szCs w:val="24"/>
        </w:rPr>
      </w:pPr>
      <w:r w:rsidRPr="000E152E">
        <w:rPr>
          <w:rFonts w:ascii="Garamond" w:hAnsi="Garamond"/>
          <w:sz w:val="24"/>
          <w:szCs w:val="24"/>
        </w:rPr>
        <w:t>VENDOS</w:t>
      </w:r>
      <w:r w:rsidR="00BD0C77" w:rsidRPr="000E152E">
        <w:rPr>
          <w:rFonts w:ascii="Garamond" w:hAnsi="Garamond"/>
          <w:sz w:val="24"/>
          <w:szCs w:val="24"/>
        </w:rPr>
        <w:t>I:</w:t>
      </w:r>
    </w:p>
    <w:p w14:paraId="01BAFA6F" w14:textId="77777777" w:rsidR="005E06BB" w:rsidRPr="000E152E" w:rsidRDefault="005E06BB" w:rsidP="00B24F9B">
      <w:pPr>
        <w:spacing w:after="0" w:line="240" w:lineRule="auto"/>
        <w:ind w:firstLine="284"/>
        <w:jc w:val="both"/>
        <w:rPr>
          <w:rFonts w:ascii="Garamond" w:hAnsi="Garamond"/>
          <w:sz w:val="24"/>
          <w:szCs w:val="24"/>
        </w:rPr>
      </w:pPr>
    </w:p>
    <w:p w14:paraId="01BAFA70" w14:textId="436B4E0F" w:rsidR="00BD0C77" w:rsidRPr="000E152E" w:rsidRDefault="00B24F9B" w:rsidP="00B24F9B">
      <w:pPr>
        <w:spacing w:after="0" w:line="240" w:lineRule="auto"/>
        <w:ind w:firstLine="284"/>
        <w:jc w:val="both"/>
        <w:rPr>
          <w:rFonts w:ascii="Garamond" w:hAnsi="Garamond"/>
          <w:sz w:val="24"/>
          <w:szCs w:val="24"/>
        </w:rPr>
      </w:pPr>
      <w:r w:rsidRPr="000E152E">
        <w:rPr>
          <w:rFonts w:ascii="Garamond" w:hAnsi="Garamond"/>
          <w:sz w:val="24"/>
          <w:szCs w:val="24"/>
        </w:rPr>
        <w:t xml:space="preserve">1. </w:t>
      </w:r>
      <w:r w:rsidR="00BD0C77" w:rsidRPr="000E152E">
        <w:rPr>
          <w:rFonts w:ascii="Garamond" w:hAnsi="Garamond"/>
          <w:sz w:val="24"/>
          <w:szCs w:val="24"/>
        </w:rPr>
        <w:t>Miratimin e Strategjisë Kombëtare të Punësimit dhe Aftësive 2023</w:t>
      </w:r>
      <w:r w:rsidR="003E0562" w:rsidRPr="000E152E">
        <w:rPr>
          <w:rFonts w:ascii="Garamond" w:hAnsi="Garamond"/>
          <w:sz w:val="24"/>
          <w:szCs w:val="24"/>
        </w:rPr>
        <w:t>–</w:t>
      </w:r>
      <w:r w:rsidR="00BD0C77" w:rsidRPr="000E152E">
        <w:rPr>
          <w:rFonts w:ascii="Garamond" w:hAnsi="Garamond"/>
          <w:sz w:val="24"/>
          <w:szCs w:val="24"/>
        </w:rPr>
        <w:t>2030</w:t>
      </w:r>
      <w:r w:rsidR="000772CE" w:rsidRPr="000E152E">
        <w:rPr>
          <w:rFonts w:ascii="Garamond" w:hAnsi="Garamond"/>
          <w:sz w:val="24"/>
          <w:szCs w:val="24"/>
        </w:rPr>
        <w:t xml:space="preserve">, </w:t>
      </w:r>
      <w:r w:rsidR="00BD0C77" w:rsidRPr="000E152E">
        <w:rPr>
          <w:rFonts w:ascii="Garamond" w:hAnsi="Garamond"/>
          <w:sz w:val="24"/>
          <w:szCs w:val="24"/>
        </w:rPr>
        <w:t>planit të veprimit për zbatimin e saj</w:t>
      </w:r>
      <w:r w:rsidR="00E10550" w:rsidRPr="000E152E">
        <w:rPr>
          <w:rFonts w:ascii="Garamond" w:hAnsi="Garamond"/>
          <w:sz w:val="24"/>
          <w:szCs w:val="24"/>
        </w:rPr>
        <w:t>,</w:t>
      </w:r>
      <w:r w:rsidR="000772CE" w:rsidRPr="000E152E">
        <w:rPr>
          <w:rFonts w:ascii="Garamond" w:hAnsi="Garamond"/>
          <w:sz w:val="24"/>
          <w:szCs w:val="24"/>
        </w:rPr>
        <w:t xml:space="preserve"> si dhe </w:t>
      </w:r>
      <w:r w:rsidR="003A3E1B" w:rsidRPr="000E152E">
        <w:rPr>
          <w:rFonts w:ascii="Garamond" w:hAnsi="Garamond"/>
          <w:sz w:val="24"/>
          <w:szCs w:val="24"/>
        </w:rPr>
        <w:t>p</w:t>
      </w:r>
      <w:r w:rsidR="000772CE" w:rsidRPr="000E152E">
        <w:rPr>
          <w:rFonts w:ascii="Garamond" w:hAnsi="Garamond"/>
          <w:sz w:val="24"/>
          <w:szCs w:val="24"/>
        </w:rPr>
        <w:t xml:space="preserve">lanit të </w:t>
      </w:r>
      <w:r w:rsidR="003A3E1B" w:rsidRPr="000E152E">
        <w:rPr>
          <w:rFonts w:ascii="Garamond" w:hAnsi="Garamond"/>
          <w:sz w:val="24"/>
          <w:szCs w:val="24"/>
        </w:rPr>
        <w:t>z</w:t>
      </w:r>
      <w:r w:rsidR="000772CE" w:rsidRPr="000E152E">
        <w:rPr>
          <w:rFonts w:ascii="Garamond" w:hAnsi="Garamond"/>
          <w:sz w:val="24"/>
          <w:szCs w:val="24"/>
        </w:rPr>
        <w:t xml:space="preserve">batimit të </w:t>
      </w:r>
      <w:r w:rsidR="003A3E1B" w:rsidRPr="000E152E">
        <w:rPr>
          <w:rFonts w:ascii="Garamond" w:hAnsi="Garamond"/>
          <w:sz w:val="24"/>
          <w:szCs w:val="24"/>
        </w:rPr>
        <w:t>g</w:t>
      </w:r>
      <w:r w:rsidR="000772CE" w:rsidRPr="000E152E">
        <w:rPr>
          <w:rFonts w:ascii="Garamond" w:hAnsi="Garamond"/>
          <w:sz w:val="24"/>
          <w:szCs w:val="24"/>
        </w:rPr>
        <w:t xml:space="preserve">arancisë </w:t>
      </w:r>
      <w:r w:rsidR="003A3E1B" w:rsidRPr="000E152E">
        <w:rPr>
          <w:rFonts w:ascii="Garamond" w:hAnsi="Garamond"/>
          <w:sz w:val="24"/>
          <w:szCs w:val="24"/>
        </w:rPr>
        <w:t>r</w:t>
      </w:r>
      <w:r w:rsidR="000772CE" w:rsidRPr="000E152E">
        <w:rPr>
          <w:rFonts w:ascii="Garamond" w:hAnsi="Garamond"/>
          <w:sz w:val="24"/>
          <w:szCs w:val="24"/>
        </w:rPr>
        <w:t>inore 2023</w:t>
      </w:r>
      <w:r w:rsidR="003E0562" w:rsidRPr="000E152E">
        <w:rPr>
          <w:rFonts w:ascii="Garamond" w:hAnsi="Garamond"/>
          <w:sz w:val="24"/>
          <w:szCs w:val="24"/>
        </w:rPr>
        <w:t>–</w:t>
      </w:r>
      <w:r w:rsidR="000772CE" w:rsidRPr="000E152E">
        <w:rPr>
          <w:rFonts w:ascii="Garamond" w:hAnsi="Garamond"/>
          <w:sz w:val="24"/>
          <w:szCs w:val="24"/>
        </w:rPr>
        <w:t>2024</w:t>
      </w:r>
      <w:r w:rsidR="00BD0C77" w:rsidRPr="000E152E">
        <w:rPr>
          <w:rFonts w:ascii="Garamond" w:hAnsi="Garamond"/>
          <w:sz w:val="24"/>
          <w:szCs w:val="24"/>
        </w:rPr>
        <w:t xml:space="preserve">, sipas teksteve që i bashkëlidhen këtij vendimi. </w:t>
      </w:r>
    </w:p>
    <w:p w14:paraId="01BAFA71" w14:textId="0D6F6954" w:rsidR="00BD0C77" w:rsidRPr="000E152E" w:rsidRDefault="00B24F9B" w:rsidP="00B24F9B">
      <w:pPr>
        <w:spacing w:after="0" w:line="240" w:lineRule="auto"/>
        <w:ind w:firstLine="284"/>
        <w:jc w:val="both"/>
        <w:rPr>
          <w:rFonts w:ascii="Garamond" w:hAnsi="Garamond"/>
          <w:sz w:val="24"/>
          <w:szCs w:val="24"/>
        </w:rPr>
      </w:pPr>
      <w:r w:rsidRPr="000E152E">
        <w:rPr>
          <w:rFonts w:ascii="Garamond" w:hAnsi="Garamond"/>
          <w:sz w:val="24"/>
          <w:szCs w:val="24"/>
        </w:rPr>
        <w:t xml:space="preserve">2. </w:t>
      </w:r>
      <w:r w:rsidR="003A3E1B" w:rsidRPr="000E152E">
        <w:rPr>
          <w:rFonts w:ascii="Garamond" w:hAnsi="Garamond"/>
          <w:sz w:val="24"/>
          <w:szCs w:val="24"/>
        </w:rPr>
        <w:t>Vendimi nr.</w:t>
      </w:r>
      <w:r w:rsidR="003E0562" w:rsidRPr="000E152E">
        <w:rPr>
          <w:rFonts w:ascii="Garamond" w:hAnsi="Garamond"/>
          <w:sz w:val="24"/>
          <w:szCs w:val="24"/>
        </w:rPr>
        <w:t xml:space="preserve"> </w:t>
      </w:r>
      <w:r w:rsidR="00BD0C77" w:rsidRPr="000E152E">
        <w:rPr>
          <w:rFonts w:ascii="Garamond" w:hAnsi="Garamond"/>
          <w:sz w:val="24"/>
          <w:szCs w:val="24"/>
        </w:rPr>
        <w:t>659, datë 10.10.2019</w:t>
      </w:r>
      <w:r w:rsidR="003A3E1B" w:rsidRPr="000E152E">
        <w:rPr>
          <w:rFonts w:ascii="Garamond" w:hAnsi="Garamond"/>
          <w:sz w:val="24"/>
          <w:szCs w:val="24"/>
        </w:rPr>
        <w:t>,</w:t>
      </w:r>
      <w:r w:rsidR="00BD0C77" w:rsidRPr="000E152E">
        <w:rPr>
          <w:rFonts w:ascii="Garamond" w:hAnsi="Garamond"/>
          <w:sz w:val="24"/>
          <w:szCs w:val="24"/>
        </w:rPr>
        <w:t xml:space="preserve"> </w:t>
      </w:r>
      <w:r w:rsidR="006752BC">
        <w:rPr>
          <w:rFonts w:ascii="Garamond" w:hAnsi="Garamond"/>
          <w:sz w:val="24"/>
          <w:szCs w:val="24"/>
        </w:rPr>
        <w:t>“</w:t>
      </w:r>
      <w:r w:rsidR="00BD0C77" w:rsidRPr="000E152E">
        <w:rPr>
          <w:rFonts w:ascii="Garamond" w:hAnsi="Garamond"/>
          <w:sz w:val="24"/>
          <w:szCs w:val="24"/>
        </w:rPr>
        <w:t>Për miratimin e Strategjisë Kombëtare për Punësim dhe Aftësi 2019–2022 dhe të planit të veprimit për zbatimin e saj</w:t>
      </w:r>
      <w:r w:rsidR="006752BC">
        <w:rPr>
          <w:rFonts w:ascii="Garamond" w:hAnsi="Garamond"/>
          <w:sz w:val="24"/>
          <w:szCs w:val="24"/>
        </w:rPr>
        <w:t>”</w:t>
      </w:r>
      <w:r w:rsidR="00D349F4" w:rsidRPr="000E152E">
        <w:rPr>
          <w:rFonts w:ascii="Garamond" w:hAnsi="Garamond"/>
          <w:sz w:val="24"/>
          <w:szCs w:val="24"/>
        </w:rPr>
        <w:t>, t</w:t>
      </w:r>
      <w:r w:rsidR="003A3E1B" w:rsidRPr="000E152E">
        <w:rPr>
          <w:rFonts w:ascii="Garamond" w:hAnsi="Garamond"/>
          <w:sz w:val="24"/>
          <w:szCs w:val="24"/>
        </w:rPr>
        <w:t>ë</w:t>
      </w:r>
      <w:r w:rsidR="00BD0C77" w:rsidRPr="000E152E">
        <w:rPr>
          <w:rFonts w:ascii="Garamond" w:hAnsi="Garamond"/>
          <w:sz w:val="24"/>
          <w:szCs w:val="24"/>
        </w:rPr>
        <w:t xml:space="preserve"> ndryshuar, shfuqizohet.</w:t>
      </w:r>
    </w:p>
    <w:p w14:paraId="01BAFA72" w14:textId="77777777" w:rsidR="00BD0C77" w:rsidRPr="000E152E" w:rsidRDefault="00B24F9B" w:rsidP="00A87593">
      <w:pPr>
        <w:pStyle w:val="TEKSTIIII"/>
      </w:pPr>
      <w:r w:rsidRPr="000E152E">
        <w:t xml:space="preserve">3. </w:t>
      </w:r>
      <w:r w:rsidR="00BD0C77" w:rsidRPr="000E152E">
        <w:t>Ngarkohen Ministria e Financave dhe Ekonomisë, Agjencia Kombëtare e Punësimit dhe Aftësive, Agjencia Kombëtare për Arsimin, Formimin Profesional dhe Kualifikimet dhe Inspektorati Shtetëror i Punës dhe Shërbimeve Shoqërore për ndjekjen dhe zbatimin e këtij vendimi.</w:t>
      </w:r>
    </w:p>
    <w:p w14:paraId="01BAFA73" w14:textId="77777777" w:rsidR="00BD0C77" w:rsidRPr="000E152E" w:rsidRDefault="00BD0C77" w:rsidP="00B24F9B">
      <w:pPr>
        <w:spacing w:after="0" w:line="240" w:lineRule="auto"/>
        <w:ind w:firstLine="284"/>
        <w:jc w:val="both"/>
        <w:rPr>
          <w:rFonts w:ascii="Garamond" w:hAnsi="Garamond"/>
          <w:sz w:val="24"/>
          <w:szCs w:val="24"/>
        </w:rPr>
      </w:pPr>
      <w:r w:rsidRPr="000E152E">
        <w:rPr>
          <w:rFonts w:ascii="Garamond" w:hAnsi="Garamond"/>
          <w:sz w:val="24"/>
          <w:szCs w:val="24"/>
        </w:rPr>
        <w:t>Ky ven</w:t>
      </w:r>
      <w:r w:rsidR="00B24F9B" w:rsidRPr="000E152E">
        <w:rPr>
          <w:rFonts w:ascii="Garamond" w:hAnsi="Garamond"/>
          <w:sz w:val="24"/>
          <w:szCs w:val="24"/>
        </w:rPr>
        <w:t>dim hyn në fuqi pas botimit në Fletoren Zyrtare</w:t>
      </w:r>
      <w:r w:rsidRPr="000E152E">
        <w:rPr>
          <w:rFonts w:ascii="Garamond" w:hAnsi="Garamond"/>
          <w:sz w:val="24"/>
          <w:szCs w:val="24"/>
        </w:rPr>
        <w:t xml:space="preserve">. </w:t>
      </w:r>
    </w:p>
    <w:p w14:paraId="01BAFA74" w14:textId="77777777" w:rsidR="00BD0C77" w:rsidRPr="000E152E" w:rsidRDefault="00BD0C77" w:rsidP="00B24F9B">
      <w:pPr>
        <w:spacing w:after="0" w:line="240" w:lineRule="auto"/>
        <w:ind w:firstLine="284"/>
        <w:jc w:val="both"/>
        <w:rPr>
          <w:rFonts w:ascii="Garamond" w:hAnsi="Garamond"/>
          <w:sz w:val="24"/>
          <w:szCs w:val="24"/>
        </w:rPr>
      </w:pPr>
    </w:p>
    <w:p w14:paraId="01BAFA75" w14:textId="77777777" w:rsidR="005E06BB" w:rsidRPr="000E152E" w:rsidRDefault="00B24F9B" w:rsidP="00B24F9B">
      <w:pPr>
        <w:spacing w:after="0" w:line="240" w:lineRule="auto"/>
        <w:ind w:firstLine="284"/>
        <w:jc w:val="right"/>
        <w:rPr>
          <w:rFonts w:ascii="Garamond" w:hAnsi="Garamond"/>
          <w:sz w:val="24"/>
          <w:szCs w:val="24"/>
        </w:rPr>
      </w:pPr>
      <w:r w:rsidRPr="000E152E">
        <w:rPr>
          <w:rFonts w:ascii="Garamond" w:hAnsi="Garamond"/>
          <w:sz w:val="24"/>
          <w:szCs w:val="24"/>
        </w:rPr>
        <w:t>ZËVENDËSKRYEMINISTËR</w:t>
      </w:r>
    </w:p>
    <w:p w14:paraId="01BAFA76" w14:textId="77777777" w:rsidR="005E06BB" w:rsidRPr="000E152E" w:rsidRDefault="00B24F9B" w:rsidP="00B24F9B">
      <w:pPr>
        <w:spacing w:after="0" w:line="240" w:lineRule="auto"/>
        <w:ind w:firstLine="284"/>
        <w:jc w:val="right"/>
        <w:rPr>
          <w:rFonts w:ascii="Garamond" w:hAnsi="Garamond"/>
          <w:b/>
          <w:sz w:val="24"/>
          <w:szCs w:val="24"/>
        </w:rPr>
      </w:pPr>
      <w:r w:rsidRPr="000E152E">
        <w:rPr>
          <w:rFonts w:ascii="Garamond" w:hAnsi="Garamond"/>
          <w:b/>
          <w:sz w:val="24"/>
          <w:szCs w:val="24"/>
        </w:rPr>
        <w:t>Belinda Balluku</w:t>
      </w:r>
    </w:p>
    <w:p w14:paraId="01BAFA77" w14:textId="77777777" w:rsidR="00A87593" w:rsidRPr="000E152E" w:rsidRDefault="00A87593" w:rsidP="00B24F9B">
      <w:pPr>
        <w:spacing w:after="0" w:line="240" w:lineRule="auto"/>
        <w:ind w:firstLine="284"/>
        <w:jc w:val="right"/>
        <w:rPr>
          <w:rFonts w:ascii="Garamond" w:hAnsi="Garamond"/>
          <w:b/>
          <w:sz w:val="24"/>
          <w:szCs w:val="24"/>
        </w:rPr>
      </w:pPr>
    </w:p>
    <w:p w14:paraId="01BAFA78" w14:textId="12C2B794" w:rsidR="00A87593" w:rsidRPr="000E152E" w:rsidRDefault="00A87593" w:rsidP="00A87593">
      <w:pPr>
        <w:pStyle w:val="TEKSTIIII"/>
        <w:jc w:val="center"/>
        <w:rPr>
          <w:b/>
        </w:rPr>
      </w:pPr>
      <w:r w:rsidRPr="000E152E">
        <w:rPr>
          <w:b/>
        </w:rPr>
        <w:t>Strategjia Kombëtare e Punësimit dhe Aftësive 2023</w:t>
      </w:r>
      <w:r w:rsidR="00B05F6D" w:rsidRPr="000E152E">
        <w:rPr>
          <w:b/>
        </w:rPr>
        <w:t>–</w:t>
      </w:r>
      <w:r w:rsidRPr="000E152E">
        <w:rPr>
          <w:b/>
        </w:rPr>
        <w:t>2030</w:t>
      </w:r>
    </w:p>
    <w:p w14:paraId="01BAFA79" w14:textId="77777777" w:rsidR="00A87593" w:rsidRPr="000E152E" w:rsidRDefault="00A87593" w:rsidP="00A87593">
      <w:pPr>
        <w:pStyle w:val="TEKSTIIII"/>
        <w:jc w:val="center"/>
        <w:rPr>
          <w:b/>
        </w:rPr>
      </w:pPr>
      <w:r w:rsidRPr="000E152E">
        <w:rPr>
          <w:b/>
        </w:rPr>
        <w:t>29.12.2022</w:t>
      </w:r>
    </w:p>
    <w:p w14:paraId="01BAFA7A" w14:textId="77777777" w:rsidR="008334B9" w:rsidRPr="000E152E" w:rsidRDefault="008334B9" w:rsidP="008334B9">
      <w:pPr>
        <w:pStyle w:val="TEKSTIIII"/>
      </w:pPr>
    </w:p>
    <w:p w14:paraId="01BAFA7B" w14:textId="52BFD605" w:rsidR="008334B9" w:rsidRPr="00CB75B5" w:rsidRDefault="00CB75B5" w:rsidP="00CB75B5">
      <w:pPr>
        <w:pStyle w:val="TEKSTIIII"/>
        <w:rPr>
          <w:b/>
        </w:rPr>
      </w:pPr>
      <w:r w:rsidRPr="00CB75B5">
        <w:rPr>
          <w:b/>
        </w:rPr>
        <w:t>Tabela e përmbajtjes</w:t>
      </w:r>
    </w:p>
    <w:p w14:paraId="01BAFA7D" w14:textId="393B44C1" w:rsidR="008334B9" w:rsidRPr="000E152E" w:rsidRDefault="00CB75B5" w:rsidP="008334B9">
      <w:pPr>
        <w:pStyle w:val="TEKSTIIII"/>
      </w:pPr>
      <w:r w:rsidRPr="000E152E">
        <w:t>Tabelat dhe figurat</w:t>
      </w:r>
    </w:p>
    <w:p w14:paraId="01BAFA7E" w14:textId="7E4B93AC" w:rsidR="008334B9" w:rsidRPr="000E152E" w:rsidRDefault="00CB75B5" w:rsidP="008334B9">
      <w:pPr>
        <w:pStyle w:val="TEKSTIIII"/>
      </w:pPr>
      <w:r w:rsidRPr="000E152E">
        <w:t>Lista e shkurtimeve</w:t>
      </w:r>
    </w:p>
    <w:p w14:paraId="01BAFA7F" w14:textId="77777777" w:rsidR="008334B9" w:rsidRPr="000E152E" w:rsidRDefault="00CB75B5" w:rsidP="008334B9">
      <w:pPr>
        <w:pStyle w:val="TEKSTIIII"/>
      </w:pPr>
      <w:r w:rsidRPr="000E152E">
        <w:t>I. KUADRI STRATEGJIK</w:t>
      </w:r>
    </w:p>
    <w:p w14:paraId="01BAFA80" w14:textId="29A2BFC7" w:rsidR="008334B9" w:rsidRPr="000E152E" w:rsidRDefault="008334B9" w:rsidP="00A85563">
      <w:pPr>
        <w:pStyle w:val="TEKSTIIII"/>
      </w:pPr>
      <w:r w:rsidRPr="000E152E">
        <w:t>1.1</w:t>
      </w:r>
      <w:r w:rsidR="002239C2" w:rsidRPr="000E152E">
        <w:t xml:space="preserve"> </w:t>
      </w:r>
      <w:r w:rsidR="00E55952" w:rsidRPr="000E152E">
        <w:t xml:space="preserve">Konteksti </w:t>
      </w:r>
      <w:r w:rsidR="00CB75B5" w:rsidRPr="000E152E">
        <w:t>ekonomik dhe i tregut të punës</w:t>
      </w:r>
      <w:r w:rsidR="002239C2" w:rsidRPr="000E152E">
        <w:t xml:space="preserve"> </w:t>
      </w:r>
    </w:p>
    <w:p w14:paraId="01BAFA81" w14:textId="442084C1" w:rsidR="008334B9" w:rsidRPr="000E152E" w:rsidRDefault="008334B9" w:rsidP="00A85563">
      <w:pPr>
        <w:pStyle w:val="TEKSTIIII"/>
      </w:pPr>
      <w:r w:rsidRPr="000E152E">
        <w:t>1.2</w:t>
      </w:r>
      <w:r w:rsidR="002239C2" w:rsidRPr="000E152E">
        <w:t xml:space="preserve"> </w:t>
      </w:r>
      <w:r w:rsidR="00E55952" w:rsidRPr="000E152E">
        <w:t xml:space="preserve">Konteksti </w:t>
      </w:r>
      <w:r w:rsidR="00CB75B5" w:rsidRPr="000E152E">
        <w:t>strategjik 2030 dhe objektivat e zhvillimit të qëndrueshëm</w:t>
      </w:r>
    </w:p>
    <w:p w14:paraId="01BAFA82" w14:textId="77777777" w:rsidR="008334B9" w:rsidRPr="000E152E" w:rsidRDefault="008334B9" w:rsidP="008334B9">
      <w:pPr>
        <w:pStyle w:val="TEKSTIIII"/>
      </w:pPr>
      <w:r w:rsidRPr="000E152E">
        <w:t>II.</w:t>
      </w:r>
      <w:r w:rsidR="002239C2" w:rsidRPr="000E152E">
        <w:t xml:space="preserve"> </w:t>
      </w:r>
      <w:r w:rsidRPr="000E152E">
        <w:t>SFIDAT KRYESORE TË SEKTORIT DHE INSTITUCIONALE PËR ZHVILLIMIN E VENDIT PËR TË ARDHMEN DHE PROCESIN E ANËTARËSIMIT NË BE</w:t>
      </w:r>
    </w:p>
    <w:p w14:paraId="01BAFA83" w14:textId="23EAC285" w:rsidR="008334B9" w:rsidRPr="000E152E" w:rsidRDefault="008334B9" w:rsidP="00A85563">
      <w:pPr>
        <w:pStyle w:val="TEKSTIIII"/>
      </w:pPr>
      <w:r w:rsidRPr="000E152E">
        <w:t>2.1</w:t>
      </w:r>
      <w:r w:rsidR="002239C2" w:rsidRPr="000E152E">
        <w:t xml:space="preserve"> </w:t>
      </w:r>
      <w:r w:rsidR="00CB75B5" w:rsidRPr="000E152E">
        <w:t xml:space="preserve">Sfidat e tregut të punës dhe aftësive </w:t>
      </w:r>
    </w:p>
    <w:p w14:paraId="01BAFA84" w14:textId="1DC3B3AE" w:rsidR="008334B9" w:rsidRPr="000E152E" w:rsidRDefault="008334B9" w:rsidP="00A85563">
      <w:pPr>
        <w:pStyle w:val="TEKSTIIII"/>
      </w:pPr>
      <w:r w:rsidRPr="000E152E">
        <w:t>2.1.1</w:t>
      </w:r>
      <w:r w:rsidR="002239C2" w:rsidRPr="000E152E">
        <w:t xml:space="preserve"> </w:t>
      </w:r>
      <w:r w:rsidR="00CB75B5" w:rsidRPr="000E152E">
        <w:t>Zhvillimi i aftësive</w:t>
      </w:r>
    </w:p>
    <w:p w14:paraId="01BAFA85" w14:textId="107446AA" w:rsidR="008334B9" w:rsidRPr="000E152E" w:rsidRDefault="008334B9" w:rsidP="00A85563">
      <w:pPr>
        <w:pStyle w:val="TEKSTIIII"/>
      </w:pPr>
      <w:r w:rsidRPr="000E152E">
        <w:t>2.1.2</w:t>
      </w:r>
      <w:r w:rsidR="002239C2" w:rsidRPr="000E152E">
        <w:t xml:space="preserve"> </w:t>
      </w:r>
      <w:r w:rsidR="00CB75B5" w:rsidRPr="000E152E">
        <w:t>Funksionimi i tregut të punës</w:t>
      </w:r>
    </w:p>
    <w:p w14:paraId="01BAFA86" w14:textId="36AE22D9" w:rsidR="008334B9" w:rsidRPr="000E152E" w:rsidRDefault="008334B9" w:rsidP="00A85563">
      <w:pPr>
        <w:pStyle w:val="TEKSTIIII"/>
      </w:pPr>
      <w:r w:rsidRPr="000E152E">
        <w:t>2.1.3</w:t>
      </w:r>
      <w:r w:rsidR="002239C2" w:rsidRPr="000E152E">
        <w:t xml:space="preserve"> </w:t>
      </w:r>
      <w:r w:rsidR="00CB75B5" w:rsidRPr="000E152E">
        <w:t>Cilësia e punës</w:t>
      </w:r>
    </w:p>
    <w:p w14:paraId="01BAFA87" w14:textId="57FFEEEA" w:rsidR="008334B9" w:rsidRPr="000E152E" w:rsidRDefault="008334B9" w:rsidP="008334B9">
      <w:pPr>
        <w:pStyle w:val="TEKSTIIII"/>
      </w:pPr>
      <w:r w:rsidRPr="000E152E">
        <w:t xml:space="preserve">2.2 </w:t>
      </w:r>
      <w:r w:rsidR="00CB75B5" w:rsidRPr="000E152E">
        <w:t>Politikat aktuale të tregut të punës dhe sfidat institucionale</w:t>
      </w:r>
    </w:p>
    <w:p w14:paraId="01BAFA88" w14:textId="3CED2021" w:rsidR="008334B9" w:rsidRPr="000E152E" w:rsidRDefault="008334B9" w:rsidP="008334B9">
      <w:pPr>
        <w:pStyle w:val="TEKSTIIII"/>
      </w:pPr>
      <w:r w:rsidRPr="000E152E">
        <w:t xml:space="preserve">2.2.1 </w:t>
      </w:r>
      <w:r w:rsidR="00CB75B5" w:rsidRPr="000E152E">
        <w:t>Shërbimet e punësimit</w:t>
      </w:r>
    </w:p>
    <w:p w14:paraId="01BAFA89" w14:textId="0A62ACB6" w:rsidR="008334B9" w:rsidRPr="000E152E" w:rsidRDefault="008334B9" w:rsidP="008334B9">
      <w:pPr>
        <w:pStyle w:val="TEKSTIIII"/>
      </w:pPr>
      <w:r w:rsidRPr="000E152E">
        <w:t xml:space="preserve">2.2.2 </w:t>
      </w:r>
      <w:r w:rsidR="00CB75B5" w:rsidRPr="000E152E">
        <w:t>Programet e nxitjes së punësimit</w:t>
      </w:r>
    </w:p>
    <w:p w14:paraId="01BAFA8A" w14:textId="0118F43E" w:rsidR="008334B9" w:rsidRPr="000E152E" w:rsidRDefault="008334B9" w:rsidP="008334B9">
      <w:pPr>
        <w:pStyle w:val="TEKSTIIII"/>
      </w:pPr>
      <w:r w:rsidRPr="000E152E">
        <w:t xml:space="preserve">2.2.3 </w:t>
      </w:r>
      <w:r w:rsidR="00CB75B5" w:rsidRPr="000E152E">
        <w:t xml:space="preserve">Arsimi dhe formimi profesional </w:t>
      </w:r>
    </w:p>
    <w:p w14:paraId="01BAFA8B" w14:textId="23C39390" w:rsidR="008334B9" w:rsidRPr="000E152E" w:rsidRDefault="008334B9" w:rsidP="008334B9">
      <w:pPr>
        <w:pStyle w:val="TEKSTIIII"/>
      </w:pPr>
      <w:r w:rsidRPr="000E152E">
        <w:t xml:space="preserve">2.2.4 </w:t>
      </w:r>
      <w:r w:rsidR="00CB75B5">
        <w:t>I</w:t>
      </w:r>
      <w:r w:rsidR="00CB75B5" w:rsidRPr="000E152E">
        <w:t>nspektimi i punës</w:t>
      </w:r>
    </w:p>
    <w:p w14:paraId="01BAFA8C" w14:textId="3277CA78" w:rsidR="008334B9" w:rsidRPr="000E152E" w:rsidRDefault="008334B9" w:rsidP="008334B9">
      <w:pPr>
        <w:pStyle w:val="TEKSTIIII"/>
      </w:pPr>
      <w:r w:rsidRPr="000E152E">
        <w:t xml:space="preserve">2.2.5 </w:t>
      </w:r>
      <w:r w:rsidR="00CB75B5">
        <w:t>P</w:t>
      </w:r>
      <w:r w:rsidR="00CB75B5" w:rsidRPr="000E152E">
        <w:t>artneriteti social</w:t>
      </w:r>
    </w:p>
    <w:p w14:paraId="01BAFA8D" w14:textId="269BB0BD" w:rsidR="008334B9" w:rsidRPr="000E152E" w:rsidRDefault="008334B9" w:rsidP="008334B9">
      <w:pPr>
        <w:pStyle w:val="TEKSTIIII"/>
      </w:pPr>
      <w:r w:rsidRPr="000E152E">
        <w:t xml:space="preserve">2.2.6 </w:t>
      </w:r>
      <w:r w:rsidR="00CB75B5" w:rsidRPr="000E152E">
        <w:t>Legjislacioni për mbrojtjen e punësimit</w:t>
      </w:r>
    </w:p>
    <w:p w14:paraId="01BAFA8E" w14:textId="38AFEC26" w:rsidR="008334B9" w:rsidRPr="000E152E" w:rsidRDefault="008334B9" w:rsidP="008334B9">
      <w:pPr>
        <w:pStyle w:val="TEKSTIIII"/>
      </w:pPr>
      <w:r w:rsidRPr="000E152E">
        <w:t xml:space="preserve">2.2.7 </w:t>
      </w:r>
      <w:r w:rsidR="00CB75B5" w:rsidRPr="000E152E">
        <w:t>Paga minimale</w:t>
      </w:r>
    </w:p>
    <w:p w14:paraId="01BAFA8F" w14:textId="12599761" w:rsidR="008334B9" w:rsidRPr="000E152E" w:rsidRDefault="008334B9" w:rsidP="008334B9">
      <w:pPr>
        <w:pStyle w:val="TEKSTIIII"/>
      </w:pPr>
      <w:r w:rsidRPr="000E152E">
        <w:t xml:space="preserve">2.2.8 </w:t>
      </w:r>
      <w:r w:rsidR="00CB75B5" w:rsidRPr="000E152E">
        <w:t>Politika pasive e tregut të punës</w:t>
      </w:r>
    </w:p>
    <w:p w14:paraId="01BAFA90" w14:textId="0C63CEE5" w:rsidR="008334B9" w:rsidRPr="000E152E" w:rsidRDefault="008334B9" w:rsidP="00A85563">
      <w:pPr>
        <w:pStyle w:val="TEKSTIIII"/>
      </w:pPr>
      <w:r w:rsidRPr="000E152E">
        <w:t>2.2.9</w:t>
      </w:r>
      <w:r w:rsidR="00A85563" w:rsidRPr="000E152E">
        <w:t xml:space="preserve"> </w:t>
      </w:r>
      <w:r w:rsidR="00CB75B5" w:rsidRPr="000E152E">
        <w:t>Tatimi i punës</w:t>
      </w:r>
    </w:p>
    <w:p w14:paraId="01BAFA91" w14:textId="77777777" w:rsidR="008334B9" w:rsidRPr="000E152E" w:rsidRDefault="008334B9" w:rsidP="008334B9">
      <w:pPr>
        <w:pStyle w:val="TEKSTIIII"/>
      </w:pPr>
      <w:r w:rsidRPr="000E152E">
        <w:lastRenderedPageBreak/>
        <w:t>III.</w:t>
      </w:r>
      <w:r w:rsidR="002239C2" w:rsidRPr="000E152E">
        <w:t xml:space="preserve"> </w:t>
      </w:r>
      <w:r w:rsidRPr="000E152E">
        <w:t>VIZIONI, SHTYLLAT OSE FUSHAT STRATEGJIKE DHE QËLLIMET E POLITIKAVE</w:t>
      </w:r>
      <w:r w:rsidR="002239C2" w:rsidRPr="000E152E">
        <w:t xml:space="preserve"> </w:t>
      </w:r>
    </w:p>
    <w:p w14:paraId="01BAFA92" w14:textId="16FC26B0" w:rsidR="008334B9" w:rsidRPr="000E152E" w:rsidRDefault="008334B9" w:rsidP="00A85563">
      <w:pPr>
        <w:pStyle w:val="TEKSTIIII"/>
      </w:pPr>
      <w:r w:rsidRPr="000E152E">
        <w:t>3.1</w:t>
      </w:r>
      <w:r w:rsidR="002239C2" w:rsidRPr="000E152E">
        <w:t xml:space="preserve"> </w:t>
      </w:r>
      <w:r w:rsidR="00CB75B5">
        <w:t>V</w:t>
      </w:r>
      <w:r w:rsidR="00CB75B5" w:rsidRPr="000E152E">
        <w:t>izioni</w:t>
      </w:r>
    </w:p>
    <w:p w14:paraId="01BAFA93" w14:textId="542E0569" w:rsidR="008334B9" w:rsidRPr="000E152E" w:rsidRDefault="008334B9" w:rsidP="00A85563">
      <w:pPr>
        <w:pStyle w:val="TEKSTIIII"/>
      </w:pPr>
      <w:r w:rsidRPr="000E152E">
        <w:t>3.2</w:t>
      </w:r>
      <w:r w:rsidR="002239C2" w:rsidRPr="000E152E">
        <w:t xml:space="preserve"> </w:t>
      </w:r>
      <w:r w:rsidR="00CB75B5">
        <w:t>Q</w:t>
      </w:r>
      <w:r w:rsidR="00CB75B5" w:rsidRPr="000E152E">
        <w:t>ëllimet e politikës</w:t>
      </w:r>
    </w:p>
    <w:p w14:paraId="01BAFA94" w14:textId="00BEF520" w:rsidR="008334B9" w:rsidRPr="000E152E" w:rsidRDefault="008334B9" w:rsidP="00A85563">
      <w:pPr>
        <w:pStyle w:val="TEKSTIIII"/>
      </w:pPr>
      <w:r w:rsidRPr="000E152E">
        <w:t>3.2.1</w:t>
      </w:r>
      <w:r w:rsidR="002239C2" w:rsidRPr="000E152E">
        <w:t xml:space="preserve"> </w:t>
      </w:r>
      <w:r w:rsidR="00CB75B5">
        <w:t>Q</w:t>
      </w:r>
      <w:r w:rsidR="00CB75B5" w:rsidRPr="000E152E">
        <w:t>ëllimi i politikës 1: zhvillimi i aftësive dhe lidhje më e mirë e kërkesës me ofertën në tregun e punës për më shumë punësim</w:t>
      </w:r>
    </w:p>
    <w:p w14:paraId="01BAFA95" w14:textId="72728679" w:rsidR="008334B9" w:rsidRPr="000E152E" w:rsidRDefault="00CB75B5" w:rsidP="008334B9">
      <w:pPr>
        <w:pStyle w:val="TEKSTIIII"/>
      </w:pPr>
      <w:r w:rsidRPr="000E152E">
        <w:t>Qëllimi i politikës 2: mundësimi i punësimit të denjë për gra dhe burra nëpërmjet zbatimit të politikave gjithëpërfshirëse të tregut të punës</w:t>
      </w:r>
      <w:r w:rsidR="002239C2" w:rsidRPr="000E152E">
        <w:t xml:space="preserve"> </w:t>
      </w:r>
    </w:p>
    <w:p w14:paraId="01BAFA96" w14:textId="77777777" w:rsidR="008334B9" w:rsidRPr="000E152E" w:rsidRDefault="008334B9" w:rsidP="008334B9">
      <w:pPr>
        <w:pStyle w:val="TEKSTIIII"/>
      </w:pPr>
      <w:r w:rsidRPr="000E152E">
        <w:t>IV.</w:t>
      </w:r>
      <w:r w:rsidR="002239C2" w:rsidRPr="000E152E">
        <w:t xml:space="preserve"> </w:t>
      </w:r>
      <w:r w:rsidRPr="000E152E">
        <w:t>LLOGARIDHËNIA, MONITORIMI DHE ANALIZAT VLERËSUESE</w:t>
      </w:r>
    </w:p>
    <w:p w14:paraId="01BAFA97" w14:textId="2A42B154" w:rsidR="008334B9" w:rsidRPr="000E152E" w:rsidRDefault="008334B9" w:rsidP="00A85563">
      <w:pPr>
        <w:pStyle w:val="TEKSTIIII"/>
      </w:pPr>
      <w:r w:rsidRPr="000E152E">
        <w:t>4.1</w:t>
      </w:r>
      <w:r w:rsidR="002239C2" w:rsidRPr="000E152E">
        <w:t xml:space="preserve"> </w:t>
      </w:r>
      <w:r w:rsidR="00166297" w:rsidRPr="000E152E">
        <w:t>Mekanizmat e zbatimit dhe koordinimit</w:t>
      </w:r>
    </w:p>
    <w:p w14:paraId="01BAFA98" w14:textId="4F409602" w:rsidR="008334B9" w:rsidRPr="000E152E" w:rsidRDefault="008334B9" w:rsidP="00A85563">
      <w:pPr>
        <w:pStyle w:val="TEKSTIIII"/>
      </w:pPr>
      <w:r w:rsidRPr="000E152E">
        <w:t>4.2</w:t>
      </w:r>
      <w:r w:rsidR="002239C2" w:rsidRPr="000E152E">
        <w:t xml:space="preserve"> </w:t>
      </w:r>
      <w:r w:rsidR="00166297" w:rsidRPr="000E152E">
        <w:t>Monitorimi dhe vlerësimi</w:t>
      </w:r>
    </w:p>
    <w:p w14:paraId="01BAFA99" w14:textId="05FC9D4A" w:rsidR="008334B9" w:rsidRPr="000E152E" w:rsidRDefault="008334B9" w:rsidP="008334B9">
      <w:pPr>
        <w:pStyle w:val="TEKSTIIII"/>
      </w:pPr>
      <w:r w:rsidRPr="000E152E">
        <w:t>V.</w:t>
      </w:r>
      <w:r w:rsidR="002239C2" w:rsidRPr="000E152E">
        <w:t xml:space="preserve"> </w:t>
      </w:r>
      <w:r w:rsidR="00166297" w:rsidRPr="000E152E">
        <w:t>Burimet financiare për zbatimin e strategjisë</w:t>
      </w:r>
    </w:p>
    <w:p w14:paraId="01BAFA9A" w14:textId="77777777" w:rsidR="008334B9" w:rsidRPr="000E152E" w:rsidRDefault="008334B9" w:rsidP="008334B9">
      <w:pPr>
        <w:pStyle w:val="TEKSTIIII"/>
      </w:pPr>
      <w:r w:rsidRPr="000E152E">
        <w:t>VI.</w:t>
      </w:r>
      <w:r w:rsidR="002239C2" w:rsidRPr="000E152E">
        <w:t xml:space="preserve"> </w:t>
      </w:r>
      <w:r w:rsidRPr="000E152E">
        <w:t>SHTOJCA</w:t>
      </w:r>
    </w:p>
    <w:p w14:paraId="01BAFA9B" w14:textId="4E7DB872" w:rsidR="008334B9" w:rsidRPr="000E152E" w:rsidRDefault="008334B9" w:rsidP="008334B9">
      <w:pPr>
        <w:pStyle w:val="TEKSTIIII"/>
      </w:pPr>
      <w:r w:rsidRPr="000E152E">
        <w:t xml:space="preserve">SHTOJCA 1: </w:t>
      </w:r>
      <w:r w:rsidR="00166297">
        <w:t>P</w:t>
      </w:r>
      <w:r w:rsidR="00166297" w:rsidRPr="000E152E">
        <w:t>lani i veprimit për zbatimin e strategjisë kombëtare të punësimit dhe aftësive 2023–2030</w:t>
      </w:r>
    </w:p>
    <w:p w14:paraId="01BAFA9C" w14:textId="1CCF72CD" w:rsidR="008334B9" w:rsidRPr="000E152E" w:rsidRDefault="008334B9" w:rsidP="008334B9">
      <w:pPr>
        <w:pStyle w:val="TEKSTIIII"/>
      </w:pPr>
      <w:r w:rsidRPr="000E152E">
        <w:t xml:space="preserve">SHTOJCA 2: </w:t>
      </w:r>
      <w:r w:rsidR="004C2433" w:rsidRPr="000E152E">
        <w:t>Treguesit</w:t>
      </w:r>
      <w:r w:rsidRPr="000E152E">
        <w:t xml:space="preserve"> </w:t>
      </w:r>
      <w:r w:rsidR="004C2433" w:rsidRPr="000E152E">
        <w:t>e monitorueshëm</w:t>
      </w:r>
    </w:p>
    <w:p w14:paraId="01BAFA9D" w14:textId="170331A9" w:rsidR="008334B9" w:rsidRPr="000E152E" w:rsidRDefault="008334B9" w:rsidP="008334B9">
      <w:pPr>
        <w:pStyle w:val="TEKSTIIII"/>
      </w:pPr>
      <w:r w:rsidRPr="000E152E">
        <w:t xml:space="preserve">SHTOJCA 3: </w:t>
      </w:r>
      <w:r w:rsidR="004C2433" w:rsidRPr="000E152E">
        <w:t>Plani i garancisë rinore</w:t>
      </w:r>
    </w:p>
    <w:p w14:paraId="01BAFA9F" w14:textId="77777777" w:rsidR="008334B9" w:rsidRPr="00F74F5F" w:rsidRDefault="008334B9" w:rsidP="008334B9">
      <w:pPr>
        <w:pStyle w:val="TEKSTIIII"/>
      </w:pPr>
      <w:r w:rsidRPr="00F74F5F">
        <w:t>Tabelat dhe figurat</w:t>
      </w:r>
    </w:p>
    <w:p w14:paraId="01BAFAA0" w14:textId="630DCE70" w:rsidR="008334B9" w:rsidRPr="000E152E" w:rsidRDefault="008334B9" w:rsidP="008334B9">
      <w:pPr>
        <w:pStyle w:val="TEKSTIIII"/>
      </w:pPr>
      <w:r w:rsidRPr="000E152E">
        <w:t xml:space="preserve">Tabela 1: Të dhëna kryesore mbi tregun e punës, 2021. Anketa e Forcave të Punës, INSTAT, </w:t>
      </w:r>
      <w:r w:rsidRPr="009326E9">
        <w:t>202</w:t>
      </w:r>
      <w:r w:rsidR="009326E9" w:rsidRPr="009326E9">
        <w:t>1</w:t>
      </w:r>
    </w:p>
    <w:p w14:paraId="01BAFAA1" w14:textId="77777777" w:rsidR="008334B9" w:rsidRPr="000E152E" w:rsidRDefault="008334B9" w:rsidP="008334B9">
      <w:pPr>
        <w:pStyle w:val="TEKSTIIII"/>
      </w:pPr>
      <w:r w:rsidRPr="000E152E">
        <w:t>Tabela 2: Tabela: Pagat mesatare dhe indeksi Kaitz sipas profesioneve të ndryshme</w:t>
      </w:r>
    </w:p>
    <w:p w14:paraId="01BAFAA2" w14:textId="77777777" w:rsidR="008334B9" w:rsidRPr="000E152E" w:rsidRDefault="008334B9" w:rsidP="008334B9">
      <w:pPr>
        <w:pStyle w:val="TEKSTIIII"/>
      </w:pPr>
      <w:r w:rsidRPr="000E152E">
        <w:t>Tabela 3: Kosto e Strategjisë Kombëtare e Punësimit dhe Aftësive, sipas burimit të financimit</w:t>
      </w:r>
    </w:p>
    <w:p w14:paraId="01BAFAA3" w14:textId="3B2124E2" w:rsidR="008334B9" w:rsidRPr="000E152E" w:rsidRDefault="008334B9" w:rsidP="008334B9">
      <w:pPr>
        <w:pStyle w:val="TEKSTIIII"/>
      </w:pPr>
      <w:r w:rsidRPr="000E152E">
        <w:t>Tabela 4: Kosto e Strategjisë Kombëtare të Punësimit dhe Aftësive 2023</w:t>
      </w:r>
      <w:r w:rsidR="00F16A4B" w:rsidRPr="000E152E">
        <w:t>–</w:t>
      </w:r>
      <w:r w:rsidRPr="000E152E">
        <w:t>2030, pa dalluar burimin e financimit</w:t>
      </w:r>
    </w:p>
    <w:p w14:paraId="01BAFAA4" w14:textId="507B9D50" w:rsidR="008334B9" w:rsidRPr="000E152E" w:rsidRDefault="008334B9" w:rsidP="008334B9">
      <w:pPr>
        <w:pStyle w:val="TEKSTIIII"/>
      </w:pPr>
      <w:r w:rsidRPr="000E152E">
        <w:t>Figura 1: Të punësuar kontribues dhe ndërmarrjet aktive 2014</w:t>
      </w:r>
      <w:r w:rsidR="00F16A4B" w:rsidRPr="000E152E">
        <w:t>–</w:t>
      </w:r>
      <w:r w:rsidRPr="000E152E">
        <w:t>2021</w:t>
      </w:r>
    </w:p>
    <w:p w14:paraId="01BAFAA5" w14:textId="017DB2D2" w:rsidR="008334B9" w:rsidRPr="000E152E" w:rsidRDefault="008334B9" w:rsidP="008334B9">
      <w:pPr>
        <w:pStyle w:val="TEKSTIIII"/>
      </w:pPr>
      <w:r w:rsidRPr="000E152E">
        <w:t>Figura 2: Rritja në punësim dhe produktivitet sipas sektorëve, 2011</w:t>
      </w:r>
      <w:r w:rsidR="00F16A4B" w:rsidRPr="000E152E">
        <w:t>–</w:t>
      </w:r>
      <w:r w:rsidRPr="000E152E">
        <w:t>2021</w:t>
      </w:r>
    </w:p>
    <w:p w14:paraId="01BAFAA6" w14:textId="2D829DEF" w:rsidR="008334B9" w:rsidRPr="000E152E" w:rsidRDefault="008334B9" w:rsidP="008334B9">
      <w:pPr>
        <w:pStyle w:val="TEKSTIIII"/>
      </w:pPr>
      <w:r w:rsidRPr="000E152E">
        <w:t>Figura 3: Shkalla e papunësisë, 2014</w:t>
      </w:r>
      <w:r w:rsidR="00F16A4B" w:rsidRPr="000E152E">
        <w:t>–</w:t>
      </w:r>
      <w:r w:rsidRPr="000E152E">
        <w:t>2021</w:t>
      </w:r>
    </w:p>
    <w:p w14:paraId="01BAFAA7" w14:textId="48A1E24B" w:rsidR="008334B9" w:rsidRPr="000E152E" w:rsidRDefault="008334B9" w:rsidP="008334B9">
      <w:pPr>
        <w:pStyle w:val="TEKSTIIII"/>
      </w:pPr>
      <w:r w:rsidRPr="000E152E">
        <w:t>Figura 4: Shkalla e punësimit, 2011</w:t>
      </w:r>
      <w:r w:rsidR="00F16A4B" w:rsidRPr="000E152E">
        <w:t>–</w:t>
      </w:r>
      <w:r w:rsidRPr="000E152E">
        <w:t>2021</w:t>
      </w:r>
    </w:p>
    <w:p w14:paraId="01BAFAA8" w14:textId="77777777" w:rsidR="008334B9" w:rsidRPr="000E152E" w:rsidRDefault="008334B9" w:rsidP="008334B9">
      <w:pPr>
        <w:pStyle w:val="TEKSTIIII"/>
      </w:pPr>
      <w:r w:rsidRPr="000E152E">
        <w:t>Figura 5: Pjesëmarrja në forcat e punës dhe shkalla e papunësisë në rajon dhe BE, 2019</w:t>
      </w:r>
    </w:p>
    <w:p w14:paraId="01BAFAA9" w14:textId="79FF5457" w:rsidR="008334B9" w:rsidRPr="000E152E" w:rsidRDefault="008334B9" w:rsidP="008334B9">
      <w:pPr>
        <w:pStyle w:val="TEKSTIIII"/>
      </w:pPr>
      <w:r w:rsidRPr="000E152E">
        <w:t>Figura 6: Popullsia e Shqipërisë, 2001</w:t>
      </w:r>
      <w:r w:rsidR="00F16A4B" w:rsidRPr="000E152E">
        <w:t>–</w:t>
      </w:r>
      <w:r w:rsidRPr="000E152E">
        <w:t>2022</w:t>
      </w:r>
    </w:p>
    <w:p w14:paraId="01BAFAAA" w14:textId="77777777" w:rsidR="008334B9" w:rsidRPr="000E152E" w:rsidRDefault="008334B9" w:rsidP="008334B9">
      <w:pPr>
        <w:pStyle w:val="TEKSTIIII"/>
      </w:pPr>
      <w:r w:rsidRPr="000E152E">
        <w:t>Figura 7: Figura: Llojet e ndryshme të punësimit dhe punësimi informal në sektorin jobujqësor</w:t>
      </w:r>
    </w:p>
    <w:p w14:paraId="2BA90D30" w14:textId="77777777" w:rsidR="00F74F5F" w:rsidRDefault="00F74F5F" w:rsidP="00487215">
      <w:pPr>
        <w:pStyle w:val="TEKSTIIII"/>
        <w:rPr>
          <w:b/>
        </w:rPr>
      </w:pPr>
      <w:bookmarkStart w:id="0" w:name="_Toc123165397"/>
    </w:p>
    <w:p w14:paraId="01BAFAAC" w14:textId="77777777" w:rsidR="00487215" w:rsidRPr="000E152E" w:rsidRDefault="00487215" w:rsidP="00487215">
      <w:pPr>
        <w:pStyle w:val="TEKSTIIII"/>
        <w:rPr>
          <w:b/>
        </w:rPr>
      </w:pPr>
      <w:r w:rsidRPr="000E152E">
        <w:rPr>
          <w:b/>
        </w:rPr>
        <w:t>Lista e shkurtimeve</w:t>
      </w:r>
      <w:bookmarkEnd w:id="0"/>
    </w:p>
    <w:tbl>
      <w:tblPr>
        <w:tblW w:w="9493" w:type="dxa"/>
        <w:tblLook w:val="04A0" w:firstRow="1" w:lastRow="0" w:firstColumn="1" w:lastColumn="0" w:noHBand="0" w:noVBand="1"/>
      </w:tblPr>
      <w:tblGrid>
        <w:gridCol w:w="1838"/>
        <w:gridCol w:w="7655"/>
      </w:tblGrid>
      <w:tr w:rsidR="00487215" w:rsidRPr="000E152E" w14:paraId="01BAFAB0" w14:textId="77777777" w:rsidTr="00620B96">
        <w:tc>
          <w:tcPr>
            <w:tcW w:w="1838" w:type="dxa"/>
          </w:tcPr>
          <w:p w14:paraId="01BAFAAE" w14:textId="77777777" w:rsidR="00487215" w:rsidRPr="000E152E" w:rsidRDefault="00487215" w:rsidP="00487215">
            <w:pPr>
              <w:pStyle w:val="TEKSTIIII"/>
              <w:ind w:firstLine="0"/>
            </w:pPr>
            <w:r w:rsidRPr="000E152E">
              <w:t>AFP</w:t>
            </w:r>
          </w:p>
        </w:tc>
        <w:tc>
          <w:tcPr>
            <w:tcW w:w="7655" w:type="dxa"/>
          </w:tcPr>
          <w:p w14:paraId="01BAFAAF" w14:textId="77777777" w:rsidR="00487215" w:rsidRPr="000E152E" w:rsidRDefault="00487215" w:rsidP="00487215">
            <w:pPr>
              <w:pStyle w:val="TEKSTIIII"/>
              <w:ind w:firstLine="0"/>
            </w:pPr>
            <w:r w:rsidRPr="000E152E">
              <w:t>Arsim dhe formim profesional</w:t>
            </w:r>
          </w:p>
        </w:tc>
      </w:tr>
      <w:tr w:rsidR="00487215" w:rsidRPr="000E152E" w14:paraId="01BAFAB3" w14:textId="77777777" w:rsidTr="00620B96">
        <w:tc>
          <w:tcPr>
            <w:tcW w:w="1838" w:type="dxa"/>
          </w:tcPr>
          <w:p w14:paraId="01BAFAB1" w14:textId="77777777" w:rsidR="00487215" w:rsidRPr="000E152E" w:rsidRDefault="00487215" w:rsidP="00487215">
            <w:pPr>
              <w:pStyle w:val="TEKSTIIII"/>
              <w:ind w:firstLine="0"/>
            </w:pPr>
            <w:r w:rsidRPr="000E152E">
              <w:t>AKAFPK</w:t>
            </w:r>
          </w:p>
        </w:tc>
        <w:tc>
          <w:tcPr>
            <w:tcW w:w="7655" w:type="dxa"/>
          </w:tcPr>
          <w:p w14:paraId="01BAFAB2" w14:textId="77777777" w:rsidR="00487215" w:rsidRPr="000E152E" w:rsidRDefault="00487215" w:rsidP="00487215">
            <w:pPr>
              <w:pStyle w:val="TEKSTIIII"/>
              <w:ind w:firstLine="0"/>
            </w:pPr>
            <w:r w:rsidRPr="000E152E">
              <w:t>Agjencia Kombëtare e Arsimit, Formimit Profesional dhe Kualifikimeve</w:t>
            </w:r>
          </w:p>
        </w:tc>
      </w:tr>
      <w:tr w:rsidR="00487215" w:rsidRPr="000E152E" w14:paraId="01BAFAB6" w14:textId="77777777" w:rsidTr="00620B96">
        <w:tc>
          <w:tcPr>
            <w:tcW w:w="1838" w:type="dxa"/>
          </w:tcPr>
          <w:p w14:paraId="01BAFAB4" w14:textId="77777777" w:rsidR="00487215" w:rsidRPr="000E152E" w:rsidRDefault="00487215" w:rsidP="00487215">
            <w:pPr>
              <w:pStyle w:val="TEKSTIIII"/>
              <w:ind w:firstLine="0"/>
            </w:pPr>
            <w:r w:rsidRPr="000E152E">
              <w:t>AKPA</w:t>
            </w:r>
          </w:p>
        </w:tc>
        <w:tc>
          <w:tcPr>
            <w:tcW w:w="7655" w:type="dxa"/>
          </w:tcPr>
          <w:p w14:paraId="01BAFAB5" w14:textId="77777777" w:rsidR="00487215" w:rsidRPr="000E152E" w:rsidRDefault="00487215" w:rsidP="00487215">
            <w:pPr>
              <w:pStyle w:val="TEKSTIIII"/>
              <w:ind w:firstLine="0"/>
            </w:pPr>
            <w:r w:rsidRPr="000E152E">
              <w:t>Agjencia Kombëtare e Punësimit dhe Aftësive</w:t>
            </w:r>
          </w:p>
        </w:tc>
      </w:tr>
      <w:tr w:rsidR="00487215" w:rsidRPr="000E152E" w14:paraId="01BAFAB9" w14:textId="77777777" w:rsidTr="00620B96">
        <w:tc>
          <w:tcPr>
            <w:tcW w:w="1838" w:type="dxa"/>
          </w:tcPr>
          <w:p w14:paraId="01BAFAB7" w14:textId="77777777" w:rsidR="00487215" w:rsidRPr="000E152E" w:rsidRDefault="00487215" w:rsidP="00487215">
            <w:pPr>
              <w:pStyle w:val="TEKSTIIII"/>
              <w:ind w:firstLine="0"/>
            </w:pPr>
            <w:r w:rsidRPr="000E152E">
              <w:t>AKR</w:t>
            </w:r>
          </w:p>
        </w:tc>
        <w:tc>
          <w:tcPr>
            <w:tcW w:w="7655" w:type="dxa"/>
          </w:tcPr>
          <w:p w14:paraId="01BAFAB8" w14:textId="77777777" w:rsidR="00487215" w:rsidRPr="000E152E" w:rsidRDefault="00487215" w:rsidP="00487215">
            <w:pPr>
              <w:pStyle w:val="TEKSTIIII"/>
              <w:ind w:firstLine="0"/>
            </w:pPr>
            <w:r w:rsidRPr="000E152E">
              <w:t>Agjencia Kombëtare e Rinisë</w:t>
            </w:r>
          </w:p>
        </w:tc>
      </w:tr>
      <w:tr w:rsidR="00487215" w:rsidRPr="000E152E" w14:paraId="01BAFABC" w14:textId="77777777" w:rsidTr="00620B96">
        <w:tc>
          <w:tcPr>
            <w:tcW w:w="1838" w:type="dxa"/>
          </w:tcPr>
          <w:p w14:paraId="01BAFABA" w14:textId="77777777" w:rsidR="00487215" w:rsidRPr="000E152E" w:rsidRDefault="00487215" w:rsidP="00487215">
            <w:pPr>
              <w:pStyle w:val="TEKSTIIII"/>
              <w:ind w:firstLine="0"/>
            </w:pPr>
            <w:r w:rsidRPr="000E152E">
              <w:t>APrP</w:t>
            </w:r>
          </w:p>
        </w:tc>
        <w:tc>
          <w:tcPr>
            <w:tcW w:w="7655" w:type="dxa"/>
          </w:tcPr>
          <w:p w14:paraId="01BAFABB" w14:textId="77777777" w:rsidR="00487215" w:rsidRPr="000E152E" w:rsidRDefault="00487215" w:rsidP="00487215">
            <w:pPr>
              <w:pStyle w:val="TEKSTIIII"/>
              <w:ind w:firstLine="0"/>
            </w:pPr>
            <w:r w:rsidRPr="000E152E">
              <w:t>Agjenci Private Punësimi</w:t>
            </w:r>
          </w:p>
        </w:tc>
      </w:tr>
      <w:tr w:rsidR="00487215" w:rsidRPr="000E152E" w14:paraId="01BAFABF" w14:textId="77777777" w:rsidTr="00620B96">
        <w:tc>
          <w:tcPr>
            <w:tcW w:w="1838" w:type="dxa"/>
          </w:tcPr>
          <w:p w14:paraId="01BAFABD" w14:textId="77777777" w:rsidR="00487215" w:rsidRPr="000E152E" w:rsidRDefault="00487215" w:rsidP="00487215">
            <w:pPr>
              <w:pStyle w:val="TEKSTIIII"/>
              <w:ind w:firstLine="0"/>
            </w:pPr>
            <w:r w:rsidRPr="000E152E">
              <w:t>BB</w:t>
            </w:r>
          </w:p>
        </w:tc>
        <w:tc>
          <w:tcPr>
            <w:tcW w:w="7655" w:type="dxa"/>
          </w:tcPr>
          <w:p w14:paraId="01BAFABE" w14:textId="77777777" w:rsidR="00487215" w:rsidRPr="000E152E" w:rsidRDefault="00487215" w:rsidP="00487215">
            <w:pPr>
              <w:pStyle w:val="TEKSTIIII"/>
              <w:ind w:firstLine="0"/>
            </w:pPr>
            <w:r w:rsidRPr="000E152E">
              <w:t>Banka Botërore</w:t>
            </w:r>
          </w:p>
        </w:tc>
      </w:tr>
      <w:tr w:rsidR="00487215" w:rsidRPr="000E152E" w14:paraId="01BAFAC2" w14:textId="77777777" w:rsidTr="00620B96">
        <w:tc>
          <w:tcPr>
            <w:tcW w:w="1838" w:type="dxa"/>
          </w:tcPr>
          <w:p w14:paraId="01BAFAC0" w14:textId="77777777" w:rsidR="00487215" w:rsidRPr="000E152E" w:rsidRDefault="00487215" w:rsidP="00487215">
            <w:pPr>
              <w:pStyle w:val="TEKSTIIII"/>
              <w:ind w:firstLine="0"/>
            </w:pPr>
            <w:r w:rsidRPr="000E152E">
              <w:t>BE</w:t>
            </w:r>
          </w:p>
        </w:tc>
        <w:tc>
          <w:tcPr>
            <w:tcW w:w="7655" w:type="dxa"/>
          </w:tcPr>
          <w:p w14:paraId="01BAFAC1" w14:textId="77777777" w:rsidR="00487215" w:rsidRPr="000E152E" w:rsidRDefault="00487215" w:rsidP="00487215">
            <w:pPr>
              <w:pStyle w:val="TEKSTIIII"/>
              <w:ind w:firstLine="0"/>
            </w:pPr>
            <w:r w:rsidRPr="000E152E">
              <w:t>Bashkimi Evropian</w:t>
            </w:r>
          </w:p>
        </w:tc>
      </w:tr>
      <w:tr w:rsidR="00487215" w:rsidRPr="000E152E" w14:paraId="01BAFAC5" w14:textId="77777777" w:rsidTr="00620B96">
        <w:tc>
          <w:tcPr>
            <w:tcW w:w="1838" w:type="dxa"/>
          </w:tcPr>
          <w:p w14:paraId="01BAFAC3" w14:textId="77777777" w:rsidR="00487215" w:rsidRPr="000E152E" w:rsidRDefault="00487215" w:rsidP="00487215">
            <w:pPr>
              <w:pStyle w:val="TEKSTIIII"/>
              <w:ind w:firstLine="0"/>
            </w:pPr>
            <w:r w:rsidRPr="000E152E">
              <w:t>CEDEFOP</w:t>
            </w:r>
          </w:p>
        </w:tc>
        <w:tc>
          <w:tcPr>
            <w:tcW w:w="7655" w:type="dxa"/>
          </w:tcPr>
          <w:p w14:paraId="01BAFAC4" w14:textId="77777777" w:rsidR="00487215" w:rsidRPr="000E152E" w:rsidRDefault="00487215" w:rsidP="00487215">
            <w:pPr>
              <w:pStyle w:val="TEKSTIIII"/>
              <w:ind w:firstLine="0"/>
            </w:pPr>
            <w:r w:rsidRPr="000E152E">
              <w:t>Qendra e BE-së për Formim Profesional</w:t>
            </w:r>
          </w:p>
        </w:tc>
      </w:tr>
      <w:tr w:rsidR="00487215" w:rsidRPr="000E152E" w14:paraId="01BAFAC8" w14:textId="77777777" w:rsidTr="00620B96">
        <w:tc>
          <w:tcPr>
            <w:tcW w:w="1838" w:type="dxa"/>
          </w:tcPr>
          <w:p w14:paraId="01BAFAC6" w14:textId="77777777" w:rsidR="00487215" w:rsidRPr="000E152E" w:rsidRDefault="00487215" w:rsidP="00487215">
            <w:pPr>
              <w:pStyle w:val="TEKSTIIII"/>
              <w:ind w:firstLine="0"/>
            </w:pPr>
            <w:r w:rsidRPr="000E152E">
              <w:t>DPT</w:t>
            </w:r>
          </w:p>
        </w:tc>
        <w:tc>
          <w:tcPr>
            <w:tcW w:w="7655" w:type="dxa"/>
          </w:tcPr>
          <w:p w14:paraId="01BAFAC7" w14:textId="77777777" w:rsidR="00487215" w:rsidRPr="000E152E" w:rsidRDefault="00487215" w:rsidP="00487215">
            <w:pPr>
              <w:pStyle w:val="TEKSTIIII"/>
              <w:ind w:firstLine="0"/>
            </w:pPr>
            <w:r w:rsidRPr="000E152E">
              <w:t>Drejtoria e Përgjithshme e Tatimeve</w:t>
            </w:r>
          </w:p>
        </w:tc>
      </w:tr>
      <w:tr w:rsidR="00487215" w:rsidRPr="000E152E" w14:paraId="01BAFACB" w14:textId="77777777" w:rsidTr="00620B96">
        <w:tc>
          <w:tcPr>
            <w:tcW w:w="1838" w:type="dxa"/>
          </w:tcPr>
          <w:p w14:paraId="01BAFAC9" w14:textId="77777777" w:rsidR="00487215" w:rsidRPr="000E152E" w:rsidRDefault="00487215" w:rsidP="00487215">
            <w:pPr>
              <w:pStyle w:val="TEKSTIIII"/>
              <w:ind w:firstLine="0"/>
            </w:pPr>
            <w:r w:rsidRPr="000E152E">
              <w:t>EIP</w:t>
            </w:r>
          </w:p>
        </w:tc>
        <w:tc>
          <w:tcPr>
            <w:tcW w:w="7655" w:type="dxa"/>
          </w:tcPr>
          <w:p w14:paraId="01BAFACA" w14:textId="77777777" w:rsidR="00487215" w:rsidRPr="000E152E" w:rsidRDefault="00487215" w:rsidP="00487215">
            <w:pPr>
              <w:pStyle w:val="TEKSTIIII"/>
              <w:ind w:firstLine="0"/>
            </w:pPr>
            <w:r w:rsidRPr="000E152E">
              <w:t>Plani Ekonomik i Investimeve për Ballkanin Perëndimor</w:t>
            </w:r>
          </w:p>
        </w:tc>
      </w:tr>
      <w:tr w:rsidR="00487215" w:rsidRPr="000E152E" w14:paraId="01BAFACE" w14:textId="77777777" w:rsidTr="00620B96">
        <w:tc>
          <w:tcPr>
            <w:tcW w:w="1838" w:type="dxa"/>
          </w:tcPr>
          <w:p w14:paraId="01BAFACC" w14:textId="77777777" w:rsidR="00487215" w:rsidRPr="000E152E" w:rsidRDefault="00487215" w:rsidP="00487215">
            <w:pPr>
              <w:pStyle w:val="TEKSTIIII"/>
              <w:ind w:firstLine="0"/>
            </w:pPr>
            <w:r w:rsidRPr="000E152E">
              <w:t>ETF</w:t>
            </w:r>
          </w:p>
        </w:tc>
        <w:tc>
          <w:tcPr>
            <w:tcW w:w="7655" w:type="dxa"/>
          </w:tcPr>
          <w:p w14:paraId="01BAFACD" w14:textId="77777777" w:rsidR="00487215" w:rsidRPr="000E152E" w:rsidRDefault="00487215" w:rsidP="00487215">
            <w:pPr>
              <w:pStyle w:val="TEKSTIIII"/>
              <w:ind w:firstLine="0"/>
            </w:pPr>
            <w:r w:rsidRPr="000E152E">
              <w:t>Fondacioni Evropian i Trajnimit</w:t>
            </w:r>
          </w:p>
        </w:tc>
      </w:tr>
      <w:tr w:rsidR="00487215" w:rsidRPr="000E152E" w14:paraId="01BAFAD1" w14:textId="77777777" w:rsidTr="00620B96">
        <w:tc>
          <w:tcPr>
            <w:tcW w:w="1838" w:type="dxa"/>
          </w:tcPr>
          <w:p w14:paraId="01BAFACF" w14:textId="77777777" w:rsidR="00487215" w:rsidRPr="000E152E" w:rsidRDefault="00487215" w:rsidP="00487215">
            <w:pPr>
              <w:pStyle w:val="TEKSTIIII"/>
              <w:ind w:firstLine="0"/>
            </w:pPr>
            <w:r w:rsidRPr="000E152E">
              <w:t>GMIP / IPMG</w:t>
            </w:r>
          </w:p>
        </w:tc>
        <w:tc>
          <w:tcPr>
            <w:tcW w:w="7655" w:type="dxa"/>
          </w:tcPr>
          <w:p w14:paraId="01BAFAD0" w14:textId="77777777" w:rsidR="00487215" w:rsidRPr="000E152E" w:rsidRDefault="00487215" w:rsidP="00487215">
            <w:pPr>
              <w:pStyle w:val="TEKSTIIII"/>
              <w:ind w:firstLine="0"/>
            </w:pPr>
            <w:r w:rsidRPr="000E152E">
              <w:t>Grup i Menaxhimit të Integruar të Politikave</w:t>
            </w:r>
          </w:p>
        </w:tc>
      </w:tr>
      <w:tr w:rsidR="00487215" w:rsidRPr="000E152E" w14:paraId="01BAFAD4" w14:textId="77777777" w:rsidTr="00620B96">
        <w:tc>
          <w:tcPr>
            <w:tcW w:w="1838" w:type="dxa"/>
          </w:tcPr>
          <w:p w14:paraId="01BAFAD2" w14:textId="77777777" w:rsidR="00487215" w:rsidRPr="000E152E" w:rsidRDefault="00487215" w:rsidP="00487215">
            <w:pPr>
              <w:pStyle w:val="TEKSTIIII"/>
              <w:ind w:firstLine="0"/>
            </w:pPr>
            <w:r w:rsidRPr="000E152E">
              <w:t>ILO</w:t>
            </w:r>
          </w:p>
        </w:tc>
        <w:tc>
          <w:tcPr>
            <w:tcW w:w="7655" w:type="dxa"/>
          </w:tcPr>
          <w:p w14:paraId="01BAFAD3" w14:textId="77777777" w:rsidR="00487215" w:rsidRPr="000E152E" w:rsidRDefault="00487215" w:rsidP="00487215">
            <w:pPr>
              <w:pStyle w:val="TEKSTIIII"/>
              <w:ind w:firstLine="0"/>
            </w:pPr>
            <w:r w:rsidRPr="000E152E">
              <w:t>Organizata Ndërkombëtare e Punës</w:t>
            </w:r>
          </w:p>
        </w:tc>
      </w:tr>
      <w:tr w:rsidR="00487215" w:rsidRPr="000E152E" w14:paraId="01BAFAD7" w14:textId="77777777" w:rsidTr="00620B96">
        <w:tc>
          <w:tcPr>
            <w:tcW w:w="1838" w:type="dxa"/>
          </w:tcPr>
          <w:p w14:paraId="01BAFAD5" w14:textId="77777777" w:rsidR="00487215" w:rsidRPr="000E152E" w:rsidRDefault="00487215" w:rsidP="00487215">
            <w:pPr>
              <w:pStyle w:val="TEKSTIIII"/>
              <w:ind w:firstLine="0"/>
            </w:pPr>
            <w:r w:rsidRPr="000E152E">
              <w:t>IPA</w:t>
            </w:r>
          </w:p>
        </w:tc>
        <w:tc>
          <w:tcPr>
            <w:tcW w:w="7655" w:type="dxa"/>
          </w:tcPr>
          <w:p w14:paraId="01BAFAD6" w14:textId="77777777" w:rsidR="00487215" w:rsidRPr="000E152E" w:rsidRDefault="00487215" w:rsidP="00487215">
            <w:pPr>
              <w:pStyle w:val="TEKSTIIII"/>
              <w:ind w:firstLine="0"/>
            </w:pPr>
            <w:r w:rsidRPr="000E152E">
              <w:t>Instrument of Pre-Accession (Instrument i Përgatitjes për Anëtarësim)</w:t>
            </w:r>
          </w:p>
        </w:tc>
      </w:tr>
      <w:tr w:rsidR="00487215" w:rsidRPr="000E152E" w14:paraId="01BAFADA" w14:textId="77777777" w:rsidTr="00620B96">
        <w:tc>
          <w:tcPr>
            <w:tcW w:w="1838" w:type="dxa"/>
          </w:tcPr>
          <w:p w14:paraId="01BAFAD8" w14:textId="77777777" w:rsidR="00487215" w:rsidRPr="000E152E" w:rsidRDefault="00487215" w:rsidP="00487215">
            <w:pPr>
              <w:pStyle w:val="TEKSTIIII"/>
              <w:ind w:firstLine="0"/>
            </w:pPr>
            <w:r w:rsidRPr="000E152E">
              <w:t>ISHPSHSH</w:t>
            </w:r>
          </w:p>
        </w:tc>
        <w:tc>
          <w:tcPr>
            <w:tcW w:w="7655" w:type="dxa"/>
          </w:tcPr>
          <w:p w14:paraId="01BAFAD9" w14:textId="77777777" w:rsidR="00487215" w:rsidRPr="000E152E" w:rsidRDefault="00487215" w:rsidP="00487215">
            <w:pPr>
              <w:pStyle w:val="TEKSTIIII"/>
              <w:ind w:firstLine="0"/>
            </w:pPr>
            <w:r w:rsidRPr="000E152E">
              <w:t>Inspektorati Shtetëror i Punës dhe Shërbimeve Shoqërore</w:t>
            </w:r>
          </w:p>
        </w:tc>
      </w:tr>
      <w:tr w:rsidR="00487215" w:rsidRPr="000E152E" w14:paraId="01BAFADD" w14:textId="77777777" w:rsidTr="00620B96">
        <w:tc>
          <w:tcPr>
            <w:tcW w:w="1838" w:type="dxa"/>
          </w:tcPr>
          <w:p w14:paraId="01BAFADB" w14:textId="77777777" w:rsidR="00487215" w:rsidRPr="000E152E" w:rsidRDefault="00487215" w:rsidP="00487215">
            <w:pPr>
              <w:pStyle w:val="TEKSTIIII"/>
              <w:ind w:firstLine="0"/>
            </w:pPr>
            <w:r w:rsidRPr="000E152E">
              <w:t>ISSH</w:t>
            </w:r>
          </w:p>
        </w:tc>
        <w:tc>
          <w:tcPr>
            <w:tcW w:w="7655" w:type="dxa"/>
          </w:tcPr>
          <w:p w14:paraId="01BAFADC" w14:textId="77777777" w:rsidR="00487215" w:rsidRPr="000E152E" w:rsidRDefault="00487215" w:rsidP="00487215">
            <w:pPr>
              <w:pStyle w:val="TEKSTIIII"/>
              <w:ind w:firstLine="0"/>
            </w:pPr>
            <w:r w:rsidRPr="000E152E">
              <w:t>Instituti i Sigurimeve Shoqërore</w:t>
            </w:r>
          </w:p>
        </w:tc>
      </w:tr>
      <w:tr w:rsidR="00487215" w:rsidRPr="000E152E" w14:paraId="01BAFAE0" w14:textId="77777777" w:rsidTr="00620B96">
        <w:tc>
          <w:tcPr>
            <w:tcW w:w="1838" w:type="dxa"/>
          </w:tcPr>
          <w:p w14:paraId="01BAFADE" w14:textId="77777777" w:rsidR="00487215" w:rsidRPr="000E152E" w:rsidRDefault="00487215" w:rsidP="00487215">
            <w:pPr>
              <w:pStyle w:val="TEKSTIIII"/>
              <w:ind w:firstLine="0"/>
            </w:pPr>
            <w:r w:rsidRPr="000E152E">
              <w:t>JER</w:t>
            </w:r>
          </w:p>
        </w:tc>
        <w:tc>
          <w:tcPr>
            <w:tcW w:w="7655" w:type="dxa"/>
          </w:tcPr>
          <w:p w14:paraId="01BAFADF" w14:textId="62B85C5B" w:rsidR="00487215" w:rsidRPr="000E152E" w:rsidRDefault="00487215" w:rsidP="00487215">
            <w:pPr>
              <w:pStyle w:val="TEKSTIIII"/>
              <w:ind w:firstLine="0"/>
            </w:pPr>
            <w:r w:rsidRPr="000E152E">
              <w:t>Joint Employment Report (Raport Vjetor i KE</w:t>
            </w:r>
            <w:r w:rsidR="00C74028">
              <w:t>-së</w:t>
            </w:r>
            <w:r w:rsidRPr="000E152E">
              <w:t xml:space="preserve"> për Politikat e Punësimit)</w:t>
            </w:r>
          </w:p>
        </w:tc>
      </w:tr>
      <w:tr w:rsidR="00487215" w:rsidRPr="000E152E" w14:paraId="01BAFAE3" w14:textId="77777777" w:rsidTr="00620B96">
        <w:tc>
          <w:tcPr>
            <w:tcW w:w="1838" w:type="dxa"/>
          </w:tcPr>
          <w:p w14:paraId="01BAFAE1" w14:textId="77777777" w:rsidR="00487215" w:rsidRPr="000E152E" w:rsidRDefault="00487215" w:rsidP="00487215">
            <w:pPr>
              <w:pStyle w:val="TEKSTIIII"/>
              <w:ind w:firstLine="0"/>
            </w:pPr>
            <w:r w:rsidRPr="000E152E">
              <w:lastRenderedPageBreak/>
              <w:t>KShK</w:t>
            </w:r>
          </w:p>
        </w:tc>
        <w:tc>
          <w:tcPr>
            <w:tcW w:w="7655" w:type="dxa"/>
          </w:tcPr>
          <w:p w14:paraId="01BAFAE2" w14:textId="77777777" w:rsidR="00487215" w:rsidRPr="000E152E" w:rsidRDefault="00487215" w:rsidP="00487215">
            <w:pPr>
              <w:pStyle w:val="TEKSTIIII"/>
              <w:ind w:firstLine="0"/>
            </w:pPr>
            <w:r w:rsidRPr="000E152E">
              <w:t>Korniza Shqiptare e Kualifikimeve</w:t>
            </w:r>
          </w:p>
        </w:tc>
      </w:tr>
      <w:tr w:rsidR="00487215" w:rsidRPr="000E152E" w14:paraId="01BAFAE6" w14:textId="77777777" w:rsidTr="00620B96">
        <w:tc>
          <w:tcPr>
            <w:tcW w:w="1838" w:type="dxa"/>
          </w:tcPr>
          <w:p w14:paraId="01BAFAE4" w14:textId="77777777" w:rsidR="00487215" w:rsidRPr="000E152E" w:rsidRDefault="00487215" w:rsidP="00487215">
            <w:pPr>
              <w:pStyle w:val="TEKSTIIII"/>
              <w:ind w:firstLine="0"/>
            </w:pPr>
            <w:r w:rsidRPr="000E152E">
              <w:t>KEK</w:t>
            </w:r>
          </w:p>
        </w:tc>
        <w:tc>
          <w:tcPr>
            <w:tcW w:w="7655" w:type="dxa"/>
          </w:tcPr>
          <w:p w14:paraId="01BAFAE5" w14:textId="77777777" w:rsidR="00487215" w:rsidRPr="000E152E" w:rsidRDefault="00487215" w:rsidP="00487215">
            <w:pPr>
              <w:pStyle w:val="TEKSTIIII"/>
              <w:ind w:firstLine="0"/>
            </w:pPr>
            <w:r w:rsidRPr="000E152E">
              <w:t>Korniza Evropiane e Kualifikimeve</w:t>
            </w:r>
          </w:p>
        </w:tc>
      </w:tr>
      <w:tr w:rsidR="00487215" w:rsidRPr="000E152E" w14:paraId="01BAFAE9" w14:textId="77777777" w:rsidTr="00620B96">
        <w:tc>
          <w:tcPr>
            <w:tcW w:w="1838" w:type="dxa"/>
          </w:tcPr>
          <w:p w14:paraId="01BAFAE7" w14:textId="77777777" w:rsidR="00487215" w:rsidRPr="000E152E" w:rsidRDefault="00487215" w:rsidP="00487215">
            <w:pPr>
              <w:pStyle w:val="TEKSTIIII"/>
              <w:ind w:firstLine="0"/>
            </w:pPr>
            <w:r w:rsidRPr="000E152E">
              <w:t>LFS</w:t>
            </w:r>
          </w:p>
        </w:tc>
        <w:tc>
          <w:tcPr>
            <w:tcW w:w="7655" w:type="dxa"/>
          </w:tcPr>
          <w:p w14:paraId="01BAFAE8" w14:textId="77777777" w:rsidR="00487215" w:rsidRPr="000E152E" w:rsidRDefault="00487215" w:rsidP="00487215">
            <w:pPr>
              <w:pStyle w:val="TEKSTIIII"/>
              <w:ind w:firstLine="0"/>
            </w:pPr>
            <w:r w:rsidRPr="000E152E">
              <w:t>Anketa e Forcave të Punës (Labour Force Survey)</w:t>
            </w:r>
          </w:p>
        </w:tc>
      </w:tr>
      <w:tr w:rsidR="00487215" w:rsidRPr="000E152E" w14:paraId="01BAFAEC" w14:textId="77777777" w:rsidTr="00620B96">
        <w:tc>
          <w:tcPr>
            <w:tcW w:w="1838" w:type="dxa"/>
          </w:tcPr>
          <w:p w14:paraId="01BAFAEA" w14:textId="77777777" w:rsidR="00487215" w:rsidRPr="000E152E" w:rsidRDefault="00487215" w:rsidP="00487215">
            <w:pPr>
              <w:pStyle w:val="TEKSTIIII"/>
              <w:ind w:firstLine="0"/>
            </w:pPr>
            <w:r w:rsidRPr="000E152E">
              <w:t>MAS</w:t>
            </w:r>
          </w:p>
        </w:tc>
        <w:tc>
          <w:tcPr>
            <w:tcW w:w="7655" w:type="dxa"/>
          </w:tcPr>
          <w:p w14:paraId="01BAFAEB" w14:textId="77777777" w:rsidR="00487215" w:rsidRPr="000E152E" w:rsidRDefault="00487215" w:rsidP="00487215">
            <w:pPr>
              <w:pStyle w:val="TEKSTIIII"/>
              <w:ind w:firstLine="0"/>
            </w:pPr>
            <w:r w:rsidRPr="000E152E">
              <w:t>Ministria e Arsimit dhe Sportit</w:t>
            </w:r>
          </w:p>
        </w:tc>
      </w:tr>
      <w:tr w:rsidR="00487215" w:rsidRPr="000E152E" w14:paraId="01BAFAEF" w14:textId="77777777" w:rsidTr="00620B96">
        <w:tc>
          <w:tcPr>
            <w:tcW w:w="1838" w:type="dxa"/>
          </w:tcPr>
          <w:p w14:paraId="01BAFAED" w14:textId="77777777" w:rsidR="00487215" w:rsidRPr="000E152E" w:rsidRDefault="00487215" w:rsidP="00487215">
            <w:pPr>
              <w:pStyle w:val="TEKSTIIII"/>
              <w:ind w:firstLine="0"/>
            </w:pPr>
            <w:r w:rsidRPr="000E152E">
              <w:t>MFE</w:t>
            </w:r>
          </w:p>
        </w:tc>
        <w:tc>
          <w:tcPr>
            <w:tcW w:w="7655" w:type="dxa"/>
          </w:tcPr>
          <w:p w14:paraId="01BAFAEE" w14:textId="77777777" w:rsidR="00487215" w:rsidRPr="000E152E" w:rsidRDefault="00487215" w:rsidP="00487215">
            <w:pPr>
              <w:pStyle w:val="TEKSTIIII"/>
              <w:ind w:firstLine="0"/>
            </w:pPr>
            <w:r w:rsidRPr="000E152E">
              <w:t>Ministria e Financave dhe Ekonomisë</w:t>
            </w:r>
          </w:p>
        </w:tc>
      </w:tr>
      <w:tr w:rsidR="00487215" w:rsidRPr="000E152E" w14:paraId="01BAFAF2" w14:textId="77777777" w:rsidTr="00620B96">
        <w:tc>
          <w:tcPr>
            <w:tcW w:w="1838" w:type="dxa"/>
          </w:tcPr>
          <w:p w14:paraId="01BAFAF0" w14:textId="77777777" w:rsidR="00487215" w:rsidRPr="000E152E" w:rsidRDefault="00487215" w:rsidP="00487215">
            <w:pPr>
              <w:pStyle w:val="TEKSTIIII"/>
              <w:ind w:firstLine="0"/>
            </w:pPr>
            <w:r w:rsidRPr="000E152E">
              <w:t>MSHRF</w:t>
            </w:r>
          </w:p>
        </w:tc>
        <w:tc>
          <w:tcPr>
            <w:tcW w:w="7655" w:type="dxa"/>
          </w:tcPr>
          <w:p w14:paraId="01BAFAF1" w14:textId="77777777" w:rsidR="00487215" w:rsidRPr="000E152E" w:rsidRDefault="00487215" w:rsidP="00487215">
            <w:pPr>
              <w:pStyle w:val="TEKSTIIII"/>
              <w:ind w:firstLine="0"/>
            </w:pPr>
            <w:r w:rsidRPr="000E152E">
              <w:t>Ministri i Shtetit për Rininë dhe Fëmijët</w:t>
            </w:r>
          </w:p>
        </w:tc>
      </w:tr>
      <w:tr w:rsidR="00487215" w:rsidRPr="000E152E" w14:paraId="01BAFAF5" w14:textId="77777777" w:rsidTr="00620B96">
        <w:tc>
          <w:tcPr>
            <w:tcW w:w="1838" w:type="dxa"/>
          </w:tcPr>
          <w:p w14:paraId="01BAFAF3" w14:textId="77777777" w:rsidR="00487215" w:rsidRPr="000E152E" w:rsidRDefault="00487215" w:rsidP="00487215">
            <w:pPr>
              <w:pStyle w:val="TEKSTIIII"/>
              <w:ind w:firstLine="0"/>
            </w:pPr>
            <w:r w:rsidRPr="000E152E">
              <w:t>MSHMS</w:t>
            </w:r>
          </w:p>
        </w:tc>
        <w:tc>
          <w:tcPr>
            <w:tcW w:w="7655" w:type="dxa"/>
          </w:tcPr>
          <w:p w14:paraId="01BAFAF4" w14:textId="77777777" w:rsidR="00487215" w:rsidRPr="000E152E" w:rsidRDefault="00487215" w:rsidP="00487215">
            <w:pPr>
              <w:pStyle w:val="TEKSTIIII"/>
              <w:ind w:firstLine="0"/>
            </w:pPr>
            <w:r w:rsidRPr="000E152E">
              <w:t>Ministria e Shëndetësisë dhe Mbrojtjes Sociale</w:t>
            </w:r>
          </w:p>
        </w:tc>
      </w:tr>
      <w:tr w:rsidR="00487215" w:rsidRPr="000E152E" w14:paraId="01BAFAF8" w14:textId="77777777" w:rsidTr="00620B96">
        <w:tc>
          <w:tcPr>
            <w:tcW w:w="1838" w:type="dxa"/>
          </w:tcPr>
          <w:p w14:paraId="01BAFAF6" w14:textId="77777777" w:rsidR="00487215" w:rsidRPr="000E152E" w:rsidRDefault="00487215" w:rsidP="00487215">
            <w:pPr>
              <w:pStyle w:val="TEKSTIIII"/>
              <w:ind w:firstLine="0"/>
            </w:pPr>
            <w:r w:rsidRPr="000E152E">
              <w:t>NE</w:t>
            </w:r>
          </w:p>
        </w:tc>
        <w:tc>
          <w:tcPr>
            <w:tcW w:w="7655" w:type="dxa"/>
          </w:tcPr>
          <w:p w14:paraId="01BAFAF7" w14:textId="77777777" w:rsidR="00487215" w:rsidRPr="000E152E" w:rsidRDefault="00487215" w:rsidP="00487215">
            <w:pPr>
              <w:pStyle w:val="TEKSTIIII"/>
              <w:ind w:firstLine="0"/>
            </w:pPr>
            <w:r w:rsidRPr="000E152E">
              <w:t>Ndihma ekonomike</w:t>
            </w:r>
          </w:p>
        </w:tc>
      </w:tr>
      <w:tr w:rsidR="00487215" w:rsidRPr="000E152E" w14:paraId="01BAFAFB" w14:textId="77777777" w:rsidTr="00620B96">
        <w:tc>
          <w:tcPr>
            <w:tcW w:w="1838" w:type="dxa"/>
          </w:tcPr>
          <w:p w14:paraId="01BAFAF9" w14:textId="77777777" w:rsidR="00487215" w:rsidRPr="000E152E" w:rsidRDefault="00487215" w:rsidP="00487215">
            <w:pPr>
              <w:pStyle w:val="TEKSTIIII"/>
              <w:ind w:firstLine="0"/>
            </w:pPr>
            <w:r w:rsidRPr="000E152E">
              <w:t>NEET</w:t>
            </w:r>
          </w:p>
        </w:tc>
        <w:tc>
          <w:tcPr>
            <w:tcW w:w="7655" w:type="dxa"/>
          </w:tcPr>
          <w:p w14:paraId="01BAFAFA" w14:textId="77777777" w:rsidR="00487215" w:rsidRPr="000E152E" w:rsidRDefault="00487215" w:rsidP="00487215">
            <w:pPr>
              <w:pStyle w:val="TEKSTIIII"/>
              <w:ind w:firstLine="0"/>
            </w:pPr>
            <w:r w:rsidRPr="000E152E">
              <w:t>Të rinj jo në punësim, arsim apo trajnim</w:t>
            </w:r>
          </w:p>
        </w:tc>
      </w:tr>
      <w:tr w:rsidR="00487215" w:rsidRPr="000E152E" w14:paraId="01BAFB00" w14:textId="77777777" w:rsidTr="00620B96">
        <w:tc>
          <w:tcPr>
            <w:tcW w:w="1838" w:type="dxa"/>
          </w:tcPr>
          <w:p w14:paraId="01BAFAFC" w14:textId="77777777" w:rsidR="00487215" w:rsidRPr="000E152E" w:rsidRDefault="00487215" w:rsidP="00487215">
            <w:pPr>
              <w:pStyle w:val="TEKSTIIII"/>
              <w:ind w:firstLine="0"/>
            </w:pPr>
            <w:r w:rsidRPr="000E152E">
              <w:t>NJQV</w:t>
            </w:r>
          </w:p>
          <w:p w14:paraId="01BAFAFD" w14:textId="77777777" w:rsidR="00487215" w:rsidRPr="000E152E" w:rsidRDefault="00487215" w:rsidP="00487215">
            <w:pPr>
              <w:pStyle w:val="TEKSTIIII"/>
              <w:ind w:firstLine="0"/>
            </w:pPr>
            <w:r w:rsidRPr="000E152E">
              <w:t>OECD</w:t>
            </w:r>
          </w:p>
        </w:tc>
        <w:tc>
          <w:tcPr>
            <w:tcW w:w="7655" w:type="dxa"/>
          </w:tcPr>
          <w:p w14:paraId="01BAFAFE" w14:textId="77777777" w:rsidR="00487215" w:rsidRPr="000E152E" w:rsidRDefault="00487215" w:rsidP="00487215">
            <w:pPr>
              <w:pStyle w:val="TEKSTIIII"/>
              <w:ind w:firstLine="0"/>
            </w:pPr>
            <w:r w:rsidRPr="000E152E">
              <w:t>Njësi e qeverisjes vendore</w:t>
            </w:r>
          </w:p>
          <w:p w14:paraId="01BAFAFF" w14:textId="77777777" w:rsidR="00487215" w:rsidRPr="000E152E" w:rsidRDefault="00487215" w:rsidP="00487215">
            <w:pPr>
              <w:pStyle w:val="TEKSTIIII"/>
              <w:ind w:firstLine="0"/>
            </w:pPr>
            <w:r w:rsidRPr="000E152E">
              <w:t>Organizata për Bashkëpunim Ekonomik dhe Zhvillim</w:t>
            </w:r>
          </w:p>
        </w:tc>
      </w:tr>
      <w:tr w:rsidR="00487215" w:rsidRPr="000E152E" w14:paraId="01BAFB03" w14:textId="77777777" w:rsidTr="00620B96">
        <w:tc>
          <w:tcPr>
            <w:tcW w:w="1838" w:type="dxa"/>
          </w:tcPr>
          <w:p w14:paraId="01BAFB01" w14:textId="77777777" w:rsidR="00487215" w:rsidRPr="000E152E" w:rsidRDefault="00487215" w:rsidP="00487215">
            <w:pPr>
              <w:pStyle w:val="TEKSTIIII"/>
              <w:ind w:firstLine="0"/>
            </w:pPr>
            <w:r w:rsidRPr="000E152E">
              <w:t>OITP</w:t>
            </w:r>
          </w:p>
        </w:tc>
        <w:tc>
          <w:tcPr>
            <w:tcW w:w="7655" w:type="dxa"/>
          </w:tcPr>
          <w:p w14:paraId="01BAFB02" w14:textId="77777777" w:rsidR="00487215" w:rsidRPr="000E152E" w:rsidRDefault="00487215" w:rsidP="00487215">
            <w:pPr>
              <w:pStyle w:val="TEKSTIIII"/>
              <w:ind w:firstLine="0"/>
            </w:pPr>
            <w:r w:rsidRPr="000E152E">
              <w:t>Observatori i Informacionit të Tregut të Punës</w:t>
            </w:r>
          </w:p>
        </w:tc>
      </w:tr>
      <w:tr w:rsidR="00487215" w:rsidRPr="000E152E" w14:paraId="01BAFB06" w14:textId="77777777" w:rsidTr="00620B96">
        <w:tc>
          <w:tcPr>
            <w:tcW w:w="1838" w:type="dxa"/>
          </w:tcPr>
          <w:p w14:paraId="01BAFB04" w14:textId="77777777" w:rsidR="00487215" w:rsidRPr="000E152E" w:rsidRDefault="00487215" w:rsidP="00487215">
            <w:pPr>
              <w:pStyle w:val="TEKSTIIII"/>
              <w:ind w:firstLine="0"/>
            </w:pPr>
            <w:r w:rsidRPr="000E152E">
              <w:t>OZHQ / SDG</w:t>
            </w:r>
          </w:p>
        </w:tc>
        <w:tc>
          <w:tcPr>
            <w:tcW w:w="7655" w:type="dxa"/>
          </w:tcPr>
          <w:p w14:paraId="01BAFB05" w14:textId="77777777" w:rsidR="00487215" w:rsidRPr="000E152E" w:rsidRDefault="00487215" w:rsidP="00487215">
            <w:pPr>
              <w:pStyle w:val="TEKSTIIII"/>
              <w:ind w:firstLine="0"/>
            </w:pPr>
            <w:r w:rsidRPr="000E152E">
              <w:t>Objektiv i Zhvillimit të Qëndrueshëm</w:t>
            </w:r>
          </w:p>
        </w:tc>
      </w:tr>
      <w:tr w:rsidR="00487215" w:rsidRPr="000E152E" w14:paraId="01BAFB09" w14:textId="77777777" w:rsidTr="00620B96">
        <w:tc>
          <w:tcPr>
            <w:tcW w:w="1838" w:type="dxa"/>
          </w:tcPr>
          <w:p w14:paraId="01BAFB07" w14:textId="77777777" w:rsidR="00487215" w:rsidRPr="000E152E" w:rsidRDefault="00487215" w:rsidP="00487215">
            <w:pPr>
              <w:pStyle w:val="TEKSTIIII"/>
              <w:ind w:firstLine="0"/>
            </w:pPr>
            <w:r w:rsidRPr="000E152E">
              <w:t>PBB</w:t>
            </w:r>
          </w:p>
        </w:tc>
        <w:tc>
          <w:tcPr>
            <w:tcW w:w="7655" w:type="dxa"/>
          </w:tcPr>
          <w:p w14:paraId="01BAFB08" w14:textId="77777777" w:rsidR="00487215" w:rsidRPr="000E152E" w:rsidRDefault="00487215" w:rsidP="00487215">
            <w:pPr>
              <w:pStyle w:val="TEKSTIIII"/>
              <w:ind w:firstLine="0"/>
            </w:pPr>
            <w:r w:rsidRPr="000E152E">
              <w:t>Prodhimi i Brendshëm Bruto</w:t>
            </w:r>
          </w:p>
        </w:tc>
      </w:tr>
      <w:tr w:rsidR="00487215" w:rsidRPr="000E152E" w14:paraId="01BAFB0C" w14:textId="77777777" w:rsidTr="00620B96">
        <w:tc>
          <w:tcPr>
            <w:tcW w:w="1838" w:type="dxa"/>
          </w:tcPr>
          <w:p w14:paraId="01BAFB0A" w14:textId="77777777" w:rsidR="00487215" w:rsidRPr="000E152E" w:rsidRDefault="00487215" w:rsidP="00487215">
            <w:pPr>
              <w:pStyle w:val="TEKSTIIII"/>
              <w:ind w:firstLine="0"/>
            </w:pPr>
            <w:r w:rsidRPr="000E152E">
              <w:t>PAK</w:t>
            </w:r>
          </w:p>
        </w:tc>
        <w:tc>
          <w:tcPr>
            <w:tcW w:w="7655" w:type="dxa"/>
          </w:tcPr>
          <w:p w14:paraId="01BAFB0B" w14:textId="77777777" w:rsidR="00487215" w:rsidRPr="000E152E" w:rsidRDefault="00487215" w:rsidP="00487215">
            <w:pPr>
              <w:pStyle w:val="TEKSTIIII"/>
              <w:ind w:firstLine="0"/>
            </w:pPr>
            <w:r w:rsidRPr="000E152E">
              <w:t>Person me aftësi të kufizuar</w:t>
            </w:r>
          </w:p>
        </w:tc>
      </w:tr>
      <w:tr w:rsidR="00487215" w:rsidRPr="000E152E" w14:paraId="01BAFB0F" w14:textId="77777777" w:rsidTr="00620B96">
        <w:tc>
          <w:tcPr>
            <w:tcW w:w="1838" w:type="dxa"/>
          </w:tcPr>
          <w:p w14:paraId="01BAFB0D" w14:textId="77777777" w:rsidR="00487215" w:rsidRPr="000E152E" w:rsidRDefault="00487215" w:rsidP="00487215">
            <w:pPr>
              <w:pStyle w:val="TEKSTIIII"/>
              <w:ind w:firstLine="0"/>
            </w:pPr>
            <w:r w:rsidRPr="000E152E">
              <w:t>PATP</w:t>
            </w:r>
          </w:p>
        </w:tc>
        <w:tc>
          <w:tcPr>
            <w:tcW w:w="7655" w:type="dxa"/>
          </w:tcPr>
          <w:p w14:paraId="01BAFB0E" w14:textId="77777777" w:rsidR="00487215" w:rsidRPr="000E152E" w:rsidRDefault="00487215" w:rsidP="00487215">
            <w:pPr>
              <w:pStyle w:val="TEKSTIIII"/>
              <w:ind w:firstLine="0"/>
            </w:pPr>
            <w:r w:rsidRPr="000E152E">
              <w:t>Program Aktiv i Tregut të Punës</w:t>
            </w:r>
          </w:p>
        </w:tc>
      </w:tr>
      <w:tr w:rsidR="00487215" w:rsidRPr="000E152E" w14:paraId="01BAFB12" w14:textId="77777777" w:rsidTr="00620B96">
        <w:tc>
          <w:tcPr>
            <w:tcW w:w="1838" w:type="dxa"/>
          </w:tcPr>
          <w:p w14:paraId="01BAFB10" w14:textId="77777777" w:rsidR="00487215" w:rsidRPr="000E152E" w:rsidRDefault="00487215" w:rsidP="00487215">
            <w:pPr>
              <w:pStyle w:val="TEKSTIIII"/>
              <w:ind w:firstLine="0"/>
            </w:pPr>
            <w:r w:rsidRPr="000E152E">
              <w:t>PNUD (UNDP)</w:t>
            </w:r>
          </w:p>
        </w:tc>
        <w:tc>
          <w:tcPr>
            <w:tcW w:w="7655" w:type="dxa"/>
          </w:tcPr>
          <w:p w14:paraId="01BAFB11" w14:textId="77777777" w:rsidR="00487215" w:rsidRPr="000E152E" w:rsidRDefault="00487215" w:rsidP="00487215">
            <w:pPr>
              <w:pStyle w:val="TEKSTIIII"/>
              <w:ind w:firstLine="0"/>
            </w:pPr>
            <w:r w:rsidRPr="000E152E">
              <w:t>Programi i Kombeve të Bashkuara për Zhvillim</w:t>
            </w:r>
          </w:p>
        </w:tc>
      </w:tr>
      <w:tr w:rsidR="00487215" w:rsidRPr="000E152E" w14:paraId="01BAFB15" w14:textId="77777777" w:rsidTr="00620B96">
        <w:tc>
          <w:tcPr>
            <w:tcW w:w="1838" w:type="dxa"/>
          </w:tcPr>
          <w:p w14:paraId="01BAFB13" w14:textId="77777777" w:rsidR="00487215" w:rsidRPr="000E152E" w:rsidRDefault="00487215" w:rsidP="00487215">
            <w:pPr>
              <w:pStyle w:val="TEKSTIIII"/>
              <w:ind w:firstLine="0"/>
            </w:pPr>
            <w:r w:rsidRPr="000E152E">
              <w:t>SSHP</w:t>
            </w:r>
          </w:p>
        </w:tc>
        <w:tc>
          <w:tcPr>
            <w:tcW w:w="7655" w:type="dxa"/>
          </w:tcPr>
          <w:p w14:paraId="01BAFB14" w14:textId="77777777" w:rsidR="00487215" w:rsidRPr="000E152E" w:rsidRDefault="00487215" w:rsidP="00487215">
            <w:pPr>
              <w:pStyle w:val="TEKSTIIII"/>
              <w:ind w:firstLine="0"/>
            </w:pPr>
            <w:r w:rsidRPr="000E152E">
              <w:t>Siguria dhe shëndeti në punë</w:t>
            </w:r>
          </w:p>
        </w:tc>
      </w:tr>
      <w:tr w:rsidR="00487215" w:rsidRPr="000E152E" w14:paraId="01BAFB18" w14:textId="77777777" w:rsidTr="00620B96">
        <w:tc>
          <w:tcPr>
            <w:tcW w:w="1838" w:type="dxa"/>
          </w:tcPr>
          <w:p w14:paraId="01BAFB16" w14:textId="77777777" w:rsidR="00487215" w:rsidRPr="000E152E" w:rsidRDefault="00487215" w:rsidP="00487215">
            <w:pPr>
              <w:pStyle w:val="TEKSTIIII"/>
              <w:ind w:firstLine="0"/>
            </w:pPr>
            <w:r w:rsidRPr="000E152E">
              <w:t>SKZHIE</w:t>
            </w:r>
          </w:p>
        </w:tc>
        <w:tc>
          <w:tcPr>
            <w:tcW w:w="7655" w:type="dxa"/>
          </w:tcPr>
          <w:p w14:paraId="01BAFB17" w14:textId="77777777" w:rsidR="00487215" w:rsidRPr="000E152E" w:rsidRDefault="00487215" w:rsidP="00487215">
            <w:pPr>
              <w:pStyle w:val="TEKSTIIII"/>
              <w:ind w:firstLine="0"/>
            </w:pPr>
            <w:r w:rsidRPr="000E152E">
              <w:t>Strategjia Kombëtare për Zhvillim dhe Integrim Evropian</w:t>
            </w:r>
          </w:p>
        </w:tc>
      </w:tr>
      <w:tr w:rsidR="00487215" w:rsidRPr="000E152E" w14:paraId="01BAFB1B" w14:textId="77777777" w:rsidTr="00620B96">
        <w:tc>
          <w:tcPr>
            <w:tcW w:w="1838" w:type="dxa"/>
          </w:tcPr>
          <w:p w14:paraId="01BAFB19" w14:textId="77777777" w:rsidR="00487215" w:rsidRPr="000E152E" w:rsidRDefault="00487215" w:rsidP="00487215">
            <w:pPr>
              <w:pStyle w:val="TEKSTIIII"/>
              <w:ind w:firstLine="0"/>
            </w:pPr>
            <w:r w:rsidRPr="000E152E">
              <w:t>UNICEF</w:t>
            </w:r>
          </w:p>
        </w:tc>
        <w:tc>
          <w:tcPr>
            <w:tcW w:w="7655" w:type="dxa"/>
          </w:tcPr>
          <w:p w14:paraId="01BAFB1A" w14:textId="77777777" w:rsidR="00487215" w:rsidRPr="000E152E" w:rsidRDefault="00487215" w:rsidP="00487215">
            <w:pPr>
              <w:pStyle w:val="TEKSTIIII"/>
              <w:ind w:firstLine="0"/>
            </w:pPr>
            <w:r w:rsidRPr="000E152E">
              <w:t>Fondi i Kombeve të Bashkuara për Fëmijët</w:t>
            </w:r>
          </w:p>
        </w:tc>
      </w:tr>
      <w:tr w:rsidR="00487215" w:rsidRPr="000E152E" w14:paraId="01BAFB1E" w14:textId="77777777" w:rsidTr="00620B96">
        <w:tc>
          <w:tcPr>
            <w:tcW w:w="1838" w:type="dxa"/>
          </w:tcPr>
          <w:p w14:paraId="01BAFB1C" w14:textId="77777777" w:rsidR="00487215" w:rsidRPr="000E152E" w:rsidRDefault="00487215" w:rsidP="00487215">
            <w:pPr>
              <w:pStyle w:val="TEKSTIIII"/>
              <w:ind w:firstLine="0"/>
            </w:pPr>
            <w:r w:rsidRPr="000E152E">
              <w:t>VKM</w:t>
            </w:r>
          </w:p>
        </w:tc>
        <w:tc>
          <w:tcPr>
            <w:tcW w:w="7655" w:type="dxa"/>
          </w:tcPr>
          <w:p w14:paraId="01BAFB1D" w14:textId="77777777" w:rsidR="00487215" w:rsidRPr="000E152E" w:rsidRDefault="00487215" w:rsidP="00487215">
            <w:pPr>
              <w:pStyle w:val="TEKSTIIII"/>
              <w:ind w:firstLine="0"/>
            </w:pPr>
            <w:r w:rsidRPr="000E152E">
              <w:t>Vendim i Këshillit të Ministrave</w:t>
            </w:r>
          </w:p>
        </w:tc>
      </w:tr>
      <w:tr w:rsidR="00487215" w:rsidRPr="000E152E" w14:paraId="01BAFB21" w14:textId="77777777" w:rsidTr="00620B96">
        <w:tc>
          <w:tcPr>
            <w:tcW w:w="1838" w:type="dxa"/>
          </w:tcPr>
          <w:p w14:paraId="01BAFB1F" w14:textId="77777777" w:rsidR="00487215" w:rsidRPr="000E152E" w:rsidRDefault="00487215" w:rsidP="00487215">
            <w:pPr>
              <w:pStyle w:val="TEKSTIIII"/>
              <w:ind w:firstLine="0"/>
            </w:pPr>
            <w:r w:rsidRPr="000E152E">
              <w:t>ZP</w:t>
            </w:r>
          </w:p>
        </w:tc>
        <w:tc>
          <w:tcPr>
            <w:tcW w:w="7655" w:type="dxa"/>
          </w:tcPr>
          <w:p w14:paraId="01BAFB20" w14:textId="77777777" w:rsidR="00487215" w:rsidRPr="000E152E" w:rsidRDefault="00487215" w:rsidP="00487215">
            <w:pPr>
              <w:pStyle w:val="TEKSTIIII"/>
              <w:ind w:firstLine="0"/>
            </w:pPr>
            <w:r w:rsidRPr="000E152E">
              <w:t>Zyra e punës</w:t>
            </w:r>
          </w:p>
        </w:tc>
      </w:tr>
    </w:tbl>
    <w:p w14:paraId="01BAFB22" w14:textId="77777777" w:rsidR="00487215" w:rsidRPr="000E152E" w:rsidRDefault="00487215" w:rsidP="008334B9">
      <w:pPr>
        <w:pStyle w:val="TEKSTIIII"/>
      </w:pPr>
    </w:p>
    <w:p w14:paraId="01BAFB23" w14:textId="653075B9" w:rsidR="001D54D8" w:rsidRPr="00165AAB" w:rsidRDefault="00165AAB" w:rsidP="001D54D8">
      <w:pPr>
        <w:pStyle w:val="TEKSTIIII"/>
      </w:pPr>
      <w:r w:rsidRPr="00165AAB">
        <w:t>I. KUADRI STRATEGJIK</w:t>
      </w:r>
    </w:p>
    <w:p w14:paraId="01BAFB24" w14:textId="55BBEF7E" w:rsidR="001D54D8" w:rsidRPr="000E152E" w:rsidRDefault="001D54D8" w:rsidP="001D54D8">
      <w:pPr>
        <w:pStyle w:val="TEKSTIIII"/>
        <w:rPr>
          <w:b/>
        </w:rPr>
      </w:pPr>
      <w:r w:rsidRPr="000E152E">
        <w:rPr>
          <w:b/>
        </w:rPr>
        <w:t>1.1 Konteksti ekonomik dhe i tregut të punës</w:t>
      </w:r>
    </w:p>
    <w:p w14:paraId="01BAFB25" w14:textId="1105EF43" w:rsidR="001350FF" w:rsidRPr="000E152E" w:rsidRDefault="001350FF" w:rsidP="001350FF">
      <w:pPr>
        <w:pStyle w:val="TEKSTIIII"/>
      </w:pPr>
      <w:r w:rsidRPr="006E5A52">
        <w:rPr>
          <w:bCs/>
        </w:rPr>
        <w:t>Rritja ekonomike dhe e punësimit në vitet e fundit mbështetet gjerësisht në zhvillimin e sektorit privat.</w:t>
      </w:r>
      <w:r w:rsidRPr="000E152E">
        <w:t xml:space="preserve"> Të dhënat tregojnë se gjatë dekadës së fundit 2012</w:t>
      </w:r>
      <w:r w:rsidR="00C74028" w:rsidRPr="000E152E">
        <w:t>–</w:t>
      </w:r>
      <w:r w:rsidRPr="000E152E">
        <w:t>2021 numri i ndërmarrjeve aktive në vend, përfshirë fermerët, është rritur me 74 për</w:t>
      </w:r>
      <w:r w:rsidR="00165AAB">
        <w:t xml:space="preserve"> </w:t>
      </w:r>
      <w:r w:rsidRPr="000E152E">
        <w:t>qind duke arritur në 181,549 në fund të vitit 2021 (INSTAT, Regjistrat e Biznesit, 2022). Për të njëjtën periudhë numri i ndërmarrjeve të mesme (10</w:t>
      </w:r>
      <w:r w:rsidR="00165AAB" w:rsidRPr="000E152E">
        <w:t>–</w:t>
      </w:r>
      <w:r w:rsidRPr="000E152E">
        <w:t>49 punëtorë) është rritur me 76</w:t>
      </w:r>
      <w:r w:rsidR="000E152E" w:rsidRPr="000E152E">
        <w:t xml:space="preserve"> </w:t>
      </w:r>
      <w:r w:rsidRPr="000E152E">
        <w:t>për</w:t>
      </w:r>
      <w:r w:rsidR="00165AAB">
        <w:t xml:space="preserve"> </w:t>
      </w:r>
      <w:r w:rsidRPr="000E152E">
        <w:t>qind duke arritur në 6,862, ndërkohë që numri i ndërmarrjeve të mëdha, të cilat punësojnë mbi 50 persona, është mbidyfishuar duke arritur në 1,959 të tilla në fund të vitit 2021, krahasuar me 956 ndërmarrje të mëdha aktive në vitin 2012. Të dhënat administrative të tregut të punës tregojnë se zhvillimi i sektorit privat, shoqëruar me formalizimin e tregut, është pasqyruar edhe në tregun e punës, në të cilin numri i kontribuesve në pagesën e sigurimeve shoqërore, ku sektori privat përbën rreth 74</w:t>
      </w:r>
      <w:r w:rsidR="000E152E" w:rsidRPr="000E152E">
        <w:t xml:space="preserve"> </w:t>
      </w:r>
      <w:r w:rsidRPr="000E152E">
        <w:t>për</w:t>
      </w:r>
      <w:r w:rsidR="00165AAB">
        <w:t xml:space="preserve"> </w:t>
      </w:r>
      <w:r w:rsidRPr="000E152E">
        <w:t xml:space="preserve">qind të tij, është rritur mesatarisht me 5.6 </w:t>
      </w:r>
      <w:r w:rsidR="00D54F07" w:rsidRPr="000E152E">
        <w:t>për</w:t>
      </w:r>
      <w:r w:rsidR="00165AAB">
        <w:t xml:space="preserve"> </w:t>
      </w:r>
      <w:r w:rsidR="00D54F07" w:rsidRPr="000E152E">
        <w:t xml:space="preserve">qind </w:t>
      </w:r>
      <w:r w:rsidRPr="000E152E">
        <w:t>në vit gjatë viteve të fundit, duke arritur në mbi 703 mijë kontribues në vitin 2021, krahasuar me 482 mijë të tillë në vitin 2014.</w:t>
      </w:r>
    </w:p>
    <w:p w14:paraId="01BAFB26" w14:textId="77777777" w:rsidR="001350FF" w:rsidRPr="000E152E" w:rsidRDefault="001350FF" w:rsidP="001350FF">
      <w:pPr>
        <w:pStyle w:val="TEKSTIIII"/>
        <w:rPr>
          <w:i/>
          <w:iCs/>
          <w:color w:val="44546A"/>
          <w:szCs w:val="18"/>
        </w:rPr>
      </w:pPr>
    </w:p>
    <w:p w14:paraId="01BAFB27" w14:textId="5749A48C" w:rsidR="001350FF" w:rsidRPr="006D7D4B" w:rsidRDefault="001350FF" w:rsidP="001350FF">
      <w:pPr>
        <w:pStyle w:val="TEKSTIIII"/>
        <w:rPr>
          <w:i/>
          <w:iCs/>
          <w:szCs w:val="18"/>
        </w:rPr>
      </w:pPr>
      <w:r w:rsidRPr="006D7D4B">
        <w:rPr>
          <w:i/>
          <w:iCs/>
          <w:szCs w:val="18"/>
        </w:rPr>
        <w:t>Figura 1: Të punësuar kontribues dhe ndërmarrjet aktive 2014</w:t>
      </w:r>
      <w:r w:rsidR="00165AAB" w:rsidRPr="006D7D4B">
        <w:rPr>
          <w:i/>
          <w:iCs/>
          <w:szCs w:val="18"/>
        </w:rPr>
        <w:t>–</w:t>
      </w:r>
      <w:r w:rsidRPr="006D7D4B">
        <w:rPr>
          <w:i/>
          <w:iCs/>
          <w:szCs w:val="18"/>
        </w:rPr>
        <w:t>2021</w:t>
      </w:r>
    </w:p>
    <w:p w14:paraId="01BAFB28" w14:textId="77777777" w:rsidR="00255103" w:rsidRPr="000E152E" w:rsidRDefault="001350FF" w:rsidP="001350FF">
      <w:pPr>
        <w:pStyle w:val="TEKSTIIII"/>
        <w:rPr>
          <w:b/>
        </w:rPr>
      </w:pPr>
      <w:r w:rsidRPr="000E152E">
        <w:rPr>
          <w:noProof/>
          <w:lang w:val="en-US"/>
        </w:rPr>
        <w:lastRenderedPageBreak/>
        <w:drawing>
          <wp:inline distT="0" distB="0" distL="0" distR="0" wp14:anchorId="01BB0852" wp14:editId="01BB0853">
            <wp:extent cx="4596130" cy="2767330"/>
            <wp:effectExtent l="0" t="0" r="13970" b="1397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BAFB2A" w14:textId="5B7E7F4C" w:rsidR="001350FF" w:rsidRPr="000E152E" w:rsidRDefault="001350FF" w:rsidP="001350FF">
      <w:pPr>
        <w:pStyle w:val="TEKSTIIII"/>
      </w:pPr>
      <w:r w:rsidRPr="000E152E">
        <w:t xml:space="preserve">Burimi: INSTAT: Databaza Statistikore </w:t>
      </w:r>
      <w:r w:rsidR="006A15B2">
        <w:t>–</w:t>
      </w:r>
      <w:r w:rsidRPr="000E152E">
        <w:t xml:space="preserve"> Tregu</w:t>
      </w:r>
      <w:r w:rsidR="006A15B2">
        <w:t xml:space="preserve"> </w:t>
      </w:r>
      <w:r w:rsidRPr="000E152E">
        <w:t>i punës dhe Regjistrat e biznesit</w:t>
      </w:r>
    </w:p>
    <w:p w14:paraId="01BAFB2B" w14:textId="77777777" w:rsidR="001350FF" w:rsidRPr="000E152E" w:rsidRDefault="001350FF" w:rsidP="001350FF">
      <w:pPr>
        <w:pStyle w:val="TEKSTIIII"/>
        <w:rPr>
          <w:b/>
        </w:rPr>
      </w:pPr>
    </w:p>
    <w:p w14:paraId="01BAFB2C" w14:textId="3C7AC232" w:rsidR="00DC4F47" w:rsidRPr="000E152E" w:rsidRDefault="00DC4F47" w:rsidP="00DC4F47">
      <w:pPr>
        <w:pStyle w:val="TEKSTIIII"/>
      </w:pPr>
      <w:r w:rsidRPr="006E5A52">
        <w:t>Vlerësimet e fundit tregojnë se rritja ekonomike e Shqipërisë gjatë vitit 2021 ka arritur në nivelin 8.7</w:t>
      </w:r>
      <w:r w:rsidR="000E152E" w:rsidRPr="006E5A52">
        <w:t xml:space="preserve"> </w:t>
      </w:r>
      <w:r w:rsidRPr="006E5A52">
        <w:t>për</w:t>
      </w:r>
      <w:r w:rsidR="00165AAB" w:rsidRPr="006E5A52">
        <w:t xml:space="preserve"> </w:t>
      </w:r>
      <w:r w:rsidRPr="006E5A52">
        <w:t>qind</w:t>
      </w:r>
      <w:r w:rsidRPr="000E152E">
        <w:t>, duke e tejkaluar ngadalësimin e ekonomisë gjatë periudhës së pandemisë si pasojë e efekteve ekonomike dhe sociale, që ajo solli për të gjitha vendet e botës. Pritshmëritë e zhvillimit ekonomik të vendit, bazuar në ecurinë e sektorit privat si pjesa thelbësore e ekonomisë së vendit, shoqëruar me prirjet e eksporteve, investimeve publike në infrastrukturë dhe mbështetjen e biznesit, parashikojnë</w:t>
      </w:r>
      <w:r w:rsidR="000E152E" w:rsidRPr="000E152E">
        <w:t xml:space="preserve"> </w:t>
      </w:r>
      <w:r w:rsidRPr="000E152E">
        <w:t>një rritje të qëndrueshme në rreth 4</w:t>
      </w:r>
      <w:r w:rsidR="000E152E" w:rsidRPr="000E152E">
        <w:t xml:space="preserve"> </w:t>
      </w:r>
      <w:r w:rsidRPr="000E152E">
        <w:t>për</w:t>
      </w:r>
      <w:r w:rsidR="00165AAB">
        <w:t xml:space="preserve"> </w:t>
      </w:r>
      <w:r w:rsidRPr="000E152E">
        <w:t>qind mbi bazë vjetore, që do të vijojë gjatë periudhës 2022</w:t>
      </w:r>
      <w:r w:rsidR="006A15B2">
        <w:t>–</w:t>
      </w:r>
      <w:r w:rsidRPr="000E152E">
        <w:t>2024. Një rritje e tillë mbështetet dhe nga pritshmëritë e rritjes ekonomike (2.7</w:t>
      </w:r>
      <w:r w:rsidR="000E152E" w:rsidRPr="000E152E">
        <w:t xml:space="preserve"> </w:t>
      </w:r>
      <w:r w:rsidRPr="000E152E">
        <w:t>për</w:t>
      </w:r>
      <w:r w:rsidR="00165AAB">
        <w:t xml:space="preserve"> </w:t>
      </w:r>
      <w:r w:rsidRPr="000E152E">
        <w:t>qind gjatë 2022) në zonën e Bashkimit Evropian, i cili krahas faktorëve të tjerë të rëndësishëm, është gjithashtu partneri kryesor tregtar i Shqipërisë, me rreth 2/3 e tregtisë së vendit dhe destinacion i rreth 80 për</w:t>
      </w:r>
      <w:r w:rsidR="00165AAB">
        <w:t xml:space="preserve"> </w:t>
      </w:r>
      <w:r w:rsidRPr="000E152E">
        <w:t>qind të eksporteve shqiptare.</w:t>
      </w:r>
    </w:p>
    <w:p w14:paraId="01BAFB2D" w14:textId="4B8F8532" w:rsidR="00DC4F47" w:rsidRPr="000E152E" w:rsidRDefault="00DC4F47" w:rsidP="00DC4F47">
      <w:pPr>
        <w:pStyle w:val="TEKSTIIII"/>
      </w:pPr>
      <w:r w:rsidRPr="000E152E">
        <w:t>Treguesit e punësimit gjatë viteve të fundit në Shqipëri dëshmojnë për një ulje të shkallës së papunësisë nga 17.5</w:t>
      </w:r>
      <w:r w:rsidR="000E152E" w:rsidRPr="000E152E">
        <w:t xml:space="preserve"> </w:t>
      </w:r>
      <w:r w:rsidRPr="000E152E">
        <w:t>për</w:t>
      </w:r>
      <w:r w:rsidR="00165AAB">
        <w:t xml:space="preserve"> </w:t>
      </w:r>
      <w:r w:rsidRPr="000E152E">
        <w:t>qind gjatë vitit 2014 në 11.5</w:t>
      </w:r>
      <w:r w:rsidR="000E152E" w:rsidRPr="000E152E">
        <w:t xml:space="preserve"> </w:t>
      </w:r>
      <w:r w:rsidRPr="000E152E">
        <w:t>për</w:t>
      </w:r>
      <w:r w:rsidR="00165AAB">
        <w:t xml:space="preserve"> </w:t>
      </w:r>
      <w:r w:rsidRPr="000E152E">
        <w:t>qind, ose në të njëjtin nivel përpara nisjes së pandemisë, gjatë vitit 2021. Ulja e papunësisë në këtë periudhë vjen si pasojë e krijimit të vendeve të reja të punës, zhvillimit të sektorit privat dhe masave aktive për reduktimin e ekonomisë informale në vend.</w:t>
      </w:r>
    </w:p>
    <w:p w14:paraId="01BAFB2E" w14:textId="7A557265" w:rsidR="00DC4F47" w:rsidRPr="000E152E" w:rsidRDefault="00DC4F47" w:rsidP="00DC4F47">
      <w:pPr>
        <w:pStyle w:val="TEKSTIIII"/>
      </w:pPr>
      <w:r w:rsidRPr="000E152E">
        <w:t>Bujqësia është sektori që angazhon në punë pjesën më të madhe të shqiptarëve, me rreth 33.8</w:t>
      </w:r>
      <w:r w:rsidR="000E152E" w:rsidRPr="000E152E">
        <w:t xml:space="preserve"> </w:t>
      </w:r>
      <w:r w:rsidRPr="000E152E">
        <w:t>për</w:t>
      </w:r>
      <w:r w:rsidR="00165AAB">
        <w:t xml:space="preserve"> </w:t>
      </w:r>
      <w:r w:rsidRPr="000E152E">
        <w:t xml:space="preserve">qind të të punësuarve gjatë vitit 2021 </w:t>
      </w:r>
      <w:r w:rsidRPr="000E152E">
        <w:rPr>
          <w:bCs/>
        </w:rPr>
        <w:t>(INSTAT)</w:t>
      </w:r>
      <w:r w:rsidRPr="000E152E">
        <w:t>. Veçmas bujqësisë, sektorët që punësojnë më shumë punonjës në vend janë tregtia me pakicë (13.2</w:t>
      </w:r>
      <w:r w:rsidR="000E152E" w:rsidRPr="000E152E">
        <w:t xml:space="preserve"> </w:t>
      </w:r>
      <w:r w:rsidRPr="000E152E">
        <w:t>për</w:t>
      </w:r>
      <w:r w:rsidR="00165AAB">
        <w:t xml:space="preserve"> </w:t>
      </w:r>
      <w:r w:rsidRPr="000E152E">
        <w:t>qind), shërbimet e ndryshme (11</w:t>
      </w:r>
      <w:r w:rsidR="000E152E" w:rsidRPr="000E152E">
        <w:t xml:space="preserve"> </w:t>
      </w:r>
      <w:r w:rsidRPr="000E152E">
        <w:t>për</w:t>
      </w:r>
      <w:r w:rsidR="00165AAB">
        <w:t xml:space="preserve"> </w:t>
      </w:r>
      <w:r w:rsidRPr="000E152E">
        <w:t>qind), ndërtimi (10.1</w:t>
      </w:r>
      <w:r w:rsidR="000E152E" w:rsidRPr="000E152E">
        <w:t xml:space="preserve"> </w:t>
      </w:r>
      <w:r w:rsidRPr="000E152E">
        <w:t>për</w:t>
      </w:r>
      <w:r w:rsidR="00165AAB">
        <w:t xml:space="preserve"> </w:t>
      </w:r>
      <w:r w:rsidRPr="000E152E">
        <w:t>qind), tregtia me shumicë (9.8</w:t>
      </w:r>
      <w:r w:rsidR="000E152E" w:rsidRPr="000E152E">
        <w:t xml:space="preserve"> </w:t>
      </w:r>
      <w:r w:rsidRPr="000E152E">
        <w:t>për</w:t>
      </w:r>
      <w:r w:rsidR="00165AAB">
        <w:t xml:space="preserve"> </w:t>
      </w:r>
      <w:r w:rsidRPr="000E152E">
        <w:t>qind), shërbimi ushqimor (8.4</w:t>
      </w:r>
      <w:r w:rsidR="000E152E" w:rsidRPr="000E152E">
        <w:t xml:space="preserve"> </w:t>
      </w:r>
      <w:r w:rsidRPr="000E152E">
        <w:t>për</w:t>
      </w:r>
      <w:r w:rsidR="00165AAB">
        <w:t xml:space="preserve"> </w:t>
      </w:r>
      <w:r w:rsidRPr="000E152E">
        <w:t>qind), tekstile dhe veshje (5.5</w:t>
      </w:r>
      <w:r w:rsidR="000E152E" w:rsidRPr="000E152E">
        <w:t xml:space="preserve"> </w:t>
      </w:r>
      <w:r w:rsidRPr="000E152E">
        <w:t>për</w:t>
      </w:r>
      <w:r w:rsidR="00165AAB">
        <w:t xml:space="preserve"> </w:t>
      </w:r>
      <w:r w:rsidRPr="000E152E">
        <w:t>qind), industria e këpucëve (4.1</w:t>
      </w:r>
      <w:r w:rsidR="000E152E" w:rsidRPr="000E152E">
        <w:t xml:space="preserve"> </w:t>
      </w:r>
      <w:r w:rsidRPr="000E152E">
        <w:t>për</w:t>
      </w:r>
      <w:r w:rsidR="00165AAB">
        <w:t xml:space="preserve"> </w:t>
      </w:r>
      <w:r w:rsidRPr="000E152E">
        <w:t xml:space="preserve">qind) etj., ndërkohë që punësimi në sektorët e tjerë të ekonomisë është në nivele më të ulëta. Ecuria e punësimit e viteve të fundit dëshmon se sektorët që kanë pasur rritjen relative më të lartë në vend, janë shërbimet e informacionit, industri të tjera përpunuese, shëndetësia, hoteleri-turizmi, programimi, tregtimi dhe riparimi i automjeteve dhe shërbime të tjera. </w:t>
      </w:r>
    </w:p>
    <w:p w14:paraId="01BAFB2F" w14:textId="3A8D1453" w:rsidR="00DC4F47" w:rsidRPr="000E152E" w:rsidRDefault="00DC4F47" w:rsidP="00DC4F47">
      <w:pPr>
        <w:pStyle w:val="TEKSTIIII"/>
      </w:pPr>
      <w:r w:rsidRPr="006E5A52">
        <w:t>Gjatë dekadës së fundit rritja e punësimit në Shqipëri ka rezultuar më e lartë se përmirësimi i produktivitetit në punë</w:t>
      </w:r>
      <w:r w:rsidRPr="000E152E">
        <w:t xml:space="preserve"> (Rritja e punësimit 74.7</w:t>
      </w:r>
      <w:r w:rsidR="000E152E" w:rsidRPr="000E152E">
        <w:t xml:space="preserve"> </w:t>
      </w:r>
      <w:r w:rsidRPr="000E152E">
        <w:t>për</w:t>
      </w:r>
      <w:r w:rsidR="00165AAB">
        <w:t xml:space="preserve"> </w:t>
      </w:r>
      <w:r w:rsidRPr="000E152E">
        <w:t>qind, rritja e vlerës së shtuar 68.8</w:t>
      </w:r>
      <w:r w:rsidR="000E152E" w:rsidRPr="000E152E">
        <w:t xml:space="preserve"> </w:t>
      </w:r>
      <w:r w:rsidRPr="000E152E">
        <w:t>për</w:t>
      </w:r>
      <w:r w:rsidR="00165AAB">
        <w:t xml:space="preserve"> </w:t>
      </w:r>
      <w:r w:rsidRPr="000E152E">
        <w:t>qind, 2012</w:t>
      </w:r>
      <w:r w:rsidR="00165AAB" w:rsidRPr="000E152E">
        <w:t>–</w:t>
      </w:r>
      <w:r w:rsidRPr="000E152E">
        <w:t>2021. INSTAT). Produktiviteti i ekonomisë shqiptare, si faktor përcaktues i konkurrueshmërisë dhe nivelit të mirëqenies së qytetarëve, mbetet relativisht i ulët krahasuar me Bashkimin Evropian. Të dhënat (World Development Indicators database, 2022) tregojnë se gjatë dekadës së fundit, niveli mesatar i produktivitetit të ekonomisë shqiptare, i matur në USD konstant PPP si kontribut në PBB i çdo personi të punësuar, në vitin 2012 ishte sa 31.2 për</w:t>
      </w:r>
      <w:r w:rsidR="00165AAB">
        <w:t xml:space="preserve"> </w:t>
      </w:r>
      <w:r w:rsidRPr="000E152E">
        <w:t>qind e mesatares së Bashkimit Evropian dhe arriti në 34.7</w:t>
      </w:r>
      <w:r w:rsidR="000E152E" w:rsidRPr="000E152E">
        <w:t xml:space="preserve"> </w:t>
      </w:r>
      <w:r w:rsidRPr="000E152E">
        <w:t>për</w:t>
      </w:r>
      <w:r w:rsidR="00165AAB">
        <w:t xml:space="preserve"> </w:t>
      </w:r>
      <w:r w:rsidRPr="000E152E">
        <w:t xml:space="preserve">qind në vitin 2021. </w:t>
      </w:r>
    </w:p>
    <w:p w14:paraId="01BAFB30" w14:textId="08859255" w:rsidR="00DC4F47" w:rsidRPr="000E152E" w:rsidRDefault="00DC4F47" w:rsidP="00DC4F47">
      <w:pPr>
        <w:pStyle w:val="TEKSTIIII"/>
      </w:pPr>
      <w:r w:rsidRPr="000E152E">
        <w:lastRenderedPageBreak/>
        <w:t>Aktivitetet me vlerë të lartë të shtuar që kontribuojnë për rreth 1/3 e punësimit (përjashtuar bujqësinë dhe administratën) kanë pasur rritjen më të lartë të punësimit gjatë dekadës së fundit. Përpos rritjes së produktivitetit në nivel kombëtar është me vlerë të mbahet parasysh ndryshimi i konsiderueshëm që ekziston në nivelin e produktivitetit sipas sektorëve të ndryshëm të veprimtarisë ekonomike. Analiza e të dhënave tregon se gjatë dekadës së fundit 2011–2020, sektorët jobujqësorë me rritjen më të lartë të produktivitetit në Shqipëri janë ata të shëndetësisë (që angazhon 2.4</w:t>
      </w:r>
      <w:r w:rsidR="000E152E" w:rsidRPr="000E152E">
        <w:t xml:space="preserve"> </w:t>
      </w:r>
      <w:r w:rsidRPr="000E152E">
        <w:t>për</w:t>
      </w:r>
      <w:r w:rsidR="00165AAB">
        <w:t xml:space="preserve"> </w:t>
      </w:r>
      <w:r w:rsidRPr="000E152E">
        <w:t>qind të punësimit në vend), shërbimeve të ndryshme (9</w:t>
      </w:r>
      <w:r w:rsidR="000E152E" w:rsidRPr="000E152E">
        <w:t xml:space="preserve"> </w:t>
      </w:r>
      <w:r w:rsidRPr="000E152E">
        <w:t>për</w:t>
      </w:r>
      <w:r w:rsidR="00165AAB">
        <w:t xml:space="preserve"> </w:t>
      </w:r>
      <w:r w:rsidRPr="000E152E">
        <w:t xml:space="preserve">qind të punësimit në vend), publikimet dhe </w:t>
      </w:r>
      <w:r w:rsidRPr="000765F1">
        <w:rPr>
          <w:i/>
        </w:rPr>
        <w:t>software</w:t>
      </w:r>
      <w:r w:rsidRPr="000E152E">
        <w:t xml:space="preserve"> (0.5</w:t>
      </w:r>
      <w:r w:rsidR="000E152E" w:rsidRPr="000E152E">
        <w:t xml:space="preserve"> </w:t>
      </w:r>
      <w:r w:rsidRPr="000E152E">
        <w:t>për</w:t>
      </w:r>
      <w:r w:rsidR="00165AAB">
        <w:t xml:space="preserve"> </w:t>
      </w:r>
      <w:r w:rsidRPr="000E152E">
        <w:t>qind të punësimit), shërbimet profesionale (7.3</w:t>
      </w:r>
      <w:r w:rsidR="000E152E" w:rsidRPr="000E152E">
        <w:t xml:space="preserve"> </w:t>
      </w:r>
      <w:r w:rsidRPr="000E152E">
        <w:t>për</w:t>
      </w:r>
      <w:r w:rsidR="00165AAB">
        <w:t xml:space="preserve"> </w:t>
      </w:r>
      <w:r w:rsidRPr="000E152E">
        <w:t>qind të punësimit), energjia dhe gazi (6.2</w:t>
      </w:r>
      <w:r w:rsidR="000E152E" w:rsidRPr="000E152E">
        <w:t xml:space="preserve"> </w:t>
      </w:r>
      <w:r w:rsidRPr="000E152E">
        <w:t>për</w:t>
      </w:r>
      <w:r w:rsidR="00165AAB">
        <w:t xml:space="preserve"> </w:t>
      </w:r>
      <w:r w:rsidRPr="000E152E">
        <w:t>qind të punësimit) etj., sektorë për të cilët niveli i produktivitetit është rritur mbi dy herë krahasuar me dhjetë vite më parë. Janë këta sektorë ekonomikë që përbëjnë njëkohësisht drejtimet më të rëndësishme, ku cilësia e punës dhe mirëqenia e qytetarëve të përfshirë në këto aktivitete, është në përmirësim të dukshëm krahasuar me aktivitetet e tjera në vend. Ndaj fuqizimi i mëtejshëm i sektorëve të tillë dhe të tjerëve potencialë, përmes politikave mbështetëse për zgjerimin e punësimit që shoqërojnë diversifikimin e mëtejshëm dhe orientimin e ekonomisë drejt aktiviteteve produktive, krijon mundësi të mëtejshme për të përmirësuar konkurrueshmërinë e ekonomisë dhe për të kontribuar në mënyrë të qenësishme në rritjen e mirëqenies së qytetarëve.</w:t>
      </w:r>
    </w:p>
    <w:p w14:paraId="01BAFB31" w14:textId="77777777" w:rsidR="00FE43F1" w:rsidRPr="000E152E" w:rsidRDefault="00FE43F1" w:rsidP="00FE43F1">
      <w:pPr>
        <w:pStyle w:val="TEKSTIIII"/>
      </w:pPr>
    </w:p>
    <w:p w14:paraId="01BAFB32" w14:textId="7462B515" w:rsidR="00DC4F47" w:rsidRPr="000E152E" w:rsidRDefault="00FE43F1" w:rsidP="00FE43F1">
      <w:pPr>
        <w:pStyle w:val="TEKSTIIII"/>
      </w:pPr>
      <w:r w:rsidRPr="000E152E">
        <w:t>Figura 2: Rritja në punësim dhe produktivitet sipas sektorëve, 2011</w:t>
      </w:r>
      <w:r w:rsidR="00165AAB" w:rsidRPr="000E152E">
        <w:t>–</w:t>
      </w:r>
      <w:r w:rsidRPr="000E152E">
        <w:t>2021</w:t>
      </w:r>
    </w:p>
    <w:p w14:paraId="01BAFB33" w14:textId="77777777" w:rsidR="00DC4F47" w:rsidRPr="000E152E" w:rsidRDefault="00FE43F1" w:rsidP="001350FF">
      <w:pPr>
        <w:pStyle w:val="TEKSTIIII"/>
        <w:rPr>
          <w:b/>
        </w:rPr>
      </w:pPr>
      <w:r w:rsidRPr="000E152E">
        <w:rPr>
          <w:noProof/>
          <w:lang w:val="en-US"/>
        </w:rPr>
        <w:drawing>
          <wp:inline distT="0" distB="0" distL="0" distR="0" wp14:anchorId="01BB0854" wp14:editId="01BB0855">
            <wp:extent cx="5689600" cy="3711575"/>
            <wp:effectExtent l="0" t="0" r="25400" b="222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BAFB34" w14:textId="77777777" w:rsidR="00FE43F1" w:rsidRPr="000E152E" w:rsidRDefault="00FE43F1" w:rsidP="00FE43F1">
      <w:pPr>
        <w:pStyle w:val="TEKSTIIII"/>
        <w:rPr>
          <w:i/>
          <w:iCs/>
        </w:rPr>
      </w:pPr>
      <w:r w:rsidRPr="000E152E">
        <w:t>Madhësia e çdo sfere është proporcionale me punësimin në sektorin përkatës gjatë 2021. Këtu nuk përfshihet sektori i bujqësisë. Burimi: INSTAT</w:t>
      </w:r>
    </w:p>
    <w:p w14:paraId="01BAFB35" w14:textId="77777777" w:rsidR="00FE43F1" w:rsidRPr="000E152E" w:rsidRDefault="00FE43F1" w:rsidP="001350FF">
      <w:pPr>
        <w:pStyle w:val="TEKSTIIII"/>
        <w:rPr>
          <w:b/>
        </w:rPr>
      </w:pPr>
    </w:p>
    <w:p w14:paraId="01BAFB36" w14:textId="77777777" w:rsidR="00FE43F1" w:rsidRPr="000E152E" w:rsidRDefault="00FE43F1" w:rsidP="00FE43F1">
      <w:pPr>
        <w:pStyle w:val="TEKSTIIII"/>
      </w:pPr>
      <w:r w:rsidRPr="000E152E">
        <w:t xml:space="preserve">Niveli relativisht i ulët i produktivitetit në punë, sidomos në sektorin e bujqësisë, pasqyrohet në nivelin e pagave në Shqipëri. Ndër shqetësimet kryesore të raportuara nga bizneset është mungesa e punonjësve të kualifikuar dhe raporti i pabalancuar midis pagesës dhe produktivitetit </w:t>
      </w:r>
      <w:r w:rsidRPr="000E152E">
        <w:lastRenderedPageBreak/>
        <w:t>në punë</w:t>
      </w:r>
      <w:r w:rsidRPr="000E152E">
        <w:rPr>
          <w:rStyle w:val="FootnoteReference"/>
          <w:rFonts w:ascii="Calibri" w:hAnsi="Calibri" w:cs="Calibri"/>
        </w:rPr>
        <w:footnoteReference w:id="2"/>
      </w:r>
      <w:r w:rsidRPr="000E152E">
        <w:t>. Presioni i mungesës së fuqisë punëtore të kualifikuar do të ndikojë në rritjen e nivelit të pagave, duke i kthyer në më tërheqëse shumë pozicione pune në treg, por që bizneset vendase të jenë të afta të konkurrojnë brenda vendit apo rajonit të hapur, është e nevojshme që ky proces të përparojë së bashku me përmirësimet e domosdoshme të produktivitetit në punë.</w:t>
      </w:r>
    </w:p>
    <w:p w14:paraId="01BAFB37" w14:textId="2BAA18A8" w:rsidR="00FE43F1" w:rsidRPr="000E152E" w:rsidRDefault="00FE43F1" w:rsidP="00FE43F1">
      <w:pPr>
        <w:pStyle w:val="TEKSTIIII"/>
      </w:pPr>
      <w:r w:rsidRPr="000E152E">
        <w:t>Përmirësimi i aftësive për punë dhe inovacioni është një nga tri shtyllat për fuqizimin e konkurrueshmërisë së ekonomisë shqiptare, sipas programit të qeverisë, së bashku me përmirësimin e klimës së biznesit dhe investimeve, dhe funksionimin e një mbrojtjeje efektive sociale. Qeveria ka identifikuar sektorët e turizmit, teknologjisë së informacionit, energjisë dhe bujqësisë si parësorë për zhvillimin e vendit. Për këtë arsye, së bashku me sektorët e përmendur më sipër, që mundësojnë punësim më të lartë për shqiptarët dhe ku niveli i produktivitetit krijon premisa për rritje të nivelit të mirëqenies së qytetarëve përmes investimeve dhe zhvillimit të sektorit privat, është e nevojshme që të aftësimi i të rinjve dhe të rejave si dhe atyre të angazhuar në punë t</w:t>
      </w:r>
      <w:r w:rsidR="009330F6">
        <w:t>’</w:t>
      </w:r>
      <w:r w:rsidRPr="000E152E">
        <w:t>u paraprijë kërkesave që këta sektorë do të kenë për tregun e punës gjatë dekadës së ardhshme, në përputhje me stadin e zhvillimit të tyre. Pa dyshim, rol të rëndësishëm në këtë drejtim do të kenë strategjitë, politikat dhe buxhetet e sektorëve specifikë, por gërshetimi i tyre me kërkesat për tregun e punës janë më se të nevojshme (p.sh. sektori i turizmit po rritet me miliona turistë në pak vite, krahas investimeve në infrastrukturë apo hoteleri, sa fuqi punëtore dhe me cilat aftësi specifike do të duhen deri në vitin 2030).</w:t>
      </w:r>
    </w:p>
    <w:p w14:paraId="01BAFB38" w14:textId="77777777" w:rsidR="00FE43F1" w:rsidRPr="000E152E" w:rsidRDefault="00FE43F1" w:rsidP="00FE43F1">
      <w:pPr>
        <w:pStyle w:val="TEKSTIIII"/>
      </w:pPr>
      <w:r w:rsidRPr="000E152E">
        <w:t>Me gjithë progresin e arritur në uljen e papunësisë, tregu i punës përballet me sfida të rëndësishme të cilat do të vijojnë të kërkojnë vëmendjen e politikave mbështetëse dhe orientuese në të ardhmen:</w:t>
      </w:r>
    </w:p>
    <w:p w14:paraId="01BAFB39" w14:textId="42E761FC" w:rsidR="00FE43F1" w:rsidRPr="000E152E" w:rsidRDefault="00FE43F1" w:rsidP="00FE43F1">
      <w:pPr>
        <w:pStyle w:val="TEKSTIIII"/>
      </w:pPr>
      <w:r w:rsidRPr="006E5A52">
        <w:t>Niveli i papunësisë tek të rinjtë është në nivel relativisht të lartë</w:t>
      </w:r>
      <w:r w:rsidRPr="000E152E">
        <w:t xml:space="preserve"> (27.1</w:t>
      </w:r>
      <w:r w:rsidR="000E152E" w:rsidRPr="000E152E">
        <w:t xml:space="preserve"> </w:t>
      </w:r>
      <w:r w:rsidRPr="000E152E">
        <w:t>për</w:t>
      </w:r>
      <w:r w:rsidR="00165AAB">
        <w:t xml:space="preserve"> </w:t>
      </w:r>
      <w:r w:rsidRPr="000E152E">
        <w:t xml:space="preserve">qind në vitin 2021), duke treguar se të rinjtë ne një masë të konsiderueshme e kanë të vështirë të gjejnë në treg punë që </w:t>
      </w:r>
      <w:r w:rsidR="00416B9F" w:rsidRPr="000E152E">
        <w:t>i</w:t>
      </w:r>
      <w:r w:rsidRPr="000E152E">
        <w:t xml:space="preserve"> përgjigjet pritshmërive të tyre, duke mbetur të papërfshirë në aktivitetin ekonomik të vendit dhe të varur ndaj mbështetjes sociale që iu jepet nga familja, shteti, të afërmit e tyre në emigracion apo të punësuar në vend. Po kështu e lartë mbetet dhe pjesa e të rinjve jo në punësim dhe as duke ndjekur shkollën, e cila përbënte 26.1</w:t>
      </w:r>
      <w:r w:rsidR="000E152E" w:rsidRPr="000E152E">
        <w:t xml:space="preserve"> </w:t>
      </w:r>
      <w:r w:rsidRPr="000E152E">
        <w:t>për</w:t>
      </w:r>
      <w:r w:rsidR="00165AAB">
        <w:t xml:space="preserve"> </w:t>
      </w:r>
      <w:r w:rsidRPr="000E152E">
        <w:t>qind të të rinjve 15</w:t>
      </w:r>
      <w:r w:rsidR="00165AAB" w:rsidRPr="000E152E">
        <w:t>–</w:t>
      </w:r>
      <w:r w:rsidRPr="000E152E">
        <w:t>29 vjeç gjatë vitit 2021, me gjithë përmirësimin gradual të këtij treguesi, nga 34.5</w:t>
      </w:r>
      <w:r w:rsidR="000E152E" w:rsidRPr="000E152E">
        <w:t xml:space="preserve"> </w:t>
      </w:r>
      <w:r w:rsidRPr="000E152E">
        <w:t>për</w:t>
      </w:r>
      <w:r w:rsidR="00165AAB">
        <w:t xml:space="preserve"> </w:t>
      </w:r>
      <w:r w:rsidRPr="000E152E">
        <w:t>qind që ishte në vitin 2014.</w:t>
      </w:r>
      <w:r w:rsidR="000E152E" w:rsidRPr="000E152E">
        <w:t xml:space="preserve"> </w:t>
      </w:r>
      <w:r w:rsidRPr="000E152E">
        <w:t xml:space="preserve">Përveç mospërputhjes mes formimit dhe vendeve të punës, shumë faktorë të rëndësishëm ekonomikë e socialë ndikojnë në mospjesëmarrjen e të rinjve në tregun e punës: kushtet e duhura për punë të denjë, formimi i duhur, mungesa e përvojës, aksesi në tregun e punës, kujdesi në familje apo dhe faktorë të tjerë. </w:t>
      </w:r>
    </w:p>
    <w:p w14:paraId="01BAFB3A" w14:textId="77777777" w:rsidR="00EE12D8" w:rsidRPr="000E152E" w:rsidRDefault="00EE12D8" w:rsidP="001350FF">
      <w:pPr>
        <w:pStyle w:val="TEKSTIIII"/>
        <w:rPr>
          <w:b/>
        </w:rPr>
      </w:pPr>
    </w:p>
    <w:p w14:paraId="01BAFB3B" w14:textId="737C3A64" w:rsidR="00FE43F1" w:rsidRPr="000E152E" w:rsidRDefault="00EE12D8" w:rsidP="001350FF">
      <w:pPr>
        <w:pStyle w:val="TEKSTIIII"/>
      </w:pPr>
      <w:r w:rsidRPr="000E152E">
        <w:t>Figura 3: Shkalla e papunësisë, 2014</w:t>
      </w:r>
      <w:r w:rsidR="00165AAB" w:rsidRPr="000E152E">
        <w:t>–</w:t>
      </w:r>
      <w:r w:rsidRPr="000E152E">
        <w:t>2021</w:t>
      </w:r>
    </w:p>
    <w:p w14:paraId="01BAFB3C" w14:textId="77777777" w:rsidR="00EE12D8" w:rsidRPr="000E152E" w:rsidRDefault="00EE12D8" w:rsidP="001350FF">
      <w:pPr>
        <w:pStyle w:val="TEKSTIIII"/>
      </w:pPr>
      <w:r w:rsidRPr="000E152E">
        <w:rPr>
          <w:noProof/>
          <w:lang w:val="en-US"/>
        </w:rPr>
        <w:drawing>
          <wp:inline distT="0" distB="0" distL="0" distR="0" wp14:anchorId="01BB0856" wp14:editId="4081C90A">
            <wp:extent cx="5200299" cy="2081834"/>
            <wp:effectExtent l="0" t="0" r="635" b="139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BAFB3D" w14:textId="04D60E6F" w:rsidR="00FF35AF" w:rsidRPr="000E152E" w:rsidRDefault="00FF35AF" w:rsidP="00FF35AF">
      <w:pPr>
        <w:pStyle w:val="TEKSTIIII"/>
      </w:pPr>
      <w:r w:rsidRPr="000E152E">
        <w:lastRenderedPageBreak/>
        <w:t xml:space="preserve">Sipas statistikave zyrtare, niveli i papunësisë është më i theksuar te personat me arsimim më të ulët, gratë, banorët në zonat rurale dhe qytete të vogla dhe ndër shtresat e tjera vulnerabël të popullsisë duke ndikuar në një masë edhe më të madhe në nivelin e varfërisë së tyre. Në mënyrë të dukshme, vajzat dhe gratë rezultojnë në një pozitë më të pafavorshme se meshkujt në të gjithë treguesit e punësimit në vend. </w:t>
      </w:r>
    </w:p>
    <w:p w14:paraId="01BAFB3E" w14:textId="77777777" w:rsidR="00FF35AF" w:rsidRPr="00BC6A35" w:rsidRDefault="00FF35AF" w:rsidP="001350FF">
      <w:pPr>
        <w:pStyle w:val="TEKSTIIII"/>
        <w:rPr>
          <w:sz w:val="14"/>
        </w:rPr>
      </w:pPr>
    </w:p>
    <w:p w14:paraId="01BAFB3F" w14:textId="77777777" w:rsidR="00915627" w:rsidRPr="000E152E" w:rsidRDefault="00915627" w:rsidP="00915627">
      <w:pPr>
        <w:pStyle w:val="TEKSTIIII"/>
      </w:pPr>
      <w:r w:rsidRPr="000E152E">
        <w:t>Tabela 1: Të dhëna kryesore mbi tregun e punës, 2021. Anketa e Forcave të Punës, INSTAT, 2021</w:t>
      </w:r>
    </w:p>
    <w:tbl>
      <w:tblPr>
        <w:tblW w:w="9322" w:type="dxa"/>
        <w:tblLook w:val="04A0" w:firstRow="1" w:lastRow="0" w:firstColumn="1" w:lastColumn="0" w:noHBand="0" w:noVBand="1"/>
      </w:tblPr>
      <w:tblGrid>
        <w:gridCol w:w="3049"/>
        <w:gridCol w:w="775"/>
        <w:gridCol w:w="712"/>
        <w:gridCol w:w="709"/>
        <w:gridCol w:w="709"/>
        <w:gridCol w:w="754"/>
        <w:gridCol w:w="591"/>
        <w:gridCol w:w="591"/>
        <w:gridCol w:w="591"/>
        <w:gridCol w:w="841"/>
      </w:tblGrid>
      <w:tr w:rsidR="00E224CD" w:rsidRPr="000E152E" w14:paraId="01BAFB4A" w14:textId="77777777" w:rsidTr="00165AAB">
        <w:trPr>
          <w:trHeight w:val="60"/>
        </w:trPr>
        <w:tc>
          <w:tcPr>
            <w:tcW w:w="3049" w:type="dxa"/>
            <w:tcBorders>
              <w:top w:val="nil"/>
              <w:left w:val="nil"/>
              <w:bottom w:val="single" w:sz="12" w:space="0" w:color="FFFFFF"/>
              <w:right w:val="single" w:sz="4" w:space="0" w:color="FFFFFF"/>
            </w:tcBorders>
            <w:shd w:val="clear" w:color="auto" w:fill="F79646"/>
            <w:noWrap/>
            <w:vAlign w:val="bottom"/>
            <w:hideMark/>
          </w:tcPr>
          <w:p w14:paraId="01BAFB4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Treguesi</w:t>
            </w:r>
          </w:p>
        </w:tc>
        <w:tc>
          <w:tcPr>
            <w:tcW w:w="775" w:type="dxa"/>
            <w:tcBorders>
              <w:top w:val="nil"/>
              <w:left w:val="single" w:sz="4" w:space="0" w:color="FFFFFF"/>
              <w:bottom w:val="single" w:sz="12" w:space="0" w:color="FFFFFF"/>
              <w:right w:val="single" w:sz="4" w:space="0" w:color="FFFFFF"/>
            </w:tcBorders>
            <w:shd w:val="clear" w:color="auto" w:fill="F79646"/>
            <w:noWrap/>
            <w:vAlign w:val="bottom"/>
            <w:hideMark/>
          </w:tcPr>
          <w:p w14:paraId="01BAFB41" w14:textId="77777777" w:rsidR="00E224CD" w:rsidRPr="000E152E" w:rsidRDefault="00E224CD" w:rsidP="00165AAB">
            <w:pPr>
              <w:spacing w:after="0" w:line="240" w:lineRule="auto"/>
              <w:rPr>
                <w:rFonts w:ascii="Garamond" w:hAnsi="Garamond"/>
                <w:sz w:val="20"/>
                <w:szCs w:val="20"/>
              </w:rPr>
            </w:pPr>
          </w:p>
        </w:tc>
        <w:tc>
          <w:tcPr>
            <w:tcW w:w="712" w:type="dxa"/>
            <w:tcBorders>
              <w:top w:val="nil"/>
              <w:left w:val="single" w:sz="4" w:space="0" w:color="FFFFFF"/>
              <w:bottom w:val="single" w:sz="12" w:space="0" w:color="FFFFFF"/>
              <w:right w:val="single" w:sz="4" w:space="0" w:color="FFFFFF"/>
            </w:tcBorders>
            <w:shd w:val="clear" w:color="auto" w:fill="F79646"/>
            <w:noWrap/>
            <w:vAlign w:val="bottom"/>
            <w:hideMark/>
          </w:tcPr>
          <w:p w14:paraId="01BAFB4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2014</w:t>
            </w:r>
          </w:p>
        </w:tc>
        <w:tc>
          <w:tcPr>
            <w:tcW w:w="709" w:type="dxa"/>
            <w:tcBorders>
              <w:top w:val="nil"/>
              <w:left w:val="single" w:sz="4" w:space="0" w:color="FFFFFF"/>
              <w:bottom w:val="single" w:sz="12" w:space="0" w:color="FFFFFF"/>
              <w:right w:val="single" w:sz="4" w:space="0" w:color="FFFFFF"/>
            </w:tcBorders>
            <w:shd w:val="clear" w:color="auto" w:fill="F79646"/>
            <w:noWrap/>
            <w:vAlign w:val="bottom"/>
            <w:hideMark/>
          </w:tcPr>
          <w:p w14:paraId="01BAFB4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2015</w:t>
            </w:r>
          </w:p>
        </w:tc>
        <w:tc>
          <w:tcPr>
            <w:tcW w:w="709" w:type="dxa"/>
            <w:tcBorders>
              <w:top w:val="nil"/>
              <w:left w:val="single" w:sz="4" w:space="0" w:color="FFFFFF"/>
              <w:bottom w:val="single" w:sz="12" w:space="0" w:color="FFFFFF"/>
              <w:right w:val="single" w:sz="4" w:space="0" w:color="FFFFFF"/>
            </w:tcBorders>
            <w:shd w:val="clear" w:color="auto" w:fill="F79646"/>
            <w:noWrap/>
            <w:vAlign w:val="bottom"/>
            <w:hideMark/>
          </w:tcPr>
          <w:p w14:paraId="01BAFB4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2016</w:t>
            </w:r>
          </w:p>
        </w:tc>
        <w:tc>
          <w:tcPr>
            <w:tcW w:w="754" w:type="dxa"/>
            <w:tcBorders>
              <w:top w:val="nil"/>
              <w:left w:val="single" w:sz="4" w:space="0" w:color="FFFFFF"/>
              <w:bottom w:val="single" w:sz="12" w:space="0" w:color="FFFFFF"/>
              <w:right w:val="single" w:sz="4" w:space="0" w:color="FFFFFF"/>
            </w:tcBorders>
            <w:shd w:val="clear" w:color="auto" w:fill="F79646"/>
            <w:noWrap/>
            <w:vAlign w:val="bottom"/>
            <w:hideMark/>
          </w:tcPr>
          <w:p w14:paraId="01BAFB4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2017</w:t>
            </w:r>
          </w:p>
        </w:tc>
        <w:tc>
          <w:tcPr>
            <w:tcW w:w="0" w:type="auto"/>
            <w:tcBorders>
              <w:top w:val="nil"/>
              <w:left w:val="single" w:sz="4" w:space="0" w:color="FFFFFF"/>
              <w:bottom w:val="single" w:sz="12" w:space="0" w:color="FFFFFF"/>
              <w:right w:val="single" w:sz="4" w:space="0" w:color="FFFFFF"/>
            </w:tcBorders>
            <w:shd w:val="clear" w:color="auto" w:fill="F79646"/>
            <w:noWrap/>
            <w:vAlign w:val="bottom"/>
            <w:hideMark/>
          </w:tcPr>
          <w:p w14:paraId="01BAFB4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2018</w:t>
            </w:r>
          </w:p>
        </w:tc>
        <w:tc>
          <w:tcPr>
            <w:tcW w:w="0" w:type="auto"/>
            <w:tcBorders>
              <w:top w:val="nil"/>
              <w:left w:val="single" w:sz="4" w:space="0" w:color="FFFFFF"/>
              <w:bottom w:val="single" w:sz="12" w:space="0" w:color="FFFFFF"/>
              <w:right w:val="single" w:sz="4" w:space="0" w:color="FFFFFF"/>
            </w:tcBorders>
            <w:shd w:val="clear" w:color="auto" w:fill="F79646"/>
            <w:noWrap/>
            <w:vAlign w:val="bottom"/>
            <w:hideMark/>
          </w:tcPr>
          <w:p w14:paraId="01BAFB4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2019</w:t>
            </w:r>
          </w:p>
        </w:tc>
        <w:tc>
          <w:tcPr>
            <w:tcW w:w="0" w:type="auto"/>
            <w:tcBorders>
              <w:top w:val="nil"/>
              <w:left w:val="single" w:sz="4" w:space="0" w:color="FFFFFF"/>
              <w:bottom w:val="single" w:sz="12" w:space="0" w:color="FFFFFF"/>
              <w:right w:val="single" w:sz="4" w:space="0" w:color="FFFFFF"/>
            </w:tcBorders>
            <w:shd w:val="clear" w:color="auto" w:fill="F79646"/>
            <w:noWrap/>
            <w:vAlign w:val="bottom"/>
            <w:hideMark/>
          </w:tcPr>
          <w:p w14:paraId="01BAFB4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2020</w:t>
            </w:r>
          </w:p>
        </w:tc>
        <w:tc>
          <w:tcPr>
            <w:tcW w:w="841" w:type="dxa"/>
            <w:tcBorders>
              <w:top w:val="nil"/>
              <w:left w:val="single" w:sz="4" w:space="0" w:color="FFFFFF"/>
              <w:bottom w:val="single" w:sz="12" w:space="0" w:color="FFFFFF"/>
              <w:right w:val="nil"/>
            </w:tcBorders>
            <w:shd w:val="clear" w:color="auto" w:fill="F79646"/>
            <w:noWrap/>
            <w:vAlign w:val="bottom"/>
            <w:hideMark/>
          </w:tcPr>
          <w:p w14:paraId="01BAFB4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2021</w:t>
            </w:r>
          </w:p>
        </w:tc>
      </w:tr>
      <w:tr w:rsidR="00E224CD" w:rsidRPr="000E152E" w14:paraId="01BAFB55" w14:textId="77777777" w:rsidTr="00BC6A35">
        <w:trPr>
          <w:trHeight w:val="2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4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Shkalla e pjesëmarrjes në forcat e punës</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4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4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63.5</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4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64.3</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4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65.0</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5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66.8</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5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67.6</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5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68.0</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5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66.9</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5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67.2</w:t>
            </w:r>
          </w:p>
        </w:tc>
      </w:tr>
      <w:tr w:rsidR="00E224CD" w:rsidRPr="000E152E" w14:paraId="01BAFB60"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56"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44.4</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47.2</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49.9</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49.8</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51.4</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53.0</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5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52.3</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5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52.6</w:t>
            </w:r>
          </w:p>
        </w:tc>
      </w:tr>
      <w:tr w:rsidR="00E224CD" w:rsidRPr="000E152E" w14:paraId="01BAFB6B"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6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Shkalla e punësimit</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51.4</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53.3</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54.7</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57.1</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59.0</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60.1</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6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59.2</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6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59.5</w:t>
            </w:r>
          </w:p>
        </w:tc>
      </w:tr>
      <w:tr w:rsidR="00E224CD" w:rsidRPr="000E152E" w14:paraId="01BAFB76"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6C"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6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6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37.6</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6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39.2</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7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42.8</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7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43.5</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7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45.3</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7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46.9</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7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46.1</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7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46.4</w:t>
            </w:r>
          </w:p>
        </w:tc>
      </w:tr>
      <w:tr w:rsidR="00E224CD" w:rsidRPr="000E152E" w14:paraId="01BAFB81"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7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Shkalla e papunësisë</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19.2</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17.1</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15.9</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14.6</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12.7</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11.6</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7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11.5</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8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11.3</w:t>
            </w:r>
          </w:p>
        </w:tc>
      </w:tr>
      <w:tr w:rsidR="00E224CD" w:rsidRPr="000E152E" w14:paraId="01BAFB8C"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82"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15.2</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17.1</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14.4</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12.6</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11.9</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11.4</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8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11.9</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8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11.8</w:t>
            </w:r>
          </w:p>
        </w:tc>
      </w:tr>
      <w:tr w:rsidR="00E224CD" w:rsidRPr="000E152E" w14:paraId="01BAFB97"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8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 xml:space="preserve">Përqindja e të papunëve afatgjatë </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8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8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61.0</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65.8</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64.9</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63.3</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65.6</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63.1</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9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59.7</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9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60.5</w:t>
            </w:r>
          </w:p>
        </w:tc>
      </w:tr>
      <w:tr w:rsidR="00E224CD" w:rsidRPr="000E152E" w14:paraId="01BAFBA2"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98"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70.1</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66.2</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68.2</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67.1</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69.8</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9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63.7</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A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59.1</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A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65.5</w:t>
            </w:r>
          </w:p>
        </w:tc>
      </w:tr>
      <w:tr w:rsidR="00E224CD" w:rsidRPr="000E152E" w14:paraId="01BAFBAD" w14:textId="77777777" w:rsidTr="00BC6A35">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A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 xml:space="preserve">Shkalla e papunësisë afatgjatë </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11.7</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11.2</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10.3</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9.2</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8.3</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7.3</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A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6.9</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A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6.9</w:t>
            </w:r>
          </w:p>
        </w:tc>
      </w:tr>
      <w:tr w:rsidR="00E224CD" w:rsidRPr="000E152E" w14:paraId="01BAFBB8" w14:textId="77777777" w:rsidTr="000765F1">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AE"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A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10.7</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11.3</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9.8</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8.4</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8.3</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7.3</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B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7.1</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B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7.7</w:t>
            </w:r>
          </w:p>
        </w:tc>
      </w:tr>
      <w:tr w:rsidR="00E224CD" w:rsidRPr="000E152E" w14:paraId="01BAFBC3" w14:textId="77777777" w:rsidTr="000765F1">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B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Shkalla e inaktivitetit</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36.5</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35.7</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35.0</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33.2</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B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32.4</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C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32.0</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C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33.1</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C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32.8</w:t>
            </w:r>
          </w:p>
        </w:tc>
      </w:tr>
      <w:tr w:rsidR="00E224CD" w:rsidRPr="000E152E" w14:paraId="01BAFBCE" w14:textId="77777777" w:rsidTr="000765F1">
        <w:trPr>
          <w:trHeight w:val="45"/>
        </w:trPr>
        <w:tc>
          <w:tcPr>
            <w:tcW w:w="3049" w:type="dxa"/>
            <w:tcBorders>
              <w:top w:val="single" w:sz="4" w:space="0" w:color="FFFFFF"/>
              <w:left w:val="nil"/>
              <w:bottom w:val="single" w:sz="4" w:space="0" w:color="FFFFFF"/>
              <w:right w:val="single" w:sz="4" w:space="0" w:color="FFFFFF"/>
            </w:tcBorders>
            <w:shd w:val="clear" w:color="auto" w:fill="FDE9D9"/>
            <w:noWrap/>
            <w:vAlign w:val="bottom"/>
            <w:hideMark/>
          </w:tcPr>
          <w:p w14:paraId="01BAFBC4"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55.6</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52.8</w:t>
            </w:r>
          </w:p>
        </w:tc>
        <w:tc>
          <w:tcPr>
            <w:tcW w:w="709"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50.1</w:t>
            </w:r>
          </w:p>
        </w:tc>
        <w:tc>
          <w:tcPr>
            <w:tcW w:w="754" w:type="dxa"/>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9"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50.2</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A"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48.6</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47.0</w:t>
            </w:r>
          </w:p>
        </w:tc>
        <w:tc>
          <w:tcPr>
            <w:tcW w:w="0" w:type="auto"/>
            <w:tcBorders>
              <w:top w:val="single" w:sz="4" w:space="0" w:color="FFFFFF"/>
              <w:left w:val="single" w:sz="4" w:space="0" w:color="FFFFFF"/>
              <w:bottom w:val="single" w:sz="4" w:space="0" w:color="FFFFFF"/>
              <w:right w:val="single" w:sz="4" w:space="0" w:color="FFFFFF"/>
            </w:tcBorders>
            <w:shd w:val="clear" w:color="auto" w:fill="FDE9D9"/>
            <w:noWrap/>
            <w:vAlign w:val="bottom"/>
            <w:hideMark/>
          </w:tcPr>
          <w:p w14:paraId="01BAFBC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47.7</w:t>
            </w:r>
          </w:p>
        </w:tc>
        <w:tc>
          <w:tcPr>
            <w:tcW w:w="841" w:type="dxa"/>
            <w:tcBorders>
              <w:top w:val="single" w:sz="4" w:space="0" w:color="FFFFFF"/>
              <w:left w:val="single" w:sz="4" w:space="0" w:color="FFFFFF"/>
              <w:bottom w:val="single" w:sz="4" w:space="0" w:color="FFFFFF"/>
              <w:right w:val="nil"/>
            </w:tcBorders>
            <w:shd w:val="clear" w:color="auto" w:fill="FDE9D9"/>
            <w:noWrap/>
            <w:vAlign w:val="bottom"/>
            <w:hideMark/>
          </w:tcPr>
          <w:p w14:paraId="01BAFBC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47.4</w:t>
            </w:r>
          </w:p>
        </w:tc>
      </w:tr>
      <w:tr w:rsidR="00E224CD" w:rsidRPr="000E152E" w14:paraId="01BAFBD9" w14:textId="77777777" w:rsidTr="000765F1">
        <w:trPr>
          <w:trHeight w:val="45"/>
        </w:trPr>
        <w:tc>
          <w:tcPr>
            <w:tcW w:w="3049" w:type="dxa"/>
            <w:tcBorders>
              <w:top w:val="single" w:sz="4" w:space="0" w:color="FFFFFF"/>
              <w:left w:val="nil"/>
              <w:bottom w:val="single" w:sz="4" w:space="0" w:color="FFFFFF"/>
              <w:right w:val="single" w:sz="4" w:space="0" w:color="FFFFFF"/>
            </w:tcBorders>
            <w:shd w:val="clear" w:color="auto" w:fill="FCD5B4"/>
            <w:noWrap/>
            <w:vAlign w:val="bottom"/>
            <w:hideMark/>
          </w:tcPr>
          <w:p w14:paraId="01BAFBC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NEET</w:t>
            </w:r>
          </w:p>
        </w:tc>
        <w:tc>
          <w:tcPr>
            <w:tcW w:w="775"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Burra</w:t>
            </w:r>
          </w:p>
        </w:tc>
        <w:tc>
          <w:tcPr>
            <w:tcW w:w="712"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31.8</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29.4</w:t>
            </w:r>
          </w:p>
        </w:tc>
        <w:tc>
          <w:tcPr>
            <w:tcW w:w="709"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27.5</w:t>
            </w:r>
          </w:p>
        </w:tc>
        <w:tc>
          <w:tcPr>
            <w:tcW w:w="754" w:type="dxa"/>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4"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25.6</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5"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24.7</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6"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24.3</w:t>
            </w:r>
          </w:p>
        </w:tc>
        <w:tc>
          <w:tcPr>
            <w:tcW w:w="0" w:type="auto"/>
            <w:tcBorders>
              <w:top w:val="single" w:sz="4" w:space="0" w:color="FFFFFF"/>
              <w:left w:val="single" w:sz="4" w:space="0" w:color="FFFFFF"/>
              <w:bottom w:val="single" w:sz="4" w:space="0" w:color="FFFFFF"/>
              <w:right w:val="single" w:sz="4" w:space="0" w:color="FFFFFF"/>
            </w:tcBorders>
            <w:shd w:val="clear" w:color="auto" w:fill="FCD5B4"/>
            <w:noWrap/>
            <w:vAlign w:val="bottom"/>
            <w:hideMark/>
          </w:tcPr>
          <w:p w14:paraId="01BAFBD7"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25.8</w:t>
            </w:r>
          </w:p>
        </w:tc>
        <w:tc>
          <w:tcPr>
            <w:tcW w:w="841" w:type="dxa"/>
            <w:tcBorders>
              <w:top w:val="single" w:sz="4" w:space="0" w:color="FFFFFF"/>
              <w:left w:val="single" w:sz="4" w:space="0" w:color="FFFFFF"/>
              <w:bottom w:val="single" w:sz="4" w:space="0" w:color="FFFFFF"/>
              <w:right w:val="nil"/>
            </w:tcBorders>
            <w:shd w:val="clear" w:color="auto" w:fill="FCD5B4"/>
            <w:noWrap/>
            <w:vAlign w:val="bottom"/>
            <w:hideMark/>
          </w:tcPr>
          <w:p w14:paraId="01BAFBD8"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23.2</w:t>
            </w:r>
          </w:p>
        </w:tc>
      </w:tr>
      <w:tr w:rsidR="00E224CD" w:rsidRPr="000E152E" w14:paraId="01BAFBE4" w14:textId="77777777" w:rsidTr="00BC6A35">
        <w:trPr>
          <w:trHeight w:val="45"/>
        </w:trPr>
        <w:tc>
          <w:tcPr>
            <w:tcW w:w="3049" w:type="dxa"/>
            <w:tcBorders>
              <w:top w:val="single" w:sz="4" w:space="0" w:color="FFFFFF"/>
              <w:left w:val="nil"/>
              <w:bottom w:val="nil"/>
              <w:right w:val="single" w:sz="4" w:space="0" w:color="FFFFFF"/>
            </w:tcBorders>
            <w:shd w:val="clear" w:color="auto" w:fill="FDE9D9"/>
            <w:noWrap/>
            <w:vAlign w:val="bottom"/>
            <w:hideMark/>
          </w:tcPr>
          <w:p w14:paraId="01BAFBDA" w14:textId="77777777" w:rsidR="00E224CD" w:rsidRPr="000E152E" w:rsidRDefault="00E224CD" w:rsidP="00165AAB">
            <w:pPr>
              <w:spacing w:after="0" w:line="240" w:lineRule="auto"/>
              <w:rPr>
                <w:rFonts w:ascii="Garamond" w:hAnsi="Garamond"/>
                <w:sz w:val="20"/>
                <w:szCs w:val="20"/>
              </w:rPr>
            </w:pPr>
          </w:p>
        </w:tc>
        <w:tc>
          <w:tcPr>
            <w:tcW w:w="775" w:type="dxa"/>
            <w:tcBorders>
              <w:top w:val="single" w:sz="4" w:space="0" w:color="FFFFFF"/>
              <w:left w:val="single" w:sz="4" w:space="0" w:color="FFFFFF"/>
              <w:bottom w:val="nil"/>
              <w:right w:val="single" w:sz="4" w:space="0" w:color="FFFFFF"/>
            </w:tcBorders>
            <w:shd w:val="clear" w:color="auto" w:fill="FDE9D9"/>
            <w:noWrap/>
            <w:vAlign w:val="bottom"/>
            <w:hideMark/>
          </w:tcPr>
          <w:p w14:paraId="01BAFBDB"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Gra</w:t>
            </w:r>
          </w:p>
        </w:tc>
        <w:tc>
          <w:tcPr>
            <w:tcW w:w="712" w:type="dxa"/>
            <w:tcBorders>
              <w:top w:val="single" w:sz="4" w:space="0" w:color="FFFFFF"/>
              <w:left w:val="single" w:sz="4" w:space="0" w:color="FFFFFF"/>
              <w:bottom w:val="nil"/>
              <w:right w:val="single" w:sz="4" w:space="0" w:color="FFFFFF"/>
            </w:tcBorders>
            <w:shd w:val="clear" w:color="auto" w:fill="FDE9D9"/>
            <w:noWrap/>
            <w:vAlign w:val="bottom"/>
            <w:hideMark/>
          </w:tcPr>
          <w:p w14:paraId="01BAFBDC"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37.3</w:t>
            </w:r>
          </w:p>
        </w:tc>
        <w:tc>
          <w:tcPr>
            <w:tcW w:w="709" w:type="dxa"/>
            <w:tcBorders>
              <w:top w:val="single" w:sz="4" w:space="0" w:color="FFFFFF"/>
              <w:left w:val="single" w:sz="4" w:space="0" w:color="FFFFFF"/>
              <w:bottom w:val="nil"/>
              <w:right w:val="single" w:sz="4" w:space="0" w:color="FFFFFF"/>
            </w:tcBorders>
            <w:shd w:val="clear" w:color="auto" w:fill="FDE9D9"/>
            <w:noWrap/>
            <w:vAlign w:val="bottom"/>
            <w:hideMark/>
          </w:tcPr>
          <w:p w14:paraId="01BAFBDD"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36.6</w:t>
            </w:r>
          </w:p>
        </w:tc>
        <w:tc>
          <w:tcPr>
            <w:tcW w:w="709" w:type="dxa"/>
            <w:tcBorders>
              <w:top w:val="single" w:sz="4" w:space="0" w:color="FFFFFF"/>
              <w:left w:val="single" w:sz="4" w:space="0" w:color="FFFFFF"/>
              <w:bottom w:val="nil"/>
              <w:right w:val="single" w:sz="4" w:space="0" w:color="FFFFFF"/>
            </w:tcBorders>
            <w:shd w:val="clear" w:color="auto" w:fill="FDE9D9"/>
            <w:noWrap/>
            <w:vAlign w:val="bottom"/>
            <w:hideMark/>
          </w:tcPr>
          <w:p w14:paraId="01BAFBDE"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32.9</w:t>
            </w:r>
          </w:p>
        </w:tc>
        <w:tc>
          <w:tcPr>
            <w:tcW w:w="754" w:type="dxa"/>
            <w:tcBorders>
              <w:top w:val="single" w:sz="4" w:space="0" w:color="FFFFFF"/>
              <w:left w:val="single" w:sz="4" w:space="0" w:color="FFFFFF"/>
              <w:bottom w:val="nil"/>
              <w:right w:val="single" w:sz="4" w:space="0" w:color="FFFFFF"/>
            </w:tcBorders>
            <w:shd w:val="clear" w:color="auto" w:fill="FDE9D9"/>
            <w:noWrap/>
            <w:vAlign w:val="bottom"/>
            <w:hideMark/>
          </w:tcPr>
          <w:p w14:paraId="01BAFBDF"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34.4</w:t>
            </w:r>
          </w:p>
        </w:tc>
        <w:tc>
          <w:tcPr>
            <w:tcW w:w="0" w:type="auto"/>
            <w:tcBorders>
              <w:top w:val="single" w:sz="4" w:space="0" w:color="FFFFFF"/>
              <w:left w:val="single" w:sz="4" w:space="0" w:color="FFFFFF"/>
              <w:bottom w:val="nil"/>
              <w:right w:val="single" w:sz="4" w:space="0" w:color="FFFFFF"/>
            </w:tcBorders>
            <w:shd w:val="clear" w:color="auto" w:fill="FDE9D9"/>
            <w:noWrap/>
            <w:vAlign w:val="bottom"/>
            <w:hideMark/>
          </w:tcPr>
          <w:p w14:paraId="01BAFBE0"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32.7</w:t>
            </w:r>
          </w:p>
        </w:tc>
        <w:tc>
          <w:tcPr>
            <w:tcW w:w="0" w:type="auto"/>
            <w:tcBorders>
              <w:top w:val="single" w:sz="4" w:space="0" w:color="FFFFFF"/>
              <w:left w:val="single" w:sz="4" w:space="0" w:color="FFFFFF"/>
              <w:bottom w:val="nil"/>
              <w:right w:val="single" w:sz="4" w:space="0" w:color="FFFFFF"/>
            </w:tcBorders>
            <w:shd w:val="clear" w:color="auto" w:fill="FDE9D9"/>
            <w:noWrap/>
            <w:vAlign w:val="bottom"/>
            <w:hideMark/>
          </w:tcPr>
          <w:p w14:paraId="01BAFBE1"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28.9</w:t>
            </w:r>
          </w:p>
        </w:tc>
        <w:tc>
          <w:tcPr>
            <w:tcW w:w="0" w:type="auto"/>
            <w:tcBorders>
              <w:top w:val="single" w:sz="4" w:space="0" w:color="FFFFFF"/>
              <w:left w:val="single" w:sz="4" w:space="0" w:color="FFFFFF"/>
              <w:bottom w:val="nil"/>
              <w:right w:val="single" w:sz="4" w:space="0" w:color="FFFFFF"/>
            </w:tcBorders>
            <w:shd w:val="clear" w:color="auto" w:fill="FDE9D9"/>
            <w:noWrap/>
            <w:vAlign w:val="bottom"/>
            <w:hideMark/>
          </w:tcPr>
          <w:p w14:paraId="01BAFBE2"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30.0</w:t>
            </w:r>
          </w:p>
        </w:tc>
        <w:tc>
          <w:tcPr>
            <w:tcW w:w="841" w:type="dxa"/>
            <w:tcBorders>
              <w:top w:val="single" w:sz="4" w:space="0" w:color="FFFFFF"/>
              <w:left w:val="single" w:sz="4" w:space="0" w:color="FFFFFF"/>
              <w:bottom w:val="nil"/>
              <w:right w:val="nil"/>
            </w:tcBorders>
            <w:shd w:val="clear" w:color="auto" w:fill="FDE9D9"/>
            <w:noWrap/>
            <w:vAlign w:val="bottom"/>
            <w:hideMark/>
          </w:tcPr>
          <w:p w14:paraId="01BAFBE3" w14:textId="77777777" w:rsidR="00E224CD" w:rsidRPr="000E152E" w:rsidRDefault="00E224CD" w:rsidP="00165AAB">
            <w:pPr>
              <w:spacing w:after="0" w:line="240" w:lineRule="auto"/>
              <w:rPr>
                <w:rFonts w:ascii="Garamond" w:hAnsi="Garamond"/>
                <w:sz w:val="20"/>
                <w:szCs w:val="20"/>
              </w:rPr>
            </w:pPr>
            <w:r w:rsidRPr="000E152E">
              <w:rPr>
                <w:rFonts w:ascii="Garamond" w:hAnsi="Garamond"/>
                <w:sz w:val="20"/>
                <w:szCs w:val="20"/>
              </w:rPr>
              <w:t>29.1</w:t>
            </w:r>
          </w:p>
        </w:tc>
      </w:tr>
    </w:tbl>
    <w:p w14:paraId="01BAFBE5" w14:textId="77777777" w:rsidR="00E224CD" w:rsidRPr="00BC6A35" w:rsidRDefault="00E224CD" w:rsidP="00915627">
      <w:pPr>
        <w:pStyle w:val="TEKSTIIII"/>
        <w:rPr>
          <w:sz w:val="14"/>
        </w:rPr>
      </w:pPr>
    </w:p>
    <w:p w14:paraId="01BAFBE6" w14:textId="5D9A8F93" w:rsidR="001B2C5D" w:rsidRPr="000E152E" w:rsidRDefault="001B2C5D" w:rsidP="001B2C5D">
      <w:pPr>
        <w:pStyle w:val="TEKSTIIII"/>
      </w:pPr>
      <w:r w:rsidRPr="000E152E">
        <w:t>Pavarësisht përpjekjeve të viteve të fundit për aktivizimin e grave, ende mbetet shumë për t</w:t>
      </w:r>
      <w:r w:rsidR="009330F6">
        <w:t>’</w:t>
      </w:r>
      <w:r w:rsidRPr="000E152E">
        <w:t>u bërë drejt barazisë gjinore në punësim. Meqenëse punësimi është i lidhur ngushtë edhe me faktorë të tjerë të rëndësishëm si: hendeku gjinor, puna e papaguar, kontributi në familje, balancimi i jetës personale me atë profesionale, ofrimi i shërbimeve të përkujdesit nga gratë për fëmijët, të moshuarit apo familjarë në nevojë, kushtet për punësim të denjë, mbrojtja nga ngacmimi seksual në vendin e punës</w:t>
      </w:r>
      <w:r w:rsidR="00DE3FCD">
        <w:t xml:space="preserve"> etj.</w:t>
      </w:r>
      <w:r w:rsidRPr="000E152E">
        <w:t>, është e nevojshme që kjo problematikë të vazhdojë të adresohet në të ardhmen.</w:t>
      </w:r>
    </w:p>
    <w:p w14:paraId="01BAFBE7" w14:textId="6029D447" w:rsidR="001B2C5D" w:rsidRPr="000E152E" w:rsidRDefault="001B2C5D" w:rsidP="001B2C5D">
      <w:pPr>
        <w:pStyle w:val="TEKSTIIII"/>
      </w:pPr>
      <w:r w:rsidRPr="006E5A52">
        <w:t>Shkalla e punësimit në Shqipëri është në përmirësim, por duhen adresuar problematikat në grupet e cenueshme</w:t>
      </w:r>
      <w:r w:rsidRPr="000E152E">
        <w:t>. Gjatë vitit 2021, shkalla e punësimit në vend arriti në 60.9</w:t>
      </w:r>
      <w:r w:rsidR="000E152E" w:rsidRPr="000E152E">
        <w:t xml:space="preserve"> </w:t>
      </w:r>
      <w:r w:rsidRPr="000E152E">
        <w:t>për</w:t>
      </w:r>
      <w:r w:rsidR="00165AAB">
        <w:t xml:space="preserve"> </w:t>
      </w:r>
      <w:r w:rsidRPr="000E152E">
        <w:t>qind, paksa nën nivelin e periudhës para pandemisë (61.2</w:t>
      </w:r>
      <w:r w:rsidR="000E152E" w:rsidRPr="000E152E">
        <w:t xml:space="preserve"> </w:t>
      </w:r>
      <w:r w:rsidRPr="000E152E">
        <w:t>për</w:t>
      </w:r>
      <w:r w:rsidR="00165AAB">
        <w:t xml:space="preserve"> </w:t>
      </w:r>
      <w:r w:rsidRPr="000E152E">
        <w:t>qind). Por ky tregues është më i ulët se në vendet e Bashkimit Evropian (69</w:t>
      </w:r>
      <w:r w:rsidR="000E152E" w:rsidRPr="000E152E">
        <w:t xml:space="preserve"> </w:t>
      </w:r>
      <w:r w:rsidRPr="000E152E">
        <w:t>për</w:t>
      </w:r>
      <w:r w:rsidR="00165AAB">
        <w:t xml:space="preserve"> </w:t>
      </w:r>
      <w:r w:rsidRPr="000E152E">
        <w:t>qind gjatë 2021). Ky tregues rezulton më i ulët për gratë në Shqipëri (53.8</w:t>
      </w:r>
      <w:r w:rsidR="000E152E" w:rsidRPr="000E152E">
        <w:t xml:space="preserve"> </w:t>
      </w:r>
      <w:r w:rsidRPr="000E152E">
        <w:t>për</w:t>
      </w:r>
      <w:r w:rsidR="00165AAB">
        <w:t xml:space="preserve"> </w:t>
      </w:r>
      <w:r w:rsidRPr="000E152E">
        <w:t xml:space="preserve">qind </w:t>
      </w:r>
      <w:r w:rsidR="00B7420C">
        <w:t>m</w:t>
      </w:r>
      <w:r w:rsidRPr="000E152E">
        <w:t xml:space="preserve">ë 2021) dhe shumë më i ulët për të rinjtë (15-24 vjeç), tek të cilët shkalla e punësimit </w:t>
      </w:r>
      <w:r w:rsidR="00C3056F">
        <w:t>m</w:t>
      </w:r>
      <w:r w:rsidRPr="000E152E">
        <w:t>ë 2021 ishte vetëm 26.4</w:t>
      </w:r>
      <w:r w:rsidR="000E152E" w:rsidRPr="000E152E">
        <w:t xml:space="preserve"> </w:t>
      </w:r>
      <w:r w:rsidRPr="000E152E">
        <w:t>për</w:t>
      </w:r>
      <w:r w:rsidR="00165AAB">
        <w:t xml:space="preserve"> </w:t>
      </w:r>
      <w:r w:rsidRPr="000E152E">
        <w:t xml:space="preserve">qind ose, e thënë ndryshe, vetëm 1 ndër 4 të rinj është i punësuar në vend. Për shkak të problematikës komplekse ekonomike dhe sociale në vend dhe përcaktimit të statusit të papunë, në mjaft raste, shkalla e punësimit pasqyron më mirë situatën në tregun e punës, krahasuar me treguesit e tjerë, si shkalla e papunësisë. </w:t>
      </w:r>
    </w:p>
    <w:p w14:paraId="01BAFBE8" w14:textId="77777777" w:rsidR="001B2C5D" w:rsidRPr="000E152E" w:rsidRDefault="001B2C5D" w:rsidP="00915627">
      <w:pPr>
        <w:pStyle w:val="TEKSTIIII"/>
      </w:pPr>
    </w:p>
    <w:p w14:paraId="01BAFBE9" w14:textId="249B80A2" w:rsidR="00FE42F2" w:rsidRPr="000E152E" w:rsidRDefault="00FE42F2" w:rsidP="00165AAB">
      <w:pPr>
        <w:pStyle w:val="TEKSTIIII"/>
      </w:pPr>
      <w:r w:rsidRPr="000E152E">
        <w:t>Figura 4: Shkalla e punësimit, 2011</w:t>
      </w:r>
      <w:r w:rsidR="00165AAB" w:rsidRPr="000E152E">
        <w:t>–</w:t>
      </w:r>
      <w:r w:rsidRPr="000E152E">
        <w:t>2021</w:t>
      </w:r>
    </w:p>
    <w:p w14:paraId="01BAFBEA" w14:textId="77777777" w:rsidR="00FE42F2" w:rsidRPr="000E152E" w:rsidRDefault="00FE42F2" w:rsidP="00915627">
      <w:pPr>
        <w:pStyle w:val="TEKSTIIII"/>
      </w:pPr>
      <w:r w:rsidRPr="000E152E">
        <w:rPr>
          <w:noProof/>
          <w:lang w:val="en-US"/>
        </w:rPr>
        <w:lastRenderedPageBreak/>
        <w:drawing>
          <wp:inline distT="0" distB="0" distL="0" distR="0" wp14:anchorId="01BB0858" wp14:editId="01BB0859">
            <wp:extent cx="4596130" cy="2372360"/>
            <wp:effectExtent l="0" t="0" r="13970" b="1524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BAFBEB" w14:textId="77777777" w:rsidR="00FE42F2" w:rsidRPr="000E152E" w:rsidRDefault="00FE42F2" w:rsidP="00FE42F2">
      <w:pPr>
        <w:pStyle w:val="TEKSTIIII"/>
        <w:jc w:val="center"/>
      </w:pPr>
      <w:r w:rsidRPr="000E152E">
        <w:t>Burimi: INSTAT</w:t>
      </w:r>
    </w:p>
    <w:p w14:paraId="01BAFBEC" w14:textId="77777777" w:rsidR="00FE42F2" w:rsidRPr="000E152E" w:rsidRDefault="00FE42F2" w:rsidP="00FE42F2">
      <w:pPr>
        <w:pStyle w:val="TEKSTIIII"/>
      </w:pPr>
    </w:p>
    <w:p w14:paraId="01BAFBED" w14:textId="77777777" w:rsidR="00FE42F2" w:rsidRPr="000E152E" w:rsidRDefault="00FE42F2" w:rsidP="00FE42F2">
      <w:pPr>
        <w:pStyle w:val="TEKSTIIII"/>
      </w:pPr>
      <w:r w:rsidRPr="000E152E">
        <w:t xml:space="preserve">Problematikat në tregun e punës nuk janë veçori e zhvillimeve në Shqipëri, por, në mënyrë të ngjashme, të gjitha vendet e rajonit përballen me sfida të njëjta. Të dhënat më të fundit të disponueshme në treguesit e zhvillimit të Bankës Botërore që i përkasin vitit 2019, tregojnë se Shqipëria ka nivelin më të lartë në rajon, për sa i përket pjesëmarrjes në forcat e punës. </w:t>
      </w:r>
    </w:p>
    <w:p w14:paraId="01BAFBEE" w14:textId="77777777" w:rsidR="00FE42F2" w:rsidRPr="000E152E" w:rsidRDefault="00FE42F2" w:rsidP="00FE42F2">
      <w:pPr>
        <w:pStyle w:val="TEKSTIIII"/>
      </w:pPr>
    </w:p>
    <w:p w14:paraId="01BAFBEF" w14:textId="77777777" w:rsidR="00FE42F2" w:rsidRPr="000E152E" w:rsidRDefault="00FE42F2" w:rsidP="00FE42F2">
      <w:pPr>
        <w:pStyle w:val="TEKSTIIII"/>
        <w:jc w:val="center"/>
      </w:pPr>
      <w:r w:rsidRPr="000E152E">
        <w:t>Figura 5: Pjesëmarrja në forcat e punës dhe shkalla e papunësisë në rajon dhe BE, 2019</w:t>
      </w:r>
    </w:p>
    <w:p w14:paraId="01BAFBF0" w14:textId="77777777" w:rsidR="00FE42F2" w:rsidRPr="000E152E" w:rsidRDefault="00FE42F2" w:rsidP="00FE42F2">
      <w:pPr>
        <w:pStyle w:val="TEKSTIIII"/>
        <w:jc w:val="center"/>
      </w:pPr>
      <w:r w:rsidRPr="000E152E">
        <w:rPr>
          <w:noProof/>
          <w:lang w:val="en-US"/>
        </w:rPr>
        <w:drawing>
          <wp:inline distT="0" distB="0" distL="0" distR="0" wp14:anchorId="01BB085A" wp14:editId="01BB085B">
            <wp:extent cx="5641975" cy="1793240"/>
            <wp:effectExtent l="0" t="0" r="9525"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BAFBF1" w14:textId="77777777" w:rsidR="002275F2" w:rsidRPr="000E152E" w:rsidRDefault="002275F2" w:rsidP="002275F2">
      <w:pPr>
        <w:pStyle w:val="TEKSTIIII"/>
        <w:jc w:val="center"/>
        <w:rPr>
          <w:color w:val="000000" w:themeColor="text1"/>
        </w:rPr>
      </w:pPr>
      <w:r w:rsidRPr="000E152E">
        <w:rPr>
          <w:color w:val="000000" w:themeColor="text1"/>
        </w:rPr>
        <w:t>Të dhënat nga Databaza Statistikore e Bankës Botërore, treguesit e zhvillimit:</w:t>
      </w:r>
    </w:p>
    <w:p w14:paraId="01BAFBF2" w14:textId="77777777" w:rsidR="002275F2" w:rsidRPr="000E152E" w:rsidRDefault="002275F2" w:rsidP="002275F2">
      <w:pPr>
        <w:pStyle w:val="TEKSTIIII"/>
        <w:jc w:val="center"/>
        <w:rPr>
          <w:color w:val="000000" w:themeColor="text1"/>
        </w:rPr>
      </w:pPr>
      <w:r w:rsidRPr="000E152E">
        <w:rPr>
          <w:color w:val="000000" w:themeColor="text1"/>
        </w:rPr>
        <w:t xml:space="preserve"> </w:t>
      </w:r>
      <w:hyperlink r:id="rId17" w:history="1">
        <w:r w:rsidRPr="000E152E">
          <w:rPr>
            <w:rStyle w:val="Hyperlink"/>
            <w:color w:val="000000" w:themeColor="text1"/>
          </w:rPr>
          <w:t>https://databank.worldbank.org/source/world-development-indicators#</w:t>
        </w:r>
      </w:hyperlink>
    </w:p>
    <w:p w14:paraId="01BAFBF3" w14:textId="77777777" w:rsidR="002275F2" w:rsidRPr="000E152E" w:rsidRDefault="002275F2" w:rsidP="002275F2">
      <w:pPr>
        <w:pStyle w:val="TEKSTIIII"/>
        <w:jc w:val="center"/>
      </w:pPr>
    </w:p>
    <w:p w14:paraId="01BAFBF4" w14:textId="7978D3E0" w:rsidR="002275F2" w:rsidRPr="000E152E" w:rsidRDefault="002275F2" w:rsidP="002275F2">
      <w:pPr>
        <w:pStyle w:val="TEKSTIIII"/>
      </w:pPr>
      <w:r w:rsidRPr="000E152E">
        <w:t>Informaliteti në aktivitetet ekonomike, ndonëse është reduktuar ndjeshëm gjatë viteve të fundit, përbën një problem kompleks për tregun e punës në vend. Sektori i bujqësisë dhe aktivitetet në zonat rurale përbëjnë kategorinë kryesore ku informaliteti është ende i pranishëm, me gjithë incentivat e përdorur me sukses për formalizimin e fermerëve në treg. Të dhënat e INSTAT-it tregojnë se gjatë vitit 2021, një çerek milionë të punësuarish, ose 1 në çdo 5 persona të punësuar në Shqipëri, punon pa pagesë në biznesin e familjes dhe ky tregues është edhe më i lartë për gratë dhe të rejat, se sa për burrat dhe të rinjtë. Në mjaft raste, informaliteti në punësim shkaktohet jo vetëm nga mungesa e kulturës për pagimin e detyrimeve apo e incentivave për pagesën e këtyre detyrimeve, por edhe për të shmangur deklarimet apo daljen nga skemat e mbrojtjes sociale, veçanërisht në rastet e punësimit sezonal, sikurse është punësimi në turizëm në zonat bregdetare dhe ato rurale.</w:t>
      </w:r>
    </w:p>
    <w:p w14:paraId="01BAFBF5" w14:textId="1D8B184B" w:rsidR="002275F2" w:rsidRPr="000E152E" w:rsidRDefault="002275F2" w:rsidP="002275F2">
      <w:pPr>
        <w:pStyle w:val="TEKSTIIII"/>
      </w:pPr>
      <w:r w:rsidRPr="006E5A52">
        <w:t>Zhvillimi ekonomik i vendit preket nga risqe dhe sfida me pasoja të mundshme dhe të drejtpërdrejta për ekonominë shqiptare.</w:t>
      </w:r>
      <w:r w:rsidRPr="000E152E">
        <w:rPr>
          <w:b/>
        </w:rPr>
        <w:t xml:space="preserve"> </w:t>
      </w:r>
      <w:r w:rsidRPr="000E152E">
        <w:t xml:space="preserve">Procesi i rimëkëmbjes ende vazhdon dhe përmirësimi i rëndësishëm i profilit të Shqipërisë me hapjen e negociatave për anëtarësim në Bashkimin Evropian, si dhe faktorë të tjerë, kryesisht të jashtëm, mund të ndikojnë në ecurinë e ekonomisë. </w:t>
      </w:r>
      <w:r w:rsidRPr="000E152E">
        <w:lastRenderedPageBreak/>
        <w:t xml:space="preserve">Krahas bashkëjetesës së pashmangshme me </w:t>
      </w:r>
      <w:r w:rsidR="00165AAB" w:rsidRPr="000E152E">
        <w:t>COVID</w:t>
      </w:r>
      <w:r w:rsidRPr="000E152E">
        <w:t xml:space="preserve">-19, ekonomia e Shqipërisë është e ekspozuar ndaj rreziqeve të ndërlidhura të jashtme, ndër të cilat më të rëndësishmet aktualisht përfshijnë luftën në Ukrainë, valën e inflacionit që ka përfshirë të gjitha vendet e botës, krizën </w:t>
      </w:r>
      <w:r w:rsidR="00C3056F" w:rsidRPr="000E152E">
        <w:t>energjetike</w:t>
      </w:r>
      <w:r w:rsidRPr="000E152E">
        <w:t xml:space="preserve"> dhe koston e lartë të produkteve </w:t>
      </w:r>
      <w:r w:rsidR="00C3056F" w:rsidRPr="000E152E">
        <w:t>energjetike</w:t>
      </w:r>
      <w:r w:rsidRPr="000E152E">
        <w:t>, sigurinë ushqimore, si dhe prirjen e uljes së investimeve të huaja direkte në kushtet e pasigurisë që mbizotëron në tregjet globale. Hapja e plotë e Shqipërisë ndaj ekonomisë globale dhe varësia e lartë nga ecuria e saj, veçanërisht nga vendet e Bashkimit E</w:t>
      </w:r>
      <w:r w:rsidR="00165AAB">
        <w:t>v</w:t>
      </w:r>
      <w:r w:rsidRPr="000E152E">
        <w:t>ropian, krahas përfitimeve, nxjerr në pah dhe cenueshmërinë e saj nga problemet dhe rreziqet, të cilat lehtësisht transmetohen në të gjithë zinxhirin e aktivitetit ekonomik në vend.</w:t>
      </w:r>
    </w:p>
    <w:p w14:paraId="01BAFBF6" w14:textId="63656FDB" w:rsidR="002275F2" w:rsidRPr="000E152E" w:rsidRDefault="002275F2" w:rsidP="002275F2">
      <w:pPr>
        <w:pStyle w:val="TEKSTIIII"/>
      </w:pPr>
      <w:r w:rsidRPr="006E5A52">
        <w:t>Popullsia e Shqipërisë ka përjetuar tkurrje dhe plakje të konsiderueshme gjatë viteve të fundit.</w:t>
      </w:r>
      <w:r w:rsidRPr="000E152E">
        <w:t xml:space="preserve"> Sipas të dhënave demografike të publikuara nga INSTAT</w:t>
      </w:r>
      <w:r w:rsidR="00165AAB">
        <w:t>-i</w:t>
      </w:r>
      <w:r w:rsidRPr="000E152E">
        <w:t>, popullsia e Shqipërisë vazhdon në rënie nga viti në vit për çdo vit gjatë dy dekadave të fundit, përjashtuar vitin 2017 dhe ndërkohë mosha mediane e popullsisë është rritur nga mosha 33.2 vite në vitin 2012, në moshën 38.2 vite në vitin 2022. Projeksionet e popullsisë, sipas skenarit të mesëm të ndërtuar nga INSTAT-i, tregojnë se deri në vitin 2030 popullsia totale e Shqipërisë do të pakësohet edhe me rreth 86 mijë vetë, në vijim të rënies prej mbi 104 mijë vetë gjatë dekadës së fundit 2012</w:t>
      </w:r>
      <w:r w:rsidR="006C1730" w:rsidRPr="000E152E">
        <w:t>–</w:t>
      </w:r>
      <w:r w:rsidRPr="000E152E">
        <w:t>2021.</w:t>
      </w:r>
    </w:p>
    <w:p w14:paraId="01BAFBF7" w14:textId="77777777" w:rsidR="00681568" w:rsidRPr="000E152E" w:rsidRDefault="00681568" w:rsidP="002275F2">
      <w:pPr>
        <w:pStyle w:val="TEKSTIIII"/>
        <w:jc w:val="center"/>
      </w:pPr>
    </w:p>
    <w:p w14:paraId="01BAFBF8" w14:textId="5AC9676F" w:rsidR="002275F2" w:rsidRPr="000E152E" w:rsidRDefault="00165AAB" w:rsidP="00165AAB">
      <w:pPr>
        <w:pStyle w:val="TEKSTIIII"/>
        <w:ind w:firstLine="720"/>
      </w:pPr>
      <w:r>
        <w:t xml:space="preserve">     </w:t>
      </w:r>
      <w:r w:rsidR="00681568" w:rsidRPr="000E152E">
        <w:t>Figura 6: Popullsia e Shqipërisë, 2001</w:t>
      </w:r>
      <w:r w:rsidRPr="000E152E">
        <w:t>–</w:t>
      </w:r>
      <w:r w:rsidR="00681568" w:rsidRPr="000E152E">
        <w:t>2022</w:t>
      </w:r>
    </w:p>
    <w:p w14:paraId="01BAFBF9" w14:textId="77777777" w:rsidR="00681568" w:rsidRPr="000E152E" w:rsidRDefault="00681568" w:rsidP="002275F2">
      <w:pPr>
        <w:pStyle w:val="TEKSTIIII"/>
        <w:jc w:val="center"/>
      </w:pPr>
      <w:r w:rsidRPr="000E152E">
        <w:rPr>
          <w:noProof/>
          <w:lang w:val="en-US"/>
        </w:rPr>
        <w:drawing>
          <wp:inline distT="0" distB="0" distL="0" distR="0" wp14:anchorId="01BB085C" wp14:editId="01BB085D">
            <wp:extent cx="4596130" cy="1882775"/>
            <wp:effectExtent l="0" t="0" r="1397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1BAFBFA" w14:textId="77777777" w:rsidR="00681568" w:rsidRPr="000E152E" w:rsidRDefault="00681568" w:rsidP="002275F2">
      <w:pPr>
        <w:pStyle w:val="TEKSTIIII"/>
        <w:jc w:val="center"/>
      </w:pPr>
      <w:r w:rsidRPr="000E152E">
        <w:t>Burimi: INSTAT</w:t>
      </w:r>
    </w:p>
    <w:p w14:paraId="01BAFBFB" w14:textId="77777777" w:rsidR="00681568" w:rsidRPr="000E152E" w:rsidRDefault="00681568" w:rsidP="002275F2">
      <w:pPr>
        <w:pStyle w:val="TEKSTIIII"/>
        <w:jc w:val="center"/>
      </w:pPr>
    </w:p>
    <w:p w14:paraId="01BAFBFC" w14:textId="77777777" w:rsidR="00681568" w:rsidRPr="000E152E" w:rsidRDefault="00681568" w:rsidP="00681568">
      <w:pPr>
        <w:pStyle w:val="TEKSTIIII"/>
      </w:pPr>
      <w:r w:rsidRPr="006E5A52">
        <w:t>Plakja e popullsisë dhe lëvizjet migratore kanë zvogëluar rritjen e fuqisë punëtore në vend.</w:t>
      </w:r>
      <w:r w:rsidRPr="000E152E">
        <w:t xml:space="preserve"> Zvogëlimi i popullsisë shqiptare gjatë viteve të fundit, i cili lidhet me rënien në vazhdimësi në vite të lindjeve të reja shoqëruar me lëvizjet migratore, sjell një bilanc negativ të shtesës natyrore të popullsisë. Ky proces është shoqëruar dhe me hapjen e plotë të Shqipërisë ndaj botës, lëvizjen e lirë të shqiptarëve kryesisht në vendet e Bashkimit Evropian, shoqëruar me emigrimin e paligjshëm drejt vendeve ku ende ka pengesa hyrjeje apo qëndrimi. </w:t>
      </w:r>
    </w:p>
    <w:p w14:paraId="01BAFBFD" w14:textId="27557794" w:rsidR="00681568" w:rsidRPr="000E152E" w:rsidRDefault="00681568" w:rsidP="00681568">
      <w:pPr>
        <w:pStyle w:val="TEKSTIIII"/>
      </w:pPr>
      <w:r w:rsidRPr="000E152E">
        <w:t>Kategoritë e personave që zgjedhin të emigrojnë jashtë vendit kanë ndryshuar në vite duke krijuar mungesë në tregun e punës për aftësi specifike të cilat janë edhe më të kërkuara në tregjet e huaja. Ndryshe nga dy dekadat e para të tranzicionit, lëvizja e lirë gjatë dekadës së fundit si dhe kërkesa për fuqi punëtore të kualifikuar nga tregjet e punës në vendet e Bashkimit E</w:t>
      </w:r>
      <w:r w:rsidR="003C6A69">
        <w:t>v</w:t>
      </w:r>
      <w:r w:rsidRPr="000E152E">
        <w:t>ropian, po ndryshon natyrën e tendencave migratore.</w:t>
      </w:r>
    </w:p>
    <w:p w14:paraId="01BAFBFE" w14:textId="728B62CF" w:rsidR="00681568" w:rsidRPr="000E152E" w:rsidRDefault="00681568" w:rsidP="00681568">
      <w:pPr>
        <w:pStyle w:val="TEKSTIIII"/>
      </w:pPr>
      <w:r w:rsidRPr="006E5A52">
        <w:t>Migrimi nga zonat rurale dhe qytetet më të vogla drejt zonave kryesore urbane, krahas</w:t>
      </w:r>
      <w:r w:rsidRPr="000E152E">
        <w:t xml:space="preserve"> emigrimit të popullsisë, është një fenomen prezent aktualisht në Shqipëri, si pasojë e urbanizimit dhe mundësive më të mira për strehim dhe punësim që ofrohen në qytetet e mëdha të vendit. Sipas të dhënave të INSTAT-it, rreth 39 mijë persona në vit kanë lëvizur mesatarisht brenda vendit gjatë periudhës 2014</w:t>
      </w:r>
      <w:r w:rsidR="003C6A69" w:rsidRPr="000E152E">
        <w:t>–</w:t>
      </w:r>
      <w:r w:rsidRPr="000E152E">
        <w:t>2020. Të dhënat tregojnë se shkalla e papunësisë nuk është uniforme në të gjithë vendin, por dëshmon për realitete të ndryshme nga qyteti në qytet. Qarqet me papunësi më të lartë në vend përfshijnë Lezhën (22.6</w:t>
      </w:r>
      <w:r w:rsidR="000E152E" w:rsidRPr="000E152E">
        <w:t xml:space="preserve"> </w:t>
      </w:r>
      <w:r w:rsidRPr="000E152E">
        <w:t>për</w:t>
      </w:r>
      <w:r w:rsidR="003C6A69">
        <w:t xml:space="preserve"> </w:t>
      </w:r>
      <w:r w:rsidRPr="000E152E">
        <w:t xml:space="preserve">qind </w:t>
      </w:r>
      <w:r w:rsidR="005F210B">
        <w:t>m</w:t>
      </w:r>
      <w:r w:rsidRPr="000E152E">
        <w:t>ë 2021) dhe Vlorën (19.5</w:t>
      </w:r>
      <w:r w:rsidR="000E152E" w:rsidRPr="000E152E">
        <w:t xml:space="preserve"> </w:t>
      </w:r>
      <w:r w:rsidRPr="000E152E">
        <w:t>për</w:t>
      </w:r>
      <w:r w:rsidR="003C6A69">
        <w:t xml:space="preserve"> </w:t>
      </w:r>
      <w:r w:rsidRPr="000E152E">
        <w:t xml:space="preserve">qind </w:t>
      </w:r>
      <w:r w:rsidR="005817CC">
        <w:t>m</w:t>
      </w:r>
      <w:r w:rsidRPr="000E152E">
        <w:t>ë 2021), ndërsa shkalla më e ulët e papunësisë rezulton në Kukës (4</w:t>
      </w:r>
      <w:r w:rsidR="000E152E" w:rsidRPr="000E152E">
        <w:t xml:space="preserve"> </w:t>
      </w:r>
      <w:r w:rsidRPr="000E152E">
        <w:t>për</w:t>
      </w:r>
      <w:r w:rsidR="003C6A69">
        <w:t xml:space="preserve"> </w:t>
      </w:r>
      <w:r w:rsidRPr="000E152E">
        <w:t xml:space="preserve">qind) dhe </w:t>
      </w:r>
      <w:r w:rsidRPr="000E152E">
        <w:lastRenderedPageBreak/>
        <w:t>Gjirokastër (4.7 për</w:t>
      </w:r>
      <w:r w:rsidR="003C6A69">
        <w:t xml:space="preserve"> </w:t>
      </w:r>
      <w:r w:rsidRPr="000E152E">
        <w:t xml:space="preserve">qind). Po kështu, niveli i papunësisë rezulton edhe më shqetësues për të papunët afatgjatë, të cilët </w:t>
      </w:r>
      <w:r w:rsidR="00161CCA">
        <w:t>m</w:t>
      </w:r>
      <w:r w:rsidRPr="000E152E">
        <w:t>ë 2021 përbënin mbi 60 për</w:t>
      </w:r>
      <w:r w:rsidR="003C6A69">
        <w:t xml:space="preserve"> </w:t>
      </w:r>
      <w:r w:rsidRPr="000E152E">
        <w:t>qind të të papunëve në vend, duke dëshmuar problematikën që ekziston për daljen nga ngërçi i papunësisë dhe riaktivizimin apo riintegrimin në tregun e punës.</w:t>
      </w:r>
    </w:p>
    <w:p w14:paraId="01BAFBFF" w14:textId="0ADF16C2" w:rsidR="00681568" w:rsidRPr="000E152E" w:rsidRDefault="00681568" w:rsidP="00681568">
      <w:pPr>
        <w:pStyle w:val="TEKSTIIII"/>
      </w:pPr>
      <w:r w:rsidRPr="006E5A52">
        <w:t xml:space="preserve">Përvoja e pandemisë </w:t>
      </w:r>
      <w:r w:rsidR="003C6A69" w:rsidRPr="006E5A52">
        <w:t>COVID</w:t>
      </w:r>
      <w:r w:rsidRPr="006E5A52">
        <w:t>-19 i ka ndihmuar bizneset në vend të adoptohen për promovimin e formave të reja të punës,</w:t>
      </w:r>
      <w:r w:rsidRPr="000E152E">
        <w:rPr>
          <w:b/>
        </w:rPr>
        <w:t xml:space="preserve"> </w:t>
      </w:r>
      <w:r w:rsidRPr="000E152E">
        <w:t>mbështetjen e punësimit intensiv afatshkurtër, fleksibilitetin në punë, zgjidhjeve digjitale dhe vënien më në pah të profesioneve të reja. Krahas forcimit të konkurrueshmërisë së sektorit privat në trajtimin e këtyre çështjeve, është po aq e nevojshme që dhe legjislacioni në fushën e punës të pasqyrojë edhe më mirë nevojat në këtë drejtim.</w:t>
      </w:r>
    </w:p>
    <w:p w14:paraId="01BAFC01" w14:textId="77777777" w:rsidR="00681568" w:rsidRPr="000E152E" w:rsidRDefault="00681568" w:rsidP="00681568">
      <w:pPr>
        <w:pStyle w:val="TEKSTIIII"/>
        <w:rPr>
          <w:b/>
        </w:rPr>
      </w:pPr>
      <w:bookmarkStart w:id="1" w:name="_Toc123165400"/>
      <w:r w:rsidRPr="000E152E">
        <w:rPr>
          <w:b/>
        </w:rPr>
        <w:t>1.2 Konteksti strategjik 2030 dhe objektivat e zhvillimit të qëndrueshëm</w:t>
      </w:r>
      <w:bookmarkEnd w:id="1"/>
    </w:p>
    <w:p w14:paraId="01BAFC02" w14:textId="2256BDA7" w:rsidR="00681568" w:rsidRPr="006E5A52" w:rsidRDefault="00681568" w:rsidP="00681568">
      <w:pPr>
        <w:pStyle w:val="TEKSTIIII"/>
        <w:rPr>
          <w:bCs/>
        </w:rPr>
      </w:pPr>
      <w:r w:rsidRPr="006E5A52">
        <w:t>Strategjia Kombëtare e Punësimit dhe Aftësive 2023</w:t>
      </w:r>
      <w:r w:rsidR="003C6A69" w:rsidRPr="006E5A52">
        <w:t>–</w:t>
      </w:r>
      <w:r w:rsidRPr="006E5A52">
        <w:t>2030 është pjesë e rëndësishme e kuadrit afatgjatë strategjik të Shqipërisë</w:t>
      </w:r>
      <w:r w:rsidRPr="000E152E">
        <w:t xml:space="preserve"> të përcaktuar nga Strategjia Kombëtare për Zhvillim dhe Integrim Evropian 2030 (SKZHIE 2030) që jep drejtimet dhe përcakton përparësitë e zhvillimit të qëndrueshëm ekonomik e shoqëror të vendit në rrugën e integrimit të tij në Bashkimin E</w:t>
      </w:r>
      <w:r w:rsidR="00046017">
        <w:t>v</w:t>
      </w:r>
      <w:r w:rsidRPr="000E152E">
        <w:t xml:space="preserve">ropian, përfshirë edhe ndërlidhjen me Objektivat e Zhvillimit të Qëndrueshëm në funksion të arritjes së synimeve të Agjendës 2030 duke përcaktuar vizionin </w:t>
      </w:r>
      <w:r w:rsidRPr="006E5A52">
        <w:rPr>
          <w:bCs/>
        </w:rPr>
        <w:t>për zhvillimin e demokracisë, zhvillimin shoqëror dhe ekonomik të vendit gjatë periudhës 2021</w:t>
      </w:r>
      <w:r w:rsidR="00046017" w:rsidRPr="006E5A52">
        <w:t>–</w:t>
      </w:r>
      <w:r w:rsidRPr="006E5A52">
        <w:rPr>
          <w:bCs/>
        </w:rPr>
        <w:t>2030</w:t>
      </w:r>
      <w:r w:rsidRPr="006E5A52">
        <w:t xml:space="preserve">. Rritja e qëndrueshme e punësimit dhe zhvillimi i aftësive trajtohen në </w:t>
      </w:r>
      <w:r w:rsidRPr="006E5A52">
        <w:rPr>
          <w:bCs/>
        </w:rPr>
        <w:t xml:space="preserve">shtyllën e tretë të SKZHIE 2030, Kohezioni Social, e cila ka në thelb të vëmendjes zhvillimin e burimeve njerëzore si kapitalin më të çmuar në vend. </w:t>
      </w:r>
    </w:p>
    <w:p w14:paraId="01BAFC03" w14:textId="1D9B79E4" w:rsidR="00681568" w:rsidRPr="006E5A52" w:rsidRDefault="00681568" w:rsidP="00681568">
      <w:pPr>
        <w:pStyle w:val="TEKSTIIII"/>
      </w:pPr>
      <w:r w:rsidRPr="006E5A52">
        <w:t>Zbatimi i Strategjisë Kombëtare të Punësimit dhe Aftësive 2023</w:t>
      </w:r>
      <w:r w:rsidR="00046017" w:rsidRPr="006E5A52">
        <w:t>–</w:t>
      </w:r>
      <w:r w:rsidRPr="006E5A52">
        <w:t xml:space="preserve">2030 lidhet po aq ngushtë me përparësitë e zhvillimit të vendit të përcaktuara në SKZHIE 2030 e të përfshira në shtyllën e dytë të saj, </w:t>
      </w:r>
      <w:r w:rsidR="006752BC" w:rsidRPr="006E5A52">
        <w:t>“</w:t>
      </w:r>
      <w:r w:rsidRPr="006E5A52">
        <w:t>Agjenda për Zhvillim të Qëndrueshëm Ekonomik, Ndërlidhjen dhe Rritjen e Gjelbër</w:t>
      </w:r>
      <w:r w:rsidR="006752BC" w:rsidRPr="006E5A52">
        <w:t>”</w:t>
      </w:r>
      <w:r w:rsidRPr="006E5A52">
        <w:t xml:space="preserve">. Konektiviteti, Agjenda e Gjelbër për Vendet e Ballkanit Perëndimor, si pjesë e Planit Ekonomik dhe të Investimeve të Bashkimit Evropian për këto vende, përfshirë Shqipërinë, janë në qendër të shtyllës së dytë të SKZHIE 2030. Së bashku me prioritetet afatgjata të identifikuara për vendin në SKZHIE 2030 – turizmi, energjia, bujqësia dhe digjitalizimi, ato përbëjnë njëkohësisht edhe drejtimin më të qartë për orientimin e kërkesës dhe përgatitjes së ofertës në tregun shqiptar të punës për periudhën deri në vitin 2030. Sfidat kryesore të Shqipërisë 2030, të identifikuara në SKZHIE 2030 me </w:t>
      </w:r>
      <w:r w:rsidRPr="006E5A52">
        <w:rPr>
          <w:bCs/>
        </w:rPr>
        <w:t>nevojën e tranzicionit të gjelbër, transformimit digjital, zhvillimeve demografike, dhe domosdoshmërinë e rritjes së produktivitetit</w:t>
      </w:r>
      <w:r w:rsidRPr="006E5A52">
        <w:t xml:space="preserve"> drejt një ekonomie më konkurruese në tregun e hapur të rajonit dhe më gjerë, pasqyrohen në qasjen që sjell ndaj punësimit dhe zhvillimit të aftësive kjo strategji.</w:t>
      </w:r>
    </w:p>
    <w:p w14:paraId="01BAFC04" w14:textId="77777777" w:rsidR="00681568" w:rsidRPr="006E5A52" w:rsidRDefault="00681568" w:rsidP="00681568">
      <w:pPr>
        <w:pStyle w:val="TEKSTIIII"/>
      </w:pPr>
      <w:r w:rsidRPr="006E5A52">
        <w:t xml:space="preserve">Gjithashtu, </w:t>
      </w:r>
      <w:r w:rsidRPr="006E5A52">
        <w:rPr>
          <w:bCs/>
        </w:rPr>
        <w:t>Paketa Kombëtare e Projekteve Strategjike e aprovuar nga Komiteti i Planifikimit Strategjik/ Këshilli Kombëtar i Investimeve</w:t>
      </w:r>
      <w:r w:rsidRPr="006E5A52">
        <w:t xml:space="preserve"> përbëhet nga 198 projekte me vlerë indikative prej 16.3 miliardë euro investimesh si pjesë e zbatimit të Planit Ekonomik të Investimeve (EIP) për vendet e Ballkanit Perëndimor, që do të sjellin shtysë të rëndësishme në krijimin e vendeve të reja të punës. Paketa synon të nxisë rimëkëmbjen afatgjatë ekonomike të rajonit si dhe integrimin ekonomik rajonal, duke mbështetur zbatimin e reformave të kërkuara për të ecur përpara në rrugën e BE-së dhe për ta sjellë rajonin më afër tregut unik të BE-së, dhe garantuar rritje të qëndrueshme ekonomike dhe krijimin e vendeve të punës në shtetet e Ballkanit Perëndimor. Veprat kryesore, për të cilat është miratuar financimi, përfshijnë autostradat pjesë e Korridorit Adriatiko-Jonian, tunelin e Llogarasë, </w:t>
      </w:r>
      <w:r w:rsidRPr="006E5A52">
        <w:rPr>
          <w:i/>
        </w:rPr>
        <w:t>bypass</w:t>
      </w:r>
      <w:r w:rsidRPr="006E5A52">
        <w:t xml:space="preserve">-in e Tiranës, HEC-in e Skavicës, aeroportin e Vlorës, zhvillimin e rrjetit hekurudhor, rrjetit </w:t>
      </w:r>
      <w:r w:rsidRPr="006E5A52">
        <w:rPr>
          <w:i/>
          <w:iCs/>
        </w:rPr>
        <w:t>broadband</w:t>
      </w:r>
      <w:r w:rsidRPr="006E5A52">
        <w:t xml:space="preserve">, impiantet fotovoltaike etj. </w:t>
      </w:r>
    </w:p>
    <w:p w14:paraId="01BAFC05" w14:textId="3AD8CE96" w:rsidR="00681568" w:rsidRPr="000E152E" w:rsidRDefault="00681568" w:rsidP="00681568">
      <w:pPr>
        <w:pStyle w:val="TEKSTIIII"/>
      </w:pPr>
      <w:r w:rsidRPr="006E5A52">
        <w:t>Arritja e objektivave të Strategjisë Kombëtare të Punësimit dhe Aftësive 2023</w:t>
      </w:r>
      <w:r w:rsidR="00046017" w:rsidRPr="006E5A52">
        <w:t>–</w:t>
      </w:r>
      <w:r w:rsidRPr="006E5A52">
        <w:t>2030 është e ndërvarur me zbatimin e strategjive të tjera të rëndësishme sektoriale të vendit, sikurse dhe realizimi i këtyre objektivave është në funksion të progresit në të gjitha fushat e tjera të politikave sektoriale. Ndër planet strategjike më të rëndësishme të përfshira në</w:t>
      </w:r>
      <w:r w:rsidRPr="000E152E">
        <w:t xml:space="preserve"> këtë proces nën kornizën e SKZHIE 2030 përfshihen: </w:t>
      </w:r>
    </w:p>
    <w:p w14:paraId="01BAFC06" w14:textId="7312F091" w:rsidR="00681568" w:rsidRPr="000E152E" w:rsidRDefault="00681568" w:rsidP="00681568">
      <w:pPr>
        <w:pStyle w:val="TEKSTIIII"/>
      </w:pPr>
      <w:r w:rsidRPr="000E152E">
        <w:t xml:space="preserve">- </w:t>
      </w:r>
      <w:r w:rsidR="006752BC">
        <w:t>“</w:t>
      </w:r>
      <w:r w:rsidRPr="000E152E">
        <w:t>Strategjia Kombëtare e Arsimit 2021</w:t>
      </w:r>
      <w:r w:rsidR="00046017">
        <w:t>–</w:t>
      </w:r>
      <w:r w:rsidRPr="000E152E">
        <w:t>2026</w:t>
      </w:r>
      <w:r w:rsidR="006752BC">
        <w:t>”</w:t>
      </w:r>
      <w:r w:rsidR="004532F8">
        <w:t>;</w:t>
      </w:r>
    </w:p>
    <w:p w14:paraId="01BAFC07" w14:textId="5718F244" w:rsidR="00681568" w:rsidRPr="000E152E" w:rsidRDefault="00681568" w:rsidP="00681568">
      <w:pPr>
        <w:pStyle w:val="TEKSTIIII"/>
      </w:pPr>
      <w:r w:rsidRPr="000E152E">
        <w:lastRenderedPageBreak/>
        <w:t xml:space="preserve">- </w:t>
      </w:r>
      <w:r w:rsidR="006752BC">
        <w:t>“</w:t>
      </w:r>
      <w:r w:rsidRPr="000E152E">
        <w:t>Strategjia për zhvillimin e biznesit dhe investimeve 2021</w:t>
      </w:r>
      <w:r w:rsidR="00046017">
        <w:t>–</w:t>
      </w:r>
      <w:r w:rsidRPr="000E152E">
        <w:t>2027 dhe plani i saj i veprimit</w:t>
      </w:r>
      <w:r w:rsidR="006752BC">
        <w:t>”</w:t>
      </w:r>
      <w:r w:rsidR="004532F8">
        <w:t>;</w:t>
      </w:r>
    </w:p>
    <w:p w14:paraId="01BAFC08" w14:textId="68A32D97" w:rsidR="00681568" w:rsidRPr="000E152E" w:rsidRDefault="00681568" w:rsidP="00681568">
      <w:pPr>
        <w:pStyle w:val="TEKSTIIII"/>
      </w:pPr>
      <w:r w:rsidRPr="000E152E">
        <w:t xml:space="preserve">- </w:t>
      </w:r>
      <w:r w:rsidR="006752BC">
        <w:t>“</w:t>
      </w:r>
      <w:r w:rsidRPr="000E152E">
        <w:t>Strategjia Kombëtare për Barazinë Gjinore 2021</w:t>
      </w:r>
      <w:r w:rsidR="00046017">
        <w:t>–</w:t>
      </w:r>
      <w:r w:rsidRPr="000E152E">
        <w:t>2030</w:t>
      </w:r>
      <w:r w:rsidR="006752BC">
        <w:t>”</w:t>
      </w:r>
      <w:r w:rsidR="004532F8">
        <w:t>;</w:t>
      </w:r>
    </w:p>
    <w:p w14:paraId="01BAFC09" w14:textId="669E795F" w:rsidR="00681568" w:rsidRPr="000E152E" w:rsidRDefault="00681568" w:rsidP="00681568">
      <w:pPr>
        <w:pStyle w:val="TEKSTIIII"/>
      </w:pPr>
      <w:r w:rsidRPr="000E152E">
        <w:t xml:space="preserve">- </w:t>
      </w:r>
      <w:r w:rsidR="006752BC">
        <w:t>“</w:t>
      </w:r>
      <w:r w:rsidRPr="000E152E">
        <w:t>Strategjia Kombëtare e Rinisë 2022</w:t>
      </w:r>
      <w:r w:rsidR="00046017">
        <w:t>–</w:t>
      </w:r>
      <w:r w:rsidRPr="000E152E">
        <w:t>2029</w:t>
      </w:r>
      <w:r w:rsidR="006752BC">
        <w:t>”</w:t>
      </w:r>
      <w:r w:rsidR="004532F8">
        <w:t>;</w:t>
      </w:r>
    </w:p>
    <w:p w14:paraId="01BAFC0A" w14:textId="1658C587" w:rsidR="00681568" w:rsidRPr="000E152E" w:rsidRDefault="00681568" w:rsidP="00681568">
      <w:pPr>
        <w:pStyle w:val="TEKSTIIII"/>
      </w:pPr>
      <w:r w:rsidRPr="000E152E">
        <w:t xml:space="preserve">- </w:t>
      </w:r>
      <w:r w:rsidR="006752BC">
        <w:t>“</w:t>
      </w:r>
      <w:r w:rsidRPr="000E152E">
        <w:t>Strategjia e Bujqësisë, Zhvillimit Rural dhe Peshkimit 2021</w:t>
      </w:r>
      <w:r w:rsidR="00046017">
        <w:t>–</w:t>
      </w:r>
      <w:r w:rsidRPr="000E152E">
        <w:t>2027</w:t>
      </w:r>
      <w:r w:rsidR="006752BC">
        <w:t>”</w:t>
      </w:r>
      <w:r w:rsidR="004532F8">
        <w:t>;</w:t>
      </w:r>
      <w:r w:rsidRPr="000E152E">
        <w:t xml:space="preserve"> </w:t>
      </w:r>
    </w:p>
    <w:p w14:paraId="01BAFC0B" w14:textId="7E3019C0" w:rsidR="00681568" w:rsidRPr="000E152E" w:rsidRDefault="00681568" w:rsidP="00681568">
      <w:pPr>
        <w:pStyle w:val="TEKSTIIII"/>
      </w:pPr>
      <w:r w:rsidRPr="000E152E">
        <w:t xml:space="preserve">- </w:t>
      </w:r>
      <w:r w:rsidR="006752BC">
        <w:t>“</w:t>
      </w:r>
      <w:r w:rsidRPr="000E152E">
        <w:t xml:space="preserve">Strategjia Ndërsektoriale </w:t>
      </w:r>
      <w:r w:rsidR="006752BC">
        <w:t>“</w:t>
      </w:r>
      <w:r w:rsidRPr="000E152E">
        <w:t>A</w:t>
      </w:r>
      <w:r w:rsidR="00B9759C">
        <w:t>gj</w:t>
      </w:r>
      <w:r w:rsidRPr="000E152E">
        <w:t>enda Di</w:t>
      </w:r>
      <w:r w:rsidR="00B9759C">
        <w:t>gj</w:t>
      </w:r>
      <w:r w:rsidRPr="000E152E">
        <w:t>itale e Shqipërisë 2022</w:t>
      </w:r>
      <w:r w:rsidR="00046017">
        <w:t>–</w:t>
      </w:r>
      <w:r w:rsidRPr="000E152E">
        <w:t>2026</w:t>
      </w:r>
      <w:r w:rsidR="006752BC">
        <w:t>”</w:t>
      </w:r>
      <w:r w:rsidR="004532F8">
        <w:t>;</w:t>
      </w:r>
    </w:p>
    <w:p w14:paraId="01BAFC0C" w14:textId="099397B8" w:rsidR="00681568" w:rsidRPr="000E152E" w:rsidRDefault="00681568" w:rsidP="00681568">
      <w:pPr>
        <w:pStyle w:val="TEKSTIIII"/>
      </w:pPr>
      <w:r w:rsidRPr="000E152E">
        <w:t xml:space="preserve">- </w:t>
      </w:r>
      <w:r w:rsidR="006752BC">
        <w:t>“</w:t>
      </w:r>
      <w:r w:rsidRPr="000E152E">
        <w:t>Kuadri makroekonomik dhe fiskal</w:t>
      </w:r>
      <w:r w:rsidR="006752BC">
        <w:t>”</w:t>
      </w:r>
      <w:r w:rsidR="004532F8">
        <w:t>;</w:t>
      </w:r>
    </w:p>
    <w:p w14:paraId="01BAFC0D" w14:textId="340D9ED8" w:rsidR="00681568" w:rsidRPr="000E152E" w:rsidRDefault="00681568" w:rsidP="00681568">
      <w:pPr>
        <w:pStyle w:val="TEKSTIIII"/>
      </w:pPr>
      <w:r w:rsidRPr="000E152E">
        <w:t xml:space="preserve">- </w:t>
      </w:r>
      <w:r w:rsidR="006752BC">
        <w:t>“</w:t>
      </w:r>
      <w:r w:rsidRPr="000E152E">
        <w:t>Plani Kombëtar i Veprimit për Personat me Aftësi të Kufizuara, 2021</w:t>
      </w:r>
      <w:r w:rsidR="00046017">
        <w:t>–</w:t>
      </w:r>
      <w:r w:rsidRPr="000E152E">
        <w:t>2025</w:t>
      </w:r>
      <w:r w:rsidR="006752BC">
        <w:t>”</w:t>
      </w:r>
      <w:r w:rsidR="004532F8">
        <w:t>;</w:t>
      </w:r>
    </w:p>
    <w:p w14:paraId="01BAFC0E" w14:textId="73202A8F" w:rsidR="00681568" w:rsidRPr="000E152E" w:rsidRDefault="00681568" w:rsidP="00681568">
      <w:pPr>
        <w:pStyle w:val="TEKSTIIII"/>
      </w:pPr>
      <w:r w:rsidRPr="000E152E">
        <w:t xml:space="preserve">- </w:t>
      </w:r>
      <w:r w:rsidR="006752BC">
        <w:t>“</w:t>
      </w:r>
      <w:r w:rsidRPr="000E152E">
        <w:t>Plani Kombëtar i Veprimit për Barazi, Përfshirje dhe Pjesëmarrjen e Romëve dhe Egjiptianëve 2021</w:t>
      </w:r>
      <w:r w:rsidR="00046017">
        <w:t>–</w:t>
      </w:r>
      <w:r w:rsidRPr="000E152E">
        <w:t>2025</w:t>
      </w:r>
      <w:r w:rsidR="004532F8">
        <w:t>;</w:t>
      </w:r>
    </w:p>
    <w:p w14:paraId="01BAFC0F" w14:textId="22C8242A" w:rsidR="00681568" w:rsidRPr="000E152E" w:rsidRDefault="00681568" w:rsidP="00681568">
      <w:pPr>
        <w:pStyle w:val="TEKSTIIII"/>
      </w:pPr>
      <w:r w:rsidRPr="000E152E">
        <w:t xml:space="preserve">- </w:t>
      </w:r>
      <w:r w:rsidR="006752BC">
        <w:t>“</w:t>
      </w:r>
      <w:r w:rsidRPr="000E152E">
        <w:t>Plani Kombëtar i Veprimit mbi Moshimin 2020</w:t>
      </w:r>
      <w:r w:rsidR="00046017">
        <w:t>–</w:t>
      </w:r>
      <w:r w:rsidRPr="000E152E">
        <w:t>2024</w:t>
      </w:r>
      <w:r w:rsidR="006752BC">
        <w:t>”</w:t>
      </w:r>
      <w:r w:rsidR="004532F8">
        <w:t>;</w:t>
      </w:r>
    </w:p>
    <w:p w14:paraId="01BAFC10" w14:textId="246DC916" w:rsidR="00681568" w:rsidRPr="000E152E" w:rsidRDefault="00681568" w:rsidP="00681568">
      <w:pPr>
        <w:pStyle w:val="TEKSTIIII"/>
      </w:pPr>
      <w:r w:rsidRPr="000E152E">
        <w:t xml:space="preserve">- </w:t>
      </w:r>
      <w:r w:rsidR="006752BC">
        <w:t>“</w:t>
      </w:r>
      <w:r w:rsidRPr="000E152E">
        <w:t>Dokumenti i politikave të reformës së vlerësimit të aftësisë së kufizuar në sistemin e mbrojtjes sociale dhe plani i veprimit 2019</w:t>
      </w:r>
      <w:r w:rsidR="00046017">
        <w:t>–</w:t>
      </w:r>
      <w:r w:rsidRPr="000E152E">
        <w:t>2024 për zbatimin e tij</w:t>
      </w:r>
      <w:r w:rsidR="006752BC">
        <w:t>”</w:t>
      </w:r>
      <w:r w:rsidR="004532F8">
        <w:t>;</w:t>
      </w:r>
    </w:p>
    <w:p w14:paraId="01BAFC11" w14:textId="1AF42CF7" w:rsidR="00681568" w:rsidRPr="000E152E" w:rsidRDefault="00681568" w:rsidP="00681568">
      <w:pPr>
        <w:pStyle w:val="TEKSTIIII"/>
      </w:pPr>
      <w:r w:rsidRPr="000E152E">
        <w:t xml:space="preserve">- </w:t>
      </w:r>
      <w:r w:rsidR="006752BC">
        <w:t>“</w:t>
      </w:r>
      <w:r w:rsidRPr="000E152E">
        <w:t>Strategjia Kombëtare për Zhvillimin e Qëndrueshëm të Turizmit 2019</w:t>
      </w:r>
      <w:r w:rsidR="00046017">
        <w:t>–</w:t>
      </w:r>
      <w:r w:rsidRPr="000E152E">
        <w:t>2023 dhe plani i veprimit</w:t>
      </w:r>
      <w:r w:rsidR="006752BC">
        <w:t>”</w:t>
      </w:r>
      <w:r w:rsidR="004532F8">
        <w:t>;</w:t>
      </w:r>
    </w:p>
    <w:p w14:paraId="01BAFC12" w14:textId="4B15B601" w:rsidR="00681568" w:rsidRPr="000E152E" w:rsidRDefault="00681568" w:rsidP="00681568">
      <w:pPr>
        <w:pStyle w:val="TEKSTIIII"/>
      </w:pPr>
      <w:r w:rsidRPr="000E152E">
        <w:t xml:space="preserve">- </w:t>
      </w:r>
      <w:r w:rsidR="006752BC">
        <w:t>“</w:t>
      </w:r>
      <w:r w:rsidRPr="000E152E">
        <w:t>Strategjia Kombëtare për Diasporën 2021</w:t>
      </w:r>
      <w:r w:rsidR="00046017">
        <w:t>–</w:t>
      </w:r>
      <w:r w:rsidRPr="000E152E">
        <w:t>2025</w:t>
      </w:r>
      <w:r w:rsidR="006752BC">
        <w:t>”</w:t>
      </w:r>
      <w:r w:rsidR="004532F8">
        <w:t>;</w:t>
      </w:r>
    </w:p>
    <w:p w14:paraId="01BAFC13" w14:textId="4596F3D9" w:rsidR="00681568" w:rsidRPr="000E152E" w:rsidRDefault="00681568" w:rsidP="00681568">
      <w:pPr>
        <w:pStyle w:val="TEKSTIIII"/>
      </w:pPr>
      <w:r w:rsidRPr="000E152E">
        <w:t xml:space="preserve">- </w:t>
      </w:r>
      <w:r w:rsidR="006752BC">
        <w:t>“</w:t>
      </w:r>
      <w:r w:rsidRPr="000E152E">
        <w:t>Strategjia Kombëtare për Migracionin 2019</w:t>
      </w:r>
      <w:r w:rsidR="00046017">
        <w:t>–</w:t>
      </w:r>
      <w:r w:rsidRPr="000E152E">
        <w:t>2022</w:t>
      </w:r>
      <w:r w:rsidR="006752BC">
        <w:t>”</w:t>
      </w:r>
      <w:r w:rsidR="004532F8">
        <w:t>;</w:t>
      </w:r>
    </w:p>
    <w:p w14:paraId="01BAFC14" w14:textId="75CA3F93" w:rsidR="00681568" w:rsidRPr="000E152E" w:rsidRDefault="00FF2642" w:rsidP="00681568">
      <w:pPr>
        <w:pStyle w:val="TEKSTIIII"/>
      </w:pPr>
      <w:r>
        <w:t>- “</w:t>
      </w:r>
      <w:r w:rsidR="00681568" w:rsidRPr="000E152E">
        <w:t>Strategjia Kombëtare e Energjisë 2018</w:t>
      </w:r>
      <w:r w:rsidR="00046017">
        <w:t>–</w:t>
      </w:r>
      <w:r w:rsidR="00681568" w:rsidRPr="000E152E">
        <w:t>2030, Plani Kombëtar i Energjisë dhe Klimës 2021</w:t>
      </w:r>
      <w:r w:rsidR="00046017">
        <w:t>–</w:t>
      </w:r>
      <w:r w:rsidR="00681568" w:rsidRPr="000E152E">
        <w:t>2030</w:t>
      </w:r>
      <w:r>
        <w:t>”</w:t>
      </w:r>
      <w:r w:rsidR="004532F8">
        <w:t>;</w:t>
      </w:r>
    </w:p>
    <w:p w14:paraId="01BAFC15" w14:textId="172754F8" w:rsidR="00681568" w:rsidRPr="000E152E" w:rsidRDefault="00681568" w:rsidP="00681568">
      <w:pPr>
        <w:pStyle w:val="TEKSTIIII"/>
      </w:pPr>
      <w:r w:rsidRPr="000E152E">
        <w:t>-</w:t>
      </w:r>
      <w:r w:rsidR="001D132D">
        <w:t xml:space="preserve"> “</w:t>
      </w:r>
      <w:r w:rsidRPr="000E152E">
        <w:t xml:space="preserve">Strategjia e Evropës </w:t>
      </w:r>
      <w:r w:rsidR="00840EC1" w:rsidRPr="000E152E">
        <w:t>Juglindore</w:t>
      </w:r>
      <w:r w:rsidR="006752BC">
        <w:t>”</w:t>
      </w:r>
      <w:r w:rsidR="004532F8">
        <w:t>;</w:t>
      </w:r>
    </w:p>
    <w:p w14:paraId="01BAFC16" w14:textId="0A07DEE7" w:rsidR="00681568" w:rsidRPr="000E152E" w:rsidRDefault="000B02B1" w:rsidP="00681568">
      <w:pPr>
        <w:pStyle w:val="TEKSTIIII"/>
      </w:pPr>
      <w:r w:rsidRPr="000E152E">
        <w:t xml:space="preserve">- </w:t>
      </w:r>
      <w:r w:rsidR="00681568" w:rsidRPr="000E152E">
        <w:t>Rezoluta e Këshillit të E</w:t>
      </w:r>
      <w:r w:rsidR="00840EC1">
        <w:t>v</w:t>
      </w:r>
      <w:r w:rsidR="00681568" w:rsidRPr="000E152E">
        <w:t>ropës mbi Agjendën Evropiane për të Nxënit e të Rriturve 2021</w:t>
      </w:r>
      <w:r w:rsidR="00046017">
        <w:t>–</w:t>
      </w:r>
      <w:r w:rsidR="00681568" w:rsidRPr="000E152E">
        <w:t>2030</w:t>
      </w:r>
      <w:r w:rsidR="00AB000B">
        <w:t>,</w:t>
      </w:r>
      <w:r w:rsidR="00681568" w:rsidRPr="000E152E">
        <w:t xml:space="preserve"> si dhe dokument</w:t>
      </w:r>
      <w:r w:rsidR="00840EC1">
        <w:t>e</w:t>
      </w:r>
      <w:r w:rsidR="00681568" w:rsidRPr="000E152E">
        <w:t xml:space="preserve"> të tjer</w:t>
      </w:r>
      <w:r w:rsidR="00840EC1">
        <w:t>a</w:t>
      </w:r>
      <w:r w:rsidR="00681568" w:rsidRPr="000E152E">
        <w:t xml:space="preserve"> që aktualisht janë në fazë përgatitjeje apo miratimi</w:t>
      </w:r>
      <w:r w:rsidR="004532F8">
        <w:t>,</w:t>
      </w:r>
      <w:r w:rsidR="00681568" w:rsidRPr="000E152E">
        <w:t xml:space="preserve"> si:</w:t>
      </w:r>
    </w:p>
    <w:p w14:paraId="01BAFC17" w14:textId="1BC0BEAF" w:rsidR="00681568" w:rsidRPr="000E152E" w:rsidRDefault="00681568" w:rsidP="00681568">
      <w:pPr>
        <w:pStyle w:val="TEKSTIIII"/>
      </w:pPr>
      <w:r w:rsidRPr="000E152E">
        <w:t>-</w:t>
      </w:r>
      <w:r w:rsidR="001D132D">
        <w:t xml:space="preserve"> “</w:t>
      </w:r>
      <w:r w:rsidRPr="000E152E">
        <w:t>Strategjia e Specializimit Inteligjent</w:t>
      </w:r>
      <w:r w:rsidR="006752BC">
        <w:t>”</w:t>
      </w:r>
      <w:r w:rsidR="004532F8">
        <w:t>;</w:t>
      </w:r>
    </w:p>
    <w:p w14:paraId="01BAFC18" w14:textId="053C6BD3" w:rsidR="00681568" w:rsidRPr="000E152E" w:rsidRDefault="00681568" w:rsidP="00681568">
      <w:pPr>
        <w:pStyle w:val="TEKSTIIII"/>
      </w:pPr>
      <w:r w:rsidRPr="000E152E">
        <w:t xml:space="preserve">- </w:t>
      </w:r>
      <w:r w:rsidR="001D132D">
        <w:t>“</w:t>
      </w:r>
      <w:r w:rsidRPr="000E152E">
        <w:t xml:space="preserve">Strategjia për </w:t>
      </w:r>
      <w:r w:rsidR="00AB000B" w:rsidRPr="000E152E">
        <w:t xml:space="preserve">Ekonominë </w:t>
      </w:r>
      <w:r w:rsidRPr="000E152E">
        <w:t xml:space="preserve">e </w:t>
      </w:r>
      <w:r w:rsidR="00AB000B" w:rsidRPr="000E152E">
        <w:t>Kaltër</w:t>
      </w:r>
      <w:r w:rsidR="006752BC">
        <w:t>”</w:t>
      </w:r>
      <w:r w:rsidR="004532F8">
        <w:t>;</w:t>
      </w:r>
    </w:p>
    <w:p w14:paraId="01BAFC19" w14:textId="2BF25086" w:rsidR="00681568" w:rsidRPr="000E152E" w:rsidRDefault="00681568" w:rsidP="00681568">
      <w:pPr>
        <w:pStyle w:val="TEKSTIIII"/>
      </w:pPr>
      <w:r w:rsidRPr="000E152E">
        <w:t>-</w:t>
      </w:r>
      <w:r w:rsidR="001D132D">
        <w:t xml:space="preserve"> “</w:t>
      </w:r>
      <w:r w:rsidRPr="000E152E">
        <w:t xml:space="preserve">Strategjia </w:t>
      </w:r>
      <w:r w:rsidR="00AB000B" w:rsidRPr="000E152E">
        <w:t xml:space="preserve">Kombëtare </w:t>
      </w:r>
      <w:r w:rsidRPr="000E152E">
        <w:t xml:space="preserve">për </w:t>
      </w:r>
      <w:r w:rsidR="00AB000B" w:rsidRPr="000E152E">
        <w:t>Mbrojtjen Sociale</w:t>
      </w:r>
      <w:r w:rsidR="006752BC">
        <w:t>”</w:t>
      </w:r>
      <w:r w:rsidRPr="000E152E">
        <w:t xml:space="preserve"> etj</w:t>
      </w:r>
      <w:r w:rsidR="00840EC1">
        <w:t>.</w:t>
      </w:r>
      <w:r w:rsidRPr="000E152E">
        <w:t xml:space="preserve">; </w:t>
      </w:r>
    </w:p>
    <w:p w14:paraId="01BAFC1A" w14:textId="5262D1A3" w:rsidR="00681568" w:rsidRPr="000E152E" w:rsidRDefault="00681568" w:rsidP="00681568">
      <w:pPr>
        <w:pStyle w:val="TEKSTIIII"/>
      </w:pPr>
      <w:r w:rsidRPr="000E152E">
        <w:t>-</w:t>
      </w:r>
      <w:r w:rsidR="001D132D">
        <w:t xml:space="preserve"> “</w:t>
      </w:r>
      <w:r w:rsidRPr="000E152E">
        <w:t>Plani Kombëtar i Veprimit për Personat LGBTI+ 2021</w:t>
      </w:r>
      <w:r w:rsidR="00840EC1">
        <w:t>–</w:t>
      </w:r>
      <w:r w:rsidRPr="000E152E">
        <w:t xml:space="preserve">2027. </w:t>
      </w:r>
    </w:p>
    <w:p w14:paraId="01BAFC1B" w14:textId="72BCB55F" w:rsidR="00681568" w:rsidRPr="000E152E" w:rsidRDefault="00681568" w:rsidP="00681568">
      <w:pPr>
        <w:pStyle w:val="TEKSTIIII"/>
      </w:pPr>
      <w:r w:rsidRPr="000E152E">
        <w:t>Vizioni dhe objektivat e Strategjisë Kombëtare të Punësimit dhe Aftësive 2023</w:t>
      </w:r>
      <w:r w:rsidR="00741D6E">
        <w:t>–</w:t>
      </w:r>
      <w:r w:rsidRPr="000E152E">
        <w:t xml:space="preserve">2030 janë pjesë e rëndësishme e angazhimit të Shqipërisë për zbatimin e Agjendës 2030 dhe i shërbejnë arritjes së Objektivave të Zhvillimit të Qëndrueshëm në vend. Objektivat dhe masat e strategjisë lidhen në mënyrë të drejtpërdrejtë me OZHQ 8 </w:t>
      </w:r>
      <w:r w:rsidR="006752BC">
        <w:t>“</w:t>
      </w:r>
      <w:r w:rsidRPr="000E152E">
        <w:rPr>
          <w:i/>
        </w:rPr>
        <w:t>Promovimi i rritjes ekonomike të qëndrueshme, gjithëpërfshirëse e të qëndrueshme, punësim i plotë e produktiv dhe punë e denjë për të gjithë</w:t>
      </w:r>
      <w:r w:rsidR="006752BC">
        <w:t>”</w:t>
      </w:r>
      <w:r w:rsidRPr="000E152E">
        <w:t xml:space="preserve"> dhe veçanërisht në përmbushjen e synimeve specifike të OZHQ 8</w:t>
      </w:r>
      <w:r w:rsidR="00692376">
        <w:t>,</w:t>
      </w:r>
      <w:r w:rsidRPr="000E152E">
        <w:t xml:space="preserve"> si: 8.5 (punësimi i denjë), 8.3 (produktiviteti), 8.2 (inovacioni), 8.6 (punësimi i të rinjve) dhe 8.8 (të drejtat në punë). Por njëkohësisht, zbatimi strategjisë lidhet natyrshëm dhe me arritjen e objektivave të tjerë të rëndësishëm për Shqipërinë në kuadër të Agjendës 2030 si OZHQ 1 (varfëria), OZHQ 2 (ushqimi), OZHQ 4 (arsimi), OZHQ 5 (barazia gjinore), OZHQ 9 (industria, inovacioni dhe infrastruktura) dhe OZHQ 10 (zvogëlimi i pabarazisë).</w:t>
      </w:r>
    </w:p>
    <w:p w14:paraId="01BAFC1C" w14:textId="242F6069" w:rsidR="00681568" w:rsidRPr="000E152E" w:rsidRDefault="00741D6E" w:rsidP="000B02B1">
      <w:pPr>
        <w:pStyle w:val="TEKSTIIII"/>
        <w:rPr>
          <w:b/>
        </w:rPr>
      </w:pPr>
      <w:bookmarkStart w:id="2" w:name="_Toc123165401"/>
      <w:r w:rsidRPr="00741D6E">
        <w:t xml:space="preserve">II. SFIDAT KRYESORE TË SEKTORIT DHE </w:t>
      </w:r>
      <w:r w:rsidR="00692376" w:rsidRPr="00692376">
        <w:t>INSTITUCIONALE PËR ZHVILLIMIN E VENDIT PËR TË ARDHMEN DHE PROCESIN E ANËTARËSIMIT NË BE</w:t>
      </w:r>
      <w:bookmarkEnd w:id="2"/>
      <w:r w:rsidR="00692376" w:rsidRPr="000E152E">
        <w:rPr>
          <w:b/>
        </w:rPr>
        <w:t xml:space="preserve"> </w:t>
      </w:r>
    </w:p>
    <w:p w14:paraId="01BAFC1D" w14:textId="77777777" w:rsidR="00681568" w:rsidRPr="000E152E" w:rsidRDefault="000B02B1" w:rsidP="000B02B1">
      <w:pPr>
        <w:pStyle w:val="TEKSTIIII"/>
        <w:rPr>
          <w:b/>
        </w:rPr>
      </w:pPr>
      <w:bookmarkStart w:id="3" w:name="_Toc123165402"/>
      <w:r w:rsidRPr="000E152E">
        <w:rPr>
          <w:b/>
        </w:rPr>
        <w:t xml:space="preserve">2.1 </w:t>
      </w:r>
      <w:r w:rsidR="00681568" w:rsidRPr="000E152E">
        <w:rPr>
          <w:b/>
        </w:rPr>
        <w:t>Sfidat e tregut të punës dhe aftësive</w:t>
      </w:r>
      <w:bookmarkEnd w:id="3"/>
    </w:p>
    <w:p w14:paraId="01BAFC1E" w14:textId="77777777" w:rsidR="00681568" w:rsidRPr="000E152E" w:rsidRDefault="000B02B1" w:rsidP="000B02B1">
      <w:pPr>
        <w:pStyle w:val="TEKSTIIII"/>
        <w:rPr>
          <w:b/>
        </w:rPr>
      </w:pPr>
      <w:bookmarkStart w:id="4" w:name="_Toc123165403"/>
      <w:r w:rsidRPr="000E152E">
        <w:rPr>
          <w:b/>
        </w:rPr>
        <w:t xml:space="preserve">2.1.1 </w:t>
      </w:r>
      <w:r w:rsidR="00681568" w:rsidRPr="000E152E">
        <w:rPr>
          <w:b/>
        </w:rPr>
        <w:t>Zhvillimi i aftësive</w:t>
      </w:r>
      <w:bookmarkEnd w:id="4"/>
    </w:p>
    <w:p w14:paraId="01BAFC1F" w14:textId="7FBE19CE" w:rsidR="00681568" w:rsidRPr="000E152E" w:rsidRDefault="00681568" w:rsidP="000B02B1">
      <w:pPr>
        <w:pStyle w:val="TEKSTIIII"/>
      </w:pPr>
      <w:r w:rsidRPr="000E152E">
        <w:t>Shqipëria po përballet me dy sfida lidhur me aftësitë. Së pari, është niveli i ulët i aftësive të popullsisë në moshë pune. Sipas Anketës së Forcave të Punës (LFS) të vitit 2021, 41,6 për</w:t>
      </w:r>
      <w:r w:rsidR="00692376">
        <w:t xml:space="preserve"> </w:t>
      </w:r>
      <w:r w:rsidRPr="000E152E">
        <w:t>qind e forcave të punës dhe 48.3 për</w:t>
      </w:r>
      <w:r w:rsidR="00692376">
        <w:t xml:space="preserve"> </w:t>
      </w:r>
      <w:r w:rsidRPr="000E152E">
        <w:t>qind e popullsisë në moshë pune në Shqipëri është me arsim bazë (8/9-vjeçar) ose më të ulët</w:t>
      </w:r>
      <w:r w:rsidRPr="000E152E">
        <w:rPr>
          <w:rStyle w:val="FootnoteReference"/>
          <w:rFonts w:ascii="Calibri" w:hAnsi="Calibri" w:cs="Calibri"/>
          <w:color w:val="000000" w:themeColor="text1"/>
        </w:rPr>
        <w:footnoteReference w:id="3"/>
      </w:r>
      <w:r w:rsidRPr="000E152E">
        <w:t>. Ka edhe grupe të caktuara të shoqërisë shqiptare, të cilat nuk e kanë përfunduar arsimin fillor si për shembull, 45.28 për</w:t>
      </w:r>
      <w:r w:rsidR="00692376">
        <w:t xml:space="preserve"> </w:t>
      </w:r>
      <w:r w:rsidRPr="000E152E">
        <w:t>qind e punëkërkuesve Romë të papunë dhe 13.9</w:t>
      </w:r>
      <w:r w:rsidR="000E152E" w:rsidRPr="000E152E">
        <w:t xml:space="preserve"> </w:t>
      </w:r>
      <w:r w:rsidRPr="000E152E">
        <w:t>për</w:t>
      </w:r>
      <w:r w:rsidR="00692376">
        <w:t xml:space="preserve"> </w:t>
      </w:r>
      <w:r w:rsidRPr="000E152E">
        <w:t xml:space="preserve">qind e punëkërkuesve të papunë </w:t>
      </w:r>
      <w:r w:rsidR="00692376">
        <w:t>e</w:t>
      </w:r>
      <w:r w:rsidRPr="000E152E">
        <w:t>gjiptianë të regjistruar në zyrat e punës. Niveli arsimor i përfituesve të ndihmës ekonomik dominohet nga individët, që kanë përfunduar arsimin e detyrueshëm 9-vjeçar.</w:t>
      </w:r>
    </w:p>
    <w:p w14:paraId="01BAFC20" w14:textId="5E9C8796" w:rsidR="00681568" w:rsidRPr="000E152E" w:rsidRDefault="00681568" w:rsidP="00111339">
      <w:pPr>
        <w:pStyle w:val="TEKSTIIII"/>
      </w:pPr>
      <w:r w:rsidRPr="000E152E">
        <w:lastRenderedPageBreak/>
        <w:t>Sfida e dytë lidhet me zotërimin nga fuqia punëtore të aftësive të kërkuara në tregun e punës, mungesa e të cilave mund të pengojë krijimin e më shumë vendeve të punës apo punë me cilësi më të mirë. Disa nga treguesit kryesorë të mospërputhjes së mundshme të aftësive</w:t>
      </w:r>
      <w:r w:rsidRPr="000E152E">
        <w:rPr>
          <w:rStyle w:val="FootnoteReference"/>
          <w:rFonts w:ascii="Calibri" w:hAnsi="Calibri" w:cs="Calibri"/>
          <w:bCs/>
          <w:color w:val="000000" w:themeColor="text1"/>
        </w:rPr>
        <w:footnoteReference w:id="4"/>
      </w:r>
      <w:r w:rsidRPr="000E152E">
        <w:t xml:space="preserve"> mund të konsiderohen shkalla e lartë e papunësisë tek të rinjtë dhe shkalla e lartë e papunësisë së të diplomuarve nga arsimi i lartë</w:t>
      </w:r>
      <w:r w:rsidRPr="000E152E">
        <w:rPr>
          <w:rStyle w:val="FootnoteReference"/>
          <w:rFonts w:ascii="Calibri" w:hAnsi="Calibri" w:cs="Calibri"/>
          <w:bCs/>
          <w:color w:val="000000" w:themeColor="text1"/>
        </w:rPr>
        <w:footnoteReference w:id="5"/>
      </w:r>
      <w:r w:rsidRPr="000E152E">
        <w:t>. Shkalla e lartë e të rinjve që nuk janë as në punësim, as në arsim apo trajnim (NEET) është një tjetër tregues që nxjerr në pah mospërputhjen e aftësive</w:t>
      </w:r>
      <w:r w:rsidRPr="000E152E">
        <w:rPr>
          <w:rStyle w:val="FootnoteReference"/>
          <w:rFonts w:ascii="Calibri" w:hAnsi="Calibri" w:cs="Calibri"/>
        </w:rPr>
        <w:footnoteReference w:id="6"/>
      </w:r>
      <w:r w:rsidRPr="000E152E">
        <w:t>.</w:t>
      </w:r>
      <w:r w:rsidR="000E152E" w:rsidRPr="000E152E">
        <w:t xml:space="preserve"> </w:t>
      </w:r>
      <w:r w:rsidRPr="000E152E">
        <w:t>Përqindja e bizneseve, që përballen me vështirësi në rekrutim</w:t>
      </w:r>
      <w:r w:rsidRPr="000E152E">
        <w:rPr>
          <w:rStyle w:val="FootnoteReference"/>
          <w:rFonts w:ascii="Calibri" w:hAnsi="Calibri" w:cs="Calibri"/>
        </w:rPr>
        <w:footnoteReference w:id="7"/>
      </w:r>
      <w:r w:rsidR="000E152E" w:rsidRPr="000E152E">
        <w:t xml:space="preserve"> </w:t>
      </w:r>
      <w:r w:rsidRPr="000E152E">
        <w:t>mund të konsiderohet gjithashtu si tregues për mospërputhjen apo mungesën e aftësive</w:t>
      </w:r>
      <w:r w:rsidRPr="000E152E">
        <w:rPr>
          <w:rStyle w:val="FootnoteReference"/>
          <w:rFonts w:ascii="Calibri" w:hAnsi="Calibri" w:cs="Calibri"/>
        </w:rPr>
        <w:footnoteReference w:id="8"/>
      </w:r>
      <w:r w:rsidRPr="000E152E">
        <w:t>.</w:t>
      </w:r>
    </w:p>
    <w:p w14:paraId="01BAFC21" w14:textId="67F67889" w:rsidR="00681568" w:rsidRPr="000E152E" w:rsidRDefault="00681568" w:rsidP="00111339">
      <w:pPr>
        <w:pStyle w:val="TEKSTIIII"/>
      </w:pPr>
      <w:r w:rsidRPr="000E152E">
        <w:t>Një studim i fundit i ETF-së për aftësitë në vendet partnere të ETF-së</w:t>
      </w:r>
      <w:r w:rsidRPr="000E152E">
        <w:rPr>
          <w:rStyle w:val="FootnoteReference"/>
          <w:rFonts w:ascii="Calibri" w:hAnsi="Calibri" w:cs="Calibri"/>
          <w:color w:val="000000" w:themeColor="text1"/>
        </w:rPr>
        <w:footnoteReference w:id="9"/>
      </w:r>
      <w:r w:rsidRPr="000E152E">
        <w:t xml:space="preserve"> u përpoq të vlerësojë mospërputhjen vertikale dhe horizontale të aftësive. Sipas studimit, të paktën një në pesë të diplomuar nga arsimi i lartë kishte një vend pune, që kërkonte nivel më të ulët të kualifikimeve formale, në shumicën dërrmuese të vendeve partnere të ETF-së, përfshirë edhe Shqipërinë. Për Shqipërinë, në vitin 2019 rreth 40 për</w:t>
      </w:r>
      <w:r w:rsidR="00692376">
        <w:t xml:space="preserve"> </w:t>
      </w:r>
      <w:r w:rsidRPr="000E152E">
        <w:t>qind e punonjësve ishin të mbi- ose nënarsimuar, ngjashëm me vendet e tjera të Ballkanit Perëndimor, me një incidencë më të lartë mbikualifikimi te të diplomuarit nga arsimi i lartë, krahasuar me të diplomuarit nga arsimi i mesëm. Ndërkaq pesha e mospërputhjes horizontale</w:t>
      </w:r>
      <w:r w:rsidRPr="000E152E">
        <w:rPr>
          <w:rStyle w:val="FootnoteReference"/>
          <w:rFonts w:ascii="Calibri" w:hAnsi="Calibri" w:cs="Calibri"/>
          <w:color w:val="000000" w:themeColor="text1"/>
        </w:rPr>
        <w:footnoteReference w:id="10"/>
      </w:r>
      <w:r w:rsidRPr="000E152E">
        <w:t>, në vitin 2019, ishte mbi 66 për</w:t>
      </w:r>
      <w:r w:rsidR="00692376">
        <w:t xml:space="preserve"> </w:t>
      </w:r>
      <w:r w:rsidRPr="000E152E">
        <w:t>qind (6</w:t>
      </w:r>
      <w:r w:rsidR="000E152E" w:rsidRPr="000E152E">
        <w:t xml:space="preserve"> </w:t>
      </w:r>
      <w:r w:rsidRPr="000E152E">
        <w:t>për</w:t>
      </w:r>
      <w:r w:rsidR="00692376">
        <w:t xml:space="preserve"> </w:t>
      </w:r>
      <w:r w:rsidRPr="000E152E">
        <w:t>qind më e lartë se norma mesatare për vendet e Ballkanit Perëndimor).</w:t>
      </w:r>
    </w:p>
    <w:p w14:paraId="01BAFC22" w14:textId="77777777" w:rsidR="00681568" w:rsidRPr="000E152E" w:rsidRDefault="00681568" w:rsidP="00111339">
      <w:pPr>
        <w:pStyle w:val="TEKSTIIII"/>
      </w:pPr>
      <w:r w:rsidRPr="000E152E">
        <w:t xml:space="preserve">Sfidat e mungesës apo mospërputhjes së aftësive, janë të lidhura me sasinë, cilësinë apo peshën e pamjaftueshme të ofertës së arsimit dhe formimit. </w:t>
      </w:r>
    </w:p>
    <w:p w14:paraId="01BAFC23" w14:textId="236C8D1F" w:rsidR="00681568" w:rsidRPr="000E152E" w:rsidRDefault="00681568" w:rsidP="00111339">
      <w:pPr>
        <w:pStyle w:val="TEKSTIIII"/>
        <w:rPr>
          <w:color w:val="000000" w:themeColor="text1"/>
        </w:rPr>
      </w:pPr>
      <w:r w:rsidRPr="000E152E">
        <w:t>Tregues i cilësisë së pamjaftueshme të sistemit arsimor janë rezultatet e PISA-s, sipas të cilave të rinjtë shqiptarë të moshës 15-vjeçare kanë rezultate nën mesataren e OECD-së në të tri</w:t>
      </w:r>
      <w:r w:rsidR="00EA2C5D">
        <w:t>a</w:t>
      </w:r>
      <w:r w:rsidRPr="000E152E">
        <w:t xml:space="preserve"> disiplinat: lexim, matematikë dhe shkencë (PISA 2018)</w:t>
      </w:r>
      <w:r w:rsidRPr="000E152E">
        <w:rPr>
          <w:color w:val="000000" w:themeColor="text1"/>
        </w:rPr>
        <w:t xml:space="preserve">. </w:t>
      </w:r>
    </w:p>
    <w:p w14:paraId="01BAFC24" w14:textId="45595C38" w:rsidR="00681568" w:rsidRPr="000E152E" w:rsidRDefault="00681568" w:rsidP="00111339">
      <w:pPr>
        <w:pStyle w:val="TEKSTIIII"/>
      </w:pPr>
      <w:r w:rsidRPr="000E152E">
        <w:t>Sipas rezultateve të anketës për arsimin e të rriturve, zhvilluar nga INSTAT-i në vitin 2017, pjesëmarrja e të rriturve (të moshës 25</w:t>
      </w:r>
      <w:r w:rsidR="00692376">
        <w:t>–</w:t>
      </w:r>
      <w:r w:rsidRPr="000E152E">
        <w:t>64 vjeç) në arsim dhe trajnim formal dhe joformal në vitin 2017 ishte 9.2 për</w:t>
      </w:r>
      <w:r w:rsidR="00692376">
        <w:t xml:space="preserve"> </w:t>
      </w:r>
      <w:r w:rsidRPr="000E152E">
        <w:t>qind</w:t>
      </w:r>
      <w:r w:rsidRPr="000E152E">
        <w:rPr>
          <w:rStyle w:val="FootnoteReference"/>
          <w:rFonts w:ascii="Calibri" w:hAnsi="Calibri" w:cs="Calibri"/>
          <w:color w:val="000000" w:themeColor="text1"/>
        </w:rPr>
        <w:footnoteReference w:id="11"/>
      </w:r>
      <w:r w:rsidRPr="000E152E">
        <w:t xml:space="preserve"> me një hendek të konsiderueshëm midis Shqipërisë dhe mesatares </w:t>
      </w:r>
      <w:r w:rsidRPr="000E152E">
        <w:lastRenderedPageBreak/>
        <w:t>së BE-së, e cila, në të njëjtin vit, ishte 43.7 për</w:t>
      </w:r>
      <w:r w:rsidR="00692376">
        <w:t xml:space="preserve"> </w:t>
      </w:r>
      <w:r w:rsidRPr="000E152E">
        <w:t>qind</w:t>
      </w:r>
      <w:r w:rsidRPr="000E152E">
        <w:rPr>
          <w:rStyle w:val="FootnoteReference"/>
          <w:rFonts w:ascii="Calibri" w:hAnsi="Calibri" w:cs="Calibri"/>
        </w:rPr>
        <w:footnoteReference w:id="12"/>
      </w:r>
      <w:r w:rsidRPr="000E152E">
        <w:t>. Për sa i përket gjinisë, rezultatet e të njëjtit studim tregojnë se 9.5 për</w:t>
      </w:r>
      <w:r w:rsidR="00692376">
        <w:t xml:space="preserve"> </w:t>
      </w:r>
      <w:r w:rsidRPr="000E152E">
        <w:t>qind e grave dhe 8.8 për</w:t>
      </w:r>
      <w:r w:rsidR="00692376">
        <w:t xml:space="preserve"> </w:t>
      </w:r>
      <w:r w:rsidRPr="000E152E">
        <w:t>qind e burrave të moshës 25</w:t>
      </w:r>
      <w:r w:rsidR="00692376">
        <w:t>–</w:t>
      </w:r>
      <w:r w:rsidRPr="000E152E">
        <w:t>64 vjeç kanë marrë pjesë në arsim dhe formim formal dhe joformal. Mesatarisht, më pak se 15 për</w:t>
      </w:r>
      <w:r w:rsidR="00692376">
        <w:t xml:space="preserve"> </w:t>
      </w:r>
      <w:r w:rsidRPr="000E152E">
        <w:t>qind e bizneseve kanë ofruar trajnime të brendshme ose trajnime në punë për fuqinë e tyre punëtore dhe më pak se 5 për</w:t>
      </w:r>
      <w:r w:rsidR="00692376">
        <w:t xml:space="preserve"> </w:t>
      </w:r>
      <w:r w:rsidRPr="000E152E">
        <w:t>qind kanë ofruar trajnime të jashtme sipas anketës së organizuar nga Banka Botërore</w:t>
      </w:r>
      <w:r w:rsidRPr="000E152E">
        <w:rPr>
          <w:rStyle w:val="FootnoteReference"/>
          <w:rFonts w:ascii="Calibri" w:hAnsi="Calibri" w:cs="Calibri"/>
        </w:rPr>
        <w:footnoteReference w:id="13"/>
      </w:r>
      <w:r w:rsidRPr="000E152E">
        <w:t>. Mungesa e trajnimit të bazuar në ndërmarrje tregon mundësi të kufizuara për zhvillimin e aftësive dhe të nxënit gjatë gjithë jetës të fuqisë punëtore dhe pengon rritjen e produktivitetit të ndërmarrjeve.</w:t>
      </w:r>
    </w:p>
    <w:p w14:paraId="01BAFC25" w14:textId="71C9E106" w:rsidR="00681568" w:rsidRPr="000E152E" w:rsidRDefault="00681568" w:rsidP="00111339">
      <w:pPr>
        <w:pStyle w:val="TEKSTIIII"/>
      </w:pPr>
      <w:r w:rsidRPr="000E152E">
        <w:t>Gjithashtu, edhe oferta publike e private e formimit profesional dhe trajnimeve afatshkurtra duhet t</w:t>
      </w:r>
      <w:r w:rsidR="009330F6">
        <w:t>’</w:t>
      </w:r>
      <w:r w:rsidRPr="000E152E">
        <w:t>u përgjigjet më mirë nevojave të tregut të punës (Banka Botërore, 2018).</w:t>
      </w:r>
    </w:p>
    <w:p w14:paraId="01BAFC26" w14:textId="417D51D4" w:rsidR="00681568" w:rsidRPr="000E152E" w:rsidRDefault="00681568" w:rsidP="00111339">
      <w:pPr>
        <w:pStyle w:val="TEKSTIIII"/>
      </w:pPr>
      <w:r w:rsidRPr="000E152E">
        <w:t>Për të adresuar kufizimet që lidhen me aftësitë, duhet të rritet cilësia, sasia dhe rëndësia e ofertës së arsimit dhe formimit profesional, të krijohet gradualisht një kulturë e re e të nxënit gjatë gjithë jetës për t</w:t>
      </w:r>
      <w:r w:rsidR="009330F6">
        <w:t>’</w:t>
      </w:r>
      <w:r w:rsidRPr="000E152E">
        <w:t xml:space="preserve">i dhënë mundësi fuqisë punëtore të përmirësojë vazhdimisht aftësitë dhe, paralelisht, të garantohet një sistem i arsimit dhe formimit profesional fleksibël dhe gjithëpërfshirës, në mënyrë që të ofrojë zgjidhje të shpejta për trajnime efektive dhe afatshkurtra, duke iu përgjigjur nevojës urgjente për aftësi të reja dhe </w:t>
      </w:r>
      <w:r w:rsidRPr="000E152E">
        <w:rPr>
          <w:color w:val="000000" w:themeColor="text1"/>
        </w:rPr>
        <w:t>përmirësimit të aftësive të fuqisë punëtore ekzistuese</w:t>
      </w:r>
      <w:r w:rsidRPr="000E152E">
        <w:rPr>
          <w:rStyle w:val="FootnoteReference"/>
          <w:rFonts w:ascii="Calibri" w:hAnsi="Calibri" w:cs="Calibri"/>
          <w:color w:val="000000" w:themeColor="text1"/>
        </w:rPr>
        <w:footnoteReference w:id="14"/>
      </w:r>
      <w:r w:rsidRPr="000E152E">
        <w:rPr>
          <w:color w:val="000000" w:themeColor="text1"/>
        </w:rPr>
        <w:t>.</w:t>
      </w:r>
    </w:p>
    <w:p w14:paraId="01BAFC27" w14:textId="77777777" w:rsidR="00681568" w:rsidRPr="000E152E" w:rsidRDefault="00681568" w:rsidP="00111339">
      <w:pPr>
        <w:pStyle w:val="TEKSTIIII"/>
      </w:pPr>
      <w:r w:rsidRPr="000E152E">
        <w:t>Në sistemin e arsimit dhe formimit profesional janë ndërmarrë një sërë reformash, qoftë në kuadrin ligjor, qoftë në zhvillimin e politikave me qëllim garantimin e një sistemi të përshtatshëm që ofron mundësi për zhvillimin e aftësive të duhura. Disa nga nismat e ndërmarra për miratimin, zhvillimin dhe zbatimin e Kornizës Shqiptare të Kualifikimeve, zhvillimin e kornizës së garantimit të cilësisë dhe lidhjen e Kornizës Shqiptare të Kualifikimeve me Kornizën Evropiane të Kualifikimeve</w:t>
      </w:r>
      <w:r w:rsidRPr="000E152E">
        <w:rPr>
          <w:rStyle w:val="FootnoteReference"/>
          <w:rFonts w:ascii="Calibri" w:hAnsi="Calibri" w:cs="Calibri"/>
        </w:rPr>
        <w:footnoteReference w:id="15"/>
      </w:r>
      <w:r w:rsidRPr="000E152E">
        <w:t xml:space="preserve"> synojnë rritjen e cilësisë së ofertës për aftësi për tregun e punës në Shqipëri, por edhe rritjen e mobilitetit të fuqisë punëtore me mes Shqipërisë dhe vendeve të tjera. </w:t>
      </w:r>
    </w:p>
    <w:p w14:paraId="01BAFC28" w14:textId="77777777" w:rsidR="00681568" w:rsidRPr="000E152E" w:rsidRDefault="00681568" w:rsidP="00111339">
      <w:pPr>
        <w:pStyle w:val="TEKSTIIII"/>
      </w:pPr>
      <w:r w:rsidRPr="000E152E">
        <w:t>Sistemi i AFP-së ka nevojë për përfshirje më të madhe të sektorit privat në përmbajtjen dhe qeverisjen e ofrimit të arsimit dhe formimit profesional, si dhe drejtpërdrejt në ofrimin e të nxënit të bazuar në punë. Përveç krijimit të një sistemi për monitorimin dhe parashikimin e nevojave për aftësi (</w:t>
      </w:r>
      <w:r w:rsidRPr="000E152E">
        <w:rPr>
          <w:color w:val="000000" w:themeColor="text1"/>
        </w:rPr>
        <w:t>sistemi i inteligjencës së aftësive</w:t>
      </w:r>
      <w:r w:rsidRPr="000E152E">
        <w:t xml:space="preserve">) </w:t>
      </w:r>
      <w:r w:rsidRPr="000E152E">
        <w:rPr>
          <w:color w:val="000000" w:themeColor="text1"/>
        </w:rPr>
        <w:t>dhe digjitalizimit të ofrimit të AFP-së,</w:t>
      </w:r>
      <w:r w:rsidRPr="000E152E">
        <w:t xml:space="preserve"> sistemi i AFP-së ka nevojë për mbështetje financiare, si nëpërmjet zgjidhjeve inovative dhe diversifikimit të burimeve financiare, ashtu edhe nëpërmjet rishikimit të mekanizmave të alokimit buxhetor për të adresuar mungesat në infrastrukturë, përdorimin e teknologjive moderne dhe futjen e metodave inovative në mësimdhënie dhe mësimnxënie. Në këtë mënyrë, do të rritej interesi për ofertën e AFP-së jo vetëm për përfituesit, por edhe për familjet e tyre dhe grupet e tjera të interesit, përfshirë punëdhënësit</w:t>
      </w:r>
      <w:r w:rsidRPr="000E152E">
        <w:rPr>
          <w:rStyle w:val="FootnoteReference"/>
          <w:rFonts w:ascii="Calibri" w:hAnsi="Calibri" w:cs="Calibri"/>
        </w:rPr>
        <w:footnoteReference w:id="16"/>
      </w:r>
      <w:r w:rsidRPr="000E152E">
        <w:t xml:space="preserve">. </w:t>
      </w:r>
    </w:p>
    <w:p w14:paraId="01BAFC29" w14:textId="455EFC10" w:rsidR="00681568" w:rsidRPr="000E152E" w:rsidRDefault="00681568" w:rsidP="00111339">
      <w:pPr>
        <w:pStyle w:val="TEKSTIIII"/>
      </w:pPr>
      <w:r w:rsidRPr="000E152E">
        <w:t xml:space="preserve">Së fundi, sistemi i AFP-së kërkon investime të vazhdueshme për zhvillimin e kualifikimeve profesionale, sigurimin e cilësisë, si dhe njohjen e të nxënit të mëparshëm, për të rritur cilësinë dhe mundësitë e të nxënit gjatë gjithë jetës, si dhe për të forcuar ofertën e AFP-së pas shkollës së </w:t>
      </w:r>
      <w:r w:rsidRPr="000E152E">
        <w:lastRenderedPageBreak/>
        <w:t>mesme, për të adresuar nevojat për aftësi.</w:t>
      </w:r>
      <w:r w:rsidR="00785ADB">
        <w:t xml:space="preserve"> </w:t>
      </w:r>
      <w:r w:rsidRPr="000E152E">
        <w:t>Për të rritur mundësitë e të nxënit gjatë gjithë jetës, është e nevojshme të reformohet oferta e formimit profesional nëpërmjet angazhimit të ofruesve privatë, si pjesë e ekosistemit për ofrimin shërbimeve për të rriturit, përfshirë trajtimin e tranzicionit të dyfishtë (aftësitë e gjelbra dhe digjitale). Për më tepër duhen eksploruar alternativa të ndryshme për të nxitur ndërmarrjet private ose fuqinë punëtore për të investuar në trajnime dhe në zhvillimin e aftësive. Kjo qasje mund të pilotohet në sektorë me rritje të shpejtë, siç janë; sektori i</w:t>
      </w:r>
      <w:r w:rsidR="000E152E" w:rsidRPr="000E152E">
        <w:t xml:space="preserve"> </w:t>
      </w:r>
      <w:r w:rsidRPr="000E152E">
        <w:t>turizmit, agropërpunimi apo teknologjia e informacionit dhe komunikimit, përpara se të zgjerohet në sektorë të tjerë.</w:t>
      </w:r>
    </w:p>
    <w:p w14:paraId="01BAFC2A" w14:textId="504A6496" w:rsidR="00681568" w:rsidRPr="000E152E" w:rsidRDefault="00681568" w:rsidP="00111339">
      <w:pPr>
        <w:pStyle w:val="TEKSTIIII"/>
      </w:pPr>
      <w:r w:rsidRPr="000E152E">
        <w:t>Orientimi kryesor për zhvillimin e politikave të sektorit në Shqipëri bazohet në drejtimet kryesore të kuadrit të politikës së punësimit dhe arsimit e formimit të BE-së, të përcaktuara kryesisht në shtyllën Evropiane të të Drejtave Sociale. Parimi i parë i Shtyllës Evropiane të të Drejtave Sociale thekson të drejtën e çdo</w:t>
      </w:r>
      <w:r w:rsidR="000E152E" w:rsidRPr="000E152E">
        <w:t xml:space="preserve"> </w:t>
      </w:r>
      <w:r w:rsidRPr="000E152E">
        <w:t>qytetari të BE-së për arsim cilësor dhe gjithëpërfshirës, trajnim dhe mësim gjatë gjithë jetës, me qëllim konsolidimin dhe zhvillimin e aftësive për të marrë pjesë plotësisht në shoqëri dhe për të menaxhuar me sukses tranzicionet në tregun e punës. Nisma kryesore e Komisionit Evropian për zbatimin e këtij parimi është Agjenda Evropiane e Aftësive, në zbatimin e së cilës angazhohen si vendet anëtare të BE-së, ashtu edhe vendet kandidate nëpërmjet angazhimit në kuadër të Deklaratës së Osnabrück-ut.</w:t>
      </w:r>
      <w:r w:rsidRPr="00B7420C">
        <w:rPr>
          <w:rStyle w:val="FootnoteReference"/>
        </w:rPr>
        <w:footnoteReference w:id="17"/>
      </w:r>
      <w:r w:rsidRPr="000E152E">
        <w:t xml:space="preserve"> Agjenda Evropiane e Aftësive kërkon nga vendet zbatuese që, nëpërmjet Paktit për Aftësitë, të forcojnë zhvillimin e inteligjencës së aftësive, të përmirësojnë më tej ofertën e AFP-së, si mundësi atraktive dhe me cilësi të lartë, të mbështesin zhvillimin e aftësive për tranzicionin e gjelbër dhe digjital, rritjen e ndjeshme të pjesëmarrjes së të rriturve në të nxënit formal, joformal dhe informal dhe eksplorimin e mundësive inovative (siç janë iniciativa për llogaritë individuale të të nxënit, si dhe një qasja E</w:t>
      </w:r>
      <w:r w:rsidR="00785ADB">
        <w:t>v</w:t>
      </w:r>
      <w:r w:rsidRPr="000E152E">
        <w:t>ropiane për mikrokredencialet) për të kontribuar në rritjen e aksesit në mundësi trajnimi për të rriturit</w:t>
      </w:r>
      <w:r w:rsidRPr="000E152E">
        <w:rPr>
          <w:vertAlign w:val="superscript"/>
        </w:rPr>
        <w:footnoteReference w:id="18"/>
      </w:r>
      <w:r w:rsidRPr="000E152E">
        <w:t>.</w:t>
      </w:r>
    </w:p>
    <w:p w14:paraId="01BAFC5A" w14:textId="77777777" w:rsidR="00620B96" w:rsidRPr="000E152E" w:rsidRDefault="0086735F" w:rsidP="0086735F">
      <w:pPr>
        <w:pStyle w:val="TEKSTIIII"/>
        <w:rPr>
          <w:b/>
        </w:rPr>
      </w:pPr>
      <w:bookmarkStart w:id="5" w:name="_Toc123165404"/>
      <w:r w:rsidRPr="000E152E">
        <w:rPr>
          <w:b/>
        </w:rPr>
        <w:t>2.</w:t>
      </w:r>
      <w:r w:rsidR="004A139C" w:rsidRPr="000E152E">
        <w:rPr>
          <w:b/>
        </w:rPr>
        <w:t>1.</w:t>
      </w:r>
      <w:r w:rsidRPr="000E152E">
        <w:rPr>
          <w:b/>
        </w:rPr>
        <w:t xml:space="preserve">2 </w:t>
      </w:r>
      <w:r w:rsidR="00620B96" w:rsidRPr="000E152E">
        <w:rPr>
          <w:b/>
        </w:rPr>
        <w:t>Funksionimi i tregut të punës</w:t>
      </w:r>
      <w:bookmarkEnd w:id="5"/>
    </w:p>
    <w:p w14:paraId="01BAFC5B" w14:textId="6E73F09E" w:rsidR="00620B96" w:rsidRPr="000E152E" w:rsidRDefault="00620B96" w:rsidP="004A139C">
      <w:pPr>
        <w:pStyle w:val="TEKSTIIII"/>
      </w:pPr>
      <w:r w:rsidRPr="000E152E">
        <w:t>Mekanizmi i tregut të punës në Shqipëri ka ende nevojë për përmirësim, për</w:t>
      </w:r>
      <w:r w:rsidR="005F0629">
        <w:t xml:space="preserve"> </w:t>
      </w:r>
      <w:r w:rsidRPr="000E152E">
        <w:t>sa i përket ndërmjetësimit efikas dhe gjithpërfshirës, si dhe përputhjes më të mirë të ofertës dhe kërkesës për punë. Kanalet joformale (kontaktet personale, rekomandimet nga të tjerët) janë kanali më i rëndësishëm dhe më i përdorur për rekrutimin e punonjësve, sipas Anketës së Aftësive për Punësim dhe Produktivitet të vitit 2018 të Bankës Botërore</w:t>
      </w:r>
      <w:r w:rsidRPr="000E152E">
        <w:rPr>
          <w:rStyle w:val="FootnoteReference"/>
        </w:rPr>
        <w:footnoteReference w:id="19"/>
      </w:r>
      <w:r w:rsidRPr="000E152E">
        <w:t>. Kompanitë e mëdha dhe ato me pronësi të huaj janë më të prirura të shf</w:t>
      </w:r>
      <w:r w:rsidR="005F6B58">
        <w:t>r</w:t>
      </w:r>
      <w:r w:rsidRPr="000E152E">
        <w:t>ytëzojnë kanalet joformale për rekrutimin e stafit</w:t>
      </w:r>
      <w:r w:rsidRPr="000E152E">
        <w:rPr>
          <w:rStyle w:val="FootnoteReference"/>
        </w:rPr>
        <w:footnoteReference w:id="20"/>
      </w:r>
      <w:r w:rsidRPr="000E152E">
        <w:t>). Dominimi i kanaleve joformale dhe ofrimi i vendeve të punës për ata, që janë të punësuar në biznese të tjera</w:t>
      </w:r>
      <w:r w:rsidRPr="000E152E">
        <w:rPr>
          <w:rStyle w:val="FootnoteReference"/>
          <w:rFonts w:cs="Calibri"/>
          <w:color w:val="000000" w:themeColor="text1"/>
        </w:rPr>
        <w:footnoteReference w:id="21"/>
      </w:r>
      <w:r w:rsidRPr="000E152E">
        <w:t xml:space="preserve">, janë tregues të vështirësive që kanë punëdhënësit në identifikimin e punonjësve me aftësitë e duhura, si dhe në gjetjen e punonjësve nëpërmjet kanaleve formale dhe shërbimeve profesionale. </w:t>
      </w:r>
    </w:p>
    <w:p w14:paraId="01BAFC5C" w14:textId="5A7D5E04" w:rsidR="00620B96" w:rsidRPr="000E152E" w:rsidRDefault="00620B96" w:rsidP="004A139C">
      <w:pPr>
        <w:pStyle w:val="TEKSTIIII"/>
      </w:pPr>
      <w:r w:rsidRPr="000E152E">
        <w:rPr>
          <w:bCs/>
        </w:rPr>
        <w:t>Shërbimet e punësimit duhet të konsolidohen dhe të shfrytëzohen më shumë nga punëdhënësit.</w:t>
      </w:r>
      <w:r w:rsidRPr="000E152E">
        <w:t xml:space="preserve"> Studimi i Bankës Botërore i vitit 2018</w:t>
      </w:r>
      <w:r w:rsidRPr="000E152E">
        <w:rPr>
          <w:rStyle w:val="FootnoteReference"/>
        </w:rPr>
        <w:footnoteReference w:id="22"/>
      </w:r>
      <w:r w:rsidRPr="000E152E">
        <w:t xml:space="preserve"> vlerëson se 7.4 për</w:t>
      </w:r>
      <w:r w:rsidR="005F6B58">
        <w:t xml:space="preserve"> </w:t>
      </w:r>
      <w:r w:rsidRPr="000E152E">
        <w:t>qind e punëdhën</w:t>
      </w:r>
      <w:r w:rsidR="00C901B8">
        <w:t>ë</w:t>
      </w:r>
      <w:r w:rsidRPr="000E152E">
        <w:t>sve nga sektori privat përdorën shërbimet publike të punësimit për të rekrutuar punonjës. Në mënyrë të ngjashme, edhe përdorimi i shërbimeve private të punësimit është i ulët (më pak se 10 për</w:t>
      </w:r>
      <w:r w:rsidR="00674D7E">
        <w:t xml:space="preserve"> </w:t>
      </w:r>
      <w:r w:rsidRPr="000E152E">
        <w:lastRenderedPageBreak/>
        <w:t>qind). Të tilla gjetje konfirmohen pjesërisht nga një vrojtim i vitit 2022 i Këshillit të Investimeve</w:t>
      </w:r>
      <w:r w:rsidRPr="000E152E">
        <w:rPr>
          <w:rStyle w:val="FootnoteReference"/>
        </w:rPr>
        <w:footnoteReference w:id="23"/>
      </w:r>
      <w:r w:rsidRPr="000E152E">
        <w:t>, sipas të cilit vetëm 15 për</w:t>
      </w:r>
      <w:r w:rsidR="00674D7E">
        <w:t xml:space="preserve"> </w:t>
      </w:r>
      <w:r w:rsidRPr="000E152E">
        <w:t>qind e 253 kompanive të anketuara, u drejtohen zyrave të punës për sigurimin e fuqisë punëtore.</w:t>
      </w:r>
    </w:p>
    <w:p w14:paraId="01BAFC5D" w14:textId="7EEBB2F3" w:rsidR="00620B96" w:rsidRPr="000E152E" w:rsidRDefault="00620B96" w:rsidP="004A139C">
      <w:pPr>
        <w:pStyle w:val="TEKSTIIII"/>
      </w:pPr>
      <w:r w:rsidRPr="000E152E">
        <w:t>Shfrytëzimi i shërbimeve të punësimit nga punëkërkuesit mbetet ende një sfidë. INSTAT</w:t>
      </w:r>
      <w:r w:rsidR="005F6B58">
        <w:t>-i</w:t>
      </w:r>
      <w:r w:rsidRPr="000E152E">
        <w:t xml:space="preserve"> vlerëson se rreth 25.6 për</w:t>
      </w:r>
      <w:r w:rsidR="00674D7E">
        <w:t xml:space="preserve"> </w:t>
      </w:r>
      <w:r w:rsidRPr="000E152E">
        <w:t>qind e të rinjve që nuk janë të punësuar e as duke ndjekur shkollën apo ndonjë trajnim (NEET) janë të regjistruar në zyrat e punës (INSTAT, LFS 2021). Mbulimi i përgjithshëm i programeve aktive të tregut të punës (PATP)</w:t>
      </w:r>
      <w:r w:rsidR="000E152E" w:rsidRPr="000E152E">
        <w:t xml:space="preserve"> </w:t>
      </w:r>
      <w:r w:rsidRPr="000E152E">
        <w:t>është rreth 5.5</w:t>
      </w:r>
      <w:r w:rsidR="000E152E" w:rsidRPr="000E152E">
        <w:t xml:space="preserve"> </w:t>
      </w:r>
      <w:r w:rsidRPr="000E152E">
        <w:t>për</w:t>
      </w:r>
      <w:r w:rsidR="005F6B58">
        <w:t xml:space="preserve"> </w:t>
      </w:r>
      <w:r w:rsidRPr="000E152E">
        <w:t>qind e numrit të përgjithshëm të punëkërkuesve të regjistruar në zyrat e punës.</w:t>
      </w:r>
    </w:p>
    <w:p w14:paraId="01BAFC5E" w14:textId="4657272E" w:rsidR="00620B96" w:rsidRPr="000E152E" w:rsidRDefault="00620B96" w:rsidP="004A139C">
      <w:pPr>
        <w:pStyle w:val="TEKSTIIII"/>
      </w:pPr>
      <w:r w:rsidRPr="000E152E">
        <w:t>Drejtimet kryesore nga kuadri i politikës së punësimit të BE-së për politikat e tregut të punës janë përcaktuar kryesisht në Shtyllën E</w:t>
      </w:r>
      <w:r w:rsidR="005F6B58">
        <w:t>v</w:t>
      </w:r>
      <w:r w:rsidRPr="000E152E">
        <w:t>ropiane të të Drejtave Sociale, në dokumente specifike të Komisionit Evropian</w:t>
      </w:r>
      <w:r w:rsidR="005F6B58">
        <w:t xml:space="preserve"> </w:t>
      </w:r>
      <w:r w:rsidRPr="000E152E">
        <w:t>për Mbështetje Aktive të Punësimit</w:t>
      </w:r>
      <w:r w:rsidR="006752BC">
        <w:t>”</w:t>
      </w:r>
      <w:r w:rsidRPr="000E152E">
        <w:t xml:space="preserve">, si dhe në </w:t>
      </w:r>
      <w:r w:rsidR="006752BC">
        <w:t>“</w:t>
      </w:r>
      <w:r w:rsidRPr="000E152E">
        <w:t>Paketën e Mbështetjes së Punësimit të të Rinjve</w:t>
      </w:r>
      <w:r w:rsidR="006752BC">
        <w:t>”</w:t>
      </w:r>
      <w:r w:rsidRPr="000E152E">
        <w:rPr>
          <w:rStyle w:val="FootnoteReference"/>
          <w:rFonts w:cs="Calibri"/>
        </w:rPr>
        <w:footnoteReference w:id="24"/>
      </w:r>
      <w:r w:rsidRPr="000E152E">
        <w:t xml:space="preserve">. </w:t>
      </w:r>
    </w:p>
    <w:p w14:paraId="01BAFC5F" w14:textId="39D67FED" w:rsidR="00620B96" w:rsidRPr="000E152E" w:rsidRDefault="00620B96" w:rsidP="004A139C">
      <w:pPr>
        <w:pStyle w:val="TEKSTIIII"/>
      </w:pPr>
      <w:r w:rsidRPr="000E152E">
        <w:t xml:space="preserve">Parimi i katërt i </w:t>
      </w:r>
      <w:r w:rsidRPr="000E152E">
        <w:rPr>
          <w:color w:val="000000" w:themeColor="text1"/>
        </w:rPr>
        <w:t>Shtyllës E</w:t>
      </w:r>
      <w:r w:rsidR="00674D7E">
        <w:rPr>
          <w:color w:val="000000" w:themeColor="text1"/>
        </w:rPr>
        <w:t>v</w:t>
      </w:r>
      <w:r w:rsidRPr="000E152E">
        <w:rPr>
          <w:color w:val="000000" w:themeColor="text1"/>
        </w:rPr>
        <w:t xml:space="preserve">ropiane e të Drejtave Sociale </w:t>
      </w:r>
      <w:r w:rsidRPr="000E152E">
        <w:t>thekson të drejtën e çdo qytetari të BE-së për mbështetje për punësim, të ofruar në kohën e duhur dhe të përshtatur për të përmirësuar perspektivat e punësimit apo të vetëpunësimit. Kjo nënkupton të drejtën për të marrë mbështetje për të kërkuar punë, për t</w:t>
      </w:r>
      <w:r w:rsidR="009330F6">
        <w:t>’</w:t>
      </w:r>
      <w:r w:rsidRPr="000E152E">
        <w:t xml:space="preserve">u trajnuar dhe rikualifikuar. Për më tepër, përmes përcaktimeve të kësaj shtylle të rinjve u garantohet e drejta </w:t>
      </w:r>
      <w:r w:rsidR="00674D7E" w:rsidRPr="000E152E">
        <w:t>për</w:t>
      </w:r>
      <w:r w:rsidRPr="000E152E">
        <w:t xml:space="preserve"> të vazhduar arsimimin, trajnimin ose iu ofrohet një punë,</w:t>
      </w:r>
      <w:r w:rsidR="000E152E" w:rsidRPr="000E152E">
        <w:t xml:space="preserve"> </w:t>
      </w:r>
      <w:r w:rsidRPr="000E152E">
        <w:t xml:space="preserve">brenda </w:t>
      </w:r>
      <w:r w:rsidR="00674D7E" w:rsidRPr="000E152E">
        <w:t>4</w:t>
      </w:r>
      <w:r w:rsidR="00674D7E">
        <w:t xml:space="preserve"> </w:t>
      </w:r>
      <w:r w:rsidRPr="000E152E">
        <w:t>(</w:t>
      </w:r>
      <w:r w:rsidR="00674D7E" w:rsidRPr="000E152E">
        <w:t>katër</w:t>
      </w:r>
      <w:r w:rsidRPr="000E152E">
        <w:t>) muajve nga momenti kur mbeten të papunë ose largohen nga arsimi (Garancia Rinore). Personat e papunë kanë të drejtë për mbështetje të personalizuar, të vazhdueshme dhe të qëndrueshme, ndërsa të papunët afatgjatë kanë të drejtën e një vlerësimi individual të thelluar, jo më vonë se 18 muaj nga të qenit i papunë</w:t>
      </w:r>
      <w:r w:rsidRPr="000E152E">
        <w:rPr>
          <w:rStyle w:val="FootnoteReference"/>
          <w:rFonts w:cs="Calibri"/>
        </w:rPr>
        <w:footnoteReference w:id="25"/>
      </w:r>
      <w:r w:rsidRPr="000E152E">
        <w:t>.</w:t>
      </w:r>
    </w:p>
    <w:p w14:paraId="01BAFC60" w14:textId="2A657A54" w:rsidR="00620B96" w:rsidRPr="000E152E" w:rsidRDefault="00620B96" w:rsidP="004A139C">
      <w:pPr>
        <w:pStyle w:val="TEKSTIIII"/>
        <w:rPr>
          <w:rFonts w:eastAsia="Times New Roman"/>
        </w:rPr>
      </w:pPr>
      <w:r w:rsidRPr="000E152E">
        <w:t>Analiza tregon se shërbimet e punësimit dhe programet e nxitjes së punësimit</w:t>
      </w:r>
      <w:r w:rsidR="000E152E" w:rsidRPr="000E152E">
        <w:t xml:space="preserve"> </w:t>
      </w:r>
      <w:r w:rsidRPr="000E152E">
        <w:t>duhet të rrisin efikasitetin dhe nivelin e mbulimit për të adresuar mospërputhjen e aftësive mes kërkesës dhe ofertës. Arritja e këtij qëllimi mund të realizohet duke investuar në zhvillimin e produkteve digjitale për punëdhënësin dhe punëkërkuesin, por edhe në ndryshimin e modelit të ofrimit të shërbimeve të cilat duhet të bëhen gjithnjë e më shumë pjesë e një ekosistemi më të gjerë të shërbimeve të punësimit, si në vendet anëtare të BE-së dhe me fokus më të madh</w:t>
      </w:r>
      <w:r w:rsidR="000E152E" w:rsidRPr="000E152E">
        <w:t xml:space="preserve"> </w:t>
      </w:r>
      <w:r w:rsidRPr="000E152E">
        <w:t>në zhvillimin e aftësive, adresimin e barrierave të tjera të punëkërkuesve për të hyrë në tregun e punës dhe për të gjetur punë, si dhe për lehtësuar tranzicionin e punësimit (nga bujqësia në industri dhe në shërbime duke përfshirë tranzicionin gjelbër</w:t>
      </w:r>
      <w:r w:rsidR="00674D7E">
        <w:t>,</w:t>
      </w:r>
      <w:r w:rsidRPr="000E152E">
        <w:t xml:space="preserve"> si dhe atë digjital). Kjo kërkon zhvillimin e sistemit për monitorimin dhe parashikimin e aftësive, por edhe krijimin e sistemeve mbështetëse duke u mbështetur në bashkëpunimin e një sërë aktorësh të tjerë, si:</w:t>
      </w:r>
      <w:r w:rsidR="000E152E" w:rsidRPr="000E152E">
        <w:t xml:space="preserve"> </w:t>
      </w:r>
      <w:r w:rsidRPr="000E152E">
        <w:t>organizata jofitimprurëse, ofrues publikë e jopublikë trajnimesh, njësitë e vetëqeverisjes</w:t>
      </w:r>
      <w:r w:rsidRPr="000E152E">
        <w:rPr>
          <w:rFonts w:asciiTheme="majorHAnsi" w:hAnsiTheme="majorHAnsi" w:cstheme="majorHAnsi"/>
          <w:sz w:val="18"/>
          <w:szCs w:val="18"/>
        </w:rPr>
        <w:t xml:space="preserve"> </w:t>
      </w:r>
      <w:r w:rsidRPr="000E152E">
        <w:t>vendore, ofrues të shërbimeve sociale, organizatat e punëdhënësve, partnerët socialë, agjenci private punësimi, agjencitë e punësimit të përkohshëm</w:t>
      </w:r>
      <w:r w:rsidR="00DE3FCD">
        <w:t xml:space="preserve"> etj.</w:t>
      </w:r>
      <w:r w:rsidRPr="000E152E">
        <w:t xml:space="preserve"> Nevojitet bashkëpunim gjithnjë e më shumë në partneritet me aktorët e tjerë në ekosistem për të ofruar mbështetjen e nevojshme, për të ndihmuar integrimin e personave nga grupet e veçanta në tregun e punës si: të rinjtë (përmes programit të garancisë rinore), personat me aftësi të kufizuara (përmes Fondit Social të Punësimit), viktimat e dhunës në familje</w:t>
      </w:r>
      <w:r w:rsidR="00DE3FCD">
        <w:t xml:space="preserve"> etj.</w:t>
      </w:r>
      <w:r w:rsidRPr="000E152E">
        <w:t xml:space="preserve"> Gjatë këtij procesi, duhet demonstruar përshtatshmëri dhe fleksibilitet i gjerë në hartimin dhe ofrimin e shërbimeve dhe programeve të nxitjes së punësimit, përmes një rrjeti shërbimesh punësimi, që u </w:t>
      </w:r>
      <w:r w:rsidRPr="000E152E">
        <w:lastRenderedPageBreak/>
        <w:t>përgjigjet nevojave individuale të të papunëve dhe nevojave të tregut të punës me një kuadër të fuqishëm monitorimi dhe vlerësimi</w:t>
      </w:r>
      <w:r w:rsidRPr="000E152E">
        <w:rPr>
          <w:rFonts w:eastAsia="Times New Roman"/>
          <w:iCs/>
          <w:shd w:val="clear" w:color="auto" w:fill="FFFFFF"/>
        </w:rPr>
        <w:t>.</w:t>
      </w:r>
      <w:r w:rsidRPr="000E152E">
        <w:rPr>
          <w:rFonts w:eastAsia="Times New Roman"/>
        </w:rPr>
        <w:t xml:space="preserve"> </w:t>
      </w:r>
    </w:p>
    <w:p w14:paraId="01BAFC61" w14:textId="2F52EDA5" w:rsidR="00620B96" w:rsidRPr="000E152E" w:rsidRDefault="00620B96" w:rsidP="004A139C">
      <w:pPr>
        <w:pStyle w:val="TEKSTIIII"/>
        <w:rPr>
          <w:sz w:val="20"/>
          <w:szCs w:val="20"/>
        </w:rPr>
      </w:pPr>
      <w:r w:rsidRPr="000E152E">
        <w:t>Për</w:t>
      </w:r>
      <w:r w:rsidR="00900033">
        <w:t xml:space="preserve"> </w:t>
      </w:r>
      <w:r w:rsidRPr="000E152E">
        <w:t xml:space="preserve">sa u përket agjencive private të punësimit dhe ofruesve jopublikë të shërbimeve të punësimit, duhet </w:t>
      </w:r>
      <w:r w:rsidR="00A718A0" w:rsidRPr="000E152E">
        <w:t>t</w:t>
      </w:r>
      <w:r w:rsidR="00A718A0">
        <w:t>ë</w:t>
      </w:r>
      <w:r w:rsidRPr="000E152E">
        <w:t xml:space="preserve"> rishikohet korniza ligjore dhe të zhvillohen masa mbështetëse për t</w:t>
      </w:r>
      <w:r w:rsidR="009330F6">
        <w:t>’</w:t>
      </w:r>
      <w:r w:rsidRPr="000E152E">
        <w:t>i përfshirë ato si pjesë e ekosistemit për ofrimin e shërbimeve të punësimit.</w:t>
      </w:r>
    </w:p>
    <w:p w14:paraId="01BAFC62" w14:textId="77777777" w:rsidR="00620B96" w:rsidRPr="000E152E" w:rsidRDefault="004A139C" w:rsidP="004A139C">
      <w:pPr>
        <w:pStyle w:val="TEKSTIIII"/>
        <w:rPr>
          <w:b/>
        </w:rPr>
      </w:pPr>
      <w:r w:rsidRPr="000E152E">
        <w:rPr>
          <w:b/>
        </w:rPr>
        <w:t xml:space="preserve">2.1.3 </w:t>
      </w:r>
      <w:r w:rsidR="00620B96" w:rsidRPr="000E152E">
        <w:rPr>
          <w:b/>
        </w:rPr>
        <w:t>Cilësia e punës</w:t>
      </w:r>
    </w:p>
    <w:p w14:paraId="01BAFC63" w14:textId="3BADB771" w:rsidR="00620B96" w:rsidRPr="000E152E" w:rsidRDefault="00620B96" w:rsidP="004A139C">
      <w:pPr>
        <w:pStyle w:val="TEKSTIIII"/>
      </w:pPr>
      <w:r w:rsidRPr="000E152E">
        <w:t>Shqipëria duhet të bashkërendojë politikat e saj me ato të BE-së edhe në fushën e cilësisë së punës dhe punës së denjë. Punësimi informal edhe pse në trend rënës, mbetet</w:t>
      </w:r>
      <w:r w:rsidR="000E152E" w:rsidRPr="000E152E">
        <w:t xml:space="preserve"> </w:t>
      </w:r>
      <w:r w:rsidRPr="000E152E">
        <w:t>relativisht më i</w:t>
      </w:r>
      <w:r w:rsidR="000E152E" w:rsidRPr="000E152E">
        <w:t xml:space="preserve"> </w:t>
      </w:r>
      <w:r w:rsidRPr="000E152E">
        <w:t>lartë tek të rinjtë, punëtorët me kualifikim të ulët dhe në sektorë të caktuar të ekonomisë, si: bujqësia, ndërtimi dhe shërbimet e ushqimit dhe të akomodimit. Në vitin 2021 rezulton se vetëm 47.9 për</w:t>
      </w:r>
      <w:r w:rsidR="00F272D9">
        <w:t xml:space="preserve"> </w:t>
      </w:r>
      <w:r w:rsidRPr="000E152E">
        <w:t>qind (nga 41.2</w:t>
      </w:r>
      <w:r w:rsidR="000E152E" w:rsidRPr="000E152E">
        <w:t xml:space="preserve"> </w:t>
      </w:r>
      <w:r w:rsidRPr="000E152E">
        <w:t>për</w:t>
      </w:r>
      <w:r w:rsidR="00A718A0">
        <w:t xml:space="preserve"> </w:t>
      </w:r>
      <w:r w:rsidRPr="000E152E">
        <w:t>qind në vitin 2016) e të punësuarve janë të punësuar me pagë</w:t>
      </w:r>
      <w:r w:rsidRPr="000E152E">
        <w:rPr>
          <w:rStyle w:val="FootnoteReference"/>
          <w:rFonts w:cs="Calibri"/>
        </w:rPr>
        <w:footnoteReference w:id="26"/>
      </w:r>
      <w:r w:rsidRPr="000E152E">
        <w:t>, ndërsa pjesa tjetër janë punëtorë pa pagë që punojnë si të vetëpunësuar apo me familjet e tyre</w:t>
      </w:r>
      <w:r w:rsidRPr="000E152E">
        <w:rPr>
          <w:rStyle w:val="FootnoteReference"/>
          <w:rFonts w:cs="Calibri"/>
        </w:rPr>
        <w:footnoteReference w:id="27"/>
      </w:r>
      <w:r w:rsidRPr="000E152E">
        <w:t>. Punësimi informal në sektorin jobujqësor</w:t>
      </w:r>
      <w:r w:rsidRPr="000E152E">
        <w:rPr>
          <w:rStyle w:val="FootnoteReference"/>
          <w:rFonts w:cs="Calibri"/>
        </w:rPr>
        <w:footnoteReference w:id="28"/>
      </w:r>
      <w:r w:rsidRPr="000E152E">
        <w:t xml:space="preserve"> i cili përfshin edhe marrëdhëniet gjysmëformale të punës</w:t>
      </w:r>
      <w:r w:rsidRPr="000E152E">
        <w:rPr>
          <w:rStyle w:val="FootnoteReference"/>
          <w:rFonts w:cs="Calibri"/>
        </w:rPr>
        <w:footnoteReference w:id="29"/>
      </w:r>
      <w:r w:rsidRPr="000E152E">
        <w:t xml:space="preserve"> sipas INSTAT-it në vitin 2021 ishte 29.4 për</w:t>
      </w:r>
      <w:r w:rsidR="00900033">
        <w:t xml:space="preserve"> </w:t>
      </w:r>
      <w:r w:rsidRPr="000E152E">
        <w:t>qind (nga 32</w:t>
      </w:r>
      <w:r w:rsidR="000E152E" w:rsidRPr="000E152E">
        <w:t xml:space="preserve"> </w:t>
      </w:r>
      <w:r w:rsidRPr="000E152E">
        <w:t>për</w:t>
      </w:r>
      <w:r w:rsidR="00900033">
        <w:t xml:space="preserve"> </w:t>
      </w:r>
      <w:r w:rsidRPr="000E152E">
        <w:t xml:space="preserve">qind </w:t>
      </w:r>
      <w:r w:rsidR="00B7420C">
        <w:t>m</w:t>
      </w:r>
      <w:r w:rsidRPr="000E152E">
        <w:t xml:space="preserve">ë 2016). </w:t>
      </w:r>
    </w:p>
    <w:p w14:paraId="01BAFC64" w14:textId="77777777" w:rsidR="004A139C" w:rsidRPr="000E152E" w:rsidRDefault="004A139C" w:rsidP="004A139C">
      <w:pPr>
        <w:pStyle w:val="TEKSTIIII"/>
      </w:pPr>
    </w:p>
    <w:p w14:paraId="01BAFC65" w14:textId="77777777" w:rsidR="004A139C" w:rsidRPr="000E152E" w:rsidRDefault="004A139C" w:rsidP="00A718A0">
      <w:pPr>
        <w:pStyle w:val="TEKSTIIII"/>
        <w:ind w:firstLine="0"/>
      </w:pPr>
      <w:r w:rsidRPr="000E152E">
        <w:t>Figura 7: Figura: Llojet e ndryshme të punësimit dhe punësimi informal në sektorin jobujqësor</w:t>
      </w:r>
    </w:p>
    <w:p w14:paraId="01BAFC67" w14:textId="7A940B89" w:rsidR="00620B96" w:rsidRPr="00DA1262" w:rsidRDefault="00620B96" w:rsidP="00DA1262">
      <w:pPr>
        <w:spacing w:after="0" w:line="240" w:lineRule="auto"/>
        <w:rPr>
          <w:rFonts w:ascii="Garamond" w:hAnsi="Garamond" w:cs="Courier New"/>
          <w:sz w:val="24"/>
          <w:szCs w:val="24"/>
        </w:rPr>
      </w:pPr>
      <w:r w:rsidRPr="000E152E">
        <w:rPr>
          <w:noProof/>
          <w:lang w:val="en-US"/>
        </w:rPr>
        <w:drawing>
          <wp:inline distT="0" distB="0" distL="0" distR="0" wp14:anchorId="01BB085E" wp14:editId="01BB085F">
            <wp:extent cx="5651500" cy="2425700"/>
            <wp:effectExtent l="0" t="0" r="12700" b="12700"/>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5929FD5-4F82-DE43-B6B3-A78EC1D8F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DA1262">
        <w:rPr>
          <w:rFonts w:ascii="Garamond" w:hAnsi="Garamond" w:cs="Courier New"/>
          <w:sz w:val="24"/>
          <w:szCs w:val="24"/>
        </w:rPr>
        <w:t xml:space="preserve">Burimi: INSTAT, Tregu i </w:t>
      </w:r>
      <w:r w:rsidR="00DA1262" w:rsidRPr="00DA1262">
        <w:rPr>
          <w:rFonts w:ascii="Garamond" w:hAnsi="Garamond" w:cs="Courier New"/>
          <w:sz w:val="24"/>
          <w:szCs w:val="24"/>
        </w:rPr>
        <w:t>p</w:t>
      </w:r>
      <w:r w:rsidRPr="00DA1262">
        <w:rPr>
          <w:rFonts w:ascii="Garamond" w:hAnsi="Garamond" w:cs="Courier New"/>
          <w:sz w:val="24"/>
          <w:szCs w:val="24"/>
        </w:rPr>
        <w:t>unës (2016</w:t>
      </w:r>
      <w:r w:rsidR="00900033" w:rsidRPr="00DA1262">
        <w:rPr>
          <w:rFonts w:ascii="Garamond" w:hAnsi="Garamond" w:cs="Courier New"/>
          <w:sz w:val="24"/>
          <w:szCs w:val="24"/>
        </w:rPr>
        <w:t>–</w:t>
      </w:r>
      <w:r w:rsidRPr="00DA1262">
        <w:rPr>
          <w:rFonts w:ascii="Garamond" w:hAnsi="Garamond" w:cs="Courier New"/>
          <w:sz w:val="24"/>
          <w:szCs w:val="24"/>
        </w:rPr>
        <w:t>2021)</w:t>
      </w:r>
    </w:p>
    <w:p w14:paraId="01BAFC68" w14:textId="77777777" w:rsidR="004A139C" w:rsidRPr="000E152E" w:rsidRDefault="004A139C" w:rsidP="004A139C">
      <w:pPr>
        <w:pStyle w:val="TEKSTIIII"/>
      </w:pPr>
    </w:p>
    <w:p w14:paraId="01BAFC69" w14:textId="77777777" w:rsidR="00620B96" w:rsidRPr="000E152E" w:rsidRDefault="00620B96" w:rsidP="004A139C">
      <w:pPr>
        <w:pStyle w:val="TEKSTIIII"/>
      </w:pPr>
      <w:r w:rsidRPr="000E152E">
        <w:t>Sipas një vlerësimi të kryer nga Këshilli i Bashkëpunimit Rajonal, rreth 1/3 e punonjësve nuk deklarojnë të ardhura të plota nga punësimi dhe rreth gjysma e përfaqësuesve të bizneseve të intervistuara pohuan se punësimi i punëtorëve me kontrata që nuk pasqyrojnë pagën e plotë (p.sh., duke raportuar vetëm pagën minimale), është një praktikë e zakonshme</w:t>
      </w:r>
      <w:r w:rsidRPr="000E152E">
        <w:rPr>
          <w:rStyle w:val="FootnoteReference"/>
          <w:rFonts w:cs="Calibri"/>
        </w:rPr>
        <w:footnoteReference w:id="30"/>
      </w:r>
      <w:r w:rsidRPr="000E152E">
        <w:t>.</w:t>
      </w:r>
    </w:p>
    <w:p w14:paraId="01BAFC6A" w14:textId="34106CFE" w:rsidR="00620B96" w:rsidRPr="000E152E" w:rsidRDefault="00620B96" w:rsidP="004A139C">
      <w:pPr>
        <w:pStyle w:val="TEKSTIIII"/>
      </w:pPr>
      <w:r w:rsidRPr="000E152E">
        <w:lastRenderedPageBreak/>
        <w:t>Aksidentet në punë kanë p</w:t>
      </w:r>
      <w:r w:rsidR="0002714C">
        <w:t>as</w:t>
      </w:r>
      <w:r w:rsidRPr="000E152E">
        <w:t>ur prirje rritëse gjatë rimëkëmbjes së aktiviteteve ekonomike pas pandemisë COVID 19</w:t>
      </w:r>
      <w:r w:rsidRPr="000E152E">
        <w:rPr>
          <w:rStyle w:val="FootnoteReference"/>
          <w:rFonts w:cs="Calibri"/>
        </w:rPr>
        <w:footnoteReference w:id="31"/>
      </w:r>
      <w:r w:rsidRPr="000E152E">
        <w:t>. Sipas inspektimeve të kryera është konstatuar se të gjitha janë shkaktuar nga faktorë të parandalueshëm, të cilët mund të eliminoheshin duke zbatuar masat tashmë të njohura dhe të disponueshme për sigurinë dhe shëndetin në punë (SSHP). Monitorimet nga Inspektorati Shtetëror i Punës dhe Shërbimeve Shoqërore (ISHPSHSH) kanë konfirmuar shumë dobësi në plotësimin e kushteve të punës nga subjektet në lidhje me sigurinë dhe shëndetin në punë. Rreth 23</w:t>
      </w:r>
      <w:r w:rsidR="000E152E" w:rsidRPr="000E152E">
        <w:t xml:space="preserve"> </w:t>
      </w:r>
      <w:r w:rsidRPr="000E152E">
        <w:t>për</w:t>
      </w:r>
      <w:r w:rsidR="0002714C">
        <w:t xml:space="preserve"> </w:t>
      </w:r>
      <w:r w:rsidRPr="000E152E">
        <w:t>qind e subjekteve të inspektuara ose nuk marrin fare masa, ose nuk marrin mjaftueshëm masa mbrojtëse kolektive dhe individuale për punonjësit e tyre</w:t>
      </w:r>
      <w:r w:rsidRPr="000E152E">
        <w:rPr>
          <w:rStyle w:val="FootnoteReference"/>
          <w:rFonts w:cs="Calibri"/>
        </w:rPr>
        <w:footnoteReference w:id="32"/>
      </w:r>
      <w:r w:rsidRPr="000E152E">
        <w:t>. Ndërsa rreth 84</w:t>
      </w:r>
      <w:r w:rsidR="000E152E" w:rsidRPr="000E152E">
        <w:t xml:space="preserve"> </w:t>
      </w:r>
      <w:r w:rsidRPr="000E152E">
        <w:t>për</w:t>
      </w:r>
      <w:r w:rsidR="0002714C">
        <w:t xml:space="preserve"> </w:t>
      </w:r>
      <w:r w:rsidRPr="000E152E">
        <w:t>qind e subjekteve të inspektuara e kane dokumentin e vlerësimit të riskut, cilësia e tyre mbetet një çështje kryesore e cila ka nevojë për përmirësim të ndjeshëm</w:t>
      </w:r>
      <w:r w:rsidRPr="000E152E">
        <w:rPr>
          <w:rStyle w:val="FootnoteReference"/>
          <w:rFonts w:cs="Calibri"/>
        </w:rPr>
        <w:footnoteReference w:id="33"/>
      </w:r>
      <w:r w:rsidRPr="000E152E">
        <w:t>.</w:t>
      </w:r>
    </w:p>
    <w:p w14:paraId="01BAFC6B" w14:textId="6254CEEF" w:rsidR="00620B96" w:rsidRPr="000E152E" w:rsidRDefault="00620B96" w:rsidP="004A139C">
      <w:pPr>
        <w:pStyle w:val="TEKSTIIII"/>
      </w:pPr>
      <w:r w:rsidRPr="000E152E">
        <w:t xml:space="preserve"> Punësimi informal dhe pa pagë të caktuar pasqyrohet në</w:t>
      </w:r>
      <w:r w:rsidR="000E152E" w:rsidRPr="000E152E">
        <w:t xml:space="preserve"> </w:t>
      </w:r>
      <w:r w:rsidRPr="000E152E">
        <w:t>përqindjen e lartë të punësimit në bujqësi: 34</w:t>
      </w:r>
      <w:r w:rsidR="000E152E" w:rsidRPr="000E152E">
        <w:t xml:space="preserve"> </w:t>
      </w:r>
      <w:r w:rsidRPr="000E152E">
        <w:t>për</w:t>
      </w:r>
      <w:r w:rsidR="0002714C">
        <w:t xml:space="preserve"> </w:t>
      </w:r>
      <w:r w:rsidRPr="000E152E">
        <w:t>qind e të gjitha vendeve të punës në vitin 2021 ishin në bujqësi (29</w:t>
      </w:r>
      <w:r w:rsidR="000E152E" w:rsidRPr="000E152E">
        <w:t xml:space="preserve"> </w:t>
      </w:r>
      <w:r w:rsidRPr="000E152E">
        <w:t>për</w:t>
      </w:r>
      <w:r w:rsidR="0002714C">
        <w:t xml:space="preserve"> </w:t>
      </w:r>
      <w:r w:rsidRPr="000E152E">
        <w:t>qind e të gjitha vendeve të punës për burra dhe 40</w:t>
      </w:r>
      <w:r w:rsidR="000E152E" w:rsidRPr="000E152E">
        <w:t xml:space="preserve"> </w:t>
      </w:r>
      <w:r w:rsidRPr="000E152E">
        <w:t>për</w:t>
      </w:r>
      <w:r w:rsidR="0002714C">
        <w:t xml:space="preserve"> </w:t>
      </w:r>
      <w:r w:rsidRPr="000E152E">
        <w:t>qind e të gjitha vendeve të punës së grave) nga 38.2</w:t>
      </w:r>
      <w:r w:rsidR="000E152E" w:rsidRPr="000E152E">
        <w:t xml:space="preserve"> </w:t>
      </w:r>
      <w:r w:rsidRPr="000E152E">
        <w:t>për</w:t>
      </w:r>
      <w:r w:rsidR="0002714C">
        <w:t xml:space="preserve"> </w:t>
      </w:r>
      <w:r w:rsidRPr="000E152E">
        <w:t>qind në vitin 2017. Tranzicioni i ekonomisë nga bujqësia drejt industrisë dhe shërbimeve (si dhe drejt ekonomisë së gjelbër dhe digjitale) pritet të ulë gradualisht punësimin informal dhe pa pagë fikse. Megjithatë, përmirësimi i kushteve të punës për punë të denjë, veçanërisht në sektorët jobujqësorë, si dhe ato që lidhen me shëndetin dhe sigurinë në punë, paraqet sfida të reja drejt rritjes së kërkesës dhe reagimit, si nga punëdhënësit, ashtu edhe nga punonjësit për përmirësimin e mjediseve të punës në vendin e punës nëpërmjet</w:t>
      </w:r>
      <w:r w:rsidR="0002714C">
        <w:t>:</w:t>
      </w:r>
      <w:r w:rsidRPr="000E152E">
        <w:t xml:space="preserve"> (i) rritjes së ndërgjegjësimit dhe të kuptuarit të tyre në lidhje me të drejtat dhe përgjegjësitë dhe kërkesat ligjore (duke përfshirë rreziqet e mundshme dhe koston direkte dhe indirekte të mosrespektimit të kërkesave ligjore) të kushteve të punës dhe procesit të inspektimit, si dhe promovimin e kulturës parandaluese dhe mbështetëse për sigurinë dhe shëndetin në punë</w:t>
      </w:r>
      <w:r w:rsidR="0002714C">
        <w:t>;</w:t>
      </w:r>
      <w:r w:rsidRPr="000E152E">
        <w:t xml:space="preserve"> (ii) përmirësimit të monitorimit dhe inspektimit në vendin e punës nga ISHPSHSH</w:t>
      </w:r>
      <w:r w:rsidR="009D154F">
        <w:t>-ja</w:t>
      </w:r>
      <w:r w:rsidR="0002714C">
        <w:t>;</w:t>
      </w:r>
      <w:r w:rsidRPr="000E152E">
        <w:t xml:space="preserve"> dhe (iii) rishikimit dhe të plotësimit të kuadrit të politikave për të krijuar stimuj të përshtatshëm, mekanizma</w:t>
      </w:r>
      <w:r w:rsidR="003329B6">
        <w:t>,</w:t>
      </w:r>
      <w:r w:rsidRPr="000E152E">
        <w:t xml:space="preserve"> si dhe</w:t>
      </w:r>
      <w:r w:rsidR="000E152E" w:rsidRPr="000E152E">
        <w:t xml:space="preserve"> </w:t>
      </w:r>
      <w:r w:rsidRPr="000E152E">
        <w:t>shërbime mbështetëse drejt përmirësimit të kushteve të punës në vendin e punës</w:t>
      </w:r>
      <w:r w:rsidRPr="000E152E">
        <w:rPr>
          <w:rStyle w:val="FootnoteReference"/>
          <w:rFonts w:cs="Calibri"/>
        </w:rPr>
        <w:footnoteReference w:id="34"/>
      </w:r>
      <w:r w:rsidRPr="000E152E">
        <w:t xml:space="preserve">. </w:t>
      </w:r>
    </w:p>
    <w:p w14:paraId="01BAFC6C" w14:textId="77777777" w:rsidR="00620B96" w:rsidRPr="000E152E" w:rsidRDefault="00620B96" w:rsidP="004A139C">
      <w:pPr>
        <w:pStyle w:val="TEKSTIIII"/>
      </w:pPr>
      <w:r w:rsidRPr="000E152E">
        <w:t>Për këtë arsye nevojitet përmirësim i vazhdueshëm i politikave që zbutin tranzicionin nga bujqësia drejt industrisë dhe shërbimeve (dhe ekonomisë së gjelbër dhe digjitale).</w:t>
      </w:r>
    </w:p>
    <w:p w14:paraId="01BAFC6D" w14:textId="3F8488A8" w:rsidR="00620B96" w:rsidRPr="000E152E" w:rsidRDefault="00620B96" w:rsidP="004A139C">
      <w:pPr>
        <w:pStyle w:val="TEKSTIIII"/>
      </w:pPr>
      <w:r w:rsidRPr="000E152E">
        <w:t xml:space="preserve">Kuadri kryesor i politikave të BE-së për punën e denjë është përcaktuar në </w:t>
      </w:r>
      <w:r w:rsidR="0002714C" w:rsidRPr="000E152E">
        <w:t xml:space="preserve">Shtyllën </w:t>
      </w:r>
      <w:r w:rsidRPr="000E152E">
        <w:t>E</w:t>
      </w:r>
      <w:r w:rsidR="0002714C">
        <w:t>v</w:t>
      </w:r>
      <w:r w:rsidRPr="000E152E">
        <w:t>ropiane të të Drejtave Sociale, sipas parimeve të së cilës, punonjësit, pavarësisht nga lloji dhe kohëzgjatja e marrëdhënies së punës, kanë të drejtë themelore për trajtim të drejtë dhe të barabartë në lidhje me kushtet e punës, përfshirjen në mbrojtje sociale dhe trajnim. Shtylla E</w:t>
      </w:r>
      <w:r w:rsidR="0002714C">
        <w:t>v</w:t>
      </w:r>
      <w:r w:rsidRPr="000E152E">
        <w:t xml:space="preserve">ropiane e të Drejtave Sociale kërkon nxitjen e tranzicionit drejt formave të punësimit pa afat të caktuar, por, në të </w:t>
      </w:r>
      <w:r w:rsidR="0002714C" w:rsidRPr="000E152E">
        <w:t>njëjtën</w:t>
      </w:r>
      <w:r w:rsidRPr="000E152E">
        <w:t xml:space="preserve"> kohë, edhe garantimin e fleksibilitetit të nevojshëm për punëdhënësit për t</w:t>
      </w:r>
      <w:r w:rsidR="009330F6">
        <w:t>’</w:t>
      </w:r>
      <w:r w:rsidRPr="000E152E">
        <w:t xml:space="preserve">u përshtatur me shpejtësi ndaj ndryshimeve në kontekstin ekonomik. Për sa i përket sigurisë dhe shëndetit në punë, të drejtat e punonjësve garantohen në </w:t>
      </w:r>
      <w:r w:rsidRPr="000E152E">
        <w:rPr>
          <w:i/>
          <w:iCs/>
        </w:rPr>
        <w:t>acquis</w:t>
      </w:r>
      <w:r w:rsidRPr="000E152E">
        <w:t xml:space="preserve"> të posaçme të BE-së, të cilat janë transpozuar ose pritet të transpozohen në legjislacionin kombëtar.</w:t>
      </w:r>
    </w:p>
    <w:p w14:paraId="01BAFC74" w14:textId="77777777" w:rsidR="000F778D" w:rsidRPr="000E152E" w:rsidRDefault="000F778D" w:rsidP="000F778D">
      <w:pPr>
        <w:pStyle w:val="TEKSTIIII"/>
        <w:rPr>
          <w:b/>
        </w:rPr>
      </w:pPr>
      <w:bookmarkStart w:id="6" w:name="_Toc119865381"/>
      <w:bookmarkStart w:id="7" w:name="_Toc123165406"/>
      <w:r w:rsidRPr="000E152E">
        <w:rPr>
          <w:b/>
        </w:rPr>
        <w:t>2.2 Politikat aktuale të tregut të punës dhe sfidat institucionale</w:t>
      </w:r>
      <w:bookmarkEnd w:id="6"/>
      <w:bookmarkEnd w:id="7"/>
      <w:r w:rsidRPr="000E152E">
        <w:rPr>
          <w:b/>
        </w:rPr>
        <w:t xml:space="preserve"> </w:t>
      </w:r>
    </w:p>
    <w:p w14:paraId="01BAFC75" w14:textId="17D64DE4" w:rsidR="000F778D" w:rsidRPr="000E152E" w:rsidRDefault="000F778D" w:rsidP="000F778D">
      <w:pPr>
        <w:pStyle w:val="TEKSTIIII"/>
      </w:pPr>
      <w:r w:rsidRPr="000E152E">
        <w:lastRenderedPageBreak/>
        <w:t>Gjatë viteve të fundit në Shqipëri janë hedhur hapa të rëndësishëm drejt forcimit dhe përmirësimit të shërbimeve të politikave të punësimit dhe aftësive, veçanërisht nëpërmjet forcimit të rolit të sektorit publik në ofrimin e shërbimeve të punësimit, si dhe modernizimit të sistemit të arsimit dhe formimit profesional.</w:t>
      </w:r>
      <w:r w:rsidR="000E152E" w:rsidRPr="000E152E">
        <w:t xml:space="preserve"> </w:t>
      </w:r>
    </w:p>
    <w:p w14:paraId="01BAFC76" w14:textId="4B441B0A" w:rsidR="000F778D" w:rsidRPr="000E152E" w:rsidRDefault="000F778D" w:rsidP="000F778D">
      <w:pPr>
        <w:pStyle w:val="TEKSTIIII"/>
      </w:pPr>
      <w:r w:rsidRPr="000E152E">
        <w:t xml:space="preserve">Politikat e tregut të punës dhe aftësive udhëhiqen nga Ministria e Financës dhe Ekonomisë. Gjithashtu, politika e tregut të punës janë pjesë e mekanizmit sektorial të integruar, i cili në këtë fushë prioritare funksionon nëpërmjet Grupit të Menaxhimit të Integruar të Politikave (GMIP) </w:t>
      </w:r>
      <w:r w:rsidR="006752BC">
        <w:t>“</w:t>
      </w:r>
      <w:r w:rsidRPr="000E152E">
        <w:t>Punësimi dhe Aftësitë</w:t>
      </w:r>
      <w:r w:rsidR="006752BC">
        <w:t>”</w:t>
      </w:r>
      <w:r w:rsidRPr="000E152E">
        <w:t xml:space="preserve">. GMIP luan rol kyç në vendimmarrjen e përbashkët në nivel të lartë politik, por ka edhe rol udhëheqës në zbatimin e bashkërenduar të qëllimeve të politikës dhe në monitorimin e zbatimit. </w:t>
      </w:r>
    </w:p>
    <w:p w14:paraId="01BAFC77" w14:textId="77777777" w:rsidR="000F778D" w:rsidRPr="000E152E" w:rsidRDefault="000F778D" w:rsidP="000F778D">
      <w:pPr>
        <w:pStyle w:val="TEKSTIIII"/>
      </w:pPr>
      <w:r w:rsidRPr="000E152E">
        <w:t xml:space="preserve">Ministria ka kompetenca të drejtpërdrejta për hartimin e politikave strategjike dhe të kuadrit ligjor, si dhe për sigurimin e bashkërendimit dhe bashkëpunimit institucional mes institucioneve kyçe të sektorit, të cilat janë: </w:t>
      </w:r>
    </w:p>
    <w:p w14:paraId="01BAFC78" w14:textId="77777777" w:rsidR="000F778D" w:rsidRPr="000E152E" w:rsidRDefault="000F778D" w:rsidP="000F778D">
      <w:pPr>
        <w:pStyle w:val="TEKSTIIII"/>
      </w:pPr>
      <w:r w:rsidRPr="000E152E">
        <w:t xml:space="preserve">- Agjencia Kombëtare e Punësimit dhe Aftësive (AKPA) – si përgjegjëse për zbatimin e politikave publike dhe ofrimin e shërbimeve të drejtpërdrejta të punësimit dhe administrimin e ofruesve të arsimit e formimit profesional; </w:t>
      </w:r>
    </w:p>
    <w:p w14:paraId="01BAFC79" w14:textId="77777777" w:rsidR="000F778D" w:rsidRPr="000E152E" w:rsidRDefault="000F778D" w:rsidP="000F778D">
      <w:pPr>
        <w:pStyle w:val="TEKSTIIII"/>
      </w:pPr>
      <w:r w:rsidRPr="000E152E">
        <w:t>- Agjencia Kombëtare e Arsimit, Formimit Profesional dhe Kualifikimeve (AKAFPK) – si përgjegjëse për zhvillimin dhe zbatimin e Kornizës Shqiptare të Kualifikimeve dhe sigurimin e cilësisë në AFP</w:t>
      </w:r>
    </w:p>
    <w:p w14:paraId="01BAFC7A" w14:textId="77777777" w:rsidR="000F778D" w:rsidRPr="000E152E" w:rsidRDefault="000F778D" w:rsidP="000F778D">
      <w:pPr>
        <w:pStyle w:val="TEKSTIIII"/>
      </w:pPr>
      <w:r w:rsidRPr="000E152E">
        <w:t xml:space="preserve">- Inspektorati Shtetëror i Punës dhe Shërbimeve Shoqërore (ISHPSHSH), si përgjegjës për sigurimin e zbatimit të legjislacionit të punës dhe mbrojtjes së punëmarrësve. </w:t>
      </w:r>
    </w:p>
    <w:p w14:paraId="01BAFC7B" w14:textId="77777777" w:rsidR="000F778D" w:rsidRPr="000E152E" w:rsidRDefault="000F778D" w:rsidP="000F778D">
      <w:pPr>
        <w:pStyle w:val="TEKSTIIII"/>
      </w:pPr>
      <w:r w:rsidRPr="000E152E">
        <w:t xml:space="preserve">Përveç institucioneve përgjegjëse në nivel qendror, si dhe institucioneve zbatuese, një rol kyç në zbatimin e politikave të punësimit dhe të zhvillimit të aftësive luan koordinimi dhe bashkërendimi ndërinstitucional me ministritë përgjegjëse për çështjet e arsimit dhe mbrojtjes sociale, agjencitë e tyre zbatuese, si dhe me njësitë e vetëqeverisjes vendore. </w:t>
      </w:r>
      <w:bookmarkStart w:id="8" w:name="_Toc119865382"/>
    </w:p>
    <w:p w14:paraId="01BAFC7C" w14:textId="77777777" w:rsidR="000F778D" w:rsidRPr="000E152E" w:rsidRDefault="000F778D" w:rsidP="000F778D">
      <w:pPr>
        <w:pStyle w:val="TEKSTIIII"/>
        <w:rPr>
          <w:b/>
        </w:rPr>
      </w:pPr>
      <w:bookmarkStart w:id="9" w:name="_Toc123165407"/>
      <w:r w:rsidRPr="000E152E">
        <w:rPr>
          <w:b/>
        </w:rPr>
        <w:t>2.2.1 Shërbimet e punës</w:t>
      </w:r>
      <w:bookmarkEnd w:id="8"/>
      <w:r w:rsidRPr="000E152E">
        <w:rPr>
          <w:b/>
        </w:rPr>
        <w:t>imit</w:t>
      </w:r>
      <w:bookmarkEnd w:id="9"/>
    </w:p>
    <w:p w14:paraId="01BAFC7D" w14:textId="30628081" w:rsidR="000F778D" w:rsidRPr="000E152E" w:rsidRDefault="000F778D" w:rsidP="000F778D">
      <w:pPr>
        <w:pStyle w:val="TEKSTIIII"/>
      </w:pPr>
      <w:r w:rsidRPr="000E152E">
        <w:t xml:space="preserve">Tranzicioni drejt modelit të ri të shërbimeve me tri nivele, me në qendër klientin është në themel të një procesi transformimi </w:t>
      </w:r>
      <w:r w:rsidR="006E0BE8" w:rsidRPr="000E152E">
        <w:t>përmbajtjesor</w:t>
      </w:r>
      <w:r w:rsidRPr="000E152E">
        <w:t xml:space="preserve"> dhe organizativ të shërbimeve publike të punësimit, i cili synon të arrijë ndikim më të lartë në tregun e punës, nëpërmjet shërbimeve të përshtatura për nevojat e përfituesve dhe rritjes së performancës e efikasitetit në ofrimin e këtyre shërbimeve. Ky model bazohet në ofrimin e shërbimit të orientuar nga punëkërkuesi dhe karakteristikat e tij individuale e social-ekonomike dhe, në mënyrë të veçantë, te faktorët e riskut që ky punëkërkues të bëhet i papunë afatgjatë. </w:t>
      </w:r>
    </w:p>
    <w:p w14:paraId="01BAFC7E" w14:textId="40A487AA" w:rsidR="000F778D" w:rsidRPr="000E152E" w:rsidRDefault="000F778D" w:rsidP="000F778D">
      <w:pPr>
        <w:pStyle w:val="TEKSTIIII"/>
      </w:pPr>
      <w:r w:rsidRPr="000E152E">
        <w:t>Procesi i zbatimit të reformës e të modelit të ri të shërbimeve u shoqërua me zhvillimin e instrumenteve të posaçme, si profilizimi dhe zhvillimi i planit individual të punësimit për çdo punëkërkues të regjistruar.</w:t>
      </w:r>
      <w:r w:rsidR="000E152E" w:rsidRPr="000E152E">
        <w:t xml:space="preserve"> </w:t>
      </w:r>
      <w:r w:rsidRPr="000E152E">
        <w:t xml:space="preserve">Gjithashtu, për këtë qëllim, në periudhën 2019-2021, janë rikonceptuar dhe riorganizuar infrastruktura dhe proceset e punës së zyrave të punësimit. Në këtë kontekst, është përforcuar sistemi i komunikimit të brendshëm të shërbimeve të punësimit dhe prej vitit 2021, këto shërbime ofrohen nëpërmjet një sistemi informatik. Megjithatë është e nevojshme të konsolidohet më tej ofrimi i shërbimeve të punësimit sipas modelit të shërbimeve me tri nivele, në të gjithë territorin e vendit, si dhe </w:t>
      </w:r>
      <w:r w:rsidR="00F272D9" w:rsidRPr="000E152E">
        <w:t>t</w:t>
      </w:r>
      <w:r w:rsidR="00F272D9">
        <w:t>ë</w:t>
      </w:r>
      <w:r w:rsidRPr="000E152E">
        <w:t xml:space="preserve"> rritet cilësia e ofrimit të këtyre shërbimeve. Raporti i numrit të specialistëve të zyrave të punës me numrin e punëkërkuesve të regjistruar në zyrat e punës është rreth 1 me 600, katërfish më i lartë se mesatarja e vendeve të BE-së dhe dyfishi i mesatares së rajonit. </w:t>
      </w:r>
    </w:p>
    <w:p w14:paraId="01BAFC7F" w14:textId="77777777" w:rsidR="000F778D" w:rsidRPr="000E152E" w:rsidRDefault="000F778D" w:rsidP="000F778D">
      <w:pPr>
        <w:pStyle w:val="TEKSTIIII"/>
      </w:pPr>
      <w:r w:rsidRPr="000E152E">
        <w:t>Përveç punëkërkuesve, klientë të shërbimeve të punësimit janë edhe punëdhënësit. Aktualisht, shërbimet për punëdhënësit përfshijnë asistencë për rekrutimin dhe mundësi për shpalljen e vendeve të lira të punës. Punëdhënësit mund të jenë edhe partnerë të AKPA-së dhe strukturave të saj rajonale e vendore të punësimit për zbatimin e programeve të nxitjes së punësimit. Por, mund të bëhet më shumë për të përmirësuar gamën e shërbimeve të ofruara për punëdhënësit, si dhe për të rritur shtrirjen e shërbimeve.</w:t>
      </w:r>
    </w:p>
    <w:p w14:paraId="01BAFC80" w14:textId="4BE637DB" w:rsidR="000F778D" w:rsidRPr="000E152E" w:rsidRDefault="000F778D" w:rsidP="000F778D">
      <w:pPr>
        <w:pStyle w:val="TEKSTIIII"/>
      </w:pPr>
      <w:r w:rsidRPr="000E152E">
        <w:lastRenderedPageBreak/>
        <w:t>Komunikimi i jashtëm me punëkërkues e punëdhënës lehtësohet nga qasja për krijimin e produkteve digjitale dhe shërbime online dhe lëvizëse, krahas shërbimeve tradicionale në zyra. Transformimi digjital është tema që përshkon të gjitha proceset e rritjes dhe modernizimit të AKPA-së, e cila duhet të përshtatet dhe të përfitojë nga ndryshimet teknologjike për të përmirësuar dhe rritur mbulimin e shërbimeve, për t</w:t>
      </w:r>
      <w:r w:rsidR="009330F6">
        <w:t>’</w:t>
      </w:r>
      <w:r w:rsidRPr="000E152E">
        <w:t xml:space="preserve">i përshtatur ato me nevojat e klientëve por edhe për të përmirësuar eficiencën dhe për të </w:t>
      </w:r>
      <w:r w:rsidR="00DE3FCD" w:rsidRPr="000E152E">
        <w:t>ruajtur</w:t>
      </w:r>
      <w:r w:rsidRPr="000E152E">
        <w:t xml:space="preserve"> relevancën në tregun e punës, por duke garantuar që format e reja të ofrimit të shërbimeve të harmonizohen me format tradicionale, për të siguruar që shërbimet janë të disponueshme edhe për ato grupe të popullsisë që kanë kuptim dhe/ose akses më të ulët ndaj mjeteve të teknologjisë së informacionit. </w:t>
      </w:r>
    </w:p>
    <w:p w14:paraId="01BAFC81" w14:textId="5B1515D8" w:rsidR="000F778D" w:rsidRPr="000E152E" w:rsidRDefault="000F778D" w:rsidP="000F778D">
      <w:pPr>
        <w:pStyle w:val="TEKSTIIII"/>
      </w:pPr>
      <w:r w:rsidRPr="000E152E">
        <w:t>Pavarësisht përpjekjeve për reformim e përmirësim të shërbimeve, ndërmjetësimi në tregun e punës mbetet ende i ulët. Gjatë vitit 2021, zyrat e punës kanë arritur t</w:t>
      </w:r>
      <w:r w:rsidR="009330F6">
        <w:t>’</w:t>
      </w:r>
      <w:r w:rsidRPr="000E152E">
        <w:t>u ofrojnë shërbime rreth 50 për</w:t>
      </w:r>
      <w:r w:rsidR="001D3A8B">
        <w:t xml:space="preserve"> </w:t>
      </w:r>
      <w:r w:rsidRPr="000E152E">
        <w:t>qind të të papunëve. Për më tepër, një ndër sfidat kryesore të shërbimeve publike të punësimit mbetet integrimi në tregun e punës i punëkërkuesve të papunë nga grupet e veçanta</w:t>
      </w:r>
      <w:r w:rsidRPr="000E152E">
        <w:rPr>
          <w:rStyle w:val="FootnoteReference"/>
        </w:rPr>
        <w:footnoteReference w:id="35"/>
      </w:r>
      <w:r w:rsidRPr="000E152E">
        <w:t>.</w:t>
      </w:r>
      <w:r w:rsidR="000E152E" w:rsidRPr="000E152E">
        <w:t xml:space="preserve"> </w:t>
      </w:r>
      <w:r w:rsidRPr="000E152E">
        <w:t>Më shpesh, këto grupe janë të rinjtë në tregun e punës jo në arsim apo punësim (19 për</w:t>
      </w:r>
      <w:r w:rsidR="001D3A8B">
        <w:t xml:space="preserve"> </w:t>
      </w:r>
      <w:r w:rsidRPr="000E152E">
        <w:t>qind)</w:t>
      </w:r>
      <w:r w:rsidRPr="000E152E">
        <w:rPr>
          <w:rStyle w:val="FootnoteReference"/>
          <w:rFonts w:ascii="Calibri" w:hAnsi="Calibri" w:cs="Calibri"/>
        </w:rPr>
        <w:footnoteReference w:id="36"/>
      </w:r>
      <w:r w:rsidRPr="000E152E">
        <w:t>; punëkërkuesit afatgjatë (50 për</w:t>
      </w:r>
      <w:r w:rsidR="001D3A8B">
        <w:t xml:space="preserve"> </w:t>
      </w:r>
      <w:r w:rsidRPr="000E152E">
        <w:t>qind), ata mbi 45 vjeç (47 për</w:t>
      </w:r>
      <w:r w:rsidR="001D3A8B">
        <w:t xml:space="preserve"> </w:t>
      </w:r>
      <w:r w:rsidRPr="000E152E">
        <w:t>qind), apo ata të cilët kanë dizavantazhe të tjera sociale</w:t>
      </w:r>
      <w:r w:rsidRPr="000E152E">
        <w:rPr>
          <w:rStyle w:val="FootnoteReference"/>
          <w:rFonts w:ascii="Calibri" w:hAnsi="Calibri" w:cs="Calibri"/>
        </w:rPr>
        <w:footnoteReference w:id="37"/>
      </w:r>
      <w:r w:rsidRPr="000E152E">
        <w:t>, gjë që e bën të domosdoshme rritjen e cilësisë dhe efektivitetit të shërbimeve të ofruara nga AKPA</w:t>
      </w:r>
      <w:r w:rsidR="001D3A8B">
        <w:t>-ja</w:t>
      </w:r>
      <w:r w:rsidRPr="000E152E">
        <w:rPr>
          <w:rStyle w:val="FootnoteReference"/>
        </w:rPr>
        <w:footnoteReference w:id="38"/>
      </w:r>
      <w:r w:rsidRPr="000E152E">
        <w:t>. Me qëllim ofrimin e shërbimeve efektive për punëkërkuesit nga grupet e sipërpërmendura, shërbimet e punësimit duhet të zgjerojnë bashkëpunimin me ofrues jopublikë shërbimesh, si organizata jofitimprurëse apo agjenci private punësimi</w:t>
      </w:r>
      <w:r w:rsidRPr="000E152E">
        <w:rPr>
          <w:rStyle w:val="FootnoteReference"/>
        </w:rPr>
        <w:footnoteReference w:id="39"/>
      </w:r>
      <w:r w:rsidRPr="000E152E">
        <w:t>, si dhe të konsolidojnë më tej ofrimin e shërbimeve të bashkërenduara me njësitë e qeverisjes vendore.</w:t>
      </w:r>
    </w:p>
    <w:p w14:paraId="01BAFC82" w14:textId="71A4E932" w:rsidR="000F778D" w:rsidRPr="000E152E" w:rsidRDefault="000F778D" w:rsidP="000F778D">
      <w:pPr>
        <w:pStyle w:val="TEKSTIIII"/>
      </w:pPr>
      <w:r w:rsidRPr="000E152E">
        <w:t>AKPA</w:t>
      </w:r>
      <w:r w:rsidR="00370B3E">
        <w:t>-ja</w:t>
      </w:r>
      <w:r w:rsidRPr="000E152E">
        <w:t xml:space="preserve"> ka marrë përsipër edhe një rol të rëndësishëm për mbledhjen, analizimin dhe shpërndarjen e informacionit për tregun e punës. Informacioni mblidhet kryesisht nga agjenci të tjera qeveritare dhe statistika zyrtare. Në vijim, mbetet për t</w:t>
      </w:r>
      <w:r w:rsidR="009330F6">
        <w:t>’</w:t>
      </w:r>
      <w:r w:rsidRPr="000E152E">
        <w:t>u vlerësuar potenciali i zhvillimit të sistemit për të kryer analiza të mirëfillta të tregut të punës, për të integruar të dhëna edhe nga sektori privat si dhe për të identifikuar nevojat për aftësi aktuale dhe për të ardhmen.</w:t>
      </w:r>
    </w:p>
    <w:p w14:paraId="01BAFC83" w14:textId="77777777" w:rsidR="000F778D" w:rsidRPr="000E152E" w:rsidRDefault="000F778D" w:rsidP="000F778D">
      <w:pPr>
        <w:pStyle w:val="TEKSTIIII"/>
        <w:rPr>
          <w:b/>
        </w:rPr>
      </w:pPr>
      <w:r w:rsidRPr="000E152E">
        <w:t xml:space="preserve"> </w:t>
      </w:r>
      <w:bookmarkStart w:id="10" w:name="_Toc119865383"/>
      <w:bookmarkStart w:id="11" w:name="_Toc123165408"/>
      <w:r w:rsidRPr="000E152E">
        <w:rPr>
          <w:b/>
        </w:rPr>
        <w:t>2.2.2 Programet e nxitjes së punësimit</w:t>
      </w:r>
      <w:bookmarkEnd w:id="10"/>
      <w:bookmarkEnd w:id="11"/>
      <w:r w:rsidRPr="000E152E">
        <w:rPr>
          <w:b/>
        </w:rPr>
        <w:t xml:space="preserve"> </w:t>
      </w:r>
    </w:p>
    <w:p w14:paraId="01BAFC84" w14:textId="495411D9" w:rsidR="000F778D" w:rsidRPr="000E152E" w:rsidRDefault="000F778D" w:rsidP="000F778D">
      <w:pPr>
        <w:pStyle w:val="TEKSTIIII"/>
      </w:pPr>
      <w:r w:rsidRPr="000E152E">
        <w:t>Në kuadër të zbatimit të Strategjisë së Punësimit 2014</w:t>
      </w:r>
      <w:r w:rsidR="00370B3E">
        <w:t>–</w:t>
      </w:r>
      <w:r w:rsidRPr="000E152E">
        <w:t>2022, si dhe në vijim të fokusit të vendosur në nxitjen e punësimit nëpërmjet alokimit të fondeve në rritje, institucionet ndërmorën një reformë të programeve të nxitjes së punësimit, e cila synonte të garantonte zbatim të individualizuar, të trajtonte nevojat specifike të punëkërkuesve të papunë, të ofronte programe nxitjeje specifike, sidomos për grupe, të cilat kanë më shumë vështirësi për t</w:t>
      </w:r>
      <w:r w:rsidR="009330F6">
        <w:t>’</w:t>
      </w:r>
      <w:r w:rsidRPr="000E152E">
        <w:t xml:space="preserve">u afruar në tregun e punës, të përmirësonte procedurat e targetimit, si dhe të zgjeronte tipologjitë e punëdhënësve partnerë në zbatim. Kuadri operacional për zbatimin e programeve të nxitjes së punësimit u plotësua me programe që variojnë nga mbështetje me subvencionim të kostos së punësimit, </w:t>
      </w:r>
      <w:r w:rsidRPr="000E152E">
        <w:lastRenderedPageBreak/>
        <w:t xml:space="preserve">trajnim në vendin e punës, praktika profesionale, deri te programe të tilla si: vetëpunësimi dhe puna në komunitet. </w:t>
      </w:r>
    </w:p>
    <w:p w14:paraId="01BAFC85" w14:textId="1B8E6203" w:rsidR="000F778D" w:rsidRPr="000E152E" w:rsidRDefault="000F778D" w:rsidP="008B534D">
      <w:pPr>
        <w:pStyle w:val="TEKSTIIII"/>
      </w:pPr>
      <w:r w:rsidRPr="000E152E">
        <w:t>Pavarësisht angazhimit të qeverisë dhe prioritizimit të programeve të nxitjes së punësimit, zbatimi i programeve të reformuara hasi në sfida të dukshme, të shkaktuara nga procesi i ristrukturimit të AKPA-së dhe strukturave të saj rajonale e vendore, nga mungesa e kapaciteteve për të përballuar ndryshimet e shpejta. Këto vështirësi dhe mungesa e kapaciteteve të strukturave zbatuese ka sjellë nivel të ulët absorbimi të programeve të së punësimit gjatë dy viteve të fundit</w:t>
      </w:r>
      <w:r w:rsidRPr="000E152E">
        <w:rPr>
          <w:rStyle w:val="FootnoteReference"/>
        </w:rPr>
        <w:footnoteReference w:id="40"/>
      </w:r>
      <w:r w:rsidRPr="000E152E">
        <w:t>. Efektiviteti i tyre duhet ende të analizohet nëpërmjet vlerësimeve të jashtme dhe nevojitet më shumë përshtatje e programeve të nxitj</w:t>
      </w:r>
      <w:r w:rsidR="00370B3E">
        <w:t>e</w:t>
      </w:r>
      <w:r w:rsidRPr="000E152E">
        <w:t>s së punësimit aktuale bazuar në evidencën e mbledhur si me punëdhënësit ashtu edhe me punëkërkuesit. Për më tepër, fondet e disponueshme konsiderohen tradicionalisht si një nga kufizimet kryesore për zgjerimin e programeve të nxitj</w:t>
      </w:r>
      <w:r w:rsidR="00370B3E">
        <w:t>e</w:t>
      </w:r>
      <w:r w:rsidRPr="000E152E">
        <w:t>s së punësimit. Krahasuar me vendet e BE-së, Shqipëria ka ndarë fonde të kufizuara për programet e nxitj</w:t>
      </w:r>
      <w:r w:rsidR="00370B3E">
        <w:t>e</w:t>
      </w:r>
      <w:r w:rsidRPr="000E152E">
        <w:t>s; ndërsa nivelet e alokimit ishin shumë të ngjashme në krahasim me vendet e rajonit. Kështu që, ka nevojë të eksplorohen mundësitë për të rritur nivelin e financimit në afat të mesëm duke përfshirë shfrytëzimin e burimeve të bashkive dhe ato të BE-së.</w:t>
      </w:r>
    </w:p>
    <w:p w14:paraId="01BAFC86" w14:textId="77777777" w:rsidR="000F778D" w:rsidRPr="000E152E" w:rsidRDefault="000F778D" w:rsidP="008B534D">
      <w:pPr>
        <w:pStyle w:val="TEKSTIIII"/>
        <w:rPr>
          <w:b/>
        </w:rPr>
      </w:pPr>
      <w:bookmarkStart w:id="12" w:name="_Toc116931412"/>
      <w:bookmarkStart w:id="13" w:name="_Toc119598191"/>
      <w:bookmarkStart w:id="14" w:name="_Toc119865385"/>
      <w:bookmarkStart w:id="15" w:name="_Toc123165409"/>
      <w:r w:rsidRPr="000E152E">
        <w:rPr>
          <w:b/>
        </w:rPr>
        <w:t>2.2.3 Arsimi dhe formimi profesional</w:t>
      </w:r>
      <w:bookmarkEnd w:id="12"/>
      <w:bookmarkEnd w:id="13"/>
      <w:bookmarkEnd w:id="14"/>
      <w:bookmarkEnd w:id="15"/>
    </w:p>
    <w:p w14:paraId="01BAFC87" w14:textId="1A21066C" w:rsidR="000F778D" w:rsidRPr="000E152E" w:rsidRDefault="000F778D" w:rsidP="008B534D">
      <w:pPr>
        <w:pStyle w:val="TEKSTIIII"/>
      </w:pPr>
      <w:r w:rsidRPr="000E152E">
        <w:t>Sistemi i arsimit dhe formimit profesional në vend mori një hov dhe vëmendje të veçantë me zbatimin e Strategjisë së Punësimit dhe Aftësive 2014–2022</w:t>
      </w:r>
      <w:r w:rsidRPr="000E152E">
        <w:rPr>
          <w:rStyle w:val="FootnoteReference"/>
          <w:rFonts w:ascii="Calibri" w:hAnsi="Calibri" w:cs="Calibri"/>
        </w:rPr>
        <w:footnoteReference w:id="41"/>
      </w:r>
      <w:r w:rsidRPr="000E152E">
        <w:t>, në kuadër të së cilës formimi dhe kualifikimi i forcës së ardhshme të punës dhe integrimi i saj në përputhje me nevojat e një tregu pune në zhvillim mori theks të posaçëm në politikat publike. Si rezultat, gjatë viteve të fundit janë hedhur hapa të rëndësishëm në konsolidimin e kuadrit rregullator e institucional, në zhvillimin dhe zbatimin e mëtejshëm të Kornizës Shqiptare të Kualifikimeve, e cila u referencua me Kornizën Evropiane të Kualifikimeve (KEK).</w:t>
      </w:r>
      <w:r w:rsidRPr="000E152E">
        <w:rPr>
          <w:rStyle w:val="FootnoteReference"/>
          <w:rFonts w:ascii="Calibri" w:hAnsi="Calibri" w:cs="Calibri"/>
        </w:rPr>
        <w:footnoteReference w:id="42"/>
      </w:r>
      <w:r w:rsidRPr="000E152E">
        <w:t xml:space="preserve"> Gjithashtu, përpjekjet kryesore të institucioneve përgjegjëse u përqendruan në riorganizimin dhe optimizimin e rrjetit të ofruesve publikë të AFP-së, proces i cili pritet të ketë ndikim të dukshëm në zgjerimin e ofertës së AFP-së, në kontekstin e të nxënit gjatë gjithë jetës.</w:t>
      </w:r>
    </w:p>
    <w:p w14:paraId="01BAFC88" w14:textId="77777777" w:rsidR="000F778D" w:rsidRPr="000E152E" w:rsidRDefault="000F778D" w:rsidP="008B534D">
      <w:pPr>
        <w:pStyle w:val="TEKSTIIII"/>
      </w:pPr>
      <w:r w:rsidRPr="000E152E">
        <w:t>Rezultat i përpjekjeve për rritjen e cilësisë dhe rëndësisë së AFP-së në tregun e punës dhe për të rinjtë e të rriturit, ishte zhvillimi dhe vënia në zbatim e kornizës së sigurimit të cilësisë, e cila bazohet në ndërveprimin dhe ballafaqimin e rezultateve të vetëvlerësimit me procese të vlerësimit të jashtëm siç janë: akreditimi, monitorimi dhe inspektimi. Miratimi dhe nisja e zbatimit të procesit të akreditimit janë një hap tejet i rëndësishëm për krijimin e një kulture të cilësisë në sistem. Megjithatë, korniza e sigurimit dhe zhvillimit të cilësisë në AFP ka nevojë të plotësohet më dy funksione të rëndësishme, siç janë inspektimi dhe monitorimi. Monitorimi i ofruesve publikë të AFP-së duhet të zhvillohet në përputhje me fushat e cilësisë, standardet dhe kriteret e vetëvlerësimit, akreditimit dhe inspektimit.</w:t>
      </w:r>
    </w:p>
    <w:p w14:paraId="01BAFC89" w14:textId="77777777" w:rsidR="000F778D" w:rsidRPr="000E152E" w:rsidRDefault="000F778D" w:rsidP="008B534D">
      <w:pPr>
        <w:pStyle w:val="TEKSTIIII"/>
      </w:pPr>
      <w:r w:rsidRPr="000E152E">
        <w:t>Një dimension shumë i rëndësishëm i garantimit të cilësisë në AFP është edhe kualifikimi fillestar dhe zhvillimi i vazhduar profesional i mësimdhënësve. Në këtë aspekt, është institucionalizuar programi për kualifikimin fillestar të mësimdhënësve, ndërsa zhvillimi i vazhduar profesional mbetet një sfidë komplekse, trajtimi i së cilës do të jetë përcaktues për suksesin e ofrimit të AFP-së, që i përgjigjet tregut dinamik të punës dhe i përgatit të rinjtë e të rriturit për tranzicionin e dyfishtë.</w:t>
      </w:r>
    </w:p>
    <w:p w14:paraId="01BAFC8A" w14:textId="77777777" w:rsidR="000F778D" w:rsidRPr="000E152E" w:rsidRDefault="000F778D" w:rsidP="008B534D">
      <w:pPr>
        <w:pStyle w:val="TEKSTIIII"/>
      </w:pPr>
      <w:r w:rsidRPr="000E152E">
        <w:t xml:space="preserve">Njohja e të nxënit të mëparshëm joformal dhe informal, si dhe përfshirja në KSHK e kualifikimeve gjatë gjithë jetës mbeten ende të parregulluara në praktikë, ndonëse Korniza e </w:t>
      </w:r>
      <w:r w:rsidRPr="000E152E">
        <w:lastRenderedPageBreak/>
        <w:t>Kualifikimeve mund të krijojë hapësirën për njohjen e tyre. Njohja e të nxënit të mëparshëm</w:t>
      </w:r>
      <w:r w:rsidRPr="000E152E">
        <w:rPr>
          <w:rStyle w:val="FootnoteReference"/>
          <w:rFonts w:ascii="Calibri" w:hAnsi="Calibri" w:cs="Calibri"/>
          <w:iCs/>
        </w:rPr>
        <w:footnoteReference w:id="43"/>
      </w:r>
      <w:r w:rsidRPr="000E152E">
        <w:t xml:space="preserve"> është një instrument i rëndësishëm për të nxitur përfshirjen e punëmarrësve, duke përmirësuar shanset e tyre për mobilitet në tregun e punës. </w:t>
      </w:r>
    </w:p>
    <w:p w14:paraId="01BAFC8B" w14:textId="0CB07EAA" w:rsidR="000F778D" w:rsidRPr="000E152E" w:rsidRDefault="000F778D" w:rsidP="008B534D">
      <w:pPr>
        <w:pStyle w:val="TEKSTIIII"/>
      </w:pPr>
      <w:r w:rsidRPr="000E152E">
        <w:t>Përveç përpjekjeve të përmendura më sipër, oferta private e AFP-së është një potencial ende i pashfrytëzuar, i cili duhet vënë në shërbim të objektivave të përgjithshme të strategjisë së aftësimit.</w:t>
      </w:r>
      <w:r w:rsidR="000E152E" w:rsidRPr="000E152E">
        <w:t xml:space="preserve"> </w:t>
      </w:r>
    </w:p>
    <w:p w14:paraId="01BAFC8C" w14:textId="687493E1" w:rsidR="000F778D" w:rsidRPr="000E152E" w:rsidRDefault="000F778D" w:rsidP="008B534D">
      <w:pPr>
        <w:pStyle w:val="TEKSTIIII"/>
      </w:pPr>
      <w:r w:rsidRPr="000E152E">
        <w:t>Synimi kryesor dhe sfida më komplekse e sistemit të AFP-së mbetet përditësimi, zgjerimi dhe përshtatja e ofertës së AFP-së me nevojat e tregut të punës, për të reduktuar mospërputhjen e aftësive.</w:t>
      </w:r>
      <w:r w:rsidR="000E152E" w:rsidRPr="000E152E">
        <w:t xml:space="preserve"> </w:t>
      </w:r>
    </w:p>
    <w:p w14:paraId="01BAFC8D" w14:textId="4EEFB786" w:rsidR="000F778D" w:rsidRPr="000E152E" w:rsidRDefault="000F778D" w:rsidP="008B534D">
      <w:pPr>
        <w:pStyle w:val="TEKSTIIII"/>
      </w:pPr>
      <w:r w:rsidRPr="000E152E">
        <w:t>Zhvillimi i një sistemi të besueshëm dhe cilësor të AFP-së në vend është një proces i dykahshëm, që kërkon kohë jo vetëm për maturimin dhe përmirësimin e ofruesve të AFP-së, por edhe për maturimin dhe konsolidimin e sektorit privat. Bashkëpunimi me sektorin privat në fushën e ofrimit të AFP-së , edhe pse ndoshta më i zhvilluari në sektorin e punësimit dhe aftësive, kryesisht falë bashkëpunimit në nivel zbatimi ndërmjet ofruesve të AFP-së kompanive, për zhvillimin e praktikave profesionale në biznes.</w:t>
      </w:r>
      <w:r w:rsidRPr="00370B3E">
        <w:rPr>
          <w:vertAlign w:val="superscript"/>
        </w:rPr>
        <w:footnoteReference w:id="44"/>
      </w:r>
      <w:r w:rsidRPr="000E152E">
        <w:t xml:space="preserve"> Njësitë e zhvillimit</w:t>
      </w:r>
      <w:r w:rsidRPr="00370B3E">
        <w:rPr>
          <w:vertAlign w:val="superscript"/>
        </w:rPr>
        <w:footnoteReference w:id="45"/>
      </w:r>
      <w:r w:rsidRPr="000E152E">
        <w:t xml:space="preserve">, të krijuara </w:t>
      </w:r>
      <w:r w:rsidR="00616C4B" w:rsidRPr="000E152E">
        <w:t>pranë</w:t>
      </w:r>
      <w:r w:rsidRPr="000E152E">
        <w:t xml:space="preserve"> çdo ofruesi të AFP-së, synojnë edhe lehtësimin e marrëdhënies me sektorin privat, ndërkohë që janë ngritur dy komitete sektoriale. Pavarësisht këtyre përpjekjeve, angazhimi i sektorit privat mbetet ende në faza të hershme. Në planin afatgjatë është e nevojshme që të rritet besueshmëria dhe atraktiviteti i sistemit të AFP-së, ku një kontribut thelbësor do të japin modelet e suksesshme të kthimit të investimit të frekuentimit së AFP-së. </w:t>
      </w:r>
    </w:p>
    <w:p w14:paraId="01BAFC8E" w14:textId="77777777" w:rsidR="000F778D" w:rsidRPr="000E152E" w:rsidRDefault="000F778D" w:rsidP="008B534D">
      <w:pPr>
        <w:pStyle w:val="TEKSTIIII"/>
      </w:pPr>
      <w:r w:rsidRPr="000E152E">
        <w:t>Modelet e suksesshme mund të kenë efekt pozitiv në rritjen e angazhimit të punëdhënësve në sistemin e AFP-së, si instrument për të garantuar se kontributet e punëdhënësve rrisin angazhimin në sistem dhe, nga ana tjetër, garantojnë që aftësitë e përftuara përkojnë me nevojat e tyre.</w:t>
      </w:r>
    </w:p>
    <w:p w14:paraId="01BAFC8F" w14:textId="77777777" w:rsidR="000F778D" w:rsidRPr="000E152E" w:rsidRDefault="000F778D" w:rsidP="008B534D">
      <w:pPr>
        <w:pStyle w:val="TEKSTIIII"/>
        <w:rPr>
          <w:b/>
        </w:rPr>
      </w:pPr>
      <w:bookmarkStart w:id="16" w:name="_Toc116931413"/>
      <w:bookmarkStart w:id="17" w:name="_Toc119598192"/>
      <w:bookmarkStart w:id="18" w:name="_Toc119865386"/>
      <w:bookmarkStart w:id="19" w:name="_Toc123165410"/>
      <w:r w:rsidRPr="000E152E">
        <w:rPr>
          <w:b/>
        </w:rPr>
        <w:t>2.2.4 Inspektimi i punë</w:t>
      </w:r>
      <w:bookmarkEnd w:id="16"/>
      <w:bookmarkEnd w:id="17"/>
      <w:bookmarkEnd w:id="18"/>
      <w:r w:rsidRPr="000E152E">
        <w:rPr>
          <w:b/>
        </w:rPr>
        <w:t>s</w:t>
      </w:r>
      <w:bookmarkEnd w:id="19"/>
    </w:p>
    <w:p w14:paraId="01BAFC90" w14:textId="77777777" w:rsidR="000F778D" w:rsidRPr="000E152E" w:rsidRDefault="000F778D" w:rsidP="008B534D">
      <w:pPr>
        <w:pStyle w:val="TEKSTIIII"/>
      </w:pPr>
      <w:r w:rsidRPr="000E152E">
        <w:t xml:space="preserve">Inspektimi i punës ka si qëllim promovimin dhe garantimin e pajtueshmërisë me legjislacionin e punës, në veçanti sigurimin e respektimit të kushteve të denja të punës, standardet e shëndetit dhe sigurisë në punë si dhe respektimin e të drejtave të punës. Inspektorati Shtetëror i Punës dhe Shërbimeve Shoqërore (ISHPSHSH) është institucioni i ngarkuar me funksionet e inspektimit në fushën e marrëdhënieve të punës. </w:t>
      </w:r>
    </w:p>
    <w:p w14:paraId="01BAFC91" w14:textId="77777777" w:rsidR="000F778D" w:rsidRPr="000E152E" w:rsidRDefault="000F778D" w:rsidP="008B534D">
      <w:pPr>
        <w:pStyle w:val="TEKSTIIII"/>
      </w:pPr>
      <w:r w:rsidRPr="000E152E">
        <w:t xml:space="preserve">Sistemi i inspektimit të punës është konsoliduar më tej vitet e fundit, në sajë të analizës funksionale, përcaktimit të funksioneve dhe kompetencave vendimmarrëse dhe inspektuese, si dhe nëpërmjet zhvillimit të sistemit digjital për menaxhimin e inspektimeve, me funksione e procedura që mbështesin inspektimin bazuar në vlerësimin e riskut. Po ashtu, janë zhvilluar disa praktika për afrimin me sektorin privat, duke rritur komunikimin dhe bashkëpunimin për të siguruar rritjen e pajtueshmërisë ligjore, nëpërmjet ndryshimit në sjelljen dhe praktikat e punëmarrësve. </w:t>
      </w:r>
    </w:p>
    <w:p w14:paraId="01BAFC92" w14:textId="77777777" w:rsidR="000F778D" w:rsidRPr="000E152E" w:rsidRDefault="000F778D" w:rsidP="00D81EA8">
      <w:pPr>
        <w:pStyle w:val="TEKSTIIII"/>
      </w:pPr>
      <w:r w:rsidRPr="000E152E">
        <w:t xml:space="preserve">Ndonëse inspektimet dhe ndërmarrja e masave sanksionuese janë një element i rëndësishëm i inspektimit të punës, këto nuk janë gjithmonë të përshtatshme apo të mjaftueshme për të siguruar që shkeljet të identifikohen dhe të dekurajohen. Në këtë kuadër, promovimi i një kulture të favorshme për kushtet dhe marrëdhëniet e punës duhet të jetë në themel të punës së </w:t>
      </w:r>
      <w:r w:rsidRPr="000E152E">
        <w:lastRenderedPageBreak/>
        <w:t xml:space="preserve">transformimit të inspektoratit drejt një shërbimi modern, ku sanksionet do të vazhdojnë të ekzistojnë, në rast se format e tjera të bashkëpunimit kanë dështuar. </w:t>
      </w:r>
    </w:p>
    <w:p w14:paraId="01BAFC93" w14:textId="77777777" w:rsidR="000F778D" w:rsidRPr="000E152E" w:rsidRDefault="000F778D" w:rsidP="00D81EA8">
      <w:pPr>
        <w:pStyle w:val="TEKSTIIII"/>
      </w:pPr>
      <w:r w:rsidRPr="000E152E">
        <w:t xml:space="preserve">Gjithashtu, ndërgjegjësimi, rritja e bashkëpunimit, komunikimit dhe këshillimi i sektorit privat, punëdhënësve dhe punëmarrësve janë domosdoshmëri në kushtet kur burimet njerëzore dhe financiare për inspektimin janë të pamjaftueshme për të mbuluar me inspektime formale mijëra biznese në sektorë të ndryshëm. </w:t>
      </w:r>
    </w:p>
    <w:p w14:paraId="01BAFC94" w14:textId="63DDE731" w:rsidR="000F778D" w:rsidRPr="000E152E" w:rsidRDefault="000F778D" w:rsidP="00D81EA8">
      <w:pPr>
        <w:pStyle w:val="TEKSTIIII"/>
      </w:pPr>
      <w:r w:rsidRPr="000E152E">
        <w:t xml:space="preserve">Sfidat në vijim për inspektimin në punë përfshijnë, ndër të tjera, menaxhimin e ndryshimit brenda institucionit, për të siguruar kuptimin dhe zbatimin e praktikave të reja të punës nga vetë inspektorët. Nga ana tjetër, komunikimi dhe shkëmbimi i informacionit me institucione të tjera kyçe, si: Drejtoria e Përgjithshme e Tatimeve (DPT), Instituti i Sigurimeve Shoqërore (ISSH) apo njësitë e qeverisjes vendore, krahas organizatave të </w:t>
      </w:r>
      <w:r w:rsidR="00AD155A" w:rsidRPr="000E152E">
        <w:t>punëdhënësve</w:t>
      </w:r>
      <w:r w:rsidRPr="000E152E">
        <w:t xml:space="preserve"> dhe punëmarrësve duhet të shërbejë për kuptimin dhe monitorimin e tendencave dhe zhvillimeve n</w:t>
      </w:r>
      <w:r w:rsidR="00DE3FCD" w:rsidRPr="000E152E">
        <w:t>ë</w:t>
      </w:r>
      <w:r w:rsidRPr="000E152E">
        <w:t xml:space="preserve"> sektorë specifikë, për përftimin në kohë të informacionit të detajuar dhe shmangien e barrës së inspektimeve të shumëfishta për bizneset.</w:t>
      </w:r>
    </w:p>
    <w:p w14:paraId="01BAFC95" w14:textId="2A761FD4" w:rsidR="000F778D" w:rsidRPr="000E152E" w:rsidRDefault="000F778D" w:rsidP="00D81EA8">
      <w:pPr>
        <w:pStyle w:val="TEKSTIIII"/>
        <w:rPr>
          <w:rFonts w:cs="Calibri"/>
        </w:rPr>
      </w:pPr>
      <w:r w:rsidRPr="000E152E">
        <w:rPr>
          <w:rFonts w:cs="Calibri"/>
        </w:rPr>
        <w:t>Me qëllim garantimin e respektimit të legjislacionit të punës është e nevojshme të analizohen faktorët kryesorë përcaktues të sjelljes së punëdhënësve dhe punëmarrësve në treg. Njohja e këtyre faktorëve mund të orientojë qartë hartimin e politikave, por edhe vlerësimin e legjislacionit të punës, kur është i paqartë apo krijon barrë administrative për punëdhënësin dhe punëmarrësin.</w:t>
      </w:r>
      <w:r w:rsidR="000E152E" w:rsidRPr="000E152E">
        <w:rPr>
          <w:rFonts w:cs="Calibri"/>
        </w:rPr>
        <w:t xml:space="preserve"> </w:t>
      </w:r>
    </w:p>
    <w:p w14:paraId="01BAFC96" w14:textId="77777777" w:rsidR="000F778D" w:rsidRPr="000E152E" w:rsidRDefault="000F778D" w:rsidP="00D81EA8">
      <w:pPr>
        <w:pStyle w:val="TEKSTIIII"/>
        <w:rPr>
          <w:rFonts w:cs="Calibri"/>
        </w:rPr>
      </w:pPr>
      <w:r w:rsidRPr="000E152E">
        <w:rPr>
          <w:rFonts w:cs="Calibri"/>
        </w:rPr>
        <w:t xml:space="preserve">Në kontekstin ku roli i organizatave sindikale është ende i dobët dhe mungojnë përvojat e mira, një drejtim i rëndësishëm i punës së ISHPSSHSH-së duhet të jetë konsolidimi i marrëdhënies me partnerët socialë për parandalimin, monitorimin e sinjalizimin e rasteve të mosrespektimit të të drejtave të punëmarrësve, në përmbushje të funksionit për zbutjen e konflikteve në vendin e punës. </w:t>
      </w:r>
      <w:bookmarkStart w:id="20" w:name="_Toc116931414"/>
      <w:bookmarkStart w:id="21" w:name="_Toc119598193"/>
      <w:bookmarkStart w:id="22" w:name="_Toc119865387"/>
    </w:p>
    <w:p w14:paraId="01BAFC97" w14:textId="77777777" w:rsidR="000F778D" w:rsidRPr="000E152E" w:rsidRDefault="000F778D" w:rsidP="00D81EA8">
      <w:pPr>
        <w:pStyle w:val="TEKSTIIII"/>
        <w:rPr>
          <w:b/>
        </w:rPr>
      </w:pPr>
      <w:bookmarkStart w:id="23" w:name="_Toc123165411"/>
      <w:r w:rsidRPr="000E152E">
        <w:rPr>
          <w:b/>
        </w:rPr>
        <w:t>2.2.5 Partneriteti social</w:t>
      </w:r>
      <w:bookmarkEnd w:id="20"/>
      <w:bookmarkEnd w:id="21"/>
      <w:bookmarkEnd w:id="22"/>
      <w:bookmarkEnd w:id="23"/>
    </w:p>
    <w:p w14:paraId="01BAFC98" w14:textId="75B2AC28" w:rsidR="000F778D" w:rsidRPr="000E152E" w:rsidRDefault="000F778D" w:rsidP="00D81EA8">
      <w:pPr>
        <w:pStyle w:val="TEKSTIIII"/>
      </w:pPr>
      <w:r w:rsidRPr="000E152E">
        <w:t xml:space="preserve">Roli dhe përfshirja e partnerëve socialë në sektorin e punësimit dhe aftësive është e parashikuar në legjislacionin që rregullon </w:t>
      </w:r>
      <w:r w:rsidR="00AD155A" w:rsidRPr="000E152E">
        <w:t>marrëdhëniet</w:t>
      </w:r>
      <w:r w:rsidRPr="000E152E">
        <w:t xml:space="preserve"> e punës, politikat e punësimit dhe arsimin dhe formimin profesional, nëpërmjet një sërë mekanizmash ligjorë. Një sërë ligjesh parashikojnë krijimin dhe funksionimin e organeve këshillimore, me pjesëmarrjen e </w:t>
      </w:r>
      <w:r w:rsidR="00AD155A" w:rsidRPr="000E152E">
        <w:t>partnerëve</w:t>
      </w:r>
      <w:r w:rsidRPr="000E152E">
        <w:t xml:space="preserve"> socialë në aspekte të ndryshme të zbatimit të politikave në fushën e punësimit, arsimit dhe formimit profesional dhe marrëdhënieve të punës</w:t>
      </w:r>
      <w:r w:rsidRPr="000E152E">
        <w:rPr>
          <w:rStyle w:val="FootnoteReference"/>
          <w:rFonts w:ascii="Calibri" w:hAnsi="Calibri" w:cs="Calibri"/>
        </w:rPr>
        <w:footnoteReference w:id="46"/>
      </w:r>
      <w:r w:rsidRPr="000E152E">
        <w:t>. Në përgjithësi, angazhimi i sektorit privat në AFP është i orientuar nga oferta dhe i drejtuar nga institucionet publike</w:t>
      </w:r>
      <w:r w:rsidRPr="000E152E">
        <w:rPr>
          <w:rStyle w:val="FootnoteReference"/>
          <w:rFonts w:ascii="Calibri" w:hAnsi="Calibri" w:cs="Calibri"/>
        </w:rPr>
        <w:footnoteReference w:id="47"/>
      </w:r>
      <w:r w:rsidRPr="000E152E">
        <w:t xml:space="preserve">. </w:t>
      </w:r>
    </w:p>
    <w:p w14:paraId="01BAFC99" w14:textId="77777777" w:rsidR="000F778D" w:rsidRPr="000E152E" w:rsidRDefault="000F778D" w:rsidP="00D81EA8">
      <w:pPr>
        <w:pStyle w:val="TEKSTIIII"/>
      </w:pPr>
      <w:r w:rsidRPr="000E152E">
        <w:t xml:space="preserve">Bashkëpunimi me sektorin privat dhe partneriteti social mund të konsolidohen më tej, edhe në funksion të forcimit të pozitës negociuese të punëmarrësve, sidomos në sektorët me punësim të lartë. Organet e krijuara me ligj, por edhe organizatat e punëdhënësve duhet të luajnë një rol më aktiv si përfaqësues të drejtpërdrejtë të interesave të punëdhënësve apo punëmarrësve në përgjithësi. </w:t>
      </w:r>
    </w:p>
    <w:p w14:paraId="01BAFC9A" w14:textId="0BFB5671" w:rsidR="000F778D" w:rsidRPr="000E152E" w:rsidRDefault="000F778D" w:rsidP="00D81EA8">
      <w:pPr>
        <w:pStyle w:val="TEKSTIIII"/>
      </w:pPr>
      <w:r w:rsidRPr="000E152E">
        <w:t>Bazuar në disa përvoja pozitive të interesit në rritje të partnerëve socialë, në veçanti të sektorit privat për t</w:t>
      </w:r>
      <w:r w:rsidR="009330F6">
        <w:t>’</w:t>
      </w:r>
      <w:r w:rsidRPr="000E152E">
        <w:t>u angazhuar në zbatimin dhe pjesërisht në zhvillimin e ofertës së AFP-së, është e qartë nevoja për të pasur komunikim të vazhdueshëm me partnerët socialë për të bërë të mundur që këta të angazhohen në formulim politikash, organizim, zhvillim, zbatim monitorim të marrëdhënieve, të punës, politikave të tregut të punës dhe AFP-së.</w:t>
      </w:r>
    </w:p>
    <w:p w14:paraId="01BAFC9B" w14:textId="77777777" w:rsidR="000F778D" w:rsidRPr="000E152E" w:rsidRDefault="000F778D" w:rsidP="00D81EA8">
      <w:pPr>
        <w:pStyle w:val="TEKSTIIII"/>
      </w:pPr>
      <w:r w:rsidRPr="000E152E">
        <w:t xml:space="preserve">Nga ana tjetër është e rëndësishme të forcohet roli i partnerëve socialë në përpilimin, zbatimin dhe menaxhimin e kontratave kolektive. Praktikat rajonale dhe më gjerë tregojnë se kontratat kolektive duhet të kenë një afat të paracaktuar, me mundësinë e zgjatjes me miratimin e </w:t>
      </w:r>
      <w:r w:rsidRPr="000E152E">
        <w:lastRenderedPageBreak/>
        <w:t xml:space="preserve">partnerëve. Instrumentet e kontratave kolektive duhet të rishikohen për të përforcuar rolin e partnerëve socialë, por edhe për të reflektuar dinamikat në tregun e punës. </w:t>
      </w:r>
    </w:p>
    <w:p w14:paraId="01BAFC9C" w14:textId="77777777" w:rsidR="000F778D" w:rsidRPr="000E152E" w:rsidRDefault="000F778D" w:rsidP="00D81EA8">
      <w:pPr>
        <w:pStyle w:val="TEKSTIIII"/>
        <w:rPr>
          <w:b/>
        </w:rPr>
      </w:pPr>
      <w:bookmarkStart w:id="24" w:name="_Toc123165412"/>
      <w:r w:rsidRPr="000E152E">
        <w:rPr>
          <w:b/>
        </w:rPr>
        <w:t>2.2.6 Legjislacioni për mbrojtjen e punësimit</w:t>
      </w:r>
      <w:bookmarkEnd w:id="24"/>
    </w:p>
    <w:p w14:paraId="01BAFC9D" w14:textId="7AAE9942" w:rsidR="000F778D" w:rsidRPr="000E152E" w:rsidRDefault="000F778D" w:rsidP="00D81EA8">
      <w:pPr>
        <w:pStyle w:val="TEKSTIIII"/>
      </w:pPr>
      <w:r w:rsidRPr="000E152E">
        <w:t>Rregullat e hyrjes dhe daljes nga puna janë jetike për mirëqenien e punëtorëve pasi i mbron ata nga çdo formë e shfrytëzimi, diskriminimi dhe praktikave të padrejta të largimit nga puna. Megjithatë, është po aq e rëndësishme që këto rregulla t</w:t>
      </w:r>
      <w:r w:rsidR="009330F6">
        <w:t>’</w:t>
      </w:r>
      <w:r w:rsidRPr="000E152E">
        <w:t>u lejojnë kompanive fleksibilitet për të kryer biznesin e tyre bazuar në ndryshimin e kushteve. Kur rregullat e hyrjes dhe daljes nga puna janë shumë të rrepta për sektorin privat, kjo mund të ndikojë në praktikat e tyre të punësimit. Rregullat e rrepta të punës mund të kontribuojnë gjithashtu në informalitet më të lartë i cili nuk ofron asnjë mbrojtje sociale për punëtorët. Për këto arsye, është shumë e rëndësishme të arrihet një ekuilibër midis mbrojtjes së punëtorëve dhe fleksibilitetit të tregut të punës. Kodi i Punës në Shqipëri garanton një balancë të mirë mes fleksibilitetit dhe sigurisë në punë (mbrojtja e të punësuarve), e cili ndikon pozitivisht në krijimin e vendeve të reja të punës, bizneseve të reja dhe rritjen e bizneseve ekzistuese.</w:t>
      </w:r>
      <w:r w:rsidRPr="000E152E">
        <w:rPr>
          <w:rStyle w:val="FootnoteReference"/>
        </w:rPr>
        <w:footnoteReference w:id="48"/>
      </w:r>
      <w:r w:rsidRPr="000E152E">
        <w:t xml:space="preserve"> Vlerësimet tregojnë se Shqipëria, ngjashëm me vendet e rajonit, duhet të përmirësojë disa aspekte të legjislacionit të punës</w:t>
      </w:r>
      <w:r w:rsidRPr="000E152E">
        <w:rPr>
          <w:rStyle w:val="FootnoteReference"/>
        </w:rPr>
        <w:footnoteReference w:id="49"/>
      </w:r>
      <w:r w:rsidRPr="000E152E">
        <w:t>. Për të reflektuar format e reja të punës, në disa sektorë</w:t>
      </w:r>
      <w:r w:rsidR="00AD155A">
        <w:t>,</w:t>
      </w:r>
      <w:r w:rsidRPr="000E152E">
        <w:t xml:space="preserve"> si p</w:t>
      </w:r>
      <w:r w:rsidR="00AD155A">
        <w:t>.</w:t>
      </w:r>
      <w:r w:rsidRPr="000E152E">
        <w:t>sh.</w:t>
      </w:r>
      <w:r w:rsidR="00AD155A">
        <w:t>,</w:t>
      </w:r>
      <w:r w:rsidRPr="000E152E">
        <w:t xml:space="preserve"> në teknologjinë e informacionit dhe komunikimit, është e nevojshme të propozohen instrumente kontraktuale të thjeshtuara për punë afatshkurtra apo të rastësishme, si në rastin e të punësuarve sezonalë.</w:t>
      </w:r>
    </w:p>
    <w:p w14:paraId="01BAFC9E" w14:textId="77777777" w:rsidR="000F778D" w:rsidRPr="000E152E" w:rsidRDefault="000F778D" w:rsidP="00D81EA8">
      <w:pPr>
        <w:pStyle w:val="TEKSTIIII"/>
        <w:rPr>
          <w:b/>
        </w:rPr>
      </w:pPr>
      <w:bookmarkStart w:id="25" w:name="_Toc123165413"/>
      <w:r w:rsidRPr="000E152E">
        <w:rPr>
          <w:b/>
        </w:rPr>
        <w:t>2.2.7 Paga minimale</w:t>
      </w:r>
      <w:bookmarkEnd w:id="25"/>
    </w:p>
    <w:p w14:paraId="01BAFC9F" w14:textId="454D6DAE" w:rsidR="000F778D" w:rsidRPr="000E152E" w:rsidRDefault="000F778D" w:rsidP="00D81EA8">
      <w:pPr>
        <w:pStyle w:val="TEKSTIIII"/>
      </w:pPr>
      <w:r w:rsidRPr="000E152E">
        <w:t>Instrumenti i pagës minimale</w:t>
      </w:r>
      <w:r w:rsidRPr="000E152E">
        <w:rPr>
          <w:rStyle w:val="FootnoteReference"/>
        </w:rPr>
        <w:footnoteReference w:id="50"/>
      </w:r>
      <w:r w:rsidRPr="000E152E">
        <w:t xml:space="preserve"> është krijuar për mbrojtjen e punëtorëve nga pagat të ulëta e të padrejta dhe për reduktimin e pabarazisë në paga dhe varfërinë e punës. Megjithatë, instrumente të tilla, kur nuk hartohen mirë, mund të kontribuojnë gjithashtu në nivele më të larta të papunësisë, veçanërisht te</w:t>
      </w:r>
      <w:r w:rsidR="000E152E" w:rsidRPr="000E152E">
        <w:t xml:space="preserve"> </w:t>
      </w:r>
      <w:r w:rsidRPr="000E152E">
        <w:t>punëtorët e pakualifikuar dhe të rinjtë në një treg pune, që karakterizohet nga konkurrenca.</w:t>
      </w:r>
    </w:p>
    <w:p w14:paraId="01BAFCA0" w14:textId="1AE492B0" w:rsidR="000F778D" w:rsidRPr="000E152E" w:rsidRDefault="000F778D" w:rsidP="00D81EA8">
      <w:pPr>
        <w:pStyle w:val="TEKSTIIII"/>
      </w:pPr>
      <w:r w:rsidRPr="000E152E">
        <w:t>N</w:t>
      </w:r>
      <w:r w:rsidR="00AD155A">
        <w:t>ë</w:t>
      </w:r>
      <w:r w:rsidRPr="000E152E">
        <w:t xml:space="preserve"> vitin 2022, paga minimale në vend është në vlerën 34,000 lekë, në vijim të disa rritjeve të njëpasnjëshme gjatë viteve të fundit. Vlera e pagës minimale në parim duhet të reflektojë ndryshimet ekonomike, standardet e jetesës dhe rritjen e produktivitetit. Megjithatë, indeksi Kaitz, matur si raport i pagës minimale nominale ligjore ndaj pagës mesatare në ekonomi, është një tregues që përdoret për të matur kufizimin e pagës minimale në tregun e punës. Vitet e fundit, ky indeks është rritur, i vlerësuar me rreth 0.59 </w:t>
      </w:r>
      <w:r w:rsidR="00B7420C">
        <w:t>m</w:t>
      </w:r>
      <w:r w:rsidR="00AD155A">
        <w:t>ë</w:t>
      </w:r>
      <w:r w:rsidRPr="000E152E">
        <w:t xml:space="preserve"> 2021, nga 0.42 </w:t>
      </w:r>
      <w:r w:rsidR="00B7420C">
        <w:t>m</w:t>
      </w:r>
      <w:r w:rsidRPr="000E152E">
        <w:t>ë 2017 dhe është më i lartë se mesatarja e vendeve evropiane (nga 0.33 deri në 0.48).</w:t>
      </w:r>
      <w:r w:rsidR="000E152E" w:rsidRPr="000E152E">
        <w:t xml:space="preserve"> </w:t>
      </w:r>
      <w:r w:rsidRPr="000E152E">
        <w:t>Ky raport është edhe më i lartë në disa sektorë, si: bujqësia, industria nxjerrëse, ndërtimi dhe tregtia. E njëjta gjë reflektohet edhe në grup të caktuara profesionesh,</w:t>
      </w:r>
      <w:r w:rsidR="000E152E" w:rsidRPr="000E152E">
        <w:t xml:space="preserve"> </w:t>
      </w:r>
      <w:r w:rsidRPr="000E152E">
        <w:t>siç pasqyrohet në tabelën e mëposhtme. Në këtë analizë mund të vihet re edhe hendeku gjinor në paga. Pagat në sektorin privat janë gjithashtu më të ulëta, se pagat mesatare dhe pagat në sektorit publik.</w:t>
      </w:r>
    </w:p>
    <w:p w14:paraId="01BAFCA1" w14:textId="77777777" w:rsidR="000F778D" w:rsidRPr="000E152E" w:rsidRDefault="000F778D" w:rsidP="00D81EA8">
      <w:pPr>
        <w:pStyle w:val="TEKSTIIII"/>
        <w:rPr>
          <w:b/>
        </w:rPr>
      </w:pPr>
      <w:r w:rsidRPr="000E152E">
        <w:t xml:space="preserve"> </w:t>
      </w:r>
    </w:p>
    <w:p w14:paraId="01BAFCA2" w14:textId="77777777" w:rsidR="000F778D" w:rsidRPr="000E152E" w:rsidRDefault="00D81EA8" w:rsidP="00D81EA8">
      <w:pPr>
        <w:pStyle w:val="TEKSTIIII"/>
      </w:pPr>
      <w:r w:rsidRPr="000E152E">
        <w:t>Tabela 2: Tabela: Pagat mesatare dhe indeksi Kaitz sipas profesioneve të ndryshme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996"/>
        <w:gridCol w:w="710"/>
        <w:gridCol w:w="1142"/>
        <w:gridCol w:w="996"/>
        <w:gridCol w:w="994"/>
        <w:gridCol w:w="1133"/>
      </w:tblGrid>
      <w:tr w:rsidR="000F778D" w:rsidRPr="000E152E" w14:paraId="01BAFCA6" w14:textId="77777777" w:rsidTr="00610117">
        <w:trPr>
          <w:trHeight w:val="50"/>
        </w:trPr>
        <w:tc>
          <w:tcPr>
            <w:tcW w:w="1769" w:type="pct"/>
            <w:vMerge w:val="restart"/>
            <w:shd w:val="clear" w:color="auto" w:fill="auto"/>
            <w:vAlign w:val="center"/>
            <w:hideMark/>
          </w:tcPr>
          <w:p w14:paraId="01BAFCA3" w14:textId="1CEACD36"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 xml:space="preserve">Grup-profesionet (sipas ISCO-08 në nivel 2 shifror) – </w:t>
            </w:r>
            <w:r w:rsidR="00610117" w:rsidRPr="000E152E">
              <w:rPr>
                <w:rFonts w:ascii="Garamond" w:eastAsia="Times New Roman" w:hAnsi="Garamond" w:cs="Arial"/>
                <w:b/>
                <w:bCs/>
                <w:sz w:val="16"/>
                <w:szCs w:val="16"/>
                <w:lang w:eastAsia="en-GB"/>
              </w:rPr>
              <w:t>INSTAT</w:t>
            </w:r>
            <w:r w:rsidRPr="000E152E">
              <w:rPr>
                <w:rFonts w:ascii="Garamond" w:eastAsia="Times New Roman" w:hAnsi="Garamond" w:cs="Arial"/>
                <w:b/>
                <w:bCs/>
                <w:sz w:val="16"/>
                <w:szCs w:val="16"/>
                <w:lang w:eastAsia="en-GB"/>
              </w:rPr>
              <w:t>, 2021</w:t>
            </w:r>
          </w:p>
        </w:tc>
        <w:tc>
          <w:tcPr>
            <w:tcW w:w="1541" w:type="pct"/>
            <w:gridSpan w:val="3"/>
            <w:shd w:val="clear" w:color="auto" w:fill="auto"/>
            <w:vAlign w:val="center"/>
            <w:hideMark/>
          </w:tcPr>
          <w:p w14:paraId="01BAFCA4" w14:textId="77777777" w:rsidR="000F778D" w:rsidRPr="000E152E" w:rsidRDefault="000F778D" w:rsidP="00FC285A">
            <w:pPr>
              <w:spacing w:after="0" w:line="240" w:lineRule="auto"/>
              <w:jc w:val="center"/>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Paga mesatare</w:t>
            </w:r>
          </w:p>
        </w:tc>
        <w:tc>
          <w:tcPr>
            <w:tcW w:w="1689" w:type="pct"/>
            <w:gridSpan w:val="3"/>
            <w:shd w:val="clear" w:color="auto" w:fill="auto"/>
            <w:vAlign w:val="center"/>
          </w:tcPr>
          <w:p w14:paraId="01BAFCA5" w14:textId="77777777" w:rsidR="000F778D" w:rsidRPr="000E152E" w:rsidRDefault="000F778D" w:rsidP="00FC285A">
            <w:pPr>
              <w:spacing w:after="0" w:line="240" w:lineRule="auto"/>
              <w:jc w:val="center"/>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Indeksi Kaitz</w:t>
            </w:r>
          </w:p>
        </w:tc>
      </w:tr>
      <w:tr w:rsidR="000F778D" w:rsidRPr="000E152E" w14:paraId="01BAFCAE" w14:textId="77777777" w:rsidTr="00610117">
        <w:trPr>
          <w:trHeight w:val="50"/>
        </w:trPr>
        <w:tc>
          <w:tcPr>
            <w:tcW w:w="1769" w:type="pct"/>
            <w:vMerge/>
            <w:vAlign w:val="center"/>
            <w:hideMark/>
          </w:tcPr>
          <w:p w14:paraId="01BAFCA7" w14:textId="77777777" w:rsidR="000F778D" w:rsidRPr="000E152E" w:rsidRDefault="000F778D" w:rsidP="00FC285A">
            <w:pPr>
              <w:spacing w:after="0" w:line="240" w:lineRule="auto"/>
              <w:rPr>
                <w:rFonts w:ascii="Garamond" w:eastAsia="Times New Roman" w:hAnsi="Garamond" w:cs="Arial"/>
                <w:b/>
                <w:bCs/>
                <w:sz w:val="16"/>
                <w:szCs w:val="16"/>
                <w:lang w:eastAsia="en-GB"/>
              </w:rPr>
            </w:pPr>
          </w:p>
        </w:tc>
        <w:tc>
          <w:tcPr>
            <w:tcW w:w="539" w:type="pct"/>
            <w:shd w:val="clear" w:color="auto" w:fill="auto"/>
            <w:vAlign w:val="center"/>
            <w:hideMark/>
          </w:tcPr>
          <w:p w14:paraId="01BAFCA8"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Gjithsej</w:t>
            </w:r>
          </w:p>
        </w:tc>
        <w:tc>
          <w:tcPr>
            <w:tcW w:w="384" w:type="pct"/>
            <w:shd w:val="clear" w:color="auto" w:fill="auto"/>
            <w:vAlign w:val="center"/>
            <w:hideMark/>
          </w:tcPr>
          <w:p w14:paraId="01BAFCA9"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Burra</w:t>
            </w:r>
          </w:p>
        </w:tc>
        <w:tc>
          <w:tcPr>
            <w:tcW w:w="618" w:type="pct"/>
            <w:shd w:val="clear" w:color="auto" w:fill="auto"/>
            <w:vAlign w:val="center"/>
            <w:hideMark/>
          </w:tcPr>
          <w:p w14:paraId="01BAFCAA"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Gra</w:t>
            </w:r>
          </w:p>
        </w:tc>
        <w:tc>
          <w:tcPr>
            <w:tcW w:w="539" w:type="pct"/>
            <w:shd w:val="clear" w:color="auto" w:fill="auto"/>
            <w:vAlign w:val="center"/>
            <w:hideMark/>
          </w:tcPr>
          <w:p w14:paraId="01BAFCAB"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Gjithsej</w:t>
            </w:r>
          </w:p>
        </w:tc>
        <w:tc>
          <w:tcPr>
            <w:tcW w:w="538" w:type="pct"/>
            <w:shd w:val="clear" w:color="auto" w:fill="auto"/>
            <w:vAlign w:val="center"/>
            <w:hideMark/>
          </w:tcPr>
          <w:p w14:paraId="01BAFCAC"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Burra</w:t>
            </w:r>
          </w:p>
        </w:tc>
        <w:tc>
          <w:tcPr>
            <w:tcW w:w="613" w:type="pct"/>
            <w:shd w:val="clear" w:color="auto" w:fill="auto"/>
            <w:vAlign w:val="center"/>
            <w:hideMark/>
          </w:tcPr>
          <w:p w14:paraId="01BAFCAD"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Gra</w:t>
            </w:r>
          </w:p>
        </w:tc>
      </w:tr>
      <w:tr w:rsidR="000F778D" w:rsidRPr="000E152E" w14:paraId="01BAFCB6" w14:textId="77777777" w:rsidTr="00610117">
        <w:trPr>
          <w:trHeight w:val="50"/>
        </w:trPr>
        <w:tc>
          <w:tcPr>
            <w:tcW w:w="1769" w:type="pct"/>
            <w:shd w:val="clear" w:color="auto" w:fill="auto"/>
            <w:vAlign w:val="center"/>
            <w:hideMark/>
          </w:tcPr>
          <w:p w14:paraId="01BAFCAF"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Gjithsej</w:t>
            </w:r>
          </w:p>
        </w:tc>
        <w:tc>
          <w:tcPr>
            <w:tcW w:w="539" w:type="pct"/>
            <w:shd w:val="clear" w:color="auto" w:fill="auto"/>
            <w:noWrap/>
            <w:vAlign w:val="center"/>
            <w:hideMark/>
          </w:tcPr>
          <w:p w14:paraId="01BAFCB0"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57 191</w:t>
            </w:r>
          </w:p>
        </w:tc>
        <w:tc>
          <w:tcPr>
            <w:tcW w:w="384" w:type="pct"/>
            <w:shd w:val="clear" w:color="auto" w:fill="auto"/>
            <w:noWrap/>
            <w:vAlign w:val="center"/>
            <w:hideMark/>
          </w:tcPr>
          <w:p w14:paraId="01BAFCB1" w14:textId="77777777" w:rsidR="000F778D" w:rsidRPr="000E152E" w:rsidRDefault="000F778D" w:rsidP="00FC285A">
            <w:pPr>
              <w:spacing w:after="0" w:line="240" w:lineRule="auto"/>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58 413</w:t>
            </w:r>
          </w:p>
        </w:tc>
        <w:tc>
          <w:tcPr>
            <w:tcW w:w="618" w:type="pct"/>
            <w:shd w:val="clear" w:color="auto" w:fill="auto"/>
            <w:noWrap/>
            <w:vAlign w:val="center"/>
            <w:hideMark/>
          </w:tcPr>
          <w:p w14:paraId="01BAFCB2" w14:textId="77777777" w:rsidR="000F778D" w:rsidRPr="000E152E" w:rsidRDefault="000F778D" w:rsidP="00FC285A">
            <w:pPr>
              <w:spacing w:after="0" w:line="240" w:lineRule="auto"/>
              <w:ind w:firstLineChars="200" w:firstLine="321"/>
              <w:rPr>
                <w:rFonts w:ascii="Garamond" w:eastAsia="Times New Roman" w:hAnsi="Garamond" w:cs="Arial"/>
                <w:b/>
                <w:bCs/>
                <w:sz w:val="16"/>
                <w:szCs w:val="16"/>
                <w:lang w:eastAsia="en-GB"/>
              </w:rPr>
            </w:pPr>
            <w:r w:rsidRPr="000E152E">
              <w:rPr>
                <w:rFonts w:ascii="Garamond" w:eastAsia="Times New Roman" w:hAnsi="Garamond" w:cs="Arial"/>
                <w:b/>
                <w:bCs/>
                <w:sz w:val="16"/>
                <w:szCs w:val="16"/>
                <w:lang w:eastAsia="en-GB"/>
              </w:rPr>
              <w:t>55 760</w:t>
            </w:r>
          </w:p>
        </w:tc>
        <w:tc>
          <w:tcPr>
            <w:tcW w:w="539" w:type="pct"/>
            <w:shd w:val="clear" w:color="auto" w:fill="auto"/>
            <w:noWrap/>
            <w:vAlign w:val="center"/>
            <w:hideMark/>
          </w:tcPr>
          <w:p w14:paraId="01BAFCB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0,59</w:t>
            </w:r>
          </w:p>
        </w:tc>
        <w:tc>
          <w:tcPr>
            <w:tcW w:w="538" w:type="pct"/>
            <w:shd w:val="clear" w:color="auto" w:fill="auto"/>
            <w:noWrap/>
            <w:vAlign w:val="center"/>
            <w:hideMark/>
          </w:tcPr>
          <w:p w14:paraId="01BAFCB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0,58</w:t>
            </w:r>
          </w:p>
        </w:tc>
        <w:tc>
          <w:tcPr>
            <w:tcW w:w="613" w:type="pct"/>
            <w:shd w:val="clear" w:color="auto" w:fill="auto"/>
            <w:noWrap/>
            <w:vAlign w:val="center"/>
            <w:hideMark/>
          </w:tcPr>
          <w:p w14:paraId="01BAFCB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0,61</w:t>
            </w:r>
          </w:p>
        </w:tc>
      </w:tr>
      <w:tr w:rsidR="000F778D" w:rsidRPr="000E152E" w14:paraId="01BAFCBE" w14:textId="77777777" w:rsidTr="00FC285A">
        <w:trPr>
          <w:trHeight w:val="260"/>
        </w:trPr>
        <w:tc>
          <w:tcPr>
            <w:tcW w:w="1769" w:type="pct"/>
            <w:shd w:val="clear" w:color="auto" w:fill="auto"/>
            <w:noWrap/>
            <w:vAlign w:val="center"/>
            <w:hideMark/>
          </w:tcPr>
          <w:p w14:paraId="01BAFCB7"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Ligjvënës, nëpunës të lartë të administratës shtetërore dhe drejtorë ekzekutivë</w:t>
            </w:r>
          </w:p>
        </w:tc>
        <w:tc>
          <w:tcPr>
            <w:tcW w:w="539" w:type="pct"/>
            <w:shd w:val="clear" w:color="auto" w:fill="auto"/>
            <w:noWrap/>
            <w:vAlign w:val="center"/>
            <w:hideMark/>
          </w:tcPr>
          <w:p w14:paraId="01BAFCB8"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98 505</w:t>
            </w:r>
          </w:p>
        </w:tc>
        <w:tc>
          <w:tcPr>
            <w:tcW w:w="384" w:type="pct"/>
            <w:shd w:val="clear" w:color="auto" w:fill="auto"/>
            <w:noWrap/>
            <w:vAlign w:val="center"/>
            <w:hideMark/>
          </w:tcPr>
          <w:p w14:paraId="01BAFCB9"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97 568</w:t>
            </w:r>
          </w:p>
        </w:tc>
        <w:tc>
          <w:tcPr>
            <w:tcW w:w="618" w:type="pct"/>
            <w:shd w:val="clear" w:color="auto" w:fill="auto"/>
            <w:noWrap/>
            <w:vAlign w:val="center"/>
            <w:hideMark/>
          </w:tcPr>
          <w:p w14:paraId="01BAFCBA"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100 061</w:t>
            </w:r>
          </w:p>
        </w:tc>
        <w:tc>
          <w:tcPr>
            <w:tcW w:w="539" w:type="pct"/>
            <w:shd w:val="clear" w:color="auto" w:fill="auto"/>
            <w:noWrap/>
            <w:vAlign w:val="center"/>
            <w:hideMark/>
          </w:tcPr>
          <w:p w14:paraId="01BAFCBB"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0,35</w:t>
            </w:r>
          </w:p>
        </w:tc>
        <w:tc>
          <w:tcPr>
            <w:tcW w:w="538" w:type="pct"/>
            <w:shd w:val="clear" w:color="auto" w:fill="auto"/>
            <w:noWrap/>
            <w:vAlign w:val="center"/>
            <w:hideMark/>
          </w:tcPr>
          <w:p w14:paraId="01BAFCBC"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0,35</w:t>
            </w:r>
          </w:p>
        </w:tc>
        <w:tc>
          <w:tcPr>
            <w:tcW w:w="613" w:type="pct"/>
            <w:shd w:val="clear" w:color="auto" w:fill="auto"/>
            <w:noWrap/>
            <w:vAlign w:val="center"/>
            <w:hideMark/>
          </w:tcPr>
          <w:p w14:paraId="01BAFCBD"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0,34</w:t>
            </w:r>
          </w:p>
        </w:tc>
      </w:tr>
      <w:tr w:rsidR="000F778D" w:rsidRPr="000E152E" w14:paraId="01BAFCC6" w14:textId="77777777" w:rsidTr="00610117">
        <w:trPr>
          <w:trHeight w:val="50"/>
        </w:trPr>
        <w:tc>
          <w:tcPr>
            <w:tcW w:w="1769" w:type="pct"/>
            <w:shd w:val="clear" w:color="auto" w:fill="auto"/>
            <w:noWrap/>
            <w:vAlign w:val="center"/>
            <w:hideMark/>
          </w:tcPr>
          <w:p w14:paraId="01BAFCBF"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Specialistë me arsim të lartë (profesionistë)</w:t>
            </w:r>
          </w:p>
        </w:tc>
        <w:tc>
          <w:tcPr>
            <w:tcW w:w="539" w:type="pct"/>
            <w:shd w:val="clear" w:color="auto" w:fill="auto"/>
            <w:noWrap/>
            <w:vAlign w:val="center"/>
            <w:hideMark/>
          </w:tcPr>
          <w:p w14:paraId="01BAFCC0"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76 879</w:t>
            </w:r>
          </w:p>
        </w:tc>
        <w:tc>
          <w:tcPr>
            <w:tcW w:w="384" w:type="pct"/>
            <w:shd w:val="clear" w:color="auto" w:fill="auto"/>
            <w:noWrap/>
            <w:vAlign w:val="center"/>
            <w:hideMark/>
          </w:tcPr>
          <w:p w14:paraId="01BAFCC1"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85 136</w:t>
            </w:r>
          </w:p>
        </w:tc>
        <w:tc>
          <w:tcPr>
            <w:tcW w:w="618" w:type="pct"/>
            <w:shd w:val="clear" w:color="auto" w:fill="auto"/>
            <w:noWrap/>
            <w:vAlign w:val="center"/>
            <w:hideMark/>
          </w:tcPr>
          <w:p w14:paraId="01BAFCC2"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72 303</w:t>
            </w:r>
          </w:p>
        </w:tc>
        <w:tc>
          <w:tcPr>
            <w:tcW w:w="539" w:type="pct"/>
            <w:shd w:val="clear" w:color="auto" w:fill="auto"/>
            <w:noWrap/>
            <w:vAlign w:val="center"/>
            <w:hideMark/>
          </w:tcPr>
          <w:p w14:paraId="01BAFCC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0,44</w:t>
            </w:r>
          </w:p>
        </w:tc>
        <w:tc>
          <w:tcPr>
            <w:tcW w:w="538" w:type="pct"/>
            <w:shd w:val="clear" w:color="auto" w:fill="auto"/>
            <w:noWrap/>
            <w:vAlign w:val="center"/>
            <w:hideMark/>
          </w:tcPr>
          <w:p w14:paraId="01BAFCC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0,40</w:t>
            </w:r>
          </w:p>
        </w:tc>
        <w:tc>
          <w:tcPr>
            <w:tcW w:w="613" w:type="pct"/>
            <w:shd w:val="clear" w:color="auto" w:fill="auto"/>
            <w:noWrap/>
            <w:vAlign w:val="center"/>
            <w:hideMark/>
          </w:tcPr>
          <w:p w14:paraId="01BAFCC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0,47</w:t>
            </w:r>
          </w:p>
        </w:tc>
      </w:tr>
      <w:tr w:rsidR="000F778D" w:rsidRPr="000E152E" w14:paraId="01BAFCCE" w14:textId="77777777" w:rsidTr="00610117">
        <w:trPr>
          <w:trHeight w:val="50"/>
        </w:trPr>
        <w:tc>
          <w:tcPr>
            <w:tcW w:w="1769" w:type="pct"/>
            <w:shd w:val="clear" w:color="auto" w:fill="auto"/>
            <w:noWrap/>
            <w:vAlign w:val="center"/>
            <w:hideMark/>
          </w:tcPr>
          <w:p w14:paraId="01BAFCC7"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Teknikë dhe specialistë në zbatim</w:t>
            </w:r>
          </w:p>
        </w:tc>
        <w:tc>
          <w:tcPr>
            <w:tcW w:w="539" w:type="pct"/>
            <w:shd w:val="clear" w:color="auto" w:fill="auto"/>
            <w:noWrap/>
            <w:vAlign w:val="center"/>
            <w:hideMark/>
          </w:tcPr>
          <w:p w14:paraId="01BAFCC8"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64 604</w:t>
            </w:r>
          </w:p>
        </w:tc>
        <w:tc>
          <w:tcPr>
            <w:tcW w:w="384" w:type="pct"/>
            <w:shd w:val="clear" w:color="auto" w:fill="auto"/>
            <w:noWrap/>
            <w:vAlign w:val="center"/>
            <w:hideMark/>
          </w:tcPr>
          <w:p w14:paraId="01BAFCC9"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67 108</w:t>
            </w:r>
          </w:p>
        </w:tc>
        <w:tc>
          <w:tcPr>
            <w:tcW w:w="618" w:type="pct"/>
            <w:shd w:val="clear" w:color="auto" w:fill="auto"/>
            <w:noWrap/>
            <w:vAlign w:val="center"/>
            <w:hideMark/>
          </w:tcPr>
          <w:p w14:paraId="01BAFCCA"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61 740</w:t>
            </w:r>
          </w:p>
        </w:tc>
        <w:tc>
          <w:tcPr>
            <w:tcW w:w="539" w:type="pct"/>
            <w:shd w:val="clear" w:color="auto" w:fill="auto"/>
            <w:noWrap/>
            <w:vAlign w:val="center"/>
            <w:hideMark/>
          </w:tcPr>
          <w:p w14:paraId="01BAFCCB"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0,53</w:t>
            </w:r>
          </w:p>
        </w:tc>
        <w:tc>
          <w:tcPr>
            <w:tcW w:w="538" w:type="pct"/>
            <w:shd w:val="clear" w:color="auto" w:fill="auto"/>
            <w:noWrap/>
            <w:vAlign w:val="center"/>
            <w:hideMark/>
          </w:tcPr>
          <w:p w14:paraId="01BAFCCC"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0,51</w:t>
            </w:r>
          </w:p>
        </w:tc>
        <w:tc>
          <w:tcPr>
            <w:tcW w:w="613" w:type="pct"/>
            <w:shd w:val="clear" w:color="auto" w:fill="auto"/>
            <w:noWrap/>
            <w:vAlign w:val="center"/>
            <w:hideMark/>
          </w:tcPr>
          <w:p w14:paraId="01BAFCCD"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0,55</w:t>
            </w:r>
          </w:p>
        </w:tc>
      </w:tr>
      <w:tr w:rsidR="000F778D" w:rsidRPr="000E152E" w14:paraId="01BAFCD6" w14:textId="77777777" w:rsidTr="00610117">
        <w:trPr>
          <w:trHeight w:val="50"/>
        </w:trPr>
        <w:tc>
          <w:tcPr>
            <w:tcW w:w="1769" w:type="pct"/>
            <w:shd w:val="clear" w:color="auto" w:fill="auto"/>
            <w:noWrap/>
            <w:vAlign w:val="center"/>
            <w:hideMark/>
          </w:tcPr>
          <w:p w14:paraId="01BAFCCF"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lastRenderedPageBreak/>
              <w:t>Nëpunësit</w:t>
            </w:r>
          </w:p>
        </w:tc>
        <w:tc>
          <w:tcPr>
            <w:tcW w:w="539" w:type="pct"/>
            <w:shd w:val="clear" w:color="auto" w:fill="auto"/>
            <w:noWrap/>
            <w:vAlign w:val="center"/>
            <w:hideMark/>
          </w:tcPr>
          <w:p w14:paraId="01BAFCD0"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59 633</w:t>
            </w:r>
          </w:p>
        </w:tc>
        <w:tc>
          <w:tcPr>
            <w:tcW w:w="384" w:type="pct"/>
            <w:shd w:val="clear" w:color="auto" w:fill="auto"/>
            <w:noWrap/>
            <w:vAlign w:val="center"/>
            <w:hideMark/>
          </w:tcPr>
          <w:p w14:paraId="01BAFCD1"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61 267</w:t>
            </w:r>
          </w:p>
        </w:tc>
        <w:tc>
          <w:tcPr>
            <w:tcW w:w="618" w:type="pct"/>
            <w:shd w:val="clear" w:color="auto" w:fill="auto"/>
            <w:noWrap/>
            <w:vAlign w:val="center"/>
            <w:hideMark/>
          </w:tcPr>
          <w:p w14:paraId="01BAFCD2"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58 316</w:t>
            </w:r>
          </w:p>
        </w:tc>
        <w:tc>
          <w:tcPr>
            <w:tcW w:w="539" w:type="pct"/>
            <w:shd w:val="clear" w:color="auto" w:fill="auto"/>
            <w:noWrap/>
            <w:vAlign w:val="center"/>
            <w:hideMark/>
          </w:tcPr>
          <w:p w14:paraId="01BAFCD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0,57</w:t>
            </w:r>
          </w:p>
        </w:tc>
        <w:tc>
          <w:tcPr>
            <w:tcW w:w="538" w:type="pct"/>
            <w:shd w:val="clear" w:color="auto" w:fill="auto"/>
            <w:noWrap/>
            <w:vAlign w:val="center"/>
            <w:hideMark/>
          </w:tcPr>
          <w:p w14:paraId="01BAFCD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0,55</w:t>
            </w:r>
          </w:p>
        </w:tc>
        <w:tc>
          <w:tcPr>
            <w:tcW w:w="613" w:type="pct"/>
            <w:shd w:val="clear" w:color="auto" w:fill="auto"/>
            <w:noWrap/>
            <w:vAlign w:val="center"/>
            <w:hideMark/>
          </w:tcPr>
          <w:p w14:paraId="01BAFCD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0,58</w:t>
            </w:r>
          </w:p>
        </w:tc>
      </w:tr>
      <w:tr w:rsidR="000F778D" w:rsidRPr="000E152E" w14:paraId="01BAFCDE" w14:textId="77777777" w:rsidTr="00610117">
        <w:trPr>
          <w:trHeight w:val="50"/>
        </w:trPr>
        <w:tc>
          <w:tcPr>
            <w:tcW w:w="1769" w:type="pct"/>
            <w:shd w:val="clear" w:color="auto" w:fill="auto"/>
            <w:noWrap/>
            <w:vAlign w:val="center"/>
            <w:hideMark/>
          </w:tcPr>
          <w:p w14:paraId="01BAFCD7"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Punonjës të shitjeve dhe të shërbimeve</w:t>
            </w:r>
          </w:p>
        </w:tc>
        <w:tc>
          <w:tcPr>
            <w:tcW w:w="539" w:type="pct"/>
            <w:shd w:val="clear" w:color="auto" w:fill="auto"/>
            <w:noWrap/>
            <w:vAlign w:val="center"/>
            <w:hideMark/>
          </w:tcPr>
          <w:p w14:paraId="01BAFCD8"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43 466</w:t>
            </w:r>
          </w:p>
        </w:tc>
        <w:tc>
          <w:tcPr>
            <w:tcW w:w="384" w:type="pct"/>
            <w:shd w:val="clear" w:color="auto" w:fill="auto"/>
            <w:noWrap/>
            <w:vAlign w:val="center"/>
            <w:hideMark/>
          </w:tcPr>
          <w:p w14:paraId="01BAFCD9"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48 331</w:t>
            </w:r>
          </w:p>
        </w:tc>
        <w:tc>
          <w:tcPr>
            <w:tcW w:w="618" w:type="pct"/>
            <w:shd w:val="clear" w:color="auto" w:fill="auto"/>
            <w:noWrap/>
            <w:vAlign w:val="center"/>
            <w:hideMark/>
          </w:tcPr>
          <w:p w14:paraId="01BAFCDA"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37 066</w:t>
            </w:r>
          </w:p>
        </w:tc>
        <w:tc>
          <w:tcPr>
            <w:tcW w:w="539" w:type="pct"/>
            <w:shd w:val="clear" w:color="auto" w:fill="auto"/>
            <w:noWrap/>
            <w:vAlign w:val="center"/>
            <w:hideMark/>
          </w:tcPr>
          <w:p w14:paraId="01BAFCDB"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0,78</w:t>
            </w:r>
          </w:p>
        </w:tc>
        <w:tc>
          <w:tcPr>
            <w:tcW w:w="538" w:type="pct"/>
            <w:shd w:val="clear" w:color="auto" w:fill="auto"/>
            <w:noWrap/>
            <w:vAlign w:val="center"/>
            <w:hideMark/>
          </w:tcPr>
          <w:p w14:paraId="01BAFCDC"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0,70</w:t>
            </w:r>
          </w:p>
        </w:tc>
        <w:tc>
          <w:tcPr>
            <w:tcW w:w="613" w:type="pct"/>
            <w:shd w:val="clear" w:color="auto" w:fill="auto"/>
            <w:noWrap/>
            <w:vAlign w:val="center"/>
            <w:hideMark/>
          </w:tcPr>
          <w:p w14:paraId="01BAFCDD"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0,92</w:t>
            </w:r>
          </w:p>
        </w:tc>
      </w:tr>
      <w:tr w:rsidR="000F778D" w:rsidRPr="000E152E" w14:paraId="01BAFCE6" w14:textId="77777777" w:rsidTr="00610117">
        <w:trPr>
          <w:trHeight w:val="50"/>
        </w:trPr>
        <w:tc>
          <w:tcPr>
            <w:tcW w:w="1769" w:type="pct"/>
            <w:shd w:val="clear" w:color="auto" w:fill="auto"/>
            <w:noWrap/>
            <w:vAlign w:val="center"/>
            <w:hideMark/>
          </w:tcPr>
          <w:p w14:paraId="01BAFCDF"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Punonjës të kualifikuar të bujqësisë pyjeve dhe peshkimit</w:t>
            </w:r>
          </w:p>
        </w:tc>
        <w:tc>
          <w:tcPr>
            <w:tcW w:w="539" w:type="pct"/>
            <w:shd w:val="clear" w:color="auto" w:fill="auto"/>
            <w:noWrap/>
            <w:vAlign w:val="center"/>
            <w:hideMark/>
          </w:tcPr>
          <w:p w14:paraId="01BAFCE0"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35 826</w:t>
            </w:r>
          </w:p>
        </w:tc>
        <w:tc>
          <w:tcPr>
            <w:tcW w:w="384" w:type="pct"/>
            <w:shd w:val="clear" w:color="auto" w:fill="auto"/>
            <w:noWrap/>
            <w:vAlign w:val="center"/>
            <w:hideMark/>
          </w:tcPr>
          <w:p w14:paraId="01BAFCE1"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36 450</w:t>
            </w:r>
          </w:p>
        </w:tc>
        <w:tc>
          <w:tcPr>
            <w:tcW w:w="618" w:type="pct"/>
            <w:shd w:val="clear" w:color="auto" w:fill="auto"/>
            <w:noWrap/>
            <w:vAlign w:val="center"/>
            <w:hideMark/>
          </w:tcPr>
          <w:p w14:paraId="01BAFCE2"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33 659</w:t>
            </w:r>
          </w:p>
        </w:tc>
        <w:tc>
          <w:tcPr>
            <w:tcW w:w="539" w:type="pct"/>
            <w:shd w:val="clear" w:color="auto" w:fill="auto"/>
            <w:noWrap/>
            <w:vAlign w:val="center"/>
            <w:hideMark/>
          </w:tcPr>
          <w:p w14:paraId="01BAFCE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0,95</w:t>
            </w:r>
          </w:p>
        </w:tc>
        <w:tc>
          <w:tcPr>
            <w:tcW w:w="538" w:type="pct"/>
            <w:shd w:val="clear" w:color="auto" w:fill="auto"/>
            <w:noWrap/>
            <w:vAlign w:val="center"/>
            <w:hideMark/>
          </w:tcPr>
          <w:p w14:paraId="01BAFCE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0,93</w:t>
            </w:r>
          </w:p>
        </w:tc>
        <w:tc>
          <w:tcPr>
            <w:tcW w:w="613" w:type="pct"/>
            <w:shd w:val="clear" w:color="auto" w:fill="auto"/>
            <w:noWrap/>
            <w:vAlign w:val="center"/>
            <w:hideMark/>
          </w:tcPr>
          <w:p w14:paraId="01BAFCE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1,01</w:t>
            </w:r>
          </w:p>
        </w:tc>
      </w:tr>
      <w:tr w:rsidR="000F778D" w:rsidRPr="000E152E" w14:paraId="01BAFCEE" w14:textId="77777777" w:rsidTr="00610117">
        <w:trPr>
          <w:trHeight w:val="50"/>
        </w:trPr>
        <w:tc>
          <w:tcPr>
            <w:tcW w:w="1769" w:type="pct"/>
            <w:shd w:val="clear" w:color="auto" w:fill="auto"/>
            <w:noWrap/>
            <w:vAlign w:val="center"/>
            <w:hideMark/>
          </w:tcPr>
          <w:p w14:paraId="01BAFCE7"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Zejtarë, artizanë dhe profesione të lidhura me to</w:t>
            </w:r>
          </w:p>
        </w:tc>
        <w:tc>
          <w:tcPr>
            <w:tcW w:w="539" w:type="pct"/>
            <w:shd w:val="clear" w:color="auto" w:fill="auto"/>
            <w:noWrap/>
            <w:vAlign w:val="center"/>
            <w:hideMark/>
          </w:tcPr>
          <w:p w14:paraId="01BAFCE8"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39 918</w:t>
            </w:r>
          </w:p>
        </w:tc>
        <w:tc>
          <w:tcPr>
            <w:tcW w:w="384" w:type="pct"/>
            <w:shd w:val="clear" w:color="auto" w:fill="auto"/>
            <w:noWrap/>
            <w:vAlign w:val="center"/>
            <w:hideMark/>
          </w:tcPr>
          <w:p w14:paraId="01BAFCE9"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42 662</w:t>
            </w:r>
          </w:p>
        </w:tc>
        <w:tc>
          <w:tcPr>
            <w:tcW w:w="618" w:type="pct"/>
            <w:shd w:val="clear" w:color="auto" w:fill="auto"/>
            <w:noWrap/>
            <w:vAlign w:val="center"/>
            <w:hideMark/>
          </w:tcPr>
          <w:p w14:paraId="01BAFCEA"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34 327</w:t>
            </w:r>
          </w:p>
        </w:tc>
        <w:tc>
          <w:tcPr>
            <w:tcW w:w="539" w:type="pct"/>
            <w:shd w:val="clear" w:color="auto" w:fill="auto"/>
            <w:noWrap/>
            <w:vAlign w:val="center"/>
            <w:hideMark/>
          </w:tcPr>
          <w:p w14:paraId="01BAFCEB"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0,85</w:t>
            </w:r>
          </w:p>
        </w:tc>
        <w:tc>
          <w:tcPr>
            <w:tcW w:w="538" w:type="pct"/>
            <w:shd w:val="clear" w:color="auto" w:fill="auto"/>
            <w:noWrap/>
            <w:vAlign w:val="center"/>
            <w:hideMark/>
          </w:tcPr>
          <w:p w14:paraId="01BAFCEC"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0,80</w:t>
            </w:r>
          </w:p>
        </w:tc>
        <w:tc>
          <w:tcPr>
            <w:tcW w:w="613" w:type="pct"/>
            <w:shd w:val="clear" w:color="auto" w:fill="auto"/>
            <w:noWrap/>
            <w:vAlign w:val="center"/>
            <w:hideMark/>
          </w:tcPr>
          <w:p w14:paraId="01BAFCED"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0,99</w:t>
            </w:r>
          </w:p>
        </w:tc>
      </w:tr>
      <w:tr w:rsidR="000F778D" w:rsidRPr="000E152E" w14:paraId="01BAFCF6" w14:textId="77777777" w:rsidTr="00FC285A">
        <w:trPr>
          <w:trHeight w:val="260"/>
        </w:trPr>
        <w:tc>
          <w:tcPr>
            <w:tcW w:w="1769" w:type="pct"/>
            <w:shd w:val="clear" w:color="auto" w:fill="auto"/>
            <w:noWrap/>
            <w:vAlign w:val="center"/>
            <w:hideMark/>
          </w:tcPr>
          <w:p w14:paraId="01BAFCEF"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Punonjës të montimit dhe përdorimit të makinerive dhe pajisjeve</w:t>
            </w:r>
          </w:p>
        </w:tc>
        <w:tc>
          <w:tcPr>
            <w:tcW w:w="539" w:type="pct"/>
            <w:shd w:val="clear" w:color="auto" w:fill="auto"/>
            <w:noWrap/>
            <w:vAlign w:val="center"/>
            <w:hideMark/>
          </w:tcPr>
          <w:p w14:paraId="01BAFCF0"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40 363</w:t>
            </w:r>
          </w:p>
        </w:tc>
        <w:tc>
          <w:tcPr>
            <w:tcW w:w="384" w:type="pct"/>
            <w:shd w:val="clear" w:color="auto" w:fill="auto"/>
            <w:noWrap/>
            <w:vAlign w:val="center"/>
            <w:hideMark/>
          </w:tcPr>
          <w:p w14:paraId="01BAFCF1"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43 716</w:t>
            </w:r>
          </w:p>
        </w:tc>
        <w:tc>
          <w:tcPr>
            <w:tcW w:w="618" w:type="pct"/>
            <w:shd w:val="clear" w:color="auto" w:fill="auto"/>
            <w:noWrap/>
            <w:vAlign w:val="center"/>
            <w:hideMark/>
          </w:tcPr>
          <w:p w14:paraId="01BAFCF2"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35 515</w:t>
            </w:r>
          </w:p>
        </w:tc>
        <w:tc>
          <w:tcPr>
            <w:tcW w:w="539" w:type="pct"/>
            <w:shd w:val="clear" w:color="auto" w:fill="auto"/>
            <w:noWrap/>
            <w:vAlign w:val="center"/>
            <w:hideMark/>
          </w:tcPr>
          <w:p w14:paraId="01BAFCF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0,84</w:t>
            </w:r>
          </w:p>
        </w:tc>
        <w:tc>
          <w:tcPr>
            <w:tcW w:w="538" w:type="pct"/>
            <w:shd w:val="clear" w:color="auto" w:fill="auto"/>
            <w:noWrap/>
            <w:vAlign w:val="center"/>
            <w:hideMark/>
          </w:tcPr>
          <w:p w14:paraId="01BAFCF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0,78</w:t>
            </w:r>
          </w:p>
        </w:tc>
        <w:tc>
          <w:tcPr>
            <w:tcW w:w="613" w:type="pct"/>
            <w:shd w:val="clear" w:color="auto" w:fill="auto"/>
            <w:noWrap/>
            <w:vAlign w:val="center"/>
            <w:hideMark/>
          </w:tcPr>
          <w:p w14:paraId="01BAFCF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0,96</w:t>
            </w:r>
          </w:p>
        </w:tc>
      </w:tr>
      <w:tr w:rsidR="000F778D" w:rsidRPr="000E152E" w14:paraId="01BAFCFE" w14:textId="77777777" w:rsidTr="00610117">
        <w:trPr>
          <w:trHeight w:val="50"/>
        </w:trPr>
        <w:tc>
          <w:tcPr>
            <w:tcW w:w="1769" w:type="pct"/>
            <w:shd w:val="clear" w:color="auto" w:fill="auto"/>
            <w:noWrap/>
            <w:vAlign w:val="center"/>
            <w:hideMark/>
          </w:tcPr>
          <w:p w14:paraId="01BAFCF7" w14:textId="218FA7A5"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Punëtorë (</w:t>
            </w:r>
            <w:r w:rsidR="00610117" w:rsidRPr="000E152E">
              <w:rPr>
                <w:rFonts w:ascii="Garamond" w:eastAsia="Times New Roman" w:hAnsi="Garamond" w:cs="Arial"/>
                <w:sz w:val="16"/>
                <w:szCs w:val="16"/>
                <w:lang w:eastAsia="en-GB"/>
              </w:rPr>
              <w:t xml:space="preserve">profesione </w:t>
            </w:r>
            <w:r w:rsidRPr="000E152E">
              <w:rPr>
                <w:rFonts w:ascii="Garamond" w:eastAsia="Times New Roman" w:hAnsi="Garamond" w:cs="Arial"/>
                <w:sz w:val="16"/>
                <w:szCs w:val="16"/>
                <w:lang w:eastAsia="en-GB"/>
              </w:rPr>
              <w:t>elementare)</w:t>
            </w:r>
          </w:p>
        </w:tc>
        <w:tc>
          <w:tcPr>
            <w:tcW w:w="539" w:type="pct"/>
            <w:shd w:val="clear" w:color="auto" w:fill="auto"/>
            <w:noWrap/>
            <w:vAlign w:val="center"/>
            <w:hideMark/>
          </w:tcPr>
          <w:p w14:paraId="01BAFCF8"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35 115</w:t>
            </w:r>
          </w:p>
        </w:tc>
        <w:tc>
          <w:tcPr>
            <w:tcW w:w="384" w:type="pct"/>
            <w:shd w:val="clear" w:color="auto" w:fill="auto"/>
            <w:noWrap/>
            <w:vAlign w:val="center"/>
            <w:hideMark/>
          </w:tcPr>
          <w:p w14:paraId="01BAFCF9"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35 778</w:t>
            </w:r>
          </w:p>
        </w:tc>
        <w:tc>
          <w:tcPr>
            <w:tcW w:w="618" w:type="pct"/>
            <w:shd w:val="clear" w:color="auto" w:fill="auto"/>
            <w:noWrap/>
            <w:vAlign w:val="center"/>
            <w:hideMark/>
          </w:tcPr>
          <w:p w14:paraId="01BAFCFA"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34 028</w:t>
            </w:r>
          </w:p>
        </w:tc>
        <w:tc>
          <w:tcPr>
            <w:tcW w:w="539" w:type="pct"/>
            <w:shd w:val="clear" w:color="auto" w:fill="auto"/>
            <w:noWrap/>
            <w:vAlign w:val="center"/>
            <w:hideMark/>
          </w:tcPr>
          <w:p w14:paraId="01BAFCFB"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0,97</w:t>
            </w:r>
          </w:p>
        </w:tc>
        <w:tc>
          <w:tcPr>
            <w:tcW w:w="538" w:type="pct"/>
            <w:shd w:val="clear" w:color="auto" w:fill="auto"/>
            <w:noWrap/>
            <w:vAlign w:val="center"/>
            <w:hideMark/>
          </w:tcPr>
          <w:p w14:paraId="01BAFCFC"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0,95</w:t>
            </w:r>
          </w:p>
        </w:tc>
        <w:tc>
          <w:tcPr>
            <w:tcW w:w="613" w:type="pct"/>
            <w:shd w:val="clear" w:color="auto" w:fill="auto"/>
            <w:noWrap/>
            <w:vAlign w:val="center"/>
            <w:hideMark/>
          </w:tcPr>
          <w:p w14:paraId="01BAFCFD"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1,00</w:t>
            </w:r>
          </w:p>
        </w:tc>
      </w:tr>
      <w:tr w:rsidR="000F778D" w:rsidRPr="000E152E" w14:paraId="01BAFD06" w14:textId="77777777" w:rsidTr="00610117">
        <w:trPr>
          <w:trHeight w:val="50"/>
        </w:trPr>
        <w:tc>
          <w:tcPr>
            <w:tcW w:w="1769" w:type="pct"/>
            <w:shd w:val="clear" w:color="auto" w:fill="auto"/>
            <w:noWrap/>
            <w:vAlign w:val="center"/>
            <w:hideMark/>
          </w:tcPr>
          <w:p w14:paraId="01BAFCFF"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Forcat e armatosura</w:t>
            </w:r>
          </w:p>
        </w:tc>
        <w:tc>
          <w:tcPr>
            <w:tcW w:w="539" w:type="pct"/>
            <w:shd w:val="clear" w:color="auto" w:fill="auto"/>
            <w:noWrap/>
            <w:vAlign w:val="center"/>
            <w:hideMark/>
          </w:tcPr>
          <w:p w14:paraId="01BAFD00"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66 698</w:t>
            </w:r>
          </w:p>
        </w:tc>
        <w:tc>
          <w:tcPr>
            <w:tcW w:w="384" w:type="pct"/>
            <w:shd w:val="clear" w:color="auto" w:fill="auto"/>
            <w:noWrap/>
            <w:vAlign w:val="center"/>
            <w:hideMark/>
          </w:tcPr>
          <w:p w14:paraId="01BAFD01"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67 095</w:t>
            </w:r>
          </w:p>
        </w:tc>
        <w:tc>
          <w:tcPr>
            <w:tcW w:w="618" w:type="pct"/>
            <w:shd w:val="clear" w:color="auto" w:fill="auto"/>
            <w:noWrap/>
            <w:vAlign w:val="center"/>
            <w:hideMark/>
          </w:tcPr>
          <w:p w14:paraId="01BAFD02" w14:textId="77777777" w:rsidR="000F778D" w:rsidRPr="000E152E" w:rsidRDefault="000F778D" w:rsidP="00FC285A">
            <w:pPr>
              <w:spacing w:after="0" w:line="240" w:lineRule="auto"/>
              <w:ind w:firstLineChars="200" w:firstLine="320"/>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63 673</w:t>
            </w:r>
          </w:p>
        </w:tc>
        <w:tc>
          <w:tcPr>
            <w:tcW w:w="539" w:type="pct"/>
            <w:shd w:val="clear" w:color="auto" w:fill="auto"/>
            <w:noWrap/>
            <w:vAlign w:val="center"/>
            <w:hideMark/>
          </w:tcPr>
          <w:p w14:paraId="01BAFD03"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0,51</w:t>
            </w:r>
          </w:p>
        </w:tc>
        <w:tc>
          <w:tcPr>
            <w:tcW w:w="538" w:type="pct"/>
            <w:shd w:val="clear" w:color="auto" w:fill="auto"/>
            <w:noWrap/>
            <w:vAlign w:val="center"/>
            <w:hideMark/>
          </w:tcPr>
          <w:p w14:paraId="01BAFD04"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0,51</w:t>
            </w:r>
          </w:p>
        </w:tc>
        <w:tc>
          <w:tcPr>
            <w:tcW w:w="613" w:type="pct"/>
            <w:shd w:val="clear" w:color="auto" w:fill="auto"/>
            <w:noWrap/>
            <w:vAlign w:val="center"/>
            <w:hideMark/>
          </w:tcPr>
          <w:p w14:paraId="01BAFD05" w14:textId="77777777" w:rsidR="000F778D" w:rsidRPr="000E152E" w:rsidRDefault="000F778D" w:rsidP="00FC285A">
            <w:pPr>
              <w:spacing w:after="0" w:line="240" w:lineRule="auto"/>
              <w:rPr>
                <w:rFonts w:ascii="Garamond" w:eastAsia="Times New Roman" w:hAnsi="Garamond" w:cs="Arial"/>
                <w:sz w:val="16"/>
                <w:szCs w:val="16"/>
                <w:lang w:eastAsia="en-GB"/>
              </w:rPr>
            </w:pPr>
            <w:r w:rsidRPr="000E152E">
              <w:rPr>
                <w:rFonts w:ascii="Garamond" w:eastAsia="Times New Roman" w:hAnsi="Garamond" w:cs="Arial"/>
                <w:sz w:val="16"/>
                <w:szCs w:val="16"/>
                <w:lang w:eastAsia="en-GB"/>
              </w:rPr>
              <w:t>0,53</w:t>
            </w:r>
          </w:p>
        </w:tc>
      </w:tr>
    </w:tbl>
    <w:p w14:paraId="01BAFD07" w14:textId="77777777" w:rsidR="000F778D" w:rsidRPr="00610117" w:rsidRDefault="000F778D" w:rsidP="000F778D">
      <w:pPr>
        <w:spacing w:after="0"/>
        <w:rPr>
          <w:sz w:val="14"/>
        </w:rPr>
      </w:pPr>
    </w:p>
    <w:p w14:paraId="01BAFD08" w14:textId="77777777" w:rsidR="000F778D" w:rsidRPr="000E152E" w:rsidRDefault="000F778D" w:rsidP="00D81EA8">
      <w:pPr>
        <w:pStyle w:val="TEKSTIIII"/>
      </w:pPr>
      <w:r w:rsidRPr="000E152E">
        <w:t>Shqipëria, nga njëra anë, duhet të marrë në konsideratë indeksin Kaitz dhe vlerën e tij relative në krahasim me vendet e rajonit dhe BE-në dhe nga ana tjetër, partnerët socialë dhe Këshilli Kombëtar i Punës duhet të qëndrojnë proaktivë në vlerësimin e dinamikës së tregut të punës dhe të drejtojnë dialog të vazhdueshëm për përmirësimin e politikës së pagës minimale në Shqipëri.</w:t>
      </w:r>
    </w:p>
    <w:p w14:paraId="01BAFD09" w14:textId="77777777" w:rsidR="000F778D" w:rsidRPr="000E152E" w:rsidRDefault="000F778D" w:rsidP="00D81EA8">
      <w:pPr>
        <w:pStyle w:val="TEKSTIIII"/>
        <w:rPr>
          <w:b/>
        </w:rPr>
      </w:pPr>
      <w:bookmarkStart w:id="26" w:name="_Toc123165414"/>
      <w:r w:rsidRPr="000E152E">
        <w:rPr>
          <w:b/>
        </w:rPr>
        <w:t>2.2.8 Politika pasive e tregut të punës</w:t>
      </w:r>
      <w:bookmarkEnd w:id="26"/>
    </w:p>
    <w:p w14:paraId="01BAFD0A" w14:textId="35E0B292" w:rsidR="000F778D" w:rsidRPr="000E152E" w:rsidRDefault="000F778D" w:rsidP="00D81EA8">
      <w:pPr>
        <w:pStyle w:val="TEKSTIIII"/>
      </w:pPr>
      <w:r w:rsidRPr="000E152E">
        <w:t>Pagesat e papunësisë ofrojnë një nivel të caktuar mbrojtjeje të të ardhurave gjatë papunësisë, në mënyrë që personi i papunë të ketë kohë të mjaftueshme për të kërkuar dhe gjetur punë të përshtatshme që u përgjigjet aftësive të tij. Për të përfituar pagesën e papunësisë, punëkërkuesi duhet të ketë kontribuar në skemën e sigurimeve shoqërore, të paktën 12 muaj, të jetë i papunë në mënyrë të pavullnetshme, të jetë i regjistruar si i papunë në zyrën e punës, të jetë i gatshëm për t</w:t>
      </w:r>
      <w:r w:rsidR="009330F6">
        <w:t>’</w:t>
      </w:r>
      <w:r w:rsidRPr="000E152E">
        <w:t>u angazhuar n</w:t>
      </w:r>
      <w:r w:rsidR="00DE3FCD" w:rsidRPr="000E152E">
        <w:t>ë</w:t>
      </w:r>
      <w:r w:rsidRPr="000E152E">
        <w:t xml:space="preserve"> trajnim dhe rikualifikim dhe të mos ketë të drejtë për përfitime të tjera nga sigurimet shoqërore, përveç pensionit të pjesshëm të invaliditetit.</w:t>
      </w:r>
    </w:p>
    <w:p w14:paraId="01BAFD0B" w14:textId="3A0CC9FF" w:rsidR="000F778D" w:rsidRPr="000E152E" w:rsidRDefault="000F778D" w:rsidP="00D81EA8">
      <w:pPr>
        <w:pStyle w:val="TEKSTIIII"/>
      </w:pPr>
      <w:r w:rsidRPr="000E152E">
        <w:t>Mbulimi i përfitimeve të papunësisë në Shqipëri është shumë i ulët. Në vitin 2021, vetëm 680 punëkërkues morën përfitimin, ose 0.8</w:t>
      </w:r>
      <w:r w:rsidR="000E152E" w:rsidRPr="000E152E">
        <w:t xml:space="preserve"> </w:t>
      </w:r>
      <w:r w:rsidRPr="000E152E">
        <w:t>për</w:t>
      </w:r>
      <w:r w:rsidR="00610117">
        <w:t xml:space="preserve"> </w:t>
      </w:r>
      <w:r w:rsidRPr="000E152E">
        <w:t>qind e totalit të të papunëve të regjistruar (ose pothuajse 0.4</w:t>
      </w:r>
      <w:r w:rsidR="000E152E" w:rsidRPr="000E152E">
        <w:t xml:space="preserve"> </w:t>
      </w:r>
      <w:r w:rsidRPr="000E152E">
        <w:t>për</w:t>
      </w:r>
      <w:r w:rsidR="00610117">
        <w:t xml:space="preserve"> </w:t>
      </w:r>
      <w:r w:rsidRPr="000E152E">
        <w:t>qind e totalit të të papunëve sipas Anketës së Forcës së Punës) – një nga raportet më të ulëta të përfituesve të papunësisë në rajon dhe BE.</w:t>
      </w:r>
    </w:p>
    <w:p w14:paraId="01BAFD0C" w14:textId="0A4CAEDA" w:rsidR="000F778D" w:rsidRPr="000E152E" w:rsidRDefault="000F778D" w:rsidP="00D81EA8">
      <w:pPr>
        <w:pStyle w:val="TEKSTIIII"/>
      </w:pPr>
      <w:r w:rsidRPr="000E152E">
        <w:t>Niveli i pagesës së papunësisë është gjithashtu i ulët, i vendosur në normë fikse dhe i palidhur me nivelin e pagës së mëparshme. Niveli i pagesës së papunësisë është i vendosur në shkallën 50 për</w:t>
      </w:r>
      <w:r w:rsidR="00610117">
        <w:t xml:space="preserve"> </w:t>
      </w:r>
      <w:r w:rsidRPr="000E152E">
        <w:t>qind të pagës minimale, të paguara gjatë një periudhe 3 deri në 12 muaj. Praktika rajonale e lidh nivelin e pagesës me nivelin e pagës gjatë punësimit, e cila ka një nivel zëvendësimi prej 50-90 për</w:t>
      </w:r>
      <w:r w:rsidR="00610117">
        <w:t xml:space="preserve"> </w:t>
      </w:r>
      <w:r w:rsidRPr="000E152E">
        <w:t xml:space="preserve">qind, </w:t>
      </w:r>
      <w:r w:rsidR="00610117" w:rsidRPr="000E152E">
        <w:t>ndërsa</w:t>
      </w:r>
      <w:r w:rsidRPr="000E152E">
        <w:t xml:space="preserve"> niveli minimal i rekomanduar nga ILO është 50 për</w:t>
      </w:r>
      <w:r w:rsidR="00610117">
        <w:t xml:space="preserve"> </w:t>
      </w:r>
      <w:r w:rsidRPr="000E152E">
        <w:t>qind të pagës së mëparshme referuese.</w:t>
      </w:r>
    </w:p>
    <w:p w14:paraId="01BAFD0D" w14:textId="77777777" w:rsidR="000F778D" w:rsidRPr="000E152E" w:rsidRDefault="000F778D" w:rsidP="00D81EA8">
      <w:pPr>
        <w:pStyle w:val="TEKSTIIII"/>
      </w:pPr>
      <w:r w:rsidRPr="000E152E">
        <w:t xml:space="preserve">Për këtë arsye, duhen bërë analiza më të detajuara për të rishikuar mundësitë për të rritur gradualisht nivelin e pagesës së papunësisë në nivelin minimal të rekomanduar nga ILO. Kjo do të kërkonte zhvillimin e politikave për pagesën e papunësisë dhe lidhjen e saj me historinë dhe nivelet e kontributeve si dhe për të rishikuar kohëzgjatjen e pagesës, periudhën minimale të pagesës së kontributeve dhe normën e kontributeve të bazuar në konsideratat fiskale, në mënyrë që sistemi i sigurimit të papunësisë të jetë i qëndrueshëm financiarisht. </w:t>
      </w:r>
    </w:p>
    <w:p w14:paraId="01BAFD0E" w14:textId="3ADC8CA8" w:rsidR="000F778D" w:rsidRPr="000E152E" w:rsidRDefault="000F778D" w:rsidP="00D81EA8">
      <w:pPr>
        <w:pStyle w:val="TEKSTIIII"/>
      </w:pPr>
      <w:r w:rsidRPr="000E152E">
        <w:t>Ndihma Ekonomike (NE) është programi që ofron mbështetje për familjet e varfra</w:t>
      </w:r>
      <w:r w:rsidRPr="000E152E">
        <w:rPr>
          <w:rStyle w:val="FootnoteReference"/>
        </w:rPr>
        <w:footnoteReference w:id="51"/>
      </w:r>
      <w:r w:rsidRPr="000E152E">
        <w:t>. Mbështetja për NE është e kufizuar në një periudhë prej pesë vitesh, gjatë kësaj periudhe, përfituesit në moshë aktive pune duhet të regjistrohen në zyrën e punës dhe të pranojnë ofertat përshtatshme për punë, ose kurset për formim profesional. Kufizimi i përfitimit të ndihmës ekonomike për 5 vjet dhe kushtet e tjera të përfitimeve nga ky program theksojnë nevojën për mekanizma ndërinstitucionalë që kërkojnë ofrimin e mbështetjes së pagesës së NE, të koordinuar me shërbimet sociale dhe shërbimet e punësimit për të adresuar nevojat e tyre komplekse. Edhe pse bashkëpunimi me MSHMS-në, strukturat lokale dhe shërbimet e punësimit është përmirësuar, duhet të zgjerohen përpjekjet nga këto institucione për të zbatuar strategjinë e daljes së NE duke adresuar nevojat komplekse të këtij grupi me mbështetje të integruar, të cilat kërkojnë fokus të veçantë dhe një koordinim edhe më i fortë ndërmjet këtyre institucioneve.</w:t>
      </w:r>
    </w:p>
    <w:p w14:paraId="01BAFD0F" w14:textId="0D6D851A" w:rsidR="000F778D" w:rsidRPr="000E152E" w:rsidRDefault="000F778D" w:rsidP="00D81EA8">
      <w:pPr>
        <w:pStyle w:val="TEKSTIIII"/>
        <w:rPr>
          <w:b/>
        </w:rPr>
      </w:pPr>
      <w:bookmarkStart w:id="27" w:name="_Toc123165415"/>
      <w:r w:rsidRPr="000E152E">
        <w:rPr>
          <w:b/>
        </w:rPr>
        <w:t>2.2.9</w:t>
      </w:r>
      <w:r w:rsidR="00610117">
        <w:rPr>
          <w:b/>
        </w:rPr>
        <w:t xml:space="preserve"> </w:t>
      </w:r>
      <w:r w:rsidRPr="000E152E">
        <w:rPr>
          <w:b/>
        </w:rPr>
        <w:t>Tatimi i punës</w:t>
      </w:r>
      <w:bookmarkEnd w:id="27"/>
      <w:r w:rsidRPr="000E152E">
        <w:rPr>
          <w:b/>
        </w:rPr>
        <w:t xml:space="preserve"> </w:t>
      </w:r>
    </w:p>
    <w:p w14:paraId="01BAFD10" w14:textId="4007401C" w:rsidR="000F778D" w:rsidRPr="000E152E" w:rsidRDefault="000F778D" w:rsidP="00D81EA8">
      <w:pPr>
        <w:pStyle w:val="TEKSTIIII"/>
      </w:pPr>
      <w:r w:rsidRPr="000E152E">
        <w:lastRenderedPageBreak/>
        <w:t>Barra fiskale nga të ardhurat e punës e shprehur si raport ndërmjet kostove të punës për punëdhënësin dhe pagës neto që përfiton punëmarrësi, veçanërisht në rastin e pagave të ulëta, mund të ofrojë stimuj që i punësuari të qëndrojë jashtë punësimit formal. Në Shqipëri niveli i barrës fiskale nga të ardhurat e punës mbi pagat mesatare, në vitin 2021, ishte rreth 30 për</w:t>
      </w:r>
      <w:r w:rsidR="00610117">
        <w:t xml:space="preserve"> </w:t>
      </w:r>
      <w:r w:rsidRPr="000E152E">
        <w:t>qind</w:t>
      </w:r>
      <w:r w:rsidRPr="000E152E">
        <w:rPr>
          <w:vertAlign w:val="superscript"/>
        </w:rPr>
        <w:footnoteReference w:id="52"/>
      </w:r>
      <w:r w:rsidRPr="000E152E">
        <w:t xml:space="preserve"> që është i lartë për një vend me të ardhura mesatare, por relativisht i ulët, në krahasim me vendet me të ardhura të larta. Për Shqipërinë, rënia e nivelit të barrës fiskale nga të ardhurat e punës, në rastin e punëmarrësve me të ardhura të ulëta ndodh kryesisht për shkak të normës së ulët të kontributeve të sigurimeve shoqërore. </w:t>
      </w:r>
    </w:p>
    <w:p w14:paraId="01BAFD11" w14:textId="713357EC" w:rsidR="000F778D" w:rsidRPr="000E152E" w:rsidRDefault="000F778D" w:rsidP="00D81EA8">
      <w:pPr>
        <w:pStyle w:val="TEKSTIIII"/>
      </w:pPr>
      <w:r w:rsidRPr="000E152E">
        <w:t>Ndaj, për të kuptuar më qartë ndikimin dhe efektet, duhen kryer analiza më të detajuara, si dhe të analizohet ndikimi fiskal për të identifikuar alternativa të ndryshme politikash për të ulur nivelin e taksimit të krahut të punës, veçanërisht normat e kontributeve për sigurimeve shoqërore për punonjësit me paga të ulëta</w:t>
      </w:r>
      <w:r w:rsidR="000912AA" w:rsidRPr="000E152E">
        <w:t>.</w:t>
      </w:r>
    </w:p>
    <w:p w14:paraId="01BAFD12" w14:textId="1F7AAB38" w:rsidR="000912AA" w:rsidRPr="00610117" w:rsidRDefault="00610117" w:rsidP="000912AA">
      <w:pPr>
        <w:pStyle w:val="TEKSTIIII"/>
      </w:pPr>
      <w:bookmarkStart w:id="28" w:name="_Toc123165416"/>
      <w:r w:rsidRPr="00610117">
        <w:t>III. VIZIONI, SHTYLLAT OSE FUSHAT STRATEGJIKE DHE QËLLIMET E POLITIKAVE</w:t>
      </w:r>
      <w:bookmarkEnd w:id="28"/>
    </w:p>
    <w:p w14:paraId="01BAFD13" w14:textId="77777777" w:rsidR="000912AA" w:rsidRPr="000E152E" w:rsidRDefault="0093486C" w:rsidP="000912AA">
      <w:pPr>
        <w:pStyle w:val="TEKSTIIII"/>
        <w:rPr>
          <w:b/>
        </w:rPr>
      </w:pPr>
      <w:bookmarkStart w:id="29" w:name="_Toc119598195"/>
      <w:bookmarkStart w:id="30" w:name="_Toc123165417"/>
      <w:r w:rsidRPr="000E152E">
        <w:rPr>
          <w:b/>
        </w:rPr>
        <w:t xml:space="preserve">3.1 </w:t>
      </w:r>
      <w:r w:rsidR="000912AA" w:rsidRPr="000E152E">
        <w:rPr>
          <w:b/>
        </w:rPr>
        <w:t>Vizioni</w:t>
      </w:r>
      <w:bookmarkEnd w:id="29"/>
      <w:bookmarkEnd w:id="30"/>
    </w:p>
    <w:p w14:paraId="01BAFD14" w14:textId="77777777" w:rsidR="000912AA" w:rsidRPr="000E152E" w:rsidRDefault="000912AA" w:rsidP="000912AA">
      <w:pPr>
        <w:pStyle w:val="TEKSTIIII"/>
        <w:rPr>
          <w:i/>
        </w:rPr>
      </w:pPr>
      <w:r w:rsidRPr="000E152E">
        <w:rPr>
          <w:i/>
        </w:rPr>
        <w:t>Punësim cilësor dhe aftësim gjatë të gjithë jetës për të gjithë.</w:t>
      </w:r>
    </w:p>
    <w:p w14:paraId="01BAFD15" w14:textId="77777777" w:rsidR="000912AA" w:rsidRPr="000E152E" w:rsidRDefault="0093486C" w:rsidP="000912AA">
      <w:pPr>
        <w:pStyle w:val="TEKSTIIII"/>
      </w:pPr>
      <w:bookmarkStart w:id="31" w:name="_Toc119598196"/>
      <w:bookmarkStart w:id="32" w:name="_Toc123165418"/>
      <w:r w:rsidRPr="000E152E">
        <w:t xml:space="preserve">3.2 </w:t>
      </w:r>
      <w:r w:rsidR="000912AA" w:rsidRPr="000E152E">
        <w:t>Qëllimet e politikës</w:t>
      </w:r>
      <w:bookmarkEnd w:id="31"/>
      <w:bookmarkEnd w:id="32"/>
    </w:p>
    <w:p w14:paraId="01BAFD16" w14:textId="77777777" w:rsidR="000912AA" w:rsidRPr="000E152E" w:rsidRDefault="0093486C" w:rsidP="0093486C">
      <w:pPr>
        <w:pStyle w:val="TEKSTIIII"/>
      </w:pPr>
      <w:bookmarkStart w:id="33" w:name="_Toc123165419"/>
      <w:bookmarkStart w:id="34" w:name="_Toc119598197"/>
      <w:r w:rsidRPr="000E152E">
        <w:t xml:space="preserve">3.2.1 </w:t>
      </w:r>
      <w:r w:rsidR="000912AA" w:rsidRPr="000E152E">
        <w:t>Qëllimi i politikës 1: Zhvillimi i aftësive dhe lidhje më e mirë e kërkesës me ofertën në tregun e punës për më shumë punësim</w:t>
      </w:r>
      <w:bookmarkEnd w:id="33"/>
      <w:r w:rsidR="000912AA" w:rsidRPr="000E152E">
        <w:t xml:space="preserve"> </w:t>
      </w:r>
      <w:bookmarkEnd w:id="34"/>
    </w:p>
    <w:p w14:paraId="01BAFD17" w14:textId="77777777" w:rsidR="000912AA" w:rsidRPr="00A42F55" w:rsidRDefault="000912AA" w:rsidP="0093486C">
      <w:pPr>
        <w:pStyle w:val="TEKSTIIII"/>
      </w:pPr>
      <w:r w:rsidRPr="00A42F55">
        <w:t xml:space="preserve">Objektivi strategjik 1.1: Reduktimi i mospërputhjes së aftësive për të gjitha profesionet </w:t>
      </w:r>
    </w:p>
    <w:p w14:paraId="01BAFD18" w14:textId="77777777" w:rsidR="000912AA" w:rsidRPr="00A42F55" w:rsidRDefault="000912AA" w:rsidP="0093486C">
      <w:pPr>
        <w:pStyle w:val="TEKSTIIII"/>
      </w:pPr>
      <w:r w:rsidRPr="00A42F55">
        <w:t>Objektivi strategjik 1.2: Rritja e nivelit të aftësive të grave dhe burrave në moshë pune</w:t>
      </w:r>
    </w:p>
    <w:p w14:paraId="01BAFD19" w14:textId="77777777" w:rsidR="000912AA" w:rsidRPr="000E152E" w:rsidRDefault="000912AA" w:rsidP="0093486C">
      <w:pPr>
        <w:pStyle w:val="TEKSTIIII"/>
      </w:pPr>
      <w:r w:rsidRPr="00A42F55">
        <w:t>Objektivi strategjik 1.3:</w:t>
      </w:r>
      <w:r w:rsidRPr="000E152E">
        <w:t xml:space="preserve"> Funksionimi më i mirë i tregut të punës për të gjithë</w:t>
      </w:r>
    </w:p>
    <w:p w14:paraId="01BAFD1A" w14:textId="77777777" w:rsidR="000912AA" w:rsidRPr="000E152E" w:rsidRDefault="000912AA" w:rsidP="0093486C">
      <w:pPr>
        <w:pStyle w:val="TEKSTIIII"/>
      </w:pPr>
      <w:r w:rsidRPr="000E152E">
        <w:rPr>
          <w:b/>
          <w:bCs/>
        </w:rPr>
        <w:t>Masat prioritare</w:t>
      </w:r>
      <w:r w:rsidRPr="000E152E">
        <w:rPr>
          <w:rStyle w:val="apple-converted-space"/>
          <w:rFonts w:ascii="Calibri" w:hAnsi="Calibri" w:cs="Calibri"/>
        </w:rPr>
        <w:t xml:space="preserve"> </w:t>
      </w:r>
      <w:r w:rsidRPr="000E152E">
        <w:t>që do të kontribuojnë në arritjen e objektivave specifike/strategjike janë:</w:t>
      </w:r>
    </w:p>
    <w:p w14:paraId="01BAFD1B" w14:textId="77777777" w:rsidR="000912AA" w:rsidRPr="000E152E" w:rsidRDefault="000912AA" w:rsidP="0093486C">
      <w:pPr>
        <w:pStyle w:val="TEKSTIIII"/>
        <w:rPr>
          <w:b/>
        </w:rPr>
      </w:pPr>
      <w:bookmarkStart w:id="35" w:name="_Toc119598198"/>
      <w:r w:rsidRPr="000E152E">
        <w:rPr>
          <w:b/>
        </w:rPr>
        <w:t>1. Zhvillimi i ofertës së AFP-së më relevant, fleksibël, qeverisur bazuar në fakte e që garanton vijueshmëri</w:t>
      </w:r>
      <w:bookmarkEnd w:id="35"/>
    </w:p>
    <w:p w14:paraId="01BAFD1C" w14:textId="77777777" w:rsidR="000912AA" w:rsidRPr="000E152E" w:rsidRDefault="000912AA" w:rsidP="0093486C">
      <w:pPr>
        <w:pStyle w:val="TEKSTIIII"/>
      </w:pPr>
      <w:r w:rsidRPr="000E152E">
        <w:t xml:space="preserve">Informacioni i nxjerrë nga sistemi i inteligjencës së aftësive do të përdoret për përshtatjen dhe përditësimin e ofertës së AFP-së dhe zgjerimin e ofertës së AFP-së pas të mesmes. Ky proces do të realizohet nëpërmjet një metodologjie që kombinon informacionin e tregut të punës dhe analizën e nevojave për aftësi me zhvillimin dhe zbatimin e Kornizës Shqiptare të Kualifikimeve. Në këtë kuadër do të vijojë zhvillimi dhe zbatimi i mëtejshëm i KSHK-së / Katalogut Kombëtar të Kualifikimeve Profesionale, nëpërmjet hartimit të kualifikimeve të reja profesionale apo përditësimit të atyre ekzistuese. </w:t>
      </w:r>
    </w:p>
    <w:p w14:paraId="01BAFD1D" w14:textId="4ACB148B" w:rsidR="000912AA" w:rsidRPr="000E152E" w:rsidRDefault="000912AA" w:rsidP="0093486C">
      <w:pPr>
        <w:pStyle w:val="TEKSTIIII"/>
      </w:pPr>
      <w:r w:rsidRPr="000E152E">
        <w:t>Vëmendje e veçantë do t</w:t>
      </w:r>
      <w:r w:rsidR="009330F6">
        <w:t>’</w:t>
      </w:r>
      <w:r w:rsidRPr="000E152E">
        <w:t xml:space="preserve">i kushtohet integrimit të të nxënit nëpërmjet punës në të gjitha programet e AFP-së të të gjitha niveleve. </w:t>
      </w:r>
    </w:p>
    <w:p w14:paraId="01BAFD1E" w14:textId="0BE481F3" w:rsidR="000912AA" w:rsidRPr="000E152E" w:rsidRDefault="000912AA" w:rsidP="0093486C">
      <w:pPr>
        <w:pStyle w:val="TEKSTIIII"/>
      </w:pPr>
      <w:r w:rsidRPr="000E152E">
        <w:t>Me qëllim rritjen e interesit dhe përshtatjen e sistemit të AFP-së për të rinjtë dhe të rriturit, si pjesë e ekosistemit të të nxënit gjatë gjithë jetës, sistemi i AFP-së do të garantojë vijueshmëri në ofrimin e programeve të arsimit të mesëm profesional me kohë të pjesshme, në forma hibride, si dhe në ofrimin e programeve të AFP-së pas të mesmes. Në një periudhë afatmesme do të rishikohet oferta aktuale e AFP-së për t</w:t>
      </w:r>
      <w:r w:rsidR="009330F6">
        <w:t>’</w:t>
      </w:r>
      <w:r w:rsidRPr="000E152E">
        <w:t>u përshtatur nga perspektiva e kohëzgjatjes, vendit, burimeve, formave të organizimit dhe zbatimit. Do të përdoren qasje të tilla, që rrisin pjesëmarrjen e të rriturve në përputhje me nevojat e tyre.</w:t>
      </w:r>
    </w:p>
    <w:p w14:paraId="01BAFD1F" w14:textId="3D19CD9D" w:rsidR="000912AA" w:rsidRPr="000E152E" w:rsidRDefault="000912AA" w:rsidP="0093486C">
      <w:pPr>
        <w:pStyle w:val="TEKSTIIII"/>
      </w:pPr>
      <w:r w:rsidRPr="000E152E">
        <w:t>Në fazën e parë të zbatimit të strategjisë do të përfundojë riorganizimi i ofruesve të AFP-së sipas planit të optimizimit të rrjetit të ofruesve publikë dhe në përputhje me zhvillimin e ekosistemit, si dhe do të ndërmerren veprime për rritjen e autonomisë së ofruesve publikë të AFP-së. Për këtë qëllim, do të rishikohet metodologjia e alokimit dhe disbursimit të buxhetit, me qëllim shpërndarjen optimale të mekanizmave financiar</w:t>
      </w:r>
      <w:r w:rsidR="003329B6">
        <w:t>ë</w:t>
      </w:r>
      <w:r w:rsidRPr="000E152E">
        <w:t xml:space="preserve"> për ofruesit publikë të AFP-së, por edhe për t</w:t>
      </w:r>
      <w:r w:rsidR="009330F6">
        <w:t>’</w:t>
      </w:r>
      <w:r w:rsidRPr="000E152E">
        <w:t xml:space="preserve">i nxitur ata të kërkojnë burime të tjera të gjenerimit të të ardhurave për të adresuar </w:t>
      </w:r>
      <w:r w:rsidRPr="000E152E">
        <w:lastRenderedPageBreak/>
        <w:t>mangësitë në infrastrukturë, teknologji moderne dhe metoda inovative të mësimdhënies e mësimnxënies.</w:t>
      </w:r>
      <w:r w:rsidR="000E152E" w:rsidRPr="000E152E">
        <w:t xml:space="preserve"> </w:t>
      </w:r>
    </w:p>
    <w:p w14:paraId="01BAFD20" w14:textId="77777777" w:rsidR="000912AA" w:rsidRPr="000E152E" w:rsidRDefault="000912AA" w:rsidP="0093486C">
      <w:pPr>
        <w:pStyle w:val="TEKSTIIII"/>
        <w:rPr>
          <w:b/>
        </w:rPr>
      </w:pPr>
      <w:bookmarkStart w:id="36" w:name="_Toc119598199"/>
      <w:r w:rsidRPr="000E152E">
        <w:rPr>
          <w:b/>
        </w:rPr>
        <w:t>2. Forcimi i mekanizmave të garantimit dhe zhvillimit të cilësisë në sistemin e AFP-së</w:t>
      </w:r>
      <w:bookmarkEnd w:id="36"/>
    </w:p>
    <w:p w14:paraId="01BAFD21" w14:textId="17E6717B" w:rsidR="000912AA" w:rsidRPr="000E152E" w:rsidRDefault="000912AA" w:rsidP="0093486C">
      <w:pPr>
        <w:pStyle w:val="TEKSTIIII"/>
      </w:pPr>
      <w:r w:rsidRPr="000E152E">
        <w:t>Rritja e rëndësisë dhe interesit për të ndjekur AFP-në arrihen nëpërmjet zbatimit dhe zhvillimit të mëtejshëm të kornizës dhe mekanizmave të garantimit të cilësisë, duke përfshirë</w:t>
      </w:r>
      <w:r w:rsidR="00013983">
        <w:t>:</w:t>
      </w:r>
      <w:r w:rsidRPr="000E152E">
        <w:t xml:space="preserve"> (i) zhvillimin e kualifikimeve profesionale bazuar në metodologji që mbështeten te rezultatet e të nxënit dhe në kontributin e sektorit privat; (ii) zbatimin e vetëvlerësimit si instrument plotësues dhe efektiv për identifikimin e fushave për përmirësim (përfshirë gatishmërinë institucionale për digjitalizim); (iii) zbatimin e plotë të procesit të akreditimit për të gjithë ofruesit publikë të AFP-së, akreditimin e ofruesve privatë, që ofrojnë kualifikime profesionale të niveleve 2-5 të KSHK-së, si dhe akreditimin e qendrave të njohjes së të nxënit të mëparshëm joformal dhe informal; (iv) zhvillimin e qasjes dhe modelit të inspektimit, përfshirë inspektimin në AFP</w:t>
      </w:r>
      <w:r w:rsidR="00610117">
        <w:t>,</w:t>
      </w:r>
      <w:r w:rsidRPr="000E152E">
        <w:t xml:space="preserve"> si dhe (v) zbatimin e kornizës së monitorimit dhe vlerësimit të ofruesëve publikë të AFP-së. </w:t>
      </w:r>
    </w:p>
    <w:p w14:paraId="01BAFD22" w14:textId="77777777" w:rsidR="000912AA" w:rsidRPr="000E152E" w:rsidRDefault="000912AA" w:rsidP="0093486C">
      <w:pPr>
        <w:pStyle w:val="TEKSTIIII"/>
      </w:pPr>
      <w:r w:rsidRPr="000E152E">
        <w:t xml:space="preserve">Të gjitha elementet dhe mekanizmat e zhvillimit dhe garantimit të cilësisë do të jenë të harmonizuara dhe do të bazohen në të njëjtat parime e standarde. Kjo do të rrisë ndjeshëm cilësinë dhe rëndësinë e ofertës së AFP-së. Me qëllim rritjen e interesit te të rinjtë dhe të rriturit, si pjesë e ekosistemit të të nxënit gjatë gjithë jetës, sistemi i AFP-së (fillestar dhe i vazhduar) do të ofrojë përshtatshmëri dhe sigurojë vijueshmëri, nëpërmjet ofrimit të programeve të AFP-së në mjedise inovative të të nxënit (digjitale dhe të kombinuara) me infrastrukturë, pajisje dhe teknologji. </w:t>
      </w:r>
    </w:p>
    <w:p w14:paraId="01BAFD23" w14:textId="77777777" w:rsidR="000912AA" w:rsidRPr="000E152E" w:rsidRDefault="000912AA" w:rsidP="0093486C">
      <w:pPr>
        <w:pStyle w:val="TEKSTIIII"/>
      </w:pPr>
      <w:r w:rsidRPr="000E152E">
        <w:t xml:space="preserve">Do të zhvillohet e lëvrohet sistemi për zhvillimin e kapaciteteve të mësimdhënësve dhe njësive të zhvillimit, me mekanizma të kualifikimit fillestar dhe zhvillimit të vazhduar profesional të mësimdhënësve, për të përmirësuar aftësitë teknike (profesionale) dhe digjitale, në shërbim të mësimdhënies cilësore. Këto sisteme do të shoqërohen me politika mbështetëse për rekrutimin e personelit mësimdhënës. Gjithashtu, do të zhvillohen mekanizma për ngritje kapacitetesh të stafeve drejtuese dhe mbështetëse për ofruesit publik të AFP-së. </w:t>
      </w:r>
    </w:p>
    <w:p w14:paraId="01BAFD24" w14:textId="77777777" w:rsidR="000912AA" w:rsidRPr="000E152E" w:rsidRDefault="000912AA" w:rsidP="0093486C">
      <w:pPr>
        <w:pStyle w:val="TEKSTIIII"/>
        <w:rPr>
          <w:b/>
        </w:rPr>
      </w:pPr>
      <w:bookmarkStart w:id="37" w:name="_Toc119598200"/>
      <w:r w:rsidRPr="000E152E">
        <w:rPr>
          <w:b/>
        </w:rPr>
        <w:t>3. Përfshirja në mënyrë sistemike dhe sistematike e sektorit privat në qeverisjen, zhvillimin dhe ofrimin e AFP-së</w:t>
      </w:r>
      <w:bookmarkEnd w:id="37"/>
      <w:r w:rsidRPr="000E152E">
        <w:rPr>
          <w:b/>
        </w:rPr>
        <w:t xml:space="preserve"> </w:t>
      </w:r>
    </w:p>
    <w:p w14:paraId="01BAFD25" w14:textId="7E9B6D0C" w:rsidR="000912AA" w:rsidRPr="000E152E" w:rsidRDefault="000912AA" w:rsidP="0026587C">
      <w:pPr>
        <w:pStyle w:val="TEKSTIIII"/>
      </w:pPr>
      <w:r w:rsidRPr="000E152E">
        <w:t>Angazhimi i sektorit privat është domosdoshmëri për sistemin e AFP-së, që t</w:t>
      </w:r>
      <w:r w:rsidR="009330F6">
        <w:t>’</w:t>
      </w:r>
      <w:r w:rsidRPr="000E152E">
        <w:t>u përgjigjet si duhet nevojave të tregut të punës për aftësi. Angazhimi i sektorit privat do të shihet në disa nivele. Niveli i parë lidhet me përfshirjen e sektorit privat në ofrimin e AFP-së, ku prioritet do t</w:t>
      </w:r>
      <w:r w:rsidR="009330F6">
        <w:t>’</w:t>
      </w:r>
      <w:r w:rsidRPr="000E152E">
        <w:t>i jepet a) forcimit të rolit vendimmarrës të përfaqësuesve të sektorit privat në bordet drejtuese të ofruesëve publikë të AFP-së; b)</w:t>
      </w:r>
      <w:r w:rsidR="000E152E" w:rsidRPr="000E152E">
        <w:t xml:space="preserve"> </w:t>
      </w:r>
      <w:r w:rsidRPr="000E152E">
        <w:t xml:space="preserve">formalizimit të strukturave të bashkëpunimit me bizneset për ofrimin e mësimit të bazuar në punë (praktikë në punë dhe/ose edukimi dual); c) krijimit të </w:t>
      </w:r>
      <w:r w:rsidRPr="000E152E">
        <w:rPr>
          <w:iCs/>
        </w:rPr>
        <w:t xml:space="preserve">grupimeve </w:t>
      </w:r>
      <w:r w:rsidRPr="000E152E">
        <w:rPr>
          <w:i/>
        </w:rPr>
        <w:t xml:space="preserve">(clusters) </w:t>
      </w:r>
      <w:r w:rsidRPr="000E152E">
        <w:t xml:space="preserve">të bashkëpunimit të ofruesve të AFP-së me biznese pararojë në sektorë të caktuar të ekonomisë; d) ngritjen e kapaciteteve të bizneseve për zbatimin e mësimit të bazuar në punë; e) ekspozimin dhe trajnimin në vendin e punës të mësimdhënësve të sistemit të AFP-së si dhe f) forcimin e njësive të zhvillimit brenda ofruesit të AFP-së për të ngritur bashkëpunimin me bizneset. </w:t>
      </w:r>
    </w:p>
    <w:p w14:paraId="01BAFD26" w14:textId="71E1BE05" w:rsidR="000912AA" w:rsidRPr="000E152E" w:rsidRDefault="000912AA" w:rsidP="0026587C">
      <w:pPr>
        <w:pStyle w:val="TEKSTIIII"/>
      </w:pPr>
      <w:r w:rsidRPr="000E152E">
        <w:t>Niveli i dytë përfshin angazhimin e sektorit privat në zhvillimin e ofertës së AFP-së nëpërmjet a) Komiteteve të Aftësive Sektoriale, ku kontributi i bizneseve do të përdoret në përshtatjen e përmbajtjes së AFP-së dhe programeve të trajnimit duke përfshirë zhvillimin dhe validimin e standardeve profesionale në sektorët prioritarë; b) krijimit të kanaleve të reja të komunikimit me sektorin privat në mbështetje të promovimit të sistemit të AFP-së dhe angazhimit të kompanive në zbatimin e praktikave profesionale. Në nivel makro do të aktivizohen komitetet dhe këshillat statutorë tr</w:t>
      </w:r>
      <w:r w:rsidR="00AD4982">
        <w:t>e</w:t>
      </w:r>
      <w:r w:rsidRPr="000E152E">
        <w:t xml:space="preserve">palësh për të lehtësuar kontributin aktiv të komunitetit të biznesit dhe partnerëve socialë në reformën e AFP-së. Për të siguruar mundësi cilësore të të nxënit në vendin e punës për nxënësit, do të harmonizohen e konsolidohen mekanizmat e sigurimit të cilësisë që përcaktojnë standardet minimale për të garantuar arritjen e rezultateve të të nxënit, së bashku me standardizimin e mekanizmave të zbatimit të të nxënit në vendin e punës, bazuar në përvojat e </w:t>
      </w:r>
      <w:r w:rsidRPr="000E152E">
        <w:lastRenderedPageBreak/>
        <w:t xml:space="preserve">suksesshme fillestare nga të gjithë aktorët e përfshirë, sipas roleve dhe përgjegjësive të përcaktuara në legjislacionin për AFP-në. </w:t>
      </w:r>
    </w:p>
    <w:p w14:paraId="01BAFD27" w14:textId="77777777" w:rsidR="000912AA" w:rsidRPr="000E152E" w:rsidRDefault="000912AA" w:rsidP="0026587C">
      <w:pPr>
        <w:pStyle w:val="TEKSTIIII"/>
      </w:pPr>
      <w:r w:rsidRPr="000E152E">
        <w:t>Për të arritur angazhimin e sektorit privat në nivele të ndryshme të AFP-së do të planifikohen e zbatohen fushata informimi e ndërgjegjësimi, instrumente mbështetëse dhe motivuese, si dhe aktivitete të zhvillimit të kapaciteteve të biznesit sipas roleve specifike që ai ka në lëvrimin e AFP-së.</w:t>
      </w:r>
    </w:p>
    <w:p w14:paraId="01BAFD28" w14:textId="77777777" w:rsidR="000912AA" w:rsidRPr="000E152E" w:rsidRDefault="000912AA" w:rsidP="0026587C">
      <w:pPr>
        <w:pStyle w:val="TEKSTIIII"/>
        <w:rPr>
          <w:b/>
        </w:rPr>
      </w:pPr>
      <w:bookmarkStart w:id="38" w:name="_Toc119598201"/>
      <w:r w:rsidRPr="000E152E">
        <w:rPr>
          <w:b/>
        </w:rPr>
        <w:t xml:space="preserve">4. Nxitja e mundësive gjithëpërfshirëse për të nxënit </w:t>
      </w:r>
      <w:bookmarkEnd w:id="38"/>
      <w:r w:rsidRPr="000E152E">
        <w:rPr>
          <w:b/>
        </w:rPr>
        <w:t>gjatë gjithë jetës</w:t>
      </w:r>
    </w:p>
    <w:p w14:paraId="01BAFD29" w14:textId="18FEFD15" w:rsidR="000912AA" w:rsidRPr="000E152E" w:rsidRDefault="000912AA" w:rsidP="0026587C">
      <w:pPr>
        <w:pStyle w:val="TEKSTIIII"/>
      </w:pPr>
      <w:r w:rsidRPr="000E152E">
        <w:t xml:space="preserve">Kjo masë prioritare do të synojë të përmirësojë ofrimin dhe përdorimin e mundësive të të nxënit gjatë gjithë jetës. Së pari, do të analizohet niveli i aftësive të të rriturve në Shqipëri për të zhvilluar e ofruar paketa të përshtatura sipas nevojës. Bazuar në këto analiza dhe prioritete të zhvillimit social dhe ekonomik do të reformohet oferta e të nxënit gjatë gjithë jetës, duke diversifikuar ofertën publike të formimit profesional dhe aftësive për jetën, duke mbështetur zhvillimin e ofertës private të të nxënit gjatë gjithë jetës, si dhe duke angazhuar sektorin privat si ofrues të zhvillimit të aftësive. Në bashkëpunim mes partnerëve publikë dhe privatë do të zhvillohen platforma </w:t>
      </w:r>
      <w:r w:rsidRPr="00AD4982">
        <w:rPr>
          <w:i/>
        </w:rPr>
        <w:t>e-learning</w:t>
      </w:r>
      <w:r w:rsidRPr="000E152E">
        <w:t xml:space="preserve"> të të nxënit të të rriturve. Në fokus të diversifikimit të ofertës së të nxënit për të rriturit dhe vajzat, me një perspektivë me ndjeshmëri gjinore, do të jenë zhvillimi i aftësive për tranzicionin e dyfishtë (aftësitë e gjelbra dhe digjitale), si dhe rritja e aftësive në sektorët ekonomikë me vlerë të shtuar. Në këtë kontekst, vëmendje e veçantë do t</w:t>
      </w:r>
      <w:r w:rsidR="009330F6">
        <w:t>’</w:t>
      </w:r>
      <w:r w:rsidRPr="000E152E">
        <w:t>u kushtohet masave të rikualifikimit dhe ngritjes së aftësive të punonjësve duke bashkëpunuar me bizneset, siç parashikohet edhe në Strategjinë e Zhvillimit të Biznesit dhe Investimeve 2021</w:t>
      </w:r>
      <w:r w:rsidR="00AD4982">
        <w:t>–</w:t>
      </w:r>
      <w:r w:rsidRPr="000E152E">
        <w:t xml:space="preserve">2027. </w:t>
      </w:r>
    </w:p>
    <w:p w14:paraId="01BAFD2A" w14:textId="7E9C3BD2" w:rsidR="000912AA" w:rsidRPr="000E152E" w:rsidRDefault="000912AA" w:rsidP="0026587C">
      <w:pPr>
        <w:pStyle w:val="TEKSTIIII"/>
      </w:pPr>
      <w:r w:rsidRPr="000E152E">
        <w:t>Në vijim, me qëllim rritjen e pjesëmarrjes në këto oferta, fokusi i punës do të jetë në promovimin e të nxënit gjatë gjithë jetës te qytetarët, ngritjes së këshillimit të karrierës për të mbështetur kulturën e të nxënit gjatë gjithë jetës që në moshë të hershme, dhe rritjen e aksesit të të rriturve në trajnim, nëpërmjet zbatimit të qasjes së mikrokredencialeve</w:t>
      </w:r>
      <w:r w:rsidRPr="000E152E">
        <w:rPr>
          <w:rStyle w:val="FootnoteReference"/>
          <w:rFonts w:ascii="Calibri" w:hAnsi="Calibri" w:cs="Calibri"/>
          <w:szCs w:val="22"/>
        </w:rPr>
        <w:footnoteReference w:id="53"/>
      </w:r>
      <w:r w:rsidRPr="000E152E">
        <w:t xml:space="preserve">, eksplorimit të qasjeve për financim siç janë llogaritë individuale të të nxënit, modularizimit dhe përfshirjes në </w:t>
      </w:r>
      <w:r w:rsidR="00EC635C" w:rsidRPr="000E152E">
        <w:t xml:space="preserve">KSHK </w:t>
      </w:r>
      <w:r w:rsidRPr="000E152E">
        <w:t xml:space="preserve">të kualifikimeve gjatë gjithë jetës, përfshirë edhe kurset e formimit profesional. </w:t>
      </w:r>
    </w:p>
    <w:p w14:paraId="01BAFD2B" w14:textId="77777777" w:rsidR="000912AA" w:rsidRPr="000E152E" w:rsidRDefault="000912AA" w:rsidP="0026587C">
      <w:pPr>
        <w:pStyle w:val="TEKSTIIII"/>
        <w:rPr>
          <w:b/>
        </w:rPr>
      </w:pPr>
      <w:r w:rsidRPr="000E152E">
        <w:rPr>
          <w:b/>
        </w:rPr>
        <w:t>5. Njohja e të nxënit të mëparshëm joformal dhe informal</w:t>
      </w:r>
    </w:p>
    <w:p w14:paraId="01BAFD2C" w14:textId="0A16BC59" w:rsidR="000912AA" w:rsidRPr="000E152E" w:rsidRDefault="000912AA" w:rsidP="0026587C">
      <w:pPr>
        <w:pStyle w:val="TEKSTIIII"/>
      </w:pPr>
      <w:r w:rsidRPr="000E152E">
        <w:t>Njohja e të nxënit të mëparshëm joformal dhe informal synon t</w:t>
      </w:r>
      <w:r w:rsidR="009330F6">
        <w:t>’</w:t>
      </w:r>
      <w:r w:rsidRPr="000E152E">
        <w:t>u japë vlerë njohurive, shprehive dhe kompetencave të individit, për të mundësuar punësim ose pjesëmarrje në procese të mëtejshme të të nxëni. Bazuar në kornizën ligjore për arsimin dhe formimin profesional dhe Kornizën Shqiptare të Kualifikimeve, institucionet do të ngrenë sistemin e njohjes së të nxënit të mëparshëm joformal dhe informal. Plotësimi i kuadrit ligjor do të kryhet paralelisht dhe do t</w:t>
      </w:r>
      <w:r w:rsidR="009330F6">
        <w:t>’</w:t>
      </w:r>
      <w:r w:rsidRPr="000E152E">
        <w:t xml:space="preserve">i shërbejë organizimit dhe zbatimit të të gjitha fazave të procesit të njohjes së të nxënit të mëparshëm: identifikimit, dokumentimit, vlerësimit dhe certifikimit të njohurive, shprehive dhe kompetencave (rezultateve të të nxënit). Njëkohësisht, do të mbështetet procesi i zbatimit nëpërmjet përcaktimit të modaliteteve të financimit, duke konsideruar mundësi për të nxitur ndërmarrjet private ose individët për të investuar, nëpërmjet angazhimit të burimeve të duhura njerëzore të, krijimit dhe ngritjes së kapaciteteve të profesionistëve, si dhe mbështetjen e individëve që do të marrin pjesë në procesin e njohjes së të nxënit të mëparshëm. </w:t>
      </w:r>
    </w:p>
    <w:p w14:paraId="01BAFD2D" w14:textId="77777777" w:rsidR="000912AA" w:rsidRPr="000E152E" w:rsidRDefault="000912AA" w:rsidP="0026587C">
      <w:pPr>
        <w:pStyle w:val="TEKSTIIII"/>
      </w:pPr>
      <w:r w:rsidRPr="000E152E">
        <w:t xml:space="preserve">Ndërgjegjësimi dhe informimi për njohjen e të nxënit të mëparshëm joformal dhe informal do të jetë pjesë e promovimit të të nxënit gjatë gjithë jetës, që do të realizohet edhe nëpërmjet fushatave të posaçme të komunikimit e informimit. </w:t>
      </w:r>
    </w:p>
    <w:p w14:paraId="01BAFD2E" w14:textId="77777777" w:rsidR="000912AA" w:rsidRPr="000E152E" w:rsidRDefault="000912AA" w:rsidP="0026587C">
      <w:pPr>
        <w:pStyle w:val="TEKSTIIII"/>
      </w:pPr>
      <w:r w:rsidRPr="000E152E">
        <w:t>Mekanizmat e garantimit dhe zhvillimit të cilësisë do të ndërtohen në bazë të kornizës së garantimit të cilësisë në AFP, duke pasur parasysh specifikën e procesit të njohjes së të nxënit të mëparshëm.</w:t>
      </w:r>
    </w:p>
    <w:p w14:paraId="01BAFD2F" w14:textId="77777777" w:rsidR="000912AA" w:rsidRPr="000E152E" w:rsidRDefault="000912AA" w:rsidP="0026587C">
      <w:pPr>
        <w:pStyle w:val="TEKSTIIII"/>
        <w:rPr>
          <w:b/>
        </w:rPr>
      </w:pPr>
      <w:bookmarkStart w:id="39" w:name="_Toc119598202"/>
      <w:r w:rsidRPr="000E152E">
        <w:rPr>
          <w:b/>
        </w:rPr>
        <w:t>6. Transformimi digjital i shërbimeve të punësimit dhe i sistemit të AFP-së</w:t>
      </w:r>
      <w:bookmarkEnd w:id="39"/>
    </w:p>
    <w:p w14:paraId="01BAFD30" w14:textId="71A25D13" w:rsidR="000912AA" w:rsidRPr="000E152E" w:rsidRDefault="000912AA" w:rsidP="0026587C">
      <w:pPr>
        <w:pStyle w:val="TEKSTIIII"/>
      </w:pPr>
      <w:r w:rsidRPr="000E152E">
        <w:lastRenderedPageBreak/>
        <w:t xml:space="preserve">Kjo masë prioritare do të sigurojë që shërbimet digjitale për punësim dhe AFP janë të disponueshme dhe këto shërbime përdoren nga punëkërkuesit, punëdhënësit, nxënësit/kursantët e AFP-së dhe ofruesit e AFP-së. Për këtë gjë, institucionet do të vijojnë përpjekjet për digjitalizimin e proceseve të brendshme, produkteve digjitale për klientët dhe ndërlidhjen e sistemeve, në linjë edhe me platformat </w:t>
      </w:r>
      <w:r w:rsidR="004A4C41">
        <w:t>ev</w:t>
      </w:r>
      <w:r w:rsidRPr="000E152E">
        <w:t xml:space="preserve">ropiane, si EURES. </w:t>
      </w:r>
    </w:p>
    <w:p w14:paraId="01BAFD31" w14:textId="77777777" w:rsidR="000912AA" w:rsidRPr="000E152E" w:rsidRDefault="000912AA" w:rsidP="0026587C">
      <w:pPr>
        <w:pStyle w:val="TEKSTIIII"/>
      </w:pPr>
      <w:r w:rsidRPr="000E152E">
        <w:t xml:space="preserve">Institucionet do të mbështesin digjitalizimin e proceseve dhe shërbimeve të brendshme të punësimit dhe AFP-së si dhe avancimin e sistemeve të informacionit, sigurimin e ndërlidhjes me ofruesit e jashtëm të punësimit dhe AFP-së për të mundësuar që shërbimet e tyre të integrohen në sistem. Kjo do të kërkojë edhe automatizimin e proceseve të punës në ofruesit publikë të shërbimeve të punësimit dhe AFP-së, si dhe proceseve të garantimit të cilësisë. </w:t>
      </w:r>
    </w:p>
    <w:p w14:paraId="01BAFD32" w14:textId="77777777" w:rsidR="000912AA" w:rsidRPr="000E152E" w:rsidRDefault="000912AA" w:rsidP="0026587C">
      <w:pPr>
        <w:pStyle w:val="TEKSTIIII"/>
      </w:pPr>
      <w:r w:rsidRPr="000E152E">
        <w:t>Institucionet do të mbështesin zhvillimin e një game të gjerë produktesh digjitale për punëdhënësin dhe punëkërkuesin, si: regjistrimi dhe shpallja e vendeve të lira të interesit për punë ose praktikë në pune, përputhjet automatike për punësim dhe praktikë profesionale, gjurmimi i punësueshmërisë për shërbime punësimi dhe formimi, orientimi në karrierë, zhvillimi i aftësive të buta duke përfshirë aftësitë themelore digjitale, të cilat mund të aksesohen edhe përmes celularit. Institucionet do të zhvillojnë profile digjitale për punëkërkuesit (CV digjitale), të cilat do të ndihmojnë në optimizimin e modelit të ofrimit të shërbimeve të punësimit.</w:t>
      </w:r>
    </w:p>
    <w:p w14:paraId="01BAFD33" w14:textId="77777777" w:rsidR="000912AA" w:rsidRPr="000E152E" w:rsidRDefault="000912AA" w:rsidP="0026587C">
      <w:pPr>
        <w:pStyle w:val="TEKSTIIII"/>
      </w:pPr>
      <w:r w:rsidRPr="000E152E">
        <w:t xml:space="preserve">Paralelisht, institucionet do të zhvillojnë dhe administrojnë platforma interaktive </w:t>
      </w:r>
      <w:r w:rsidRPr="004A4C41">
        <w:rPr>
          <w:i/>
        </w:rPr>
        <w:t>online</w:t>
      </w:r>
      <w:r w:rsidRPr="000E152E">
        <w:t xml:space="preserve"> të AFP-së dhe do të ofrojnë mbështetje të targetuar të ofruesve të AFP-së për të përmirësuar dhe përforcuar lëvrimin e ofertës së tyre arsimore apo trajnuese në mësimdhënien e kombinuar, mësimin </w:t>
      </w:r>
      <w:r w:rsidRPr="004A4C41">
        <w:rPr>
          <w:i/>
        </w:rPr>
        <w:t>online</w:t>
      </w:r>
      <w:r w:rsidRPr="000E152E">
        <w:t xml:space="preserve">, </w:t>
      </w:r>
      <w:r w:rsidRPr="004A4C41">
        <w:rPr>
          <w:i/>
        </w:rPr>
        <w:t>e-praktika</w:t>
      </w:r>
      <w:r w:rsidRPr="000E152E">
        <w:t xml:space="preserve">. Këto produkte digjitale do të vlerësohen dhe do të zgjerohen gradualisht për përdorim nga të gjithë ofruesit deri në vitin 2030. </w:t>
      </w:r>
    </w:p>
    <w:p w14:paraId="01BAFD34" w14:textId="430D447D" w:rsidR="000912AA" w:rsidRPr="000E152E" w:rsidRDefault="000912AA" w:rsidP="0026587C">
      <w:pPr>
        <w:pStyle w:val="TEKSTIIII"/>
      </w:pPr>
      <w:r w:rsidRPr="000E152E">
        <w:t xml:space="preserve">Për këtë qëllim, ofruesit e AFP-së profesionale do të mbështeten me </w:t>
      </w:r>
      <w:r w:rsidR="004A4C41" w:rsidRPr="000E152E">
        <w:t>infrastrukturën</w:t>
      </w:r>
      <w:r w:rsidRPr="000E152E">
        <w:t xml:space="preserve"> e duhur dhe</w:t>
      </w:r>
      <w:r w:rsidR="000E152E" w:rsidRPr="000E152E">
        <w:t xml:space="preserve"> </w:t>
      </w:r>
      <w:r w:rsidRPr="000E152E">
        <w:t xml:space="preserve">aftësitë e nevojshme didaktike për mësimdhënien e kombinuar dhe zhvillimin e materialeve mësimore digjitale. </w:t>
      </w:r>
    </w:p>
    <w:p w14:paraId="01BAFD35" w14:textId="77777777" w:rsidR="000912AA" w:rsidRPr="000E152E" w:rsidRDefault="000912AA" w:rsidP="0026587C">
      <w:pPr>
        <w:pStyle w:val="TEKSTIIII"/>
        <w:rPr>
          <w:b/>
        </w:rPr>
      </w:pPr>
      <w:bookmarkStart w:id="40" w:name="_Toc119598203"/>
      <w:r w:rsidRPr="000E152E">
        <w:rPr>
          <w:b/>
        </w:rPr>
        <w:t>7. Krijimi i sistemit i inteligjencës së aftësive që prodhon informacion mbi zhvillimet e tregut të punës dhe të AFP-së</w:t>
      </w:r>
      <w:bookmarkEnd w:id="40"/>
      <w:r w:rsidRPr="000E152E">
        <w:rPr>
          <w:b/>
        </w:rPr>
        <w:t xml:space="preserve"> </w:t>
      </w:r>
    </w:p>
    <w:p w14:paraId="01BAFD36" w14:textId="113DA0AC" w:rsidR="000912AA" w:rsidRPr="000E152E" w:rsidRDefault="000912AA" w:rsidP="0026587C">
      <w:pPr>
        <w:pStyle w:val="TEKSTIIII"/>
      </w:pPr>
      <w:r w:rsidRPr="000E152E">
        <w:rPr>
          <w:bCs/>
          <w:iCs/>
        </w:rPr>
        <w:t>Kjo masë prioritare</w:t>
      </w:r>
      <w:r w:rsidRPr="000E152E">
        <w:rPr>
          <w:bCs/>
          <w:i/>
          <w:iCs/>
        </w:rPr>
        <w:t xml:space="preserve"> </w:t>
      </w:r>
      <w:r w:rsidRPr="000E152E">
        <w:t xml:space="preserve">përfshin krijimin dhe zhvillimin gradual të sistemit të inteligjencës së aftësive, nëpërmjet zhvillimit dhe zbatimit të një sistemi të brendshëm të quajtur </w:t>
      </w:r>
      <w:r w:rsidRPr="000E152E">
        <w:rPr>
          <w:bCs/>
        </w:rPr>
        <w:t>Observatori i Informacionit të Tregut të Punës (OITP</w:t>
      </w:r>
      <w:r w:rsidRPr="000E152E">
        <w:t>). OITP do të mbledhë dhe analizojë informacione nga të dhëna administrative, të dhëna nga kërkesa dhe oferta të tregut të punës dhe të dhëna ekonomike nga INSTAT</w:t>
      </w:r>
      <w:r w:rsidR="004A4C41">
        <w:t>-i</w:t>
      </w:r>
      <w:r w:rsidRPr="000E152E">
        <w:t>, DPT</w:t>
      </w:r>
      <w:r w:rsidR="004A4C41">
        <w:t>-ja</w:t>
      </w:r>
      <w:r w:rsidRPr="000E152E">
        <w:t>, AKPA</w:t>
      </w:r>
      <w:r w:rsidR="004A4C41">
        <w:t>-ja</w:t>
      </w:r>
      <w:r w:rsidRPr="000E152E">
        <w:t xml:space="preserve">, institucione të tjera dhe agjenci private punësimi, nëpërmjet analizave sektoriale për aftësi sipas kërkesave të Komiteteve Sektoriale të Aftësive, analizave kombëtare e rajonale të nevojave për aftësi, analiza të efekteve në punësim dhe aftësi të investimeve strategjike, si dhe nëpërmjet organizimit, zhvillimit dhe zbatimit të një mekanizmi për parashikimin e nevojave për aftësi. </w:t>
      </w:r>
    </w:p>
    <w:p w14:paraId="01BAFD37" w14:textId="77777777" w:rsidR="000912AA" w:rsidRPr="000E152E" w:rsidRDefault="000912AA" w:rsidP="0026587C">
      <w:pPr>
        <w:pStyle w:val="TEKSTIIII"/>
      </w:pPr>
      <w:r w:rsidRPr="000E152E">
        <w:t xml:space="preserve">OITP do të gjenerojë informacion mbi aftësitë (teknike dhe të buta) që kërkohen në treg dhe aftësitë që mungojnë në të, por edhe aftësitë që do të kërkohen në të ardhmen e afërt për profesione të ndryshme duke mbështetur nevojat e këshillimit në karrierë. </w:t>
      </w:r>
    </w:p>
    <w:p w14:paraId="01BAFD38" w14:textId="77777777" w:rsidR="000912AA" w:rsidRPr="000E152E" w:rsidRDefault="000912AA" w:rsidP="0026587C">
      <w:pPr>
        <w:pStyle w:val="TEKSTIIII"/>
      </w:pPr>
      <w:r w:rsidRPr="000E152E">
        <w:t>OITP do të ofrojë informacion për profesionet e kërkuara si dhe të japë informacion të rëndësishëm mbi cilësinë dhe rëndësinë e sistemeve të AFP-së, në mënyrë shumë të kuptueshme, të rregullt dhe të përshtatshme jo vetëm për politikëbërësit, në mënyrë që të mundësohet realizimi i politikëbërjes në kohë dhe bazuar në fakte, por edhe për ofruesit e AFP-së dhe publikun e gjerë. OITP do të ofrojë analiza për efektet në punësim të investimeve strategjike.</w:t>
      </w:r>
    </w:p>
    <w:p w14:paraId="01BAFD39" w14:textId="77777777" w:rsidR="000912AA" w:rsidRPr="000E152E" w:rsidRDefault="000912AA" w:rsidP="0026587C">
      <w:pPr>
        <w:pStyle w:val="TEKSTIIII"/>
      </w:pPr>
      <w:r w:rsidRPr="000E152E">
        <w:t>Së fundi, nëpërmjet OITP dhe bazuar në përvoja e modele të njohura, do të punohet për zhvillimin dhe aplikimin e një instrumenti të parashikimit afatgjatë të nevojave për aftësi.</w:t>
      </w:r>
    </w:p>
    <w:p w14:paraId="01BAFD3A" w14:textId="77777777" w:rsidR="000912AA" w:rsidRPr="000E152E" w:rsidRDefault="000912AA" w:rsidP="0026587C">
      <w:pPr>
        <w:pStyle w:val="TEKSTIIII"/>
        <w:rPr>
          <w:b/>
        </w:rPr>
      </w:pPr>
      <w:bookmarkStart w:id="41" w:name="_Toc119598204"/>
      <w:r w:rsidRPr="000E152E">
        <w:rPr>
          <w:b/>
        </w:rPr>
        <w:t>8. Zgjerimi dhe konsolidimi i shërbimeve për punëdhënësit e punëkërkuesit dhe përshtatja e vazhdueshme e tyre bazuar në praktikat e monitorimit dhe vlerësimit</w:t>
      </w:r>
      <w:bookmarkEnd w:id="41"/>
      <w:r w:rsidRPr="000E152E">
        <w:rPr>
          <w:b/>
        </w:rPr>
        <w:t xml:space="preserve"> </w:t>
      </w:r>
    </w:p>
    <w:p w14:paraId="01BAFD3B" w14:textId="13CE2124" w:rsidR="000912AA" w:rsidRPr="000E152E" w:rsidRDefault="000912AA" w:rsidP="0026587C">
      <w:pPr>
        <w:pStyle w:val="TEKSTIIII"/>
      </w:pPr>
      <w:r w:rsidRPr="000E152E">
        <w:t>Përveç zgjerimit të shërbimeve digjitale, do të konsolidohen dhe optimizohen shërbimet e punësimit për klientët ballë për ballë, bazuar në modelin e ofrimit të shërbimeve të punësimit me tr</w:t>
      </w:r>
      <w:r w:rsidR="0039029D">
        <w:t>i</w:t>
      </w:r>
      <w:r w:rsidRPr="000E152E">
        <w:t xml:space="preserve"> nivele dhe do të monitorohet nga afër ofrimi dhe cilësia e këtyre shërbimeve. Institucionet do </w:t>
      </w:r>
      <w:r w:rsidRPr="000E152E">
        <w:lastRenderedPageBreak/>
        <w:t xml:space="preserve">të ofrojnë shërbime të punësimit me qasje të individualizuar të ofrimit të shërbimeve, duke vënë në përdorim edhe produktet digjitale, si dhe duke përmirësuar shërbimet e specializuara për punëkërkuesit e papunë duke përdorur mekanizmat e ekosistemit. </w:t>
      </w:r>
    </w:p>
    <w:p w14:paraId="01BAFD3C" w14:textId="4D92612F" w:rsidR="000912AA" w:rsidRPr="000E152E" w:rsidRDefault="000912AA" w:rsidP="0026587C">
      <w:pPr>
        <w:pStyle w:val="TEKSTIIII"/>
      </w:pPr>
      <w:r w:rsidRPr="000E152E">
        <w:t>Në mënyrë që të zgjerojnë shërbimet e tyre, ofruesit publikë të shërbimeve të punësimit duhet të përmirësojnë mekanizmat dhe kanalet e informimit dhe kontaktet me punëdhënësit për të regjistruar sa më shumë vende të lira pune. Institucionet do të zgjerojnë dhe forcojnë partneritetin me punëdhënës për zbatimin e programeve të ndryshme të nxitjes për punësim dhe trajnimin e punëkërkuesve të papunë, punëkërkuesve dhe stafeve të tyre.</w:t>
      </w:r>
      <w:r w:rsidR="000E152E" w:rsidRPr="000E152E">
        <w:t xml:space="preserve"> </w:t>
      </w:r>
    </w:p>
    <w:p w14:paraId="01BAFD3D" w14:textId="479FEEC3" w:rsidR="000912AA" w:rsidRPr="000E152E" w:rsidRDefault="000912AA" w:rsidP="0026587C">
      <w:pPr>
        <w:pStyle w:val="TEKSTIIII"/>
      </w:pPr>
      <w:r w:rsidRPr="000E152E">
        <w:t>Do të zhvillohet mekanizmi i bashkëpunimit dhe do të vendosen veprime mbështetëse me agjencitë private të punësimit për t</w:t>
      </w:r>
      <w:r w:rsidR="009330F6">
        <w:t>’</w:t>
      </w:r>
      <w:r w:rsidRPr="000E152E">
        <w:t xml:space="preserve">i përfshirë ato - si pjesë e ekosistemit - në ofrimin e shërbimeve të punësimit, duke rishikuar, ku është e nevojshme, edhe kuadrin ligjor për këtë qëllim. Institucionet do të bashkëpunojnë me agjencitë private të punësimit për të lehtësuar integrimin e punëtorëve të huaj të rekrutuar në territorin e Shqipërisë. </w:t>
      </w:r>
    </w:p>
    <w:p w14:paraId="01BAFD3E" w14:textId="77777777" w:rsidR="000912AA" w:rsidRPr="000E152E" w:rsidRDefault="000912AA" w:rsidP="0026587C">
      <w:pPr>
        <w:pStyle w:val="TEKSTIIII"/>
      </w:pPr>
      <w:r w:rsidRPr="000E152E">
        <w:t xml:space="preserve">Për të mbështetur këto ndryshime, institucionet do të iniciojnë një sistem për zhvillim të vazhdueshëm profesional të punonjësve dhe stafit mbështetës në zyrat e punës për të përmirësuar aftësitë teknike, të buta dhe digjitale për ofrimin e shërbimeve të punësimit si dhe do të zbatojnë një qasje tërheqëse në politikat e rekrutimit dhe mundësive për karrierë të stafit. </w:t>
      </w:r>
    </w:p>
    <w:p w14:paraId="01BAFD3F" w14:textId="77777777" w:rsidR="000912AA" w:rsidRPr="000E152E" w:rsidRDefault="000912AA" w:rsidP="0026587C">
      <w:pPr>
        <w:pStyle w:val="TEKSTIIII"/>
      </w:pPr>
      <w:r w:rsidRPr="000E152E">
        <w:t xml:space="preserve">Gjithashtu, institucionet do të konsolidojnë sistemin e menaxhimit të performancës duke vendosur objektiva të performancës vjetore të ofruesve publikë të shërbimeve të punësimit, duke monitoruar performancën e tyre dhe duke ofruar mbështetje me synim për të përmirësuar ndjeshëm nivelin dhe efikasitetin e ofrimit të shërbimeve si për punëdhënësit ashtu edhe për punëkërkuesit. </w:t>
      </w:r>
    </w:p>
    <w:p w14:paraId="01BAFD40" w14:textId="5659C0A9" w:rsidR="000912AA" w:rsidRPr="000E152E" w:rsidRDefault="000912AA" w:rsidP="0026587C">
      <w:pPr>
        <w:pStyle w:val="TEKSTIIII"/>
      </w:pPr>
      <w:r w:rsidRPr="000E152E">
        <w:t xml:space="preserve">Institucionet planifikojnë të zgjerojnë përdorimin e kapaciteteve të monitorimit dhe vlerësimit (M&amp;V) përmes përmirësimit të mjeteve të M&amp;V dhe ngritjes së kapaciteteve te stafi për të gjurmuar shërbimet dhe programet aktive të tregut të punës (PATP) të ofruara për punëkërkuesit dhe punëdhënësit të ndryshëm dhe cilësinë dhe efektivitetin për të udhëzuar se cili lloj shërbimi dhe PATP funksionon më mirë dhe sipas kategorive të përfituesve. </w:t>
      </w:r>
    </w:p>
    <w:p w14:paraId="01BAFD41" w14:textId="77777777" w:rsidR="000912AA" w:rsidRPr="000E152E" w:rsidRDefault="000912AA" w:rsidP="0026587C">
      <w:pPr>
        <w:pStyle w:val="TEKSTIIII"/>
      </w:pPr>
      <w:r w:rsidRPr="000E152E">
        <w:t>Së fundi, si pjesë e strategjisë rajonale (Strategjia e Evropës Juglindore) institucionet do të punojnë në identifikimin e mangësive të aftësive në nivel rajonal, por gjithashtu do të nxitin lëvizjen e fuqisë punëtore të kualifikuar brenda Rajonit të Evropës Juglindore për të adresuar mungesën e aftësive të nevojshme si dhe promovimin e imigrimit të rregullt dhe të organizuar mire në Rajonin e Evropës Juglindore për aftësitë që nuk plotësohen nga burimet rajonale ose të diasporës.</w:t>
      </w:r>
    </w:p>
    <w:p w14:paraId="01BAFD42" w14:textId="77777777" w:rsidR="000912AA" w:rsidRPr="000E152E" w:rsidRDefault="000912AA" w:rsidP="0026587C">
      <w:pPr>
        <w:pStyle w:val="TEKSTIIII"/>
        <w:rPr>
          <w:b/>
        </w:rPr>
      </w:pPr>
      <w:r w:rsidRPr="000E152E">
        <w:rPr>
          <w:b/>
        </w:rPr>
        <w:t>9. Lehtësimi i lëvizshmërisë së fuqisë punëtore</w:t>
      </w:r>
    </w:p>
    <w:p w14:paraId="01BAFD43" w14:textId="032FD771" w:rsidR="000912AA" w:rsidRPr="000E152E" w:rsidRDefault="000912AA" w:rsidP="0026587C">
      <w:pPr>
        <w:pStyle w:val="TEKSTIIII"/>
      </w:pPr>
      <w:r w:rsidRPr="000E152E">
        <w:t xml:space="preserve">Kjo masë do të fokusohet në promovimin e lëvizshmërisë së fuqisë punëtore brenda vendit në funksion të zhvillimeve të tregut të punës dhe mangësive të aftësive. Për këtë qëllim, institucionet e tregut të punës do të përdorin analizat nga sistemi i inteligjencës së aftësive për lëvizshmërinë e fuqisë punëtore, nevojat e tregut të punës dhe mungesat e mundshme të aftësive ose mangësive që mund të lidhen me lëvizshmërinë e fuqisë punëtore dhe të orientojë politikat me masat e duhura, bazuar në këto nevoja. Lidhja me platforma të tjera për aftësitë, lëvizshmëri dhe punësim, si platformat </w:t>
      </w:r>
      <w:r w:rsidR="004A4C41">
        <w:t>ev</w:t>
      </w:r>
      <w:r w:rsidRPr="000E152E">
        <w:t>ropiane EURES do të jetë veprimi prioritar i kësaj mase.</w:t>
      </w:r>
    </w:p>
    <w:p w14:paraId="01BAFD44" w14:textId="5FA12733" w:rsidR="000912AA" w:rsidRPr="000E152E" w:rsidRDefault="000912AA" w:rsidP="0026587C">
      <w:pPr>
        <w:pStyle w:val="TEKSTIIII"/>
      </w:pPr>
      <w:r w:rsidRPr="000E152E">
        <w:t>Në mënyrë që të lehtësohet lëvizshmëria e fuqisë punëtore brenda vendit, institucionet e tregut të punës do t</w:t>
      </w:r>
      <w:r w:rsidR="009330F6">
        <w:t>’</w:t>
      </w:r>
      <w:r w:rsidRPr="000E152E">
        <w:t xml:space="preserve">i mundësojnë të gjitha vendet të lira të punës të aksesueshme për të gjithë punëkërkuesit, </w:t>
      </w:r>
      <w:r w:rsidR="004A4C41" w:rsidRPr="000E152E">
        <w:t>punëdhënësit</w:t>
      </w:r>
      <w:r w:rsidR="004A4C41">
        <w:t>,</w:t>
      </w:r>
      <w:r w:rsidRPr="000E152E">
        <w:t xml:space="preserve"> si dhe specialistët e punësimit që janë përgjegjës për ndërmjetësim në punësim. Zgjerimi i grupit të punëkërkuesve ndihmon ndërmjetësimin efikas për punësim. Për të reduktuar barrierat ndaj lëvizshmërisë gjeografike të fuqisë punëtore, institucionet e tregut të punës do të përshtatin shërbimet e tyre si dhe do t</w:t>
      </w:r>
      <w:r w:rsidR="009330F6">
        <w:t>’</w:t>
      </w:r>
      <w:r w:rsidRPr="000E152E">
        <w:t>u mundësojnë të papunëve të fitojnë aftësi të buta dhe di</w:t>
      </w:r>
      <w:r w:rsidR="004A4C41">
        <w:t>gj</w:t>
      </w:r>
      <w:r w:rsidRPr="000E152E">
        <w:t>itale, si dhe akses në formim profesional në të gjithë territorin e Shqipërisë.</w:t>
      </w:r>
    </w:p>
    <w:p w14:paraId="01BAFD45" w14:textId="4D4D11C3" w:rsidR="000912AA" w:rsidRPr="000E152E" w:rsidRDefault="000912AA" w:rsidP="0026587C">
      <w:pPr>
        <w:pStyle w:val="TEKSTIIII"/>
      </w:pPr>
      <w:r w:rsidRPr="000E152E">
        <w:t>Nga ana tjetër, për të lehtësuar lëvizshmërinë përtej kufirit të fuqisë punëtore në rajon, si pjesë e strategjisë rajonale (Strategjia e E</w:t>
      </w:r>
      <w:r w:rsidR="004A4C41">
        <w:t>v</w:t>
      </w:r>
      <w:r w:rsidRPr="000E152E">
        <w:t xml:space="preserve">ropës Juglindore) institucionet do të punojnë për identifikimin e mungesave të aftësive në nivel rajonal dhe do të promovojnë lëvizjen e fuqisë </w:t>
      </w:r>
      <w:r w:rsidRPr="000E152E">
        <w:lastRenderedPageBreak/>
        <w:t>punëtore të kualifikuar brenda Rajonit të Evropës Juglindore për të adresuar mungesën e aftësive të nevojshme si dhe promovimin e imigrimit të rregullt dhe të organizuar në Rajonin e Evropës Juglindore për aftësitë që nuk plotësohen nga burimet rajonale ose të diasporës. Lëvizshmëria përtej kufirit e punës do të promovohet më tej duke siguruar që kuadri ligjor, rregullativ dhe mekanizmet zbatuese promovojnë rekrutimin e drejtë (</w:t>
      </w:r>
      <w:r w:rsidRPr="00A70395">
        <w:rPr>
          <w:i/>
        </w:rPr>
        <w:t>fair recruitment</w:t>
      </w:r>
      <w:r w:rsidRPr="000E152E">
        <w:t>) nga vendet e tjera dhe nga aktorët e tregut të punës, e cila respekton, mbron dhe përmbush të drejtat e njeriut të njohura ndërkombëtarisht, duke përfshirë ato të shprehura në standardet ndërkombëtare të punës. Kjo mund të kërkojë rishikimin e kuadrit ligjor dhe rregullator dhe ta bëjë atë në përputhje me direktivat përkatëse të BE-së, rritjen e kapaciteteve të inspektoratit të punës si dhe rritjen e ndërgjegjësimit të ndërmjetësve të tregut të punës (agjencitë private dhe publike të punësimit), punëkërkuesve dhe punë</w:t>
      </w:r>
      <w:r w:rsidR="00D81709">
        <w:t>dhënësve</w:t>
      </w:r>
      <w:r w:rsidRPr="000E152E">
        <w:t xml:space="preserve"> mbi standardet e rekrutimit të drejtë nga vendet e huaja me ndarjen e informacionit të shënjestuar dhe shërbime të përmirësuara. Për më tepër, do të mbështetet dialogu konstruktiv dhe në bashkëpunim me kornizat shumëpalëshe dhe dypalëshe për të promovuar sisteme të drejta, të sigurta, të rregullta dhe të mirëqeverisura të migrimit për motive punësimi.</w:t>
      </w:r>
      <w:r w:rsidR="000E152E" w:rsidRPr="000E152E">
        <w:t xml:space="preserve"> </w:t>
      </w:r>
    </w:p>
    <w:p w14:paraId="01BAFD46" w14:textId="71ADD1D9" w:rsidR="000912AA" w:rsidRPr="000E152E" w:rsidRDefault="000912AA" w:rsidP="0026587C">
      <w:pPr>
        <w:pStyle w:val="TEKSTIIII"/>
      </w:pPr>
      <w:r w:rsidRPr="000E152E">
        <w:t>Si pjesë e lëvizshmërisë së fuqisë punëtore dhe ri-integrimit të migrantëve shqiptarë, institucionet do të forcojnë protokollet për të nxitur koordinimin ndërmjet aktorëve të ndryshëm të qeverisë, me objektivin për të përmirësuar informacionin e disponueshëm për të kthyerit nga emigracioni dhe për të përshtatur shërbimet përkatëse për të adresuar nevojat specifike me të cilat përballet</w:t>
      </w:r>
      <w:r w:rsidR="000E152E" w:rsidRPr="000E152E">
        <w:t xml:space="preserve"> </w:t>
      </w:r>
      <w:r w:rsidRPr="000E152E">
        <w:t>kjo pjesë e shoqërisë shqiptare. Në këtë drejtim institucionet e tregut të punës do të përshtatin shërbimet e tyre të punësimit dhe programet e nxitjes së punësimit, krahas</w:t>
      </w:r>
      <w:r w:rsidR="000E152E" w:rsidRPr="000E152E">
        <w:t xml:space="preserve"> </w:t>
      </w:r>
      <w:r w:rsidRPr="000E152E">
        <w:t>njohjes së aftësive dhe kualifikimeve të fituara formalisht dhe joformalisht, ofrimit të kurseve të gjuhës etj. Me këto ndërhyrje, migrantët e kthyer do të kontribuojnë në plotësimin e fuqisë punëtore, duke sjellë në njëkohësisht në vend aftësi teknike, diversitet kulturor, mendim inovativ dhe gjuhë të reja.</w:t>
      </w:r>
    </w:p>
    <w:p w14:paraId="01BAFD47" w14:textId="77777777" w:rsidR="000912AA" w:rsidRPr="00A70395" w:rsidRDefault="000912AA" w:rsidP="0026587C">
      <w:pPr>
        <w:pStyle w:val="TEKSTIIII"/>
        <w:rPr>
          <w:i/>
        </w:rPr>
      </w:pPr>
      <w:bookmarkStart w:id="42" w:name="_Toc119598205"/>
      <w:bookmarkStart w:id="43" w:name="_Toc123165420"/>
      <w:r w:rsidRPr="00A70395">
        <w:rPr>
          <w:i/>
        </w:rPr>
        <w:t>Qëllimi i politikës 2: Mundësimi i punësimit të denjë për gra dhe burra nëpërmjet zbatimit të politikave gjithëpërfshirëse të tregut të punës</w:t>
      </w:r>
      <w:bookmarkEnd w:id="42"/>
      <w:bookmarkEnd w:id="43"/>
    </w:p>
    <w:p w14:paraId="01BAFD48" w14:textId="77777777" w:rsidR="000912AA" w:rsidRPr="00A70395" w:rsidRDefault="000912AA" w:rsidP="0026587C">
      <w:pPr>
        <w:pStyle w:val="TEKSTIIII"/>
        <w:rPr>
          <w:i/>
        </w:rPr>
      </w:pPr>
      <w:r w:rsidRPr="00A70395">
        <w:rPr>
          <w:i/>
        </w:rPr>
        <w:t>Objektivi strategjik 2.1: Ndërmjetësimi dhe lëvrimi i programeve mbështetëse për punësim efektiv dhe gjithëpërfshirës</w:t>
      </w:r>
    </w:p>
    <w:p w14:paraId="01BAFD49" w14:textId="77777777" w:rsidR="000912AA" w:rsidRPr="00A70395" w:rsidRDefault="000912AA" w:rsidP="0026587C">
      <w:pPr>
        <w:pStyle w:val="TEKSTIIII"/>
        <w:rPr>
          <w:i/>
        </w:rPr>
      </w:pPr>
      <w:r w:rsidRPr="00A70395">
        <w:rPr>
          <w:i/>
        </w:rPr>
        <w:t>Objektivi strategjik 2.2: Sigurimi i punës së denjë për të gjithë dhe kudo</w:t>
      </w:r>
    </w:p>
    <w:p w14:paraId="01BAFD4A" w14:textId="77777777" w:rsidR="000912AA" w:rsidRPr="000E152E" w:rsidRDefault="000912AA" w:rsidP="0026587C">
      <w:pPr>
        <w:pStyle w:val="TEKSTIIII"/>
      </w:pPr>
      <w:r w:rsidRPr="000E152E">
        <w:rPr>
          <w:b/>
          <w:bCs/>
        </w:rPr>
        <w:t>Masat prioritare</w:t>
      </w:r>
      <w:r w:rsidRPr="000E152E">
        <w:rPr>
          <w:rStyle w:val="apple-converted-space"/>
          <w:rFonts w:ascii="Calibri" w:hAnsi="Calibri" w:cs="Calibri"/>
        </w:rPr>
        <w:t xml:space="preserve"> </w:t>
      </w:r>
      <w:r w:rsidRPr="000E152E">
        <w:t>që do të kontribuojnë në arritjen e objektivave specifikë/strategjike janë:</w:t>
      </w:r>
    </w:p>
    <w:p w14:paraId="01BAFD4B" w14:textId="77777777" w:rsidR="000912AA" w:rsidRPr="000E152E" w:rsidRDefault="000912AA" w:rsidP="0026587C">
      <w:pPr>
        <w:pStyle w:val="TEKSTIIII"/>
        <w:rPr>
          <w:b/>
        </w:rPr>
      </w:pPr>
      <w:bookmarkStart w:id="44" w:name="_Toc119598206"/>
      <w:r w:rsidRPr="000E152E">
        <w:rPr>
          <w:b/>
        </w:rPr>
        <w:t>1. Ofrimi i shërbimeve dhe programeve të nxitjes së punësimit e aftësimit nëpërmjet ekosistemit të tregut të punës</w:t>
      </w:r>
      <w:bookmarkEnd w:id="44"/>
    </w:p>
    <w:p w14:paraId="01BAFD4C" w14:textId="08917BEF" w:rsidR="000912AA" w:rsidRPr="000E152E" w:rsidRDefault="000912AA" w:rsidP="0026587C">
      <w:pPr>
        <w:pStyle w:val="TEKSTIIII"/>
      </w:pPr>
      <w:r w:rsidRPr="000E152E">
        <w:t>Strategjia synon të përmirësojë efektivitetin e modelit të shërbimeve të punësimit me tr</w:t>
      </w:r>
      <w:r w:rsidR="0039029D">
        <w:t>i</w:t>
      </w:r>
      <w:r w:rsidRPr="000E152E">
        <w:t xml:space="preserve"> nivele</w:t>
      </w:r>
      <w:r w:rsidRPr="000E152E">
        <w:rPr>
          <w:rStyle w:val="FootnoteReference"/>
          <w:rFonts w:cstheme="minorHAnsi"/>
          <w:color w:val="000000" w:themeColor="text1"/>
          <w:szCs w:val="22"/>
        </w:rPr>
        <w:footnoteReference w:id="54"/>
      </w:r>
      <w:r w:rsidRPr="000E152E">
        <w:t>. Institucionet do të zhvillojnë modele dhe qasje të menaxhimit të specializuar të rasteve të nivelit të tretë dhe do të ofrojnë shërbime për punëkërkuesit në partneritet me aktorët e tjerë të tregut të punës, me mbështetjen e të cilëve do të trajtohen në mënyrë të specializuar pengesat në tregun e punës. Ky partneritet do të mundësojë aktivizimin e përvojave dhe kapaciteteve të aktorëve të ndryshëm në nivel qendror dhe lokal si organizatat joqeveritare, organizatat ndërkombëtare, ofruesit publikë dhe privatë të trajnimeve, ofruesit e shërbimeve mbështetëse, ofruesit e arsimit bazë dhe të mesëm profesional për të rritur, dhomat e tregtisë, industrisë dhe zejeve, organizatat e punëdhënësve, agjencitë private të punësimit, grupe të tjera formale</w:t>
      </w:r>
      <w:r w:rsidR="000E152E" w:rsidRPr="000E152E">
        <w:t xml:space="preserve"> </w:t>
      </w:r>
      <w:r w:rsidRPr="000E152E">
        <w:t xml:space="preserve">dhe joformale. </w:t>
      </w:r>
    </w:p>
    <w:p w14:paraId="01BAFD4D" w14:textId="27B268DF" w:rsidR="000912AA" w:rsidRPr="000E152E" w:rsidRDefault="000912AA" w:rsidP="0026587C">
      <w:pPr>
        <w:pStyle w:val="TEKSTIIII"/>
      </w:pPr>
      <w:r w:rsidRPr="000E152E">
        <w:rPr>
          <w:color w:val="000000" w:themeColor="text1"/>
        </w:rPr>
        <w:lastRenderedPageBreak/>
        <w:t>Vëmendje e posaçme do t</w:t>
      </w:r>
      <w:r w:rsidR="009330F6">
        <w:rPr>
          <w:color w:val="000000" w:themeColor="text1"/>
        </w:rPr>
        <w:t>’</w:t>
      </w:r>
      <w:r w:rsidRPr="000E152E">
        <w:rPr>
          <w:color w:val="000000" w:themeColor="text1"/>
        </w:rPr>
        <w:t xml:space="preserve">i kushtohet zgjerimit të mekanizmave të vlerësimit dhe referimit të rastit </w:t>
      </w:r>
      <w:r w:rsidRPr="000E152E">
        <w:t xml:space="preserve">në bashkëpunim me Njësitë e Vlerësimit të Nevojave dhe Referimit në njësitë administrative në nivel vendor dhe forcimit të bashkërendimit institucional për ofrimin e shërbimeve mbështetëse sociale, shëndetësore e arsimore që mundësojnë krijimin e kushteve për punësim. </w:t>
      </w:r>
    </w:p>
    <w:p w14:paraId="01BAFD4E" w14:textId="01D10FC3" w:rsidR="000912AA" w:rsidRPr="000E152E" w:rsidRDefault="000912AA" w:rsidP="0026587C">
      <w:pPr>
        <w:pStyle w:val="TEKSTIIII"/>
      </w:pPr>
      <w:r w:rsidRPr="000E152E">
        <w:t>Në bashkëpunim me ofrues publikë, jopublikë dhe privatë do të</w:t>
      </w:r>
      <w:r w:rsidR="000E152E" w:rsidRPr="000E152E">
        <w:t xml:space="preserve"> </w:t>
      </w:r>
      <w:r w:rsidRPr="000E152E">
        <w:t>konceptohen e zbatohen programe të nxitjes së punësimit dhe aftësimit për grupet e c</w:t>
      </w:r>
      <w:r w:rsidR="00DD0856">
        <w:t>e</w:t>
      </w:r>
      <w:r w:rsidRPr="000E152E">
        <w:t xml:space="preserve">nueshme, si të rinjtë (si pjesë e skemës së Garancisë për të rinjtë), personat me aftësi të kufizuara (si pjesë e Fondit Social të Punësimit), përfituesit në moshë pune nga familjet e mbështetura me ndihmë ekonomike, punëkërkuesit afatgjatë, pakicat etnike, personat me arsim e kualifikim të ulët (si pjesë e ndërmarrjeve sociale, programeve të punës në komunitet, aktivizimit në punët publike të financuara nga bashkitë etj.). Programet do të zgjerohen gradualisht, duke konsideruar rekomandimet nga procesi vlerësues mbi efektivitetin dhe efikasitetin e tyre. </w:t>
      </w:r>
    </w:p>
    <w:p w14:paraId="01BAFD4F" w14:textId="55112720" w:rsidR="000912AA" w:rsidRPr="000E152E" w:rsidRDefault="000912AA" w:rsidP="0026587C">
      <w:pPr>
        <w:pStyle w:val="TEKSTIIII"/>
      </w:pPr>
      <w:r w:rsidRPr="000E152E">
        <w:t>Institucionet do të vlerësojnë mundësinë e zgjerimit dhe të rritjes së fleksibilitetit të ofertës dhe modaliteteve për trajnim të vazhduar në sistemin AFP publik dhe privat. Nëpërmjet trajnimit të vazhduar do të synohet rritja e eficiencës së masave aktive të punësimit si dhe diversifikimi i burimeve të financimit në sistemet e trajnimit.</w:t>
      </w:r>
      <w:r w:rsidR="000E152E" w:rsidRPr="000E152E">
        <w:t xml:space="preserve"> </w:t>
      </w:r>
      <w:r w:rsidRPr="000E152E">
        <w:t xml:space="preserve">Forma të subvencionimit të punësimit në ekonominë sociale </w:t>
      </w:r>
      <w:r w:rsidR="006752BC">
        <w:t>“</w:t>
      </w:r>
      <w:r w:rsidRPr="000E152E">
        <w:rPr>
          <w:i/>
        </w:rPr>
        <w:t>care economy</w:t>
      </w:r>
      <w:r w:rsidR="006752BC">
        <w:t>”</w:t>
      </w:r>
      <w:r w:rsidRPr="000E152E">
        <w:t xml:space="preserve"> do të shoqërohen me politika për trajnimin dhe këshillimin e vazhdueshëm për të siguruar integrimin e qëndrueshëm në tregun e punës në periudhë afatgjatë, si dhe nxitjen e angazhimit nëpërmjet ndërgjegjësimit dhe informimit. </w:t>
      </w:r>
    </w:p>
    <w:p w14:paraId="01BAFD50" w14:textId="72BA7970" w:rsidR="000912AA" w:rsidRPr="000E152E" w:rsidRDefault="000912AA" w:rsidP="0026587C">
      <w:pPr>
        <w:pStyle w:val="TEKSTIIII"/>
        <w:rPr>
          <w:b/>
        </w:rPr>
      </w:pPr>
      <w:bookmarkStart w:id="45" w:name="_Toc119598207"/>
      <w:r w:rsidRPr="000E152E">
        <w:rPr>
          <w:b/>
        </w:rPr>
        <w:t xml:space="preserve">2. Tranzicion i mbështetur dhe gjithëpërfshirës nga shkolla në punë për të rinjtë (NEET) nëpërmjet zbatimit të skemës së </w:t>
      </w:r>
      <w:r w:rsidR="00DD0856" w:rsidRPr="000E152E">
        <w:rPr>
          <w:b/>
        </w:rPr>
        <w:t>garancisë rinore</w:t>
      </w:r>
      <w:bookmarkEnd w:id="45"/>
    </w:p>
    <w:p w14:paraId="01BAFD51" w14:textId="6460C8C0" w:rsidR="000912AA" w:rsidRPr="000E152E" w:rsidRDefault="000912AA" w:rsidP="0026587C">
      <w:pPr>
        <w:pStyle w:val="TEKSTIIII"/>
      </w:pPr>
      <w:r w:rsidRPr="000E152E">
        <w:t>Qeveria shqiptare dhe institucionet e lidhura me punësimin, arsimin dhe aftësimin do të garantojnë që çdo i ri nën moshën 29 vjeç (NEET) të ketë një ofertë të denjë punësimi, trajnimi apo arsimi, brenda një periudhe të arsyeshme kohore nga momenti i identifikimit, në linjë më rekomandimet e Komisionit E</w:t>
      </w:r>
      <w:r w:rsidR="00DD0856">
        <w:t>v</w:t>
      </w:r>
      <w:r w:rsidRPr="000E152E">
        <w:t>ropian. Për këtë, në bashkëpunim me ministritë e linjës është hartuar një plan kombëtar për Zbatimin e Garancisë Rinore</w:t>
      </w:r>
      <w:r w:rsidRPr="000E152E">
        <w:rPr>
          <w:rStyle w:val="FootnoteReference"/>
          <w:szCs w:val="22"/>
        </w:rPr>
        <w:footnoteReference w:id="55"/>
      </w:r>
      <w:r w:rsidRPr="000E152E">
        <w:t xml:space="preserve">, i cili parashikon disa reforma të ndara në katër faza: hartëzimi, angazhimi, përgatitja dhe ofrimi. </w:t>
      </w:r>
    </w:p>
    <w:p w14:paraId="01BAFD52" w14:textId="77777777" w:rsidR="000912AA" w:rsidRPr="000E152E" w:rsidRDefault="000912AA" w:rsidP="0026587C">
      <w:pPr>
        <w:pStyle w:val="TEKSTIIII"/>
      </w:pPr>
      <w:r w:rsidRPr="000E152E">
        <w:t xml:space="preserve">Për fazën e hartëzimit do të zhvillohen programe dhe instrumente për të parandaluar rritjen e numrit të të rinjve NEET duke u bazuar në informacionin e gjeneruar nga sistemi i AFP-së, do të ngrihet një sistem monitorimi për braktisjen e hershme të shkollës dhe do të përforcohet shërbimi i këshillimit në karrierë brenda institucioneve arsimore. </w:t>
      </w:r>
    </w:p>
    <w:p w14:paraId="01BAFD53" w14:textId="77777777" w:rsidR="000912AA" w:rsidRPr="000E152E" w:rsidRDefault="000912AA" w:rsidP="0026587C">
      <w:pPr>
        <w:pStyle w:val="TEKSTIIII"/>
      </w:pPr>
      <w:r w:rsidRPr="000E152E">
        <w:t xml:space="preserve">Gjatë fazës së angazhimit, për të shpërndarë informacionin sa më afër vendndodhjes të të rinjve, në bashkëpunim me partnerë dhe grupe interesi do të ndërmerren fushata informuese të bazuara në komunitet dhe fushata duke përdorur metoda inovatore angazhimi në rrjete sociale. </w:t>
      </w:r>
    </w:p>
    <w:p w14:paraId="01BAFD54" w14:textId="4DE812CE" w:rsidR="000912AA" w:rsidRPr="000E152E" w:rsidRDefault="000912AA" w:rsidP="0026587C">
      <w:pPr>
        <w:pStyle w:val="TEKSTIIII"/>
      </w:pPr>
      <w:r w:rsidRPr="000E152E">
        <w:t>Gjatë fazës së përgatitjes, do të zhvillohen instrumente të reja regjistrimi në portalin e AKPA-s, do të rriten kapacitetet e stafeve të zyrave të punës për t</w:t>
      </w:r>
      <w:r w:rsidR="009330F6">
        <w:t>’</w:t>
      </w:r>
      <w:r w:rsidRPr="000E152E">
        <w:t xml:space="preserve">u shërbyer punëkërkuesve të rinj, si dhe do të përdoren partneritetet e krijuara ndërmjet atyre që ofrojnë shërbime individuale me </w:t>
      </w:r>
      <w:r w:rsidRPr="000E152E">
        <w:lastRenderedPageBreak/>
        <w:t xml:space="preserve">autoritete të tjera të ndryshme publike dhe organizata jo-publike për realizimin e shërbimeve më të specializuara për të rinjtë NEET. Për të administruar dhe monitoruar Garancinë Rinore do të zgjerohet sistemi i menaxhimit të informacionit të tregut të punës për të gjurmuar rrugëtimin e të rinjve NEET para, gjatë dhe pas përfshirjes në skemën e Garancisë Rinore. </w:t>
      </w:r>
    </w:p>
    <w:p w14:paraId="01BAFD55" w14:textId="77777777" w:rsidR="000912AA" w:rsidRPr="000E152E" w:rsidRDefault="000912AA" w:rsidP="0026587C">
      <w:pPr>
        <w:pStyle w:val="TEKSTIIII"/>
        <w:rPr>
          <w:rFonts w:cstheme="minorHAnsi"/>
        </w:rPr>
      </w:pPr>
      <w:r w:rsidRPr="000E152E">
        <w:t>Për fazën e ofrimit, do të zhvillohen dhe përshtaten programe për nxitjen e punësimit dhe trajnimit, si programe që mbështesin punësimin, programe që ofrojnë arsim të mesëm profesional, pas të mesëm dhe arsim me kohë të pjesshëm dhe programe për trajnim të vazhduar dhe praktika profesionale për rritje të aftësive bazë dhe atyre profesionale.</w:t>
      </w:r>
    </w:p>
    <w:p w14:paraId="01BAFD56" w14:textId="77777777" w:rsidR="000912AA" w:rsidRPr="000E152E" w:rsidRDefault="000912AA" w:rsidP="0026587C">
      <w:pPr>
        <w:pStyle w:val="TEKSTIIII"/>
        <w:rPr>
          <w:b/>
        </w:rPr>
      </w:pPr>
      <w:bookmarkStart w:id="46" w:name="_Toc119598208"/>
      <w:r w:rsidRPr="000E152E">
        <w:rPr>
          <w:b/>
        </w:rPr>
        <w:t>3. Integrimi në rritje i personave me aftësi të kufizuara në sistemet e zhvillimit të aftësive dhe të tregut të punës</w:t>
      </w:r>
      <w:bookmarkEnd w:id="46"/>
    </w:p>
    <w:p w14:paraId="01BAFD57" w14:textId="3EBE3E12" w:rsidR="000912AA" w:rsidRPr="000E152E" w:rsidRDefault="000912AA" w:rsidP="0026587C">
      <w:pPr>
        <w:pStyle w:val="TEKSTIIII"/>
      </w:pPr>
      <w:r w:rsidRPr="000E152E">
        <w:t xml:space="preserve">Rritja e mundësive për punësimin dhe trajnimin e personave me aftësi të kufizuara do të mbështetet nëpërmjet ndërgjegjësimit më të lartë për angazhimin në jetën aktive; rritjes së kapaciteteve të strukturave të institucioneve për ofrimin e shërbimeve të përshtatura, përgatitjes së sektorit privat dhe </w:t>
      </w:r>
      <w:r w:rsidR="000E2B5F" w:rsidRPr="000E152E">
        <w:t>punëdhënësve</w:t>
      </w:r>
      <w:r w:rsidRPr="000E152E">
        <w:t xml:space="preserve"> për përfshirjen e personave me aftësi të kufizuar dhe operacionalizimit të Fondit Social të Punësimit. Institucionet do zhvillojnë instrumente të reja për vlerësimin e nevojave për punësim dhe trajnim të personave me aftësi të kufizuara, në koordinim me institucionet e tjera. Institucionet do të sigurojnë përshtatjen e arsyeshme të hapësirave të shërbimeve të punësimit dhe institucioneve të arsimit dhe formimit profesional, duke bërë ndërhyrje në infrastrukturë, teknologji dhe zhvillim kapacitetesh për stafin. Fondi Social i Punësimit do të bëhet operacional duke vënë në funksion mekanizmin e mbledhjes se kontributeve nga punëdhënësit në bashkëpunim me agjentin e deleguar për mbledhjen e kontributit (Drejtoria e </w:t>
      </w:r>
      <w:r w:rsidR="000E2B5F" w:rsidRPr="000E152E">
        <w:t>Përgjithshme</w:t>
      </w:r>
      <w:r w:rsidRPr="000E152E">
        <w:t xml:space="preserve"> e Tatimeve). </w:t>
      </w:r>
    </w:p>
    <w:p w14:paraId="01BAFD58" w14:textId="349025A4" w:rsidR="000912AA" w:rsidRPr="000E152E" w:rsidRDefault="000912AA" w:rsidP="0026587C">
      <w:pPr>
        <w:pStyle w:val="TEKSTIIII"/>
      </w:pPr>
      <w:r w:rsidRPr="000E152E">
        <w:t xml:space="preserve">Në bashkëpunim me partnerët dhe grupet e interesit do të ndërtohen programe </w:t>
      </w:r>
      <w:r w:rsidR="00F272D9" w:rsidRPr="000E152E">
        <w:t>t</w:t>
      </w:r>
      <w:r w:rsidR="00F272D9">
        <w:t>ë</w:t>
      </w:r>
      <w:r w:rsidRPr="000E152E">
        <w:t xml:space="preserve"> reja dhe të përshtatura q</w:t>
      </w:r>
      <w:r w:rsidR="00C4669F">
        <w:t>ë</w:t>
      </w:r>
      <w:r w:rsidRPr="000E152E">
        <w:t xml:space="preserve"> nxisin punësimin dhe zhvillimin e kapaciteteve të personave me aftësi të kufizuara në vendin e punës; si dhe instrumente të reja për mbështetjen e sektorit privat dhe publik për të përfshirë personat me aftësi të kufizuara në vendin e punës duke siguruar pajisjet dhe shërbimet personale të vazhdueshme (përshtatje e arsyeshme), të financuara nga Fondi Social i Punësimit. Institucionet do të ndërmarrin fushata informuese dhe ndërgjegjësuese për punëdhënësit dhe sektorin privat me qëllim zhvillimin e kulturës gjithëpërfshirëse në vendet e punës dhe ato trajnuese ose arsimore.</w:t>
      </w:r>
    </w:p>
    <w:p w14:paraId="01BAFD59" w14:textId="77777777" w:rsidR="000912AA" w:rsidRPr="000E152E" w:rsidRDefault="000912AA" w:rsidP="0026587C">
      <w:pPr>
        <w:pStyle w:val="TEKSTIIII"/>
        <w:rPr>
          <w:b/>
        </w:rPr>
      </w:pPr>
      <w:bookmarkStart w:id="47" w:name="_Toc119598209"/>
      <w:r w:rsidRPr="000E152E">
        <w:rPr>
          <w:b/>
        </w:rPr>
        <w:t>4. Rritja e përfshirjes së grave në tregun e punës</w:t>
      </w:r>
      <w:bookmarkEnd w:id="47"/>
    </w:p>
    <w:p w14:paraId="01BAFD5A" w14:textId="77777777" w:rsidR="000912AA" w:rsidRPr="000E152E" w:rsidRDefault="000912AA" w:rsidP="0026587C">
      <w:pPr>
        <w:pStyle w:val="TEKSTIIII"/>
      </w:pPr>
      <w:r w:rsidRPr="000E152E">
        <w:t>Kjo masë prioritare do të synojë rritjen e pjesëmarrjes së grave në tregun e punës, me fokus të veçantë integrimin e grave joaktive, duke promovuar politika të aftësimit, punësimit fleksibël dhe vetëpunësimit me perspektivë gjinore, si dhe duke ofruar mbështetje specifike për aktivizimin e tyre.</w:t>
      </w:r>
    </w:p>
    <w:p w14:paraId="01BAFD5B" w14:textId="77777777" w:rsidR="000912AA" w:rsidRPr="000E152E" w:rsidRDefault="000912AA" w:rsidP="0026587C">
      <w:pPr>
        <w:pStyle w:val="TEKSTIIII"/>
      </w:pPr>
      <w:r w:rsidRPr="000E152E">
        <w:t xml:space="preserve">Për këtë qëllim, do të ndërtohen mekanizma për identifikimin e nevojave dhe profileve të grave joaktive nëpërmjet administratorëve socialë dhe nëpunësve/nëpunëseve gjinore në nivel vendor si dhe mekanizma për të ofruar mundësi aftësimi dhe punësimi në sektorë të ndryshëm ekonomikë, përfshirë dhe atë të përkujdesjes. </w:t>
      </w:r>
    </w:p>
    <w:p w14:paraId="01BAFD5C" w14:textId="77777777" w:rsidR="000912AA" w:rsidRPr="000E152E" w:rsidRDefault="000912AA" w:rsidP="0026587C">
      <w:pPr>
        <w:pStyle w:val="TEKSTIIII"/>
      </w:pPr>
      <w:r w:rsidRPr="000E152E">
        <w:t>Institucionet do të hartojnë dhe zbatojnë programe për rritjen e pjesëmarrjes së grave në tregun e punës rural dhe bujqësor duke ofruar informacion dhe mbështetje për të aksesuar dhe mundësuar marrjen e fondeve për zhvillim, si ato për zhvillimin rural, agroturizmin apo turizmin.</w:t>
      </w:r>
    </w:p>
    <w:p w14:paraId="01BAFD5D" w14:textId="77777777" w:rsidR="000912AA" w:rsidRPr="000E152E" w:rsidRDefault="000912AA" w:rsidP="0026587C">
      <w:pPr>
        <w:pStyle w:val="TEKSTIIII"/>
      </w:pPr>
      <w:r w:rsidRPr="000E152E">
        <w:t xml:space="preserve">Institucionet do të mbështesin gratë joaktive me sipërmarrjen dhe ekonominë sociale, prodhimin e produkteve vendore apo ekonominë e gjelbër, aktivitetet e biznesit </w:t>
      </w:r>
      <w:r w:rsidRPr="000E2B5F">
        <w:rPr>
          <w:i/>
        </w:rPr>
        <w:t>online</w:t>
      </w:r>
      <w:r w:rsidRPr="000E152E">
        <w:t>, si dhe vlerësimin e mundësisë së stimujve fiskalë në këta sektorë.</w:t>
      </w:r>
    </w:p>
    <w:p w14:paraId="01BAFD5E" w14:textId="77777777" w:rsidR="000912AA" w:rsidRPr="000E152E" w:rsidRDefault="000912AA" w:rsidP="0026587C">
      <w:pPr>
        <w:pStyle w:val="TEKSTIIII"/>
        <w:rPr>
          <w:b/>
        </w:rPr>
      </w:pPr>
      <w:bookmarkStart w:id="48" w:name="_Toc119598210"/>
      <w:r w:rsidRPr="000E152E">
        <w:rPr>
          <w:b/>
        </w:rPr>
        <w:t>5. Fuqizimi dhe përmirësimi i efikasitetit të inspektimit të punës në të gjithë territorin e vendit</w:t>
      </w:r>
      <w:bookmarkEnd w:id="48"/>
    </w:p>
    <w:p w14:paraId="01BAFD5F" w14:textId="77777777" w:rsidR="000912AA" w:rsidRPr="000E152E" w:rsidRDefault="000912AA" w:rsidP="0026587C">
      <w:pPr>
        <w:pStyle w:val="TEKSTIIII"/>
      </w:pPr>
      <w:r w:rsidRPr="000E152E">
        <w:t xml:space="preserve">Institucionet do të forcojnë edhe më tej rolin e tyre në zbatimin e legjislacionit të punës dhe të mbrojtjes nga diskriminimi, garantimin e sigurisë në punë dhe përmirësimin e kushteve e shëndetit duke u fokusuar në përmirësimin e monitorimit dhe inspektimit në vendin e punës si dhe promovimin e kulturës parandaluese dhe mbështetëse. </w:t>
      </w:r>
    </w:p>
    <w:p w14:paraId="01BAFD60" w14:textId="77777777" w:rsidR="000912AA" w:rsidRPr="000E152E" w:rsidRDefault="000912AA" w:rsidP="0026587C">
      <w:pPr>
        <w:pStyle w:val="TEKSTIIII"/>
      </w:pPr>
      <w:r w:rsidRPr="000E152E">
        <w:lastRenderedPageBreak/>
        <w:t xml:space="preserve">Për të përmirësuar monitorimin dhe inspektimit në vendin e punës institucionet do të punojnë në modernizimin, fuqizimin dhe zgjerimin e kapaciteteve inspektuese, koordinimin e aktivitetit të tyre me institucionet e tjera të lidhura me punën, përmirësimin e mëtejshëm të infrastrukturës së inspektimit dhe digjitalizimit të saj, zgjerimit të fushës së veprimit dhe mbulimit nga inspektimi i punës, organizimit të inspektimeve të bazuar mbi riskun, kryerjes gjithnjë e më shumë të inspektimeve të përputhshmërisë (bazuar në lista kontrolli të përditësuara). </w:t>
      </w:r>
    </w:p>
    <w:p w14:paraId="01BAFD61" w14:textId="77777777" w:rsidR="000912AA" w:rsidRPr="000E152E" w:rsidRDefault="000912AA" w:rsidP="0026587C">
      <w:pPr>
        <w:pStyle w:val="TEKSTIIII"/>
      </w:pPr>
      <w:r w:rsidRPr="000E152E">
        <w:t>Për të përmirësuar ndërgjegjësimin e punëdhënësve dhe punëmarrësve në lidhje me të drejtat dhe përgjegjësitë, kërkesave ligjore të kushteve të punës, institucionet do të forcojnë sistemin informues e këshillues, përfshirë shërbimet për bizneset, si dhe përdorimin e masave administrative për të parandaluar dhe minimizuar shkeljet e legjislacionit të punës, sidomos ato që lidhen me marrëdhëniet e punës dhe sigurisë dhe shëndetit në punë.</w:t>
      </w:r>
    </w:p>
    <w:p w14:paraId="01BAFD62" w14:textId="77777777" w:rsidR="000912AA" w:rsidRPr="000E152E" w:rsidRDefault="000912AA" w:rsidP="0026587C">
      <w:pPr>
        <w:pStyle w:val="TEKSTIIII"/>
        <w:rPr>
          <w:b/>
        </w:rPr>
      </w:pPr>
      <w:bookmarkStart w:id="49" w:name="_Toc119598211"/>
      <w:r w:rsidRPr="000E152E">
        <w:rPr>
          <w:b/>
        </w:rPr>
        <w:t>6. Promovimi i dialogut social në tregun e punës</w:t>
      </w:r>
      <w:bookmarkEnd w:id="49"/>
    </w:p>
    <w:p w14:paraId="01BAFD63" w14:textId="3937BF93" w:rsidR="000912AA" w:rsidRPr="000E152E" w:rsidRDefault="000912AA" w:rsidP="0026587C">
      <w:pPr>
        <w:pStyle w:val="TEKSTIIII"/>
      </w:pPr>
      <w:r w:rsidRPr="000E152E">
        <w:t>Mbështetja e rolit të dialogut social në vend u shërben drejtpërdrejt reformave në fushën e punësimit dhe orientimit të politikave ekonomike të vendit duke synuar harmonizimin e plotë të legjislacionit dhe mekanizmave institucional</w:t>
      </w:r>
      <w:r w:rsidR="003329B6" w:rsidRPr="000E152E">
        <w:t>ë</w:t>
      </w:r>
      <w:r w:rsidRPr="000E152E">
        <w:t xml:space="preserve"> të tregut të punës me standardet e Bashkimit Evropian dhe veçanërisht në çështjet që lidhen me marrëdhëniet në punë, sigurinë dhe shëndetin në punë, mundësitë e barabarta për gratë dhe vajzat, personat me aftësi të kufizuara dhe grupeve të tjera të c</w:t>
      </w:r>
      <w:r w:rsidR="00581156">
        <w:t>e</w:t>
      </w:r>
      <w:r w:rsidRPr="000E152E">
        <w:t xml:space="preserve">nueshme të shoqërisë shqiptare. </w:t>
      </w:r>
    </w:p>
    <w:p w14:paraId="01BAFD64" w14:textId="667F8805" w:rsidR="000912AA" w:rsidRPr="000E152E" w:rsidRDefault="000912AA" w:rsidP="0026587C">
      <w:pPr>
        <w:pStyle w:val="TEKSTIIII"/>
      </w:pPr>
      <w:r w:rsidRPr="000E152E">
        <w:t>Për arritjen e këtij qëllimi do të vijojë të përkrahet ndërveprimi tr</w:t>
      </w:r>
      <w:r w:rsidR="00581156">
        <w:t>e</w:t>
      </w:r>
      <w:r w:rsidRPr="000E152E">
        <w:t>palësh punëdhënës-punëmarrës-institucione dhe do të mbështetet me të gjitha mënyrat e parashikuara në ligj organizimi i punëmarrësve për të mundësuar një pjesëmarrje gjithëpërfshirëse dhe aktive të tyre në procesin e dialogut social si dhe garantuar funksionimin e një llogaridhënieje transparente dhe efikase. Krahas fuqizimit të dialogut social në nivel qendror, përparësi do t</w:t>
      </w:r>
      <w:r w:rsidR="009330F6">
        <w:t>’</w:t>
      </w:r>
      <w:r w:rsidRPr="000E152E">
        <w:t>i jepet ngritjes dhe mbështetjes së këtij procesi edhe në nivel lokal duke synuar një përfshirje sa më të gjerë dhe efikase në zgjidhjen e sfidave të tregut të punës. Hapja e dialogut social ndaj organizimeve të punëmarrësve dhe punëdhënësve, veçanërisht në aktivitetet e reja ekonomike dhe format e reja të punës, do të realizohet përmes rishikimit të kujdesshëm të kritereve të përfaqësimit në forumet përkatëse të dialogut tr</w:t>
      </w:r>
      <w:r w:rsidR="00581156">
        <w:t>e</w:t>
      </w:r>
      <w:r w:rsidRPr="000E152E">
        <w:t xml:space="preserve">palësh në nivel qendror dhe lokal, përfshirë funksionimin efikas të Këshillit Kombëtar të Punës, për të garantuar dialog produktiv, gjithëpërfshirës dhe llogaridhënës. </w:t>
      </w:r>
    </w:p>
    <w:p w14:paraId="01BAFD65" w14:textId="1055D92D" w:rsidR="000912AA" w:rsidRPr="000E152E" w:rsidRDefault="000912AA" w:rsidP="0026587C">
      <w:pPr>
        <w:pStyle w:val="TEKSTIIII"/>
      </w:pPr>
      <w:r w:rsidRPr="000E152E">
        <w:t>Krahas promovimit të dialogut social në nivel qendror dhe lokal, në përputhje me zhvillimet e njëjta në vendet e Bashkimit E</w:t>
      </w:r>
      <w:r w:rsidR="00581156">
        <w:t>v</w:t>
      </w:r>
      <w:r w:rsidRPr="000E152E">
        <w:t>ropian, përparësi do t</w:t>
      </w:r>
      <w:r w:rsidR="009330F6">
        <w:t>’</w:t>
      </w:r>
      <w:r w:rsidRPr="000E152E">
        <w:t>i jepet hapjes dhe përfshirjes në dialog të palëve të tjera me interes dhe kontribut për tregun e punës, si organizatat e shoqërisë civile aktive në këtë sektor (</w:t>
      </w:r>
      <w:r w:rsidRPr="000E152E">
        <w:rPr>
          <w:i/>
        </w:rPr>
        <w:t>tripartitizmi plus</w:t>
      </w:r>
      <w:r w:rsidRPr="000E152E">
        <w:t>).</w:t>
      </w:r>
    </w:p>
    <w:p w14:paraId="01BAFD66" w14:textId="77777777" w:rsidR="000912AA" w:rsidRPr="000E152E" w:rsidRDefault="000912AA" w:rsidP="0026587C">
      <w:pPr>
        <w:pStyle w:val="TEKSTIIII"/>
      </w:pPr>
      <w:r w:rsidRPr="000E152E">
        <w:t>Pjesë e këtij procesi do të jetë edhe fuqizimi i strukturave institucionale për adresimin dhe ndërmjetësimin efikas të konflikteve dhe pajtimit në tregun e punës për kontratat kolektive dhe mbrojtjen e të drejtave të punëmarrësve, për të mundësuar një zhvillim të shëndetshëm të dialogut social në vend.</w:t>
      </w:r>
    </w:p>
    <w:p w14:paraId="01BAFD67" w14:textId="77777777" w:rsidR="000912AA" w:rsidRPr="000E152E" w:rsidRDefault="000912AA" w:rsidP="0026587C">
      <w:pPr>
        <w:pStyle w:val="TEKSTIIII"/>
        <w:rPr>
          <w:b/>
        </w:rPr>
      </w:pPr>
      <w:bookmarkStart w:id="50" w:name="_Toc119598212"/>
      <w:r w:rsidRPr="000E152E">
        <w:rPr>
          <w:b/>
        </w:rPr>
        <w:t>7. Përmirësimi i politikave për punësim të denjë</w:t>
      </w:r>
      <w:bookmarkEnd w:id="50"/>
      <w:r w:rsidRPr="000E152E">
        <w:rPr>
          <w:b/>
        </w:rPr>
        <w:t> </w:t>
      </w:r>
    </w:p>
    <w:p w14:paraId="01BAFD68" w14:textId="77777777" w:rsidR="000912AA" w:rsidRPr="000E152E" w:rsidRDefault="000912AA" w:rsidP="0026587C">
      <w:pPr>
        <w:pStyle w:val="TEKSTIIII"/>
      </w:pPr>
      <w:r w:rsidRPr="000E152E">
        <w:t xml:space="preserve">Për të mundësuar rritjen e mirëqenies dhe kushtet e jetesës së të gjithë punonjësve, në vëmendje të zbatimit të strategjisë do të jetë mbështetja e reformave dhe politikave që synojnë një punë të denjë mbështetur nga një sistem efikas mbrojtjeje në rastet e papunësisë, kushte të mira pune, paga të denja dhe konkurruese përmes mekanizmave funksionues të tregut. </w:t>
      </w:r>
    </w:p>
    <w:p w14:paraId="01BAFD69" w14:textId="72FF2284" w:rsidR="000912AA" w:rsidRPr="000E152E" w:rsidRDefault="000912AA" w:rsidP="0026587C">
      <w:pPr>
        <w:pStyle w:val="TEKSTIIII"/>
      </w:pPr>
      <w:r w:rsidRPr="000E152E">
        <w:t>Zbatimi i strategjisë do të synojë të gjitha aspektet e rëndësishme të punës së denjë, duke përfshirë të drejtën e asociimit, zhvillimit të karrierës, orarit të punës si dhe rishikimin e vazhdueshëm të pagës minimale në shkallë vendi me pjesëmarrjen e të gjithë aktorëve të dialogut social, si dhe trajtimin e çështjeve të lidhura me to, si informaliteti, hapja e tregut të punës, konkurrenca në rajonin e integruar, perspektiva gjinore në punë, siguria dhe shëndeti në punë</w:t>
      </w:r>
      <w:r w:rsidR="00DE3FCD">
        <w:t xml:space="preserve"> etj.</w:t>
      </w:r>
      <w:r w:rsidRPr="000E152E">
        <w:t xml:space="preserve"> </w:t>
      </w:r>
    </w:p>
    <w:p w14:paraId="01BAFD6A" w14:textId="2732EEB5" w:rsidR="000912AA" w:rsidRPr="000E152E" w:rsidRDefault="000912AA" w:rsidP="0026587C">
      <w:pPr>
        <w:pStyle w:val="TEKSTIIII"/>
      </w:pPr>
      <w:r w:rsidRPr="000E152E">
        <w:t xml:space="preserve">Në këtë kuadër, do të vlerësohet ndërveprimi dhe efektet e politikave dhe mekanizmit të pagesës së papunësisë dhe përfshirjes aktive në tregun e punës në drejtësinë dhe barazinë e </w:t>
      </w:r>
      <w:r w:rsidRPr="000E152E">
        <w:lastRenderedPageBreak/>
        <w:t>sistemit të pagesave të papunësisë dhe mbrojtjen që ky sistem ofron, me qëllim vlerësimin e mundësive</w:t>
      </w:r>
      <w:r w:rsidR="000E152E" w:rsidRPr="000E152E">
        <w:t xml:space="preserve"> </w:t>
      </w:r>
      <w:r w:rsidRPr="000E152E">
        <w:t>për reformimin e tij për të ofruar mbështetje të përshtatshme për të papunët dhe për të mundësuar përfshirjen aktive të tyre në tregun e punës.</w:t>
      </w:r>
    </w:p>
    <w:p w14:paraId="01BAFD6C" w14:textId="33899A85" w:rsidR="000912AA" w:rsidRPr="00581156" w:rsidRDefault="00581156" w:rsidP="0024402D">
      <w:pPr>
        <w:pStyle w:val="TEKSTIIII"/>
      </w:pPr>
      <w:bookmarkStart w:id="51" w:name="_Toc123165421"/>
      <w:r w:rsidRPr="00581156">
        <w:t>IV. LLOGARIDHËNIA, MONITORIMI DHE ANALIZAT VLERËSUESE</w:t>
      </w:r>
      <w:bookmarkEnd w:id="51"/>
    </w:p>
    <w:p w14:paraId="01BAFD6D" w14:textId="77777777" w:rsidR="000912AA" w:rsidRPr="000E152E" w:rsidRDefault="0024402D" w:rsidP="0024402D">
      <w:pPr>
        <w:pStyle w:val="TEKSTIIII"/>
        <w:rPr>
          <w:b/>
        </w:rPr>
      </w:pPr>
      <w:bookmarkStart w:id="52" w:name="_Toc123165422"/>
      <w:r w:rsidRPr="000E152E">
        <w:rPr>
          <w:b/>
        </w:rPr>
        <w:t xml:space="preserve">4.1 </w:t>
      </w:r>
      <w:r w:rsidR="000912AA" w:rsidRPr="000E152E">
        <w:rPr>
          <w:b/>
        </w:rPr>
        <w:t>Mekanizmat e Zbatimit dhe Koordinimit</w:t>
      </w:r>
      <w:bookmarkEnd w:id="52"/>
    </w:p>
    <w:p w14:paraId="01BAFD6E" w14:textId="36980E99" w:rsidR="000912AA" w:rsidRPr="000E152E" w:rsidRDefault="000912AA" w:rsidP="0024402D">
      <w:pPr>
        <w:pStyle w:val="TEKSTIIII"/>
      </w:pPr>
      <w:r w:rsidRPr="000E152E">
        <w:t>Strategjia do të zbatohet përgjatë periudhës 2023</w:t>
      </w:r>
      <w:r w:rsidR="00581156">
        <w:t>–</w:t>
      </w:r>
      <w:r w:rsidRPr="000E152E">
        <w:t>2030. Rol udhëh</w:t>
      </w:r>
      <w:r w:rsidR="00581156">
        <w:t>e</w:t>
      </w:r>
      <w:r w:rsidRPr="000E152E">
        <w:t>qës në zbatimin e Strategjisë do të ketë Ministria e Financave dhe Ekonomisë (MFE) si institucioni përgjegjës për fushën e punësimit dhe aftësimit profesional. Përgjegjësia për zbatimin e secilës masë dhe çdo ndërhyrjeje brenda masës është përcaktuar në planin e veprimit të Strategjisë i cili është paraqitur në Shtojcën 1. Në aktivitetet e secilës ndërhyrje do të pasqyrohen në planin vjetor operativ të secilit institucionit përgjegjës për zbatimin e Strategjisë.</w:t>
      </w:r>
    </w:p>
    <w:p w14:paraId="01BAFD6F" w14:textId="6881688D" w:rsidR="000912AA" w:rsidRPr="000E152E" w:rsidRDefault="000912AA" w:rsidP="0024402D">
      <w:pPr>
        <w:pStyle w:val="TEKSTIIII"/>
      </w:pPr>
      <w:r w:rsidRPr="000E152E">
        <w:t xml:space="preserve">Strategjia do të jetë pjesë </w:t>
      </w:r>
      <w:r w:rsidR="00581156" w:rsidRPr="000E152E">
        <w:t>përbërëse</w:t>
      </w:r>
      <w:r w:rsidRPr="000E152E">
        <w:t xml:space="preserve"> e Sistemit të Planifikimit të Integruar (SPI) dhe Strategjisë Kombëtare </w:t>
      </w:r>
      <w:r w:rsidR="00581156" w:rsidRPr="000E152E">
        <w:t>për</w:t>
      </w:r>
      <w:r w:rsidRPr="000E152E">
        <w:t xml:space="preserve"> Zhvillim dhe Integrim Evropian 2021</w:t>
      </w:r>
      <w:r w:rsidR="00581156">
        <w:t>–</w:t>
      </w:r>
      <w:r w:rsidRPr="000E152E">
        <w:t>2030.</w:t>
      </w:r>
      <w:r w:rsidR="000E152E" w:rsidRPr="000E152E">
        <w:t xml:space="preserve"> </w:t>
      </w:r>
    </w:p>
    <w:p w14:paraId="01BAFD70" w14:textId="406FFD2B" w:rsidR="000912AA" w:rsidRPr="000E152E" w:rsidRDefault="0024402D" w:rsidP="0024402D">
      <w:pPr>
        <w:pStyle w:val="TEKSTIIII"/>
        <w:rPr>
          <w:b/>
        </w:rPr>
      </w:pPr>
      <w:bookmarkStart w:id="53" w:name="_Toc123165423"/>
      <w:r w:rsidRPr="000E152E">
        <w:rPr>
          <w:b/>
        </w:rPr>
        <w:t xml:space="preserve">4.2 </w:t>
      </w:r>
      <w:r w:rsidR="000912AA" w:rsidRPr="000E152E">
        <w:rPr>
          <w:b/>
        </w:rPr>
        <w:t xml:space="preserve">Monitorimi dhe </w:t>
      </w:r>
      <w:r w:rsidR="00581156">
        <w:rPr>
          <w:b/>
        </w:rPr>
        <w:t>v</w:t>
      </w:r>
      <w:r w:rsidR="000912AA" w:rsidRPr="000E152E">
        <w:rPr>
          <w:b/>
        </w:rPr>
        <w:t>lerësimi</w:t>
      </w:r>
      <w:bookmarkEnd w:id="53"/>
    </w:p>
    <w:p w14:paraId="01BAFD71" w14:textId="709297EE" w:rsidR="000912AA" w:rsidRPr="000E152E" w:rsidRDefault="000912AA" w:rsidP="0024402D">
      <w:pPr>
        <w:pStyle w:val="TEKSTIIII"/>
      </w:pPr>
      <w:r w:rsidRPr="000E152E">
        <w:t>Monitorimi është një proces i vazhdueshëm i mbledhjes dhe analizimit të informacionit në lidhje me zbatimin e ndërhyrjeve dhe masave prioritare. Monitorimi gjurmon veprimet, ndërhyrjet, burimet financiare të alokuara dhe të shpenzuara në baza të rregullta dhe i krahason ato me planin e veprimit për të vlerësuar se si po zbatohet Strategjia. Monitorimi i performancës tregon rezultatet e arritura në nivele të ndryshme: (i) masat prioritare</w:t>
      </w:r>
      <w:r w:rsidR="00581156">
        <w:t>;</w:t>
      </w:r>
      <w:r w:rsidRPr="000E152E">
        <w:t xml:space="preserve"> (ii) objektivat specifik</w:t>
      </w:r>
      <w:r w:rsidR="00581156">
        <w:t>ë</w:t>
      </w:r>
      <w:r w:rsidRPr="000E152E">
        <w:t xml:space="preserve"> dhe (iii) synimet afatgjata të cilat përcaktohen si qëllimet e politikës kundrejt synimeve të caktuara. Monitorimi do të bëhet në bazë të informacionit të mbledhur rregullisht përmes sistemit të monitorimit. Megjithatë, monitorimi i zbatimit të veprimeve dhe ndërhyrjeve brenda masave prioritare, si dhe monitorimi i burimeve financiare të alokuara dhe të shpenzuara do të bëhet në bazë të planit vjetor të punës së institucioneve përgjegjëse për zbatimin e Strategjisë si dhe sipas planin e veprimit të Strategjisë. Nga ana tjetër, monitorimi i performancës ose monitorimi i rezultateve do të bëhet në bazë të kornizës së monitorimit dhe vlerësimit që është përgatitur për këtë qëllim dhe gjendet në shtojcën 2, ku janë caktuar treguesit e performancës për masat prioritare, objektivat specifikë dhe qëllimet kryesore të politikës</w:t>
      </w:r>
      <w:r w:rsidR="006E0BE8">
        <w:t>,</w:t>
      </w:r>
      <w:r w:rsidRPr="000E152E">
        <w:t xml:space="preserve"> si dhe është përcaktuar përgjegjësia për mbledhjen e të dhënave. </w:t>
      </w:r>
    </w:p>
    <w:p w14:paraId="01BAFD72" w14:textId="71622A04" w:rsidR="000912AA" w:rsidRPr="000E152E" w:rsidRDefault="000912AA" w:rsidP="00A96392">
      <w:pPr>
        <w:pStyle w:val="TEKSTIIII"/>
      </w:pPr>
      <w:r w:rsidRPr="000E152E">
        <w:t>Monitorimi i zbatimit të masave prioritare, ndërhyrjeve dhe i burimeve financiare të alokuara dhe të shpenzuara, si dhe monitorimi i performancës do të kryhen në bazë vjetore. Ministria do të ketë përgjegjësinë të sistematizojë informacionin e monitorimit dhe ta paraqesë në raportin përkatës të monitorimit, i cili do t</w:t>
      </w:r>
      <w:r w:rsidR="009330F6">
        <w:t>’</w:t>
      </w:r>
      <w:r w:rsidRPr="000E152E">
        <w:t>i dorëzohet qeverisë, por edhe do të diskutohet me aktorë të tjerë.</w:t>
      </w:r>
    </w:p>
    <w:p w14:paraId="01BAFD73" w14:textId="24A45969" w:rsidR="000912AA" w:rsidRPr="000E152E" w:rsidRDefault="000912AA" w:rsidP="00A96392">
      <w:pPr>
        <w:pStyle w:val="TEKSTIIII"/>
      </w:pPr>
      <w:r w:rsidRPr="000E152E">
        <w:t>Për vlerësimin e Strategjisë do të kryhen dy ushtrime vlerësimi. Një pas përfundimit të fazës së parë të Strategjisë (2023</w:t>
      </w:r>
      <w:r w:rsidR="00581156">
        <w:t>–</w:t>
      </w:r>
      <w:r w:rsidRPr="000E152E">
        <w:t>2025) dhe një në përfundim të Strategjisë (2029</w:t>
      </w:r>
      <w:r w:rsidR="00581156">
        <w:t>–</w:t>
      </w:r>
      <w:r w:rsidRPr="000E152E">
        <w:t>2030). Ushtrimi i parë i vlerësimit do të analizojë zbatimin e masave prioritare</w:t>
      </w:r>
      <w:r w:rsidR="00A23B89">
        <w:t>,</w:t>
      </w:r>
      <w:r w:rsidRPr="000E152E">
        <w:t xml:space="preserve"> si dhe rezultatet e arritura. Duke bërë krahasimin me situatën bazë, vlerësimi i ndërmjetëm do të nxjerrë në pah ndryshimet në kontekstin e përgjithshëm dhe do të gjykojë nëse objektivat, masat prioritare dhe ndërhyrjet mbeten të rëndësishme, përpara fillimit të fazës së dytë të zbatimit të Strategjisë për periudhën 2026</w:t>
      </w:r>
      <w:r w:rsidR="00581156">
        <w:t>–</w:t>
      </w:r>
      <w:r w:rsidRPr="000E152E">
        <w:t>2028. Ky vlerësim do të shqyrtojë gjithashtu nëse ka ende një koherencë të plotë midis objektivave të strategjisë dhe prioriteteve dhe politikave kombëtare. Vlerësimi i ndërmjetëm do të mbështetet në informacionin e nxjerrë nga sistemi i monitorimit dhe nga konteksti i përgjithshëm dhe do të ofrojë udhëzime për rishikimin e planit të veprimit të Strategjisë por edhe për hartimin e planeve operative më të detajuara vjetore për periudhën e ardhshme cili do të mbulojë periudhën 2026</w:t>
      </w:r>
      <w:r w:rsidR="00581156">
        <w:t>–</w:t>
      </w:r>
      <w:r w:rsidRPr="000E152E">
        <w:t>2028.</w:t>
      </w:r>
    </w:p>
    <w:p w14:paraId="01BAFD74" w14:textId="2F868FDD" w:rsidR="000912AA" w:rsidRPr="000E152E" w:rsidRDefault="000912AA" w:rsidP="00A96392">
      <w:pPr>
        <w:pStyle w:val="TEKSTIIII"/>
      </w:pPr>
      <w:r w:rsidRPr="000E152E">
        <w:t>Vlerësimi përfundimtar, që do të kryhet në vitet 2029</w:t>
      </w:r>
      <w:r w:rsidR="00A23B89">
        <w:t>–</w:t>
      </w:r>
      <w:r w:rsidRPr="000E152E">
        <w:t>2030, do të analizojë të gjithë ecurinë e Strategjisë. Ky vlerësim do të raportojë mbi efektivitetin, rëndësinë, efikasitetin</w:t>
      </w:r>
      <w:r w:rsidR="000E152E" w:rsidRPr="000E152E">
        <w:t xml:space="preserve"> </w:t>
      </w:r>
      <w:r w:rsidRPr="000E152E">
        <w:t>dhe qëndrueshmërinë e masave prioritare të Strategjisë.</w:t>
      </w:r>
    </w:p>
    <w:p w14:paraId="01BAFD76" w14:textId="6AD7F733" w:rsidR="009B1083" w:rsidRPr="00A23B89" w:rsidRDefault="00A23B89" w:rsidP="009B1083">
      <w:pPr>
        <w:pStyle w:val="TEKSTIIII"/>
      </w:pPr>
      <w:bookmarkStart w:id="54" w:name="_Toc123165424"/>
      <w:r w:rsidRPr="00A23B89">
        <w:t>V. BURIMET FINANCIARE PËR ZBATIMIN E STRATEGJISË</w:t>
      </w:r>
      <w:bookmarkEnd w:id="54"/>
    </w:p>
    <w:p w14:paraId="01BAFD78" w14:textId="77777777" w:rsidR="009B1083" w:rsidRPr="000E152E" w:rsidRDefault="009B1083" w:rsidP="00A96392">
      <w:pPr>
        <w:pStyle w:val="TEKSTIIII"/>
      </w:pPr>
      <w:r w:rsidRPr="000E152E">
        <w:t>Tabela 3: Kosto e Strategjisë Kombëtare e Punësimit dhe Aftësive, sipas burimit të financimit</w:t>
      </w:r>
    </w:p>
    <w:p w14:paraId="01BAFD7C" w14:textId="77777777" w:rsidR="00964EA0" w:rsidRPr="000E152E" w:rsidRDefault="00C51CEE" w:rsidP="00C51CEE">
      <w:pPr>
        <w:pStyle w:val="TEKSTIIII"/>
        <w:jc w:val="center"/>
      </w:pPr>
      <w:r w:rsidRPr="000E152E">
        <w:rPr>
          <w:noProof/>
          <w:lang w:val="en-US"/>
        </w:rPr>
        <w:lastRenderedPageBreak/>
        <w:drawing>
          <wp:inline distT="0" distB="0" distL="0" distR="0" wp14:anchorId="01BB0860" wp14:editId="2AF0A724">
            <wp:extent cx="5805825" cy="3135887"/>
            <wp:effectExtent l="0" t="0" r="444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620" t="21913" r="33254" b="25658"/>
                    <a:stretch/>
                  </pic:blipFill>
                  <pic:spPr bwMode="auto">
                    <a:xfrm>
                      <a:off x="0" y="0"/>
                      <a:ext cx="5806583" cy="3136296"/>
                    </a:xfrm>
                    <a:prstGeom prst="rect">
                      <a:avLst/>
                    </a:prstGeom>
                    <a:ln>
                      <a:noFill/>
                    </a:ln>
                    <a:extLst>
                      <a:ext uri="{53640926-AAD7-44D8-BBD7-CCE9431645EC}">
                        <a14:shadowObscured xmlns:a14="http://schemas.microsoft.com/office/drawing/2010/main"/>
                      </a:ext>
                    </a:extLst>
                  </pic:spPr>
                </pic:pic>
              </a:graphicData>
            </a:graphic>
          </wp:inline>
        </w:drawing>
      </w:r>
    </w:p>
    <w:p w14:paraId="01BAFD7D" w14:textId="77777777" w:rsidR="00964EA0" w:rsidRPr="00582371" w:rsidRDefault="00964EA0" w:rsidP="00A96392">
      <w:pPr>
        <w:pStyle w:val="TEKSTIIII"/>
        <w:rPr>
          <w:sz w:val="14"/>
        </w:rPr>
      </w:pPr>
    </w:p>
    <w:p w14:paraId="01BAFD7F" w14:textId="64C72728" w:rsidR="002B3C1E" w:rsidRPr="000E152E" w:rsidRDefault="002B3C1E" w:rsidP="00A96392">
      <w:pPr>
        <w:pStyle w:val="TEKSTIIII"/>
      </w:pPr>
      <w:r w:rsidRPr="000E152E">
        <w:t>Tabela 4: Kosto</w:t>
      </w:r>
      <w:r w:rsidR="007C7B87">
        <w:t>ja</w:t>
      </w:r>
      <w:r w:rsidRPr="000E152E">
        <w:t xml:space="preserve"> e Strategjisë Kombëtare të Punësimit dhe Aftësive 2023</w:t>
      </w:r>
      <w:r w:rsidR="007C7B87">
        <w:t>–</w:t>
      </w:r>
      <w:r w:rsidRPr="000E152E">
        <w:t>2030, pa dalluar burimin e financimit</w:t>
      </w:r>
    </w:p>
    <w:tbl>
      <w:tblPr>
        <w:tblW w:w="5000" w:type="pct"/>
        <w:jc w:val="center"/>
        <w:tblLayout w:type="fixed"/>
        <w:tblLook w:val="04A0" w:firstRow="1" w:lastRow="0" w:firstColumn="1" w:lastColumn="0" w:noHBand="0" w:noVBand="1"/>
      </w:tblPr>
      <w:tblGrid>
        <w:gridCol w:w="402"/>
        <w:gridCol w:w="3127"/>
        <w:gridCol w:w="1174"/>
        <w:gridCol w:w="2608"/>
        <w:gridCol w:w="1288"/>
        <w:gridCol w:w="643"/>
      </w:tblGrid>
      <w:tr w:rsidR="002B3C1E" w:rsidRPr="000E152E" w14:paraId="01BAFD85" w14:textId="77777777" w:rsidTr="007C7B87">
        <w:trPr>
          <w:trHeight w:val="50"/>
          <w:jc w:val="center"/>
        </w:trPr>
        <w:tc>
          <w:tcPr>
            <w:tcW w:w="190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AFD80"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Kosto e Strategjisë Kombëtare të Punësimit dhe Aftësive 2023-2030</w:t>
            </w:r>
          </w:p>
        </w:tc>
        <w:tc>
          <w:tcPr>
            <w:tcW w:w="6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AFD81"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 xml:space="preserve">Kosto indikative </w:t>
            </w:r>
          </w:p>
          <w:p w14:paraId="01BAFD82" w14:textId="477F2654"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(n</w:t>
            </w:r>
            <w:r w:rsidR="00CD34DB">
              <w:rPr>
                <w:rFonts w:ascii="Garamond" w:eastAsia="Times New Roman" w:hAnsi="Garamond" w:cs="Calibri"/>
                <w:b/>
                <w:bCs/>
                <w:color w:val="000000"/>
                <w:sz w:val="16"/>
                <w:szCs w:val="16"/>
                <w:lang w:eastAsia="en-GB"/>
              </w:rPr>
              <w:t>ë</w:t>
            </w:r>
            <w:r w:rsidRPr="000E152E">
              <w:rPr>
                <w:rFonts w:ascii="Garamond" w:eastAsia="Times New Roman" w:hAnsi="Garamond" w:cs="Calibri"/>
                <w:b/>
                <w:bCs/>
                <w:color w:val="000000"/>
                <w:sz w:val="16"/>
                <w:szCs w:val="16"/>
                <w:lang w:eastAsia="en-GB"/>
              </w:rPr>
              <w:t xml:space="preserve"> ALL)</w:t>
            </w:r>
          </w:p>
        </w:tc>
        <w:tc>
          <w:tcPr>
            <w:tcW w:w="14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BAFD83" w14:textId="1379962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Burimi i mbulimit</w:t>
            </w:r>
            <w:r w:rsidRPr="000E152E">
              <w:rPr>
                <w:rFonts w:ascii="Garamond" w:eastAsia="Times New Roman" w:hAnsi="Garamond" w:cs="Calibri"/>
                <w:b/>
                <w:bCs/>
                <w:color w:val="000000"/>
                <w:sz w:val="16"/>
                <w:szCs w:val="16"/>
                <w:lang w:eastAsia="en-GB"/>
              </w:rPr>
              <w:br/>
              <w:t xml:space="preserve">Buxhet shteti dhe financim </w:t>
            </w:r>
            <w:r w:rsidR="00CD34DB">
              <w:rPr>
                <w:rFonts w:ascii="Garamond" w:eastAsia="Times New Roman" w:hAnsi="Garamond" w:cs="Calibri"/>
                <w:b/>
                <w:bCs/>
                <w:color w:val="000000"/>
                <w:sz w:val="16"/>
                <w:szCs w:val="16"/>
                <w:lang w:eastAsia="en-GB"/>
              </w:rPr>
              <w:t>i</w:t>
            </w:r>
            <w:r w:rsidRPr="000E152E">
              <w:rPr>
                <w:rFonts w:ascii="Garamond" w:eastAsia="Times New Roman" w:hAnsi="Garamond" w:cs="Calibri"/>
                <w:b/>
                <w:bCs/>
                <w:color w:val="000000"/>
                <w:sz w:val="16"/>
                <w:szCs w:val="16"/>
                <w:lang w:eastAsia="en-GB"/>
              </w:rPr>
              <w:t xml:space="preserve"> huaj</w:t>
            </w:r>
          </w:p>
        </w:tc>
        <w:tc>
          <w:tcPr>
            <w:tcW w:w="104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1BAFD84"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 xml:space="preserve">Hendeku financiar </w:t>
            </w:r>
          </w:p>
        </w:tc>
      </w:tr>
      <w:tr w:rsidR="002B3C1E" w:rsidRPr="000E152E" w14:paraId="01BAFD8B" w14:textId="77777777" w:rsidTr="007C7B87">
        <w:trPr>
          <w:trHeight w:val="50"/>
          <w:jc w:val="center"/>
        </w:trPr>
        <w:tc>
          <w:tcPr>
            <w:tcW w:w="1909" w:type="pct"/>
            <w:gridSpan w:val="2"/>
            <w:vMerge/>
            <w:tcBorders>
              <w:top w:val="single" w:sz="4" w:space="0" w:color="auto"/>
              <w:left w:val="single" w:sz="4" w:space="0" w:color="auto"/>
              <w:bottom w:val="single" w:sz="4" w:space="0" w:color="auto"/>
              <w:right w:val="single" w:sz="4" w:space="0" w:color="auto"/>
            </w:tcBorders>
            <w:vAlign w:val="center"/>
            <w:hideMark/>
          </w:tcPr>
          <w:p w14:paraId="01BAFD86"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1BAFD87"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1411" w:type="pct"/>
            <w:vMerge/>
            <w:tcBorders>
              <w:top w:val="single" w:sz="4" w:space="0" w:color="auto"/>
              <w:left w:val="single" w:sz="4" w:space="0" w:color="auto"/>
              <w:bottom w:val="single" w:sz="4" w:space="0" w:color="000000"/>
              <w:right w:val="single" w:sz="4" w:space="0" w:color="auto"/>
            </w:tcBorders>
            <w:vAlign w:val="center"/>
            <w:hideMark/>
          </w:tcPr>
          <w:p w14:paraId="01BAFD88"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697" w:type="pct"/>
            <w:tcBorders>
              <w:top w:val="nil"/>
              <w:left w:val="nil"/>
              <w:bottom w:val="single" w:sz="4" w:space="0" w:color="auto"/>
              <w:right w:val="single" w:sz="4" w:space="0" w:color="auto"/>
            </w:tcBorders>
            <w:shd w:val="clear" w:color="auto" w:fill="auto"/>
            <w:noWrap/>
            <w:vAlign w:val="center"/>
            <w:hideMark/>
          </w:tcPr>
          <w:p w14:paraId="01BAFD89"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ALL</w:t>
            </w:r>
          </w:p>
        </w:tc>
        <w:tc>
          <w:tcPr>
            <w:tcW w:w="349" w:type="pct"/>
            <w:tcBorders>
              <w:top w:val="nil"/>
              <w:left w:val="nil"/>
              <w:bottom w:val="single" w:sz="4" w:space="0" w:color="auto"/>
              <w:right w:val="single" w:sz="4" w:space="0" w:color="auto"/>
            </w:tcBorders>
            <w:shd w:val="clear" w:color="auto" w:fill="auto"/>
            <w:noWrap/>
            <w:vAlign w:val="center"/>
            <w:hideMark/>
          </w:tcPr>
          <w:p w14:paraId="01BAFD8A"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w:t>
            </w:r>
          </w:p>
        </w:tc>
      </w:tr>
      <w:tr w:rsidR="002B3C1E" w:rsidRPr="000E152E" w14:paraId="01BAFD92" w14:textId="77777777" w:rsidTr="007C7B87">
        <w:trPr>
          <w:trHeight w:val="50"/>
          <w:jc w:val="center"/>
        </w:trPr>
        <w:tc>
          <w:tcPr>
            <w:tcW w:w="217"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01BAFD8C" w14:textId="62348786"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 xml:space="preserve">Qëllimi </w:t>
            </w:r>
            <w:r w:rsidR="00CD34DB">
              <w:rPr>
                <w:rFonts w:ascii="Garamond" w:eastAsia="Times New Roman" w:hAnsi="Garamond" w:cs="Calibri"/>
                <w:b/>
                <w:bCs/>
                <w:color w:val="000000"/>
                <w:sz w:val="16"/>
                <w:szCs w:val="16"/>
                <w:lang w:eastAsia="en-GB"/>
              </w:rPr>
              <w:t>i</w:t>
            </w:r>
            <w:r w:rsidRPr="000E152E">
              <w:rPr>
                <w:rFonts w:ascii="Garamond" w:eastAsia="Times New Roman" w:hAnsi="Garamond" w:cs="Calibri"/>
                <w:b/>
                <w:bCs/>
                <w:color w:val="000000"/>
                <w:sz w:val="16"/>
                <w:szCs w:val="16"/>
                <w:lang w:eastAsia="en-GB"/>
              </w:rPr>
              <w:t xml:space="preserve"> politikës 1</w:t>
            </w:r>
          </w:p>
        </w:tc>
        <w:tc>
          <w:tcPr>
            <w:tcW w:w="1691" w:type="pct"/>
            <w:tcBorders>
              <w:top w:val="nil"/>
              <w:left w:val="nil"/>
              <w:bottom w:val="single" w:sz="4" w:space="0" w:color="auto"/>
              <w:right w:val="single" w:sz="4" w:space="0" w:color="auto"/>
            </w:tcBorders>
            <w:shd w:val="clear" w:color="auto" w:fill="auto"/>
            <w:vAlign w:val="center"/>
            <w:hideMark/>
          </w:tcPr>
          <w:p w14:paraId="01BAFD8D" w14:textId="77777777" w:rsidR="002B3C1E" w:rsidRPr="000E152E" w:rsidRDefault="002B3C1E" w:rsidP="00CD34DB">
            <w:pPr>
              <w:spacing w:after="0" w:line="240" w:lineRule="auto"/>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 OBJEKTIVI SPECIFIK 1.1: Reduktimi i mospërputhjes së aftësive për të gjitha profesionet</w:t>
            </w:r>
          </w:p>
        </w:tc>
        <w:tc>
          <w:tcPr>
            <w:tcW w:w="635" w:type="pct"/>
            <w:tcBorders>
              <w:top w:val="nil"/>
              <w:left w:val="nil"/>
              <w:bottom w:val="single" w:sz="4" w:space="0" w:color="auto"/>
              <w:right w:val="single" w:sz="4" w:space="0" w:color="auto"/>
            </w:tcBorders>
            <w:shd w:val="clear" w:color="auto" w:fill="auto"/>
            <w:noWrap/>
            <w:vAlign w:val="center"/>
            <w:hideMark/>
          </w:tcPr>
          <w:p w14:paraId="01BAFD8E"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29 522 288 976 </w:t>
            </w:r>
          </w:p>
        </w:tc>
        <w:tc>
          <w:tcPr>
            <w:tcW w:w="1411" w:type="pct"/>
            <w:tcBorders>
              <w:top w:val="nil"/>
              <w:left w:val="nil"/>
              <w:bottom w:val="single" w:sz="4" w:space="0" w:color="auto"/>
              <w:right w:val="single" w:sz="4" w:space="0" w:color="auto"/>
            </w:tcBorders>
            <w:shd w:val="clear" w:color="auto" w:fill="auto"/>
            <w:noWrap/>
            <w:vAlign w:val="center"/>
            <w:hideMark/>
          </w:tcPr>
          <w:p w14:paraId="01BAFD8F"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26 761 582 497 </w:t>
            </w:r>
          </w:p>
        </w:tc>
        <w:tc>
          <w:tcPr>
            <w:tcW w:w="697" w:type="pct"/>
            <w:tcBorders>
              <w:top w:val="nil"/>
              <w:left w:val="nil"/>
              <w:bottom w:val="single" w:sz="4" w:space="0" w:color="auto"/>
              <w:right w:val="single" w:sz="4" w:space="0" w:color="auto"/>
            </w:tcBorders>
            <w:shd w:val="clear" w:color="auto" w:fill="auto"/>
            <w:noWrap/>
            <w:vAlign w:val="center"/>
            <w:hideMark/>
          </w:tcPr>
          <w:p w14:paraId="01BAFD90" w14:textId="2988F73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2 760 706 479</w:t>
            </w:r>
            <w:r w:rsidR="000E152E" w:rsidRPr="000E152E">
              <w:rPr>
                <w:rFonts w:ascii="Garamond" w:eastAsia="Times New Roman" w:hAnsi="Garamond" w:cs="Calibri"/>
                <w:color w:val="000000"/>
                <w:sz w:val="16"/>
                <w:szCs w:val="16"/>
                <w:lang w:eastAsia="en-GB"/>
              </w:rPr>
              <w:t xml:space="preserve"> </w:t>
            </w:r>
          </w:p>
        </w:tc>
        <w:tc>
          <w:tcPr>
            <w:tcW w:w="349" w:type="pct"/>
            <w:tcBorders>
              <w:top w:val="nil"/>
              <w:left w:val="nil"/>
              <w:bottom w:val="single" w:sz="4" w:space="0" w:color="auto"/>
              <w:right w:val="single" w:sz="4" w:space="0" w:color="auto"/>
            </w:tcBorders>
            <w:shd w:val="clear" w:color="auto" w:fill="auto"/>
            <w:noWrap/>
            <w:vAlign w:val="center"/>
            <w:hideMark/>
          </w:tcPr>
          <w:p w14:paraId="01BAFD91"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9%</w:t>
            </w:r>
          </w:p>
        </w:tc>
      </w:tr>
      <w:tr w:rsidR="002B3C1E" w:rsidRPr="000E152E" w14:paraId="01BAFD99" w14:textId="77777777" w:rsidTr="007C7B87">
        <w:trPr>
          <w:trHeight w:val="50"/>
          <w:jc w:val="center"/>
        </w:trPr>
        <w:tc>
          <w:tcPr>
            <w:tcW w:w="217" w:type="pct"/>
            <w:vMerge/>
            <w:tcBorders>
              <w:top w:val="nil"/>
              <w:left w:val="single" w:sz="4" w:space="0" w:color="auto"/>
              <w:bottom w:val="single" w:sz="4" w:space="0" w:color="auto"/>
              <w:right w:val="single" w:sz="4" w:space="0" w:color="auto"/>
            </w:tcBorders>
            <w:vAlign w:val="center"/>
            <w:hideMark/>
          </w:tcPr>
          <w:p w14:paraId="01BAFD93"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1691" w:type="pct"/>
            <w:tcBorders>
              <w:top w:val="nil"/>
              <w:left w:val="nil"/>
              <w:bottom w:val="single" w:sz="4" w:space="0" w:color="auto"/>
              <w:right w:val="single" w:sz="4" w:space="0" w:color="auto"/>
            </w:tcBorders>
            <w:shd w:val="clear" w:color="auto" w:fill="auto"/>
            <w:vAlign w:val="center"/>
            <w:hideMark/>
          </w:tcPr>
          <w:p w14:paraId="01BAFD94" w14:textId="77777777" w:rsidR="002B3C1E" w:rsidRPr="000E152E" w:rsidRDefault="002B3C1E" w:rsidP="00CD34DB">
            <w:pPr>
              <w:spacing w:after="0" w:line="240" w:lineRule="auto"/>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OBJEKTIVI SPECIFIK 1.2: Rritja e nivelit të aftësive të grave dhe burrave në moshë pune</w:t>
            </w:r>
          </w:p>
        </w:tc>
        <w:tc>
          <w:tcPr>
            <w:tcW w:w="635" w:type="pct"/>
            <w:tcBorders>
              <w:top w:val="nil"/>
              <w:left w:val="nil"/>
              <w:bottom w:val="single" w:sz="4" w:space="0" w:color="auto"/>
              <w:right w:val="single" w:sz="4" w:space="0" w:color="auto"/>
            </w:tcBorders>
            <w:shd w:val="clear" w:color="auto" w:fill="auto"/>
            <w:noWrap/>
            <w:vAlign w:val="center"/>
            <w:hideMark/>
          </w:tcPr>
          <w:p w14:paraId="01BAFD95" w14:textId="1233CCDE"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1 224 197 588</w:t>
            </w:r>
            <w:r w:rsidR="000E152E" w:rsidRPr="000E152E">
              <w:rPr>
                <w:rFonts w:ascii="Garamond" w:eastAsia="Times New Roman" w:hAnsi="Garamond" w:cs="Calibri"/>
                <w:color w:val="000000"/>
                <w:sz w:val="16"/>
                <w:szCs w:val="16"/>
                <w:lang w:eastAsia="en-GB"/>
              </w:rPr>
              <w:t xml:space="preserve"> </w:t>
            </w:r>
          </w:p>
        </w:tc>
        <w:tc>
          <w:tcPr>
            <w:tcW w:w="1411" w:type="pct"/>
            <w:tcBorders>
              <w:top w:val="nil"/>
              <w:left w:val="nil"/>
              <w:bottom w:val="single" w:sz="4" w:space="0" w:color="auto"/>
              <w:right w:val="single" w:sz="4" w:space="0" w:color="auto"/>
            </w:tcBorders>
            <w:shd w:val="clear" w:color="auto" w:fill="auto"/>
            <w:noWrap/>
            <w:vAlign w:val="center"/>
            <w:hideMark/>
          </w:tcPr>
          <w:p w14:paraId="01BAFD96"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694 860 124</w:t>
            </w:r>
          </w:p>
        </w:tc>
        <w:tc>
          <w:tcPr>
            <w:tcW w:w="697" w:type="pct"/>
            <w:tcBorders>
              <w:top w:val="nil"/>
              <w:left w:val="nil"/>
              <w:bottom w:val="single" w:sz="4" w:space="0" w:color="auto"/>
              <w:right w:val="single" w:sz="4" w:space="0" w:color="auto"/>
            </w:tcBorders>
            <w:shd w:val="clear" w:color="auto" w:fill="auto"/>
            <w:noWrap/>
            <w:vAlign w:val="center"/>
            <w:hideMark/>
          </w:tcPr>
          <w:p w14:paraId="01BAFD97" w14:textId="0B51907D"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529 337 464</w:t>
            </w:r>
            <w:r w:rsidR="000E152E" w:rsidRPr="000E152E">
              <w:rPr>
                <w:rFonts w:ascii="Garamond" w:eastAsia="Times New Roman" w:hAnsi="Garamond" w:cs="Calibri"/>
                <w:color w:val="000000"/>
                <w:sz w:val="16"/>
                <w:szCs w:val="16"/>
                <w:lang w:eastAsia="en-GB"/>
              </w:rPr>
              <w:t xml:space="preserve"> </w:t>
            </w:r>
          </w:p>
        </w:tc>
        <w:tc>
          <w:tcPr>
            <w:tcW w:w="349" w:type="pct"/>
            <w:tcBorders>
              <w:top w:val="nil"/>
              <w:left w:val="nil"/>
              <w:bottom w:val="single" w:sz="4" w:space="0" w:color="auto"/>
              <w:right w:val="single" w:sz="4" w:space="0" w:color="auto"/>
            </w:tcBorders>
            <w:shd w:val="clear" w:color="auto" w:fill="auto"/>
            <w:noWrap/>
            <w:vAlign w:val="center"/>
            <w:hideMark/>
          </w:tcPr>
          <w:p w14:paraId="01BAFD98"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43%</w:t>
            </w:r>
          </w:p>
        </w:tc>
      </w:tr>
      <w:tr w:rsidR="002B3C1E" w:rsidRPr="000E152E" w14:paraId="01BAFDA0" w14:textId="77777777" w:rsidTr="007C7B87">
        <w:trPr>
          <w:trHeight w:val="50"/>
          <w:jc w:val="center"/>
        </w:trPr>
        <w:tc>
          <w:tcPr>
            <w:tcW w:w="217" w:type="pct"/>
            <w:vMerge/>
            <w:tcBorders>
              <w:top w:val="nil"/>
              <w:left w:val="single" w:sz="4" w:space="0" w:color="auto"/>
              <w:bottom w:val="single" w:sz="4" w:space="0" w:color="auto"/>
              <w:right w:val="single" w:sz="4" w:space="0" w:color="auto"/>
            </w:tcBorders>
            <w:vAlign w:val="center"/>
            <w:hideMark/>
          </w:tcPr>
          <w:p w14:paraId="01BAFD9A"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1691" w:type="pct"/>
            <w:tcBorders>
              <w:top w:val="nil"/>
              <w:left w:val="nil"/>
              <w:bottom w:val="single" w:sz="4" w:space="0" w:color="auto"/>
              <w:right w:val="single" w:sz="4" w:space="0" w:color="auto"/>
            </w:tcBorders>
            <w:shd w:val="clear" w:color="auto" w:fill="auto"/>
            <w:vAlign w:val="center"/>
            <w:hideMark/>
          </w:tcPr>
          <w:p w14:paraId="01BAFD9B" w14:textId="77777777" w:rsidR="002B3C1E" w:rsidRPr="000E152E" w:rsidRDefault="002B3C1E" w:rsidP="00CD34DB">
            <w:pPr>
              <w:spacing w:after="0" w:line="240" w:lineRule="auto"/>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 OBJEKTIVI SPECIFIK 1.3: Funksionimi më i mirë i tregut të punës për të gjithë </w:t>
            </w:r>
          </w:p>
        </w:tc>
        <w:tc>
          <w:tcPr>
            <w:tcW w:w="635" w:type="pct"/>
            <w:tcBorders>
              <w:top w:val="nil"/>
              <w:left w:val="nil"/>
              <w:bottom w:val="single" w:sz="4" w:space="0" w:color="auto"/>
              <w:right w:val="single" w:sz="4" w:space="0" w:color="auto"/>
            </w:tcBorders>
            <w:shd w:val="clear" w:color="auto" w:fill="auto"/>
            <w:noWrap/>
            <w:vAlign w:val="center"/>
            <w:hideMark/>
          </w:tcPr>
          <w:p w14:paraId="01BAFD9C" w14:textId="2A6A5A96"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3 548 552 652</w:t>
            </w:r>
            <w:r w:rsidR="000E152E" w:rsidRPr="000E152E">
              <w:rPr>
                <w:rFonts w:ascii="Garamond" w:eastAsia="Times New Roman" w:hAnsi="Garamond" w:cs="Calibri"/>
                <w:color w:val="000000"/>
                <w:sz w:val="16"/>
                <w:szCs w:val="16"/>
                <w:lang w:eastAsia="en-GB"/>
              </w:rPr>
              <w:t xml:space="preserve"> </w:t>
            </w:r>
          </w:p>
        </w:tc>
        <w:tc>
          <w:tcPr>
            <w:tcW w:w="1411" w:type="pct"/>
            <w:tcBorders>
              <w:top w:val="nil"/>
              <w:left w:val="nil"/>
              <w:bottom w:val="single" w:sz="4" w:space="0" w:color="auto"/>
              <w:right w:val="single" w:sz="4" w:space="0" w:color="auto"/>
            </w:tcBorders>
            <w:shd w:val="clear" w:color="auto" w:fill="auto"/>
            <w:noWrap/>
            <w:vAlign w:val="center"/>
            <w:hideMark/>
          </w:tcPr>
          <w:p w14:paraId="01BAFD9D"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3 034 853 32 </w:t>
            </w:r>
          </w:p>
        </w:tc>
        <w:tc>
          <w:tcPr>
            <w:tcW w:w="697" w:type="pct"/>
            <w:tcBorders>
              <w:top w:val="nil"/>
              <w:left w:val="nil"/>
              <w:bottom w:val="single" w:sz="4" w:space="0" w:color="auto"/>
              <w:right w:val="single" w:sz="4" w:space="0" w:color="auto"/>
            </w:tcBorders>
            <w:shd w:val="clear" w:color="auto" w:fill="auto"/>
            <w:noWrap/>
            <w:vAlign w:val="center"/>
            <w:hideMark/>
          </w:tcPr>
          <w:p w14:paraId="01BAFD9E" w14:textId="2B9F1078"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513 699 332</w:t>
            </w:r>
            <w:r w:rsidR="000E152E" w:rsidRPr="000E152E">
              <w:rPr>
                <w:rFonts w:ascii="Garamond" w:eastAsia="Times New Roman" w:hAnsi="Garamond" w:cs="Calibri"/>
                <w:color w:val="000000"/>
                <w:sz w:val="16"/>
                <w:szCs w:val="16"/>
                <w:lang w:eastAsia="en-GB"/>
              </w:rPr>
              <w:t xml:space="preserve"> </w:t>
            </w:r>
          </w:p>
        </w:tc>
        <w:tc>
          <w:tcPr>
            <w:tcW w:w="349" w:type="pct"/>
            <w:tcBorders>
              <w:top w:val="nil"/>
              <w:left w:val="nil"/>
              <w:bottom w:val="single" w:sz="4" w:space="0" w:color="auto"/>
              <w:right w:val="single" w:sz="4" w:space="0" w:color="auto"/>
            </w:tcBorders>
            <w:shd w:val="clear" w:color="auto" w:fill="auto"/>
            <w:noWrap/>
            <w:vAlign w:val="center"/>
            <w:hideMark/>
          </w:tcPr>
          <w:p w14:paraId="01BAFD9F"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14%</w:t>
            </w:r>
          </w:p>
        </w:tc>
      </w:tr>
      <w:tr w:rsidR="002B3C1E" w:rsidRPr="000E152E" w14:paraId="01BAFDA7" w14:textId="77777777" w:rsidTr="007C7B87">
        <w:trPr>
          <w:trHeight w:val="50"/>
          <w:jc w:val="center"/>
        </w:trPr>
        <w:tc>
          <w:tcPr>
            <w:tcW w:w="217"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01BAFDA1" w14:textId="76A485DB"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 xml:space="preserve">Qëllimi </w:t>
            </w:r>
            <w:r w:rsidR="00CD34DB">
              <w:rPr>
                <w:rFonts w:ascii="Garamond" w:eastAsia="Times New Roman" w:hAnsi="Garamond" w:cs="Calibri"/>
                <w:b/>
                <w:bCs/>
                <w:color w:val="000000"/>
                <w:sz w:val="16"/>
                <w:szCs w:val="16"/>
                <w:lang w:eastAsia="en-GB"/>
              </w:rPr>
              <w:t>i</w:t>
            </w:r>
            <w:r w:rsidRPr="000E152E">
              <w:rPr>
                <w:rFonts w:ascii="Garamond" w:eastAsia="Times New Roman" w:hAnsi="Garamond" w:cs="Calibri"/>
                <w:b/>
                <w:bCs/>
                <w:color w:val="000000"/>
                <w:sz w:val="16"/>
                <w:szCs w:val="16"/>
                <w:lang w:eastAsia="en-GB"/>
              </w:rPr>
              <w:t xml:space="preserve"> politikës 2</w:t>
            </w:r>
          </w:p>
        </w:tc>
        <w:tc>
          <w:tcPr>
            <w:tcW w:w="1691" w:type="pct"/>
            <w:tcBorders>
              <w:top w:val="nil"/>
              <w:left w:val="nil"/>
              <w:bottom w:val="single" w:sz="4" w:space="0" w:color="auto"/>
              <w:right w:val="single" w:sz="4" w:space="0" w:color="auto"/>
            </w:tcBorders>
            <w:shd w:val="clear" w:color="auto" w:fill="auto"/>
            <w:vAlign w:val="center"/>
            <w:hideMark/>
          </w:tcPr>
          <w:p w14:paraId="01BAFDA2" w14:textId="1BA7106F" w:rsidR="002B3C1E" w:rsidRPr="000E152E" w:rsidRDefault="002B3C1E" w:rsidP="00CD34DB">
            <w:pPr>
              <w:spacing w:after="0" w:line="240" w:lineRule="auto"/>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 OBJEKTIVI SPECIFIK 2.1: Ndërmjetësim me </w:t>
            </w:r>
            <w:r w:rsidR="007C7B87" w:rsidRPr="000E152E">
              <w:rPr>
                <w:rFonts w:ascii="Garamond" w:eastAsia="Times New Roman" w:hAnsi="Garamond" w:cs="Calibri"/>
                <w:color w:val="000000"/>
                <w:sz w:val="16"/>
                <w:szCs w:val="16"/>
                <w:lang w:eastAsia="en-GB"/>
              </w:rPr>
              <w:t>gjithëpërfshirës</w:t>
            </w:r>
            <w:r w:rsidRPr="000E152E">
              <w:rPr>
                <w:rFonts w:ascii="Garamond" w:eastAsia="Times New Roman" w:hAnsi="Garamond" w:cs="Calibri"/>
                <w:color w:val="000000"/>
                <w:sz w:val="16"/>
                <w:szCs w:val="16"/>
                <w:lang w:eastAsia="en-GB"/>
              </w:rPr>
              <w:t xml:space="preserve"> i punësimit </w:t>
            </w:r>
          </w:p>
        </w:tc>
        <w:tc>
          <w:tcPr>
            <w:tcW w:w="635" w:type="pct"/>
            <w:tcBorders>
              <w:top w:val="nil"/>
              <w:left w:val="nil"/>
              <w:bottom w:val="single" w:sz="4" w:space="0" w:color="auto"/>
              <w:right w:val="single" w:sz="4" w:space="0" w:color="auto"/>
            </w:tcBorders>
            <w:shd w:val="clear" w:color="auto" w:fill="auto"/>
            <w:noWrap/>
            <w:vAlign w:val="center"/>
            <w:hideMark/>
          </w:tcPr>
          <w:p w14:paraId="01BAFDA3" w14:textId="24F08409"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26 211 384 015</w:t>
            </w:r>
            <w:r w:rsidR="000E152E" w:rsidRPr="000E152E">
              <w:rPr>
                <w:rFonts w:ascii="Garamond" w:eastAsia="Times New Roman" w:hAnsi="Garamond" w:cs="Calibri"/>
                <w:color w:val="000000"/>
                <w:sz w:val="16"/>
                <w:szCs w:val="16"/>
                <w:lang w:eastAsia="en-GB"/>
              </w:rPr>
              <w:t xml:space="preserve"> </w:t>
            </w:r>
          </w:p>
        </w:tc>
        <w:tc>
          <w:tcPr>
            <w:tcW w:w="1411" w:type="pct"/>
            <w:tcBorders>
              <w:top w:val="nil"/>
              <w:left w:val="nil"/>
              <w:bottom w:val="single" w:sz="4" w:space="0" w:color="auto"/>
              <w:right w:val="single" w:sz="4" w:space="0" w:color="auto"/>
            </w:tcBorders>
            <w:shd w:val="clear" w:color="auto" w:fill="auto"/>
            <w:noWrap/>
            <w:vAlign w:val="center"/>
            <w:hideMark/>
          </w:tcPr>
          <w:p w14:paraId="01BAFDA4" w14:textId="17C3FE1B"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17 238 944 066</w:t>
            </w:r>
            <w:r w:rsidR="000E152E" w:rsidRPr="000E152E">
              <w:rPr>
                <w:rFonts w:ascii="Garamond" w:eastAsia="Times New Roman" w:hAnsi="Garamond" w:cs="Calibri"/>
                <w:color w:val="000000"/>
                <w:sz w:val="16"/>
                <w:szCs w:val="16"/>
                <w:lang w:eastAsia="en-GB"/>
              </w:rPr>
              <w:t xml:space="preserve"> </w:t>
            </w:r>
          </w:p>
        </w:tc>
        <w:tc>
          <w:tcPr>
            <w:tcW w:w="697" w:type="pct"/>
            <w:tcBorders>
              <w:top w:val="nil"/>
              <w:left w:val="nil"/>
              <w:bottom w:val="single" w:sz="4" w:space="0" w:color="auto"/>
              <w:right w:val="single" w:sz="4" w:space="0" w:color="auto"/>
            </w:tcBorders>
            <w:shd w:val="clear" w:color="auto" w:fill="auto"/>
            <w:noWrap/>
            <w:vAlign w:val="center"/>
            <w:hideMark/>
          </w:tcPr>
          <w:p w14:paraId="01BAFDA5" w14:textId="4DC0E738"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8 972 439 949</w:t>
            </w:r>
            <w:r w:rsidR="000E152E" w:rsidRPr="000E152E">
              <w:rPr>
                <w:rFonts w:ascii="Garamond" w:eastAsia="Times New Roman" w:hAnsi="Garamond" w:cs="Calibri"/>
                <w:color w:val="000000"/>
                <w:sz w:val="16"/>
                <w:szCs w:val="16"/>
                <w:lang w:eastAsia="en-GB"/>
              </w:rPr>
              <w:t xml:space="preserve"> </w:t>
            </w:r>
          </w:p>
        </w:tc>
        <w:tc>
          <w:tcPr>
            <w:tcW w:w="349" w:type="pct"/>
            <w:tcBorders>
              <w:top w:val="nil"/>
              <w:left w:val="nil"/>
              <w:bottom w:val="single" w:sz="4" w:space="0" w:color="auto"/>
              <w:right w:val="single" w:sz="4" w:space="0" w:color="auto"/>
            </w:tcBorders>
            <w:shd w:val="clear" w:color="auto" w:fill="auto"/>
            <w:noWrap/>
            <w:vAlign w:val="center"/>
            <w:hideMark/>
          </w:tcPr>
          <w:p w14:paraId="01BAFDA6"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34%</w:t>
            </w:r>
          </w:p>
        </w:tc>
      </w:tr>
      <w:tr w:rsidR="002B3C1E" w:rsidRPr="000E152E" w14:paraId="01BAFDAE" w14:textId="77777777" w:rsidTr="007C7B87">
        <w:trPr>
          <w:trHeight w:val="50"/>
          <w:jc w:val="center"/>
        </w:trPr>
        <w:tc>
          <w:tcPr>
            <w:tcW w:w="217" w:type="pct"/>
            <w:vMerge/>
            <w:tcBorders>
              <w:top w:val="nil"/>
              <w:left w:val="single" w:sz="4" w:space="0" w:color="auto"/>
              <w:bottom w:val="single" w:sz="4" w:space="0" w:color="auto"/>
              <w:right w:val="single" w:sz="4" w:space="0" w:color="auto"/>
            </w:tcBorders>
            <w:vAlign w:val="center"/>
            <w:hideMark/>
          </w:tcPr>
          <w:p w14:paraId="01BAFDA8" w14:textId="77777777" w:rsidR="002B3C1E" w:rsidRPr="000E152E" w:rsidRDefault="002B3C1E" w:rsidP="00CD34DB">
            <w:pPr>
              <w:spacing w:after="0" w:line="240" w:lineRule="auto"/>
              <w:rPr>
                <w:rFonts w:ascii="Garamond" w:eastAsia="Times New Roman" w:hAnsi="Garamond" w:cs="Calibri"/>
                <w:b/>
                <w:bCs/>
                <w:color w:val="000000"/>
                <w:sz w:val="16"/>
                <w:szCs w:val="16"/>
                <w:lang w:eastAsia="en-GB"/>
              </w:rPr>
            </w:pPr>
          </w:p>
        </w:tc>
        <w:tc>
          <w:tcPr>
            <w:tcW w:w="1691" w:type="pct"/>
            <w:tcBorders>
              <w:top w:val="nil"/>
              <w:left w:val="nil"/>
              <w:bottom w:val="single" w:sz="4" w:space="0" w:color="auto"/>
              <w:right w:val="single" w:sz="4" w:space="0" w:color="auto"/>
            </w:tcBorders>
            <w:shd w:val="clear" w:color="auto" w:fill="auto"/>
            <w:vAlign w:val="center"/>
            <w:hideMark/>
          </w:tcPr>
          <w:p w14:paraId="01BAFDA9" w14:textId="77777777" w:rsidR="002B3C1E" w:rsidRPr="000E152E" w:rsidRDefault="002B3C1E" w:rsidP="00CD34DB">
            <w:pPr>
              <w:spacing w:after="0" w:line="240" w:lineRule="auto"/>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 xml:space="preserve"> OBJEKTIVI SPECIFIK 2.2: Sigurimi i punës së denjë për të gjithë dhe kudo</w:t>
            </w:r>
          </w:p>
        </w:tc>
        <w:tc>
          <w:tcPr>
            <w:tcW w:w="635" w:type="pct"/>
            <w:tcBorders>
              <w:top w:val="nil"/>
              <w:left w:val="nil"/>
              <w:bottom w:val="single" w:sz="4" w:space="0" w:color="auto"/>
              <w:right w:val="single" w:sz="4" w:space="0" w:color="auto"/>
            </w:tcBorders>
            <w:shd w:val="clear" w:color="auto" w:fill="auto"/>
            <w:noWrap/>
            <w:vAlign w:val="center"/>
            <w:hideMark/>
          </w:tcPr>
          <w:p w14:paraId="01BAFDAA" w14:textId="5AF0AA20"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15 007 443 434</w:t>
            </w:r>
            <w:r w:rsidR="000E152E" w:rsidRPr="000E152E">
              <w:rPr>
                <w:rFonts w:ascii="Garamond" w:eastAsia="Times New Roman" w:hAnsi="Garamond" w:cs="Calibri"/>
                <w:color w:val="000000"/>
                <w:sz w:val="16"/>
                <w:szCs w:val="16"/>
                <w:lang w:eastAsia="en-GB"/>
              </w:rPr>
              <w:t xml:space="preserve"> </w:t>
            </w:r>
          </w:p>
        </w:tc>
        <w:tc>
          <w:tcPr>
            <w:tcW w:w="1411" w:type="pct"/>
            <w:tcBorders>
              <w:top w:val="nil"/>
              <w:left w:val="nil"/>
              <w:bottom w:val="single" w:sz="4" w:space="0" w:color="auto"/>
              <w:right w:val="single" w:sz="4" w:space="0" w:color="auto"/>
            </w:tcBorders>
            <w:shd w:val="clear" w:color="auto" w:fill="auto"/>
            <w:noWrap/>
            <w:vAlign w:val="center"/>
            <w:hideMark/>
          </w:tcPr>
          <w:p w14:paraId="01BAFDAB" w14:textId="734951D9"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10 611 453 432</w:t>
            </w:r>
            <w:r w:rsidR="000E152E" w:rsidRPr="000E152E">
              <w:rPr>
                <w:rFonts w:ascii="Garamond" w:eastAsia="Times New Roman" w:hAnsi="Garamond" w:cs="Calibri"/>
                <w:color w:val="000000"/>
                <w:sz w:val="16"/>
                <w:szCs w:val="16"/>
                <w:lang w:eastAsia="en-GB"/>
              </w:rPr>
              <w:t xml:space="preserve"> </w:t>
            </w:r>
          </w:p>
        </w:tc>
        <w:tc>
          <w:tcPr>
            <w:tcW w:w="697" w:type="pct"/>
            <w:tcBorders>
              <w:top w:val="nil"/>
              <w:left w:val="nil"/>
              <w:bottom w:val="single" w:sz="4" w:space="0" w:color="auto"/>
              <w:right w:val="single" w:sz="4" w:space="0" w:color="auto"/>
            </w:tcBorders>
            <w:shd w:val="clear" w:color="auto" w:fill="auto"/>
            <w:noWrap/>
            <w:vAlign w:val="center"/>
            <w:hideMark/>
          </w:tcPr>
          <w:p w14:paraId="01BAFDAC" w14:textId="5082374A"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4 395 990 002</w:t>
            </w:r>
            <w:r w:rsidR="000E152E" w:rsidRPr="000E152E">
              <w:rPr>
                <w:rFonts w:ascii="Garamond" w:eastAsia="Times New Roman" w:hAnsi="Garamond" w:cs="Calibri"/>
                <w:color w:val="000000"/>
                <w:sz w:val="16"/>
                <w:szCs w:val="16"/>
                <w:lang w:eastAsia="en-GB"/>
              </w:rPr>
              <w:t xml:space="preserve"> </w:t>
            </w:r>
          </w:p>
        </w:tc>
        <w:tc>
          <w:tcPr>
            <w:tcW w:w="349" w:type="pct"/>
            <w:tcBorders>
              <w:top w:val="nil"/>
              <w:left w:val="nil"/>
              <w:bottom w:val="single" w:sz="4" w:space="0" w:color="auto"/>
              <w:right w:val="single" w:sz="4" w:space="0" w:color="auto"/>
            </w:tcBorders>
            <w:shd w:val="clear" w:color="auto" w:fill="auto"/>
            <w:noWrap/>
            <w:vAlign w:val="center"/>
            <w:hideMark/>
          </w:tcPr>
          <w:p w14:paraId="01BAFDAD" w14:textId="77777777" w:rsidR="002B3C1E" w:rsidRPr="000E152E" w:rsidRDefault="002B3C1E" w:rsidP="00CD34DB">
            <w:pPr>
              <w:spacing w:after="0" w:line="240" w:lineRule="auto"/>
              <w:jc w:val="center"/>
              <w:rPr>
                <w:rFonts w:ascii="Garamond" w:eastAsia="Times New Roman" w:hAnsi="Garamond" w:cs="Calibri"/>
                <w:color w:val="000000"/>
                <w:sz w:val="16"/>
                <w:szCs w:val="16"/>
                <w:lang w:eastAsia="en-GB"/>
              </w:rPr>
            </w:pPr>
            <w:r w:rsidRPr="000E152E">
              <w:rPr>
                <w:rFonts w:ascii="Garamond" w:eastAsia="Times New Roman" w:hAnsi="Garamond" w:cs="Calibri"/>
                <w:color w:val="000000"/>
                <w:sz w:val="16"/>
                <w:szCs w:val="16"/>
                <w:lang w:eastAsia="en-GB"/>
              </w:rPr>
              <w:t>29%</w:t>
            </w:r>
          </w:p>
        </w:tc>
      </w:tr>
      <w:tr w:rsidR="002B3C1E" w:rsidRPr="000E152E" w14:paraId="01BAFDB4" w14:textId="77777777" w:rsidTr="007C7B87">
        <w:trPr>
          <w:trHeight w:val="50"/>
          <w:jc w:val="center"/>
        </w:trPr>
        <w:tc>
          <w:tcPr>
            <w:tcW w:w="190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AFDAF"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Total</w:t>
            </w:r>
          </w:p>
        </w:tc>
        <w:tc>
          <w:tcPr>
            <w:tcW w:w="635" w:type="pct"/>
            <w:tcBorders>
              <w:top w:val="nil"/>
              <w:left w:val="nil"/>
              <w:bottom w:val="single" w:sz="4" w:space="0" w:color="auto"/>
              <w:right w:val="single" w:sz="4" w:space="0" w:color="auto"/>
            </w:tcBorders>
            <w:shd w:val="clear" w:color="auto" w:fill="auto"/>
            <w:noWrap/>
            <w:vAlign w:val="center"/>
            <w:hideMark/>
          </w:tcPr>
          <w:p w14:paraId="01BAFDB0" w14:textId="63587E1C"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75 513 866 666</w:t>
            </w:r>
            <w:r w:rsidR="000E152E" w:rsidRPr="000E152E">
              <w:rPr>
                <w:rFonts w:ascii="Garamond" w:eastAsia="Times New Roman" w:hAnsi="Garamond" w:cs="Calibri"/>
                <w:b/>
                <w:bCs/>
                <w:color w:val="000000"/>
                <w:sz w:val="16"/>
                <w:szCs w:val="16"/>
                <w:lang w:eastAsia="en-GB"/>
              </w:rPr>
              <w:t xml:space="preserve"> </w:t>
            </w:r>
          </w:p>
        </w:tc>
        <w:tc>
          <w:tcPr>
            <w:tcW w:w="1411" w:type="pct"/>
            <w:tcBorders>
              <w:top w:val="nil"/>
              <w:left w:val="nil"/>
              <w:bottom w:val="single" w:sz="4" w:space="0" w:color="auto"/>
              <w:right w:val="single" w:sz="4" w:space="0" w:color="auto"/>
            </w:tcBorders>
            <w:shd w:val="clear" w:color="auto" w:fill="auto"/>
            <w:noWrap/>
            <w:vAlign w:val="center"/>
            <w:hideMark/>
          </w:tcPr>
          <w:p w14:paraId="01BAFDB1" w14:textId="50C0E0AA"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58 341 693 439</w:t>
            </w:r>
            <w:r w:rsidR="000E152E" w:rsidRPr="000E152E">
              <w:rPr>
                <w:rFonts w:ascii="Garamond" w:eastAsia="Times New Roman" w:hAnsi="Garamond" w:cs="Calibri"/>
                <w:b/>
                <w:bCs/>
                <w:color w:val="000000"/>
                <w:sz w:val="16"/>
                <w:szCs w:val="16"/>
                <w:lang w:eastAsia="en-GB"/>
              </w:rPr>
              <w:t xml:space="preserve"> </w:t>
            </w:r>
          </w:p>
        </w:tc>
        <w:tc>
          <w:tcPr>
            <w:tcW w:w="697" w:type="pct"/>
            <w:tcBorders>
              <w:top w:val="nil"/>
              <w:left w:val="nil"/>
              <w:bottom w:val="single" w:sz="4" w:space="0" w:color="auto"/>
              <w:right w:val="single" w:sz="4" w:space="0" w:color="auto"/>
            </w:tcBorders>
            <w:shd w:val="clear" w:color="auto" w:fill="auto"/>
            <w:noWrap/>
            <w:vAlign w:val="center"/>
            <w:hideMark/>
          </w:tcPr>
          <w:p w14:paraId="01BAFDB2"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 xml:space="preserve">17 172 173 227 </w:t>
            </w:r>
          </w:p>
        </w:tc>
        <w:tc>
          <w:tcPr>
            <w:tcW w:w="349" w:type="pct"/>
            <w:tcBorders>
              <w:top w:val="nil"/>
              <w:left w:val="nil"/>
              <w:bottom w:val="single" w:sz="4" w:space="0" w:color="auto"/>
              <w:right w:val="single" w:sz="4" w:space="0" w:color="auto"/>
            </w:tcBorders>
            <w:shd w:val="clear" w:color="auto" w:fill="auto"/>
            <w:noWrap/>
            <w:vAlign w:val="center"/>
            <w:hideMark/>
          </w:tcPr>
          <w:p w14:paraId="01BAFDB3" w14:textId="77777777" w:rsidR="002B3C1E" w:rsidRPr="000E152E" w:rsidRDefault="002B3C1E" w:rsidP="00CD34DB">
            <w:pPr>
              <w:spacing w:after="0" w:line="240" w:lineRule="auto"/>
              <w:jc w:val="center"/>
              <w:rPr>
                <w:rFonts w:ascii="Garamond" w:eastAsia="Times New Roman" w:hAnsi="Garamond" w:cs="Calibri"/>
                <w:b/>
                <w:bCs/>
                <w:color w:val="000000"/>
                <w:sz w:val="16"/>
                <w:szCs w:val="16"/>
                <w:lang w:eastAsia="en-GB"/>
              </w:rPr>
            </w:pPr>
            <w:r w:rsidRPr="000E152E">
              <w:rPr>
                <w:rFonts w:ascii="Garamond" w:eastAsia="Times New Roman" w:hAnsi="Garamond" w:cs="Calibri"/>
                <w:b/>
                <w:bCs/>
                <w:color w:val="000000"/>
                <w:sz w:val="16"/>
                <w:szCs w:val="16"/>
                <w:lang w:eastAsia="en-GB"/>
              </w:rPr>
              <w:t>23%</w:t>
            </w:r>
          </w:p>
        </w:tc>
      </w:tr>
    </w:tbl>
    <w:p w14:paraId="01BAFDB5" w14:textId="77777777" w:rsidR="002B3C1E" w:rsidRPr="000E152E" w:rsidRDefault="002B3C1E" w:rsidP="00A96392">
      <w:pPr>
        <w:pStyle w:val="TEKSTIIII"/>
      </w:pPr>
    </w:p>
    <w:p w14:paraId="01BAFDB6" w14:textId="77777777" w:rsidR="005E3939" w:rsidRPr="000E152E" w:rsidRDefault="005E3939" w:rsidP="00A96392">
      <w:pPr>
        <w:pStyle w:val="TEKSTIIII"/>
      </w:pPr>
    </w:p>
    <w:p w14:paraId="01BAFDB7" w14:textId="77777777" w:rsidR="005E3939" w:rsidRPr="000E152E" w:rsidRDefault="005E3939" w:rsidP="005E3939">
      <w:pPr>
        <w:pStyle w:val="TEKSTIIII"/>
        <w:rPr>
          <w:b/>
        </w:rPr>
      </w:pPr>
      <w:bookmarkStart w:id="55" w:name="_Toc123165425"/>
    </w:p>
    <w:p w14:paraId="01BAFDB8" w14:textId="77777777" w:rsidR="00FC285A" w:rsidRPr="000E152E" w:rsidRDefault="00FC285A" w:rsidP="005E3939">
      <w:pPr>
        <w:pStyle w:val="TEKSTIIII"/>
        <w:rPr>
          <w:b/>
        </w:rPr>
        <w:sectPr w:rsidR="00FC285A" w:rsidRPr="000E152E" w:rsidSect="005E06BB">
          <w:headerReference w:type="default" r:id="rId21"/>
          <w:footerReference w:type="default" r:id="rId22"/>
          <w:pgSz w:w="11906" w:h="16838" w:code="9"/>
          <w:pgMar w:top="1440" w:right="1440" w:bottom="1620" w:left="1440" w:header="708" w:footer="708" w:gutter="0"/>
          <w:cols w:space="708"/>
          <w:docGrid w:linePitch="360"/>
        </w:sectPr>
      </w:pPr>
    </w:p>
    <w:p w14:paraId="01BAFDB9" w14:textId="77777777" w:rsidR="005E3939" w:rsidRPr="000E152E" w:rsidRDefault="005E3939" w:rsidP="005E3939">
      <w:pPr>
        <w:pStyle w:val="TEKSTIIII"/>
        <w:rPr>
          <w:b/>
        </w:rPr>
      </w:pPr>
    </w:p>
    <w:p w14:paraId="01BAFDBA" w14:textId="088749A2" w:rsidR="005E3939" w:rsidRPr="00CD34DB" w:rsidRDefault="00CD34DB" w:rsidP="005E3939">
      <w:pPr>
        <w:pStyle w:val="TEKSTIIII"/>
      </w:pPr>
      <w:r w:rsidRPr="00CD34DB">
        <w:t>VI. SHTOJCA</w:t>
      </w:r>
      <w:bookmarkEnd w:id="55"/>
    </w:p>
    <w:p w14:paraId="01BAFDBB" w14:textId="5158FBDB" w:rsidR="005E3939" w:rsidRPr="00CD34DB" w:rsidRDefault="005E3939" w:rsidP="005E3939">
      <w:pPr>
        <w:pStyle w:val="TEKSTIIII"/>
      </w:pPr>
      <w:bookmarkStart w:id="56" w:name="_Toc123165426"/>
      <w:r w:rsidRPr="00CD34DB">
        <w:t>Shtojca 1: Plani i veprimit për zbatimin e Strategjisë Kombëtare të Punësimit dhe Aftësive 2023–2030</w:t>
      </w:r>
      <w:bookmarkEnd w:id="56"/>
    </w:p>
    <w:p w14:paraId="01BAFDBC" w14:textId="77777777" w:rsidR="005E3939" w:rsidRPr="00CD34DB" w:rsidRDefault="005E3939" w:rsidP="005E3939">
      <w:pPr>
        <w:pStyle w:val="TEKSTIIII"/>
        <w:rPr>
          <w:bCs/>
        </w:rPr>
      </w:pPr>
      <w:bookmarkStart w:id="57" w:name="_Toc123165427"/>
      <w:r w:rsidRPr="00CD34DB">
        <w:rPr>
          <w:bCs/>
        </w:rPr>
        <w:t>Shtojca 2: Treguesit e monitorueshëm</w:t>
      </w:r>
      <w:bookmarkEnd w:id="57"/>
    </w:p>
    <w:p w14:paraId="01BAFDBD" w14:textId="77777777" w:rsidR="005E3939" w:rsidRPr="00CD34DB" w:rsidRDefault="005E3939" w:rsidP="005E3939">
      <w:pPr>
        <w:pStyle w:val="TEKSTIIII"/>
      </w:pPr>
      <w:bookmarkStart w:id="58" w:name="_Toc123165428"/>
      <w:r w:rsidRPr="00CD34DB">
        <w:rPr>
          <w:bCs/>
        </w:rPr>
        <w:t>Shtojca 3: Plani i Garancisë Rinore</w:t>
      </w:r>
      <w:bookmarkEnd w:id="58"/>
      <w:r w:rsidRPr="00CD34DB">
        <w:t xml:space="preserve"> </w:t>
      </w:r>
    </w:p>
    <w:p w14:paraId="01BAFDBE" w14:textId="77777777" w:rsidR="005E3939" w:rsidRPr="000E152E" w:rsidRDefault="005E3939" w:rsidP="00A96392">
      <w:pPr>
        <w:pStyle w:val="TEKSTIIII"/>
      </w:pPr>
    </w:p>
    <w:tbl>
      <w:tblPr>
        <w:tblW w:w="5000" w:type="pct"/>
        <w:tblLook w:val="04A0" w:firstRow="1" w:lastRow="0" w:firstColumn="1" w:lastColumn="0" w:noHBand="0" w:noVBand="1"/>
      </w:tblPr>
      <w:tblGrid>
        <w:gridCol w:w="807"/>
        <w:gridCol w:w="1289"/>
        <w:gridCol w:w="979"/>
        <w:gridCol w:w="854"/>
        <w:gridCol w:w="947"/>
        <w:gridCol w:w="776"/>
        <w:gridCol w:w="940"/>
        <w:gridCol w:w="1659"/>
        <w:gridCol w:w="2144"/>
        <w:gridCol w:w="1738"/>
        <w:gridCol w:w="1859"/>
      </w:tblGrid>
      <w:tr w:rsidR="00FC285A" w:rsidRPr="000E152E" w14:paraId="01BAFDC0"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AFDB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SHTOJCA 1</w:t>
            </w:r>
          </w:p>
        </w:tc>
      </w:tr>
      <w:tr w:rsidR="00FC285A" w:rsidRPr="000E152E" w14:paraId="01BAFDC2"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AFDC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PLANI I VEPRIMIT</w:t>
            </w:r>
          </w:p>
        </w:tc>
      </w:tr>
      <w:tr w:rsidR="00FC285A" w:rsidRPr="000E152E" w14:paraId="01BAFDC4"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AFDC3"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NË ZBATIM TË DOKUMENTIT STRATEGJIK TË PUNËSIMIT DHE AFTËSIVE 2023 - 2030</w:t>
            </w:r>
          </w:p>
        </w:tc>
      </w:tr>
      <w:tr w:rsidR="00FC285A" w:rsidRPr="000E152E" w14:paraId="01BAFDC6"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AFDC5" w14:textId="418F1296"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I. QËLLIMI STRATEGJIK: Punësim cilësor dhe aftësim gjatë gjithë jetës</w:t>
            </w:r>
            <w:r w:rsidR="000E152E" w:rsidRPr="000E152E">
              <w:rPr>
                <w:rFonts w:ascii="Times New Roman" w:eastAsia="Times New Roman" w:hAnsi="Times New Roman"/>
                <w:b/>
                <w:bCs/>
                <w:color w:val="000000"/>
                <w:sz w:val="14"/>
                <w:szCs w:val="14"/>
                <w:lang w:eastAsia="sq-AL"/>
              </w:rPr>
              <w:t xml:space="preserve"> </w:t>
            </w:r>
            <w:r w:rsidRPr="000E152E">
              <w:rPr>
                <w:rFonts w:ascii="Times New Roman" w:eastAsia="Times New Roman" w:hAnsi="Times New Roman"/>
                <w:b/>
                <w:bCs/>
                <w:color w:val="000000"/>
                <w:sz w:val="14"/>
                <w:szCs w:val="14"/>
                <w:lang w:eastAsia="sq-AL"/>
              </w:rPr>
              <w:t>për të gjithë</w:t>
            </w:r>
          </w:p>
        </w:tc>
      </w:tr>
      <w:tr w:rsidR="00FC285A" w:rsidRPr="000E152E" w14:paraId="01BAFDC8"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1F4E78"/>
            <w:vAlign w:val="center"/>
            <w:hideMark/>
          </w:tcPr>
          <w:p w14:paraId="01BAFDC7" w14:textId="77777777" w:rsidR="00FC285A" w:rsidRPr="000E152E" w:rsidRDefault="00FC285A" w:rsidP="00FC285A">
            <w:pPr>
              <w:spacing w:after="0" w:line="240" w:lineRule="auto"/>
              <w:jc w:val="center"/>
              <w:rPr>
                <w:rFonts w:ascii="Times New Roman" w:eastAsia="Times New Roman" w:hAnsi="Times New Roman"/>
                <w:b/>
                <w:bCs/>
                <w:color w:val="FFFFFF"/>
                <w:sz w:val="14"/>
                <w:szCs w:val="14"/>
                <w:lang w:eastAsia="sq-AL"/>
              </w:rPr>
            </w:pPr>
            <w:r w:rsidRPr="000E152E">
              <w:rPr>
                <w:rFonts w:ascii="Times New Roman" w:eastAsia="Times New Roman" w:hAnsi="Times New Roman"/>
                <w:b/>
                <w:bCs/>
                <w:color w:val="FFFFFF"/>
                <w:sz w:val="14"/>
                <w:szCs w:val="14"/>
                <w:lang w:eastAsia="sq-AL"/>
              </w:rPr>
              <w:t xml:space="preserve">II. Qëllimi i Politikës 1: </w:t>
            </w:r>
            <w:r w:rsidRPr="000E152E">
              <w:rPr>
                <w:rFonts w:ascii="Times New Roman" w:eastAsia="Times New Roman" w:hAnsi="Times New Roman"/>
                <w:color w:val="FFFFFF"/>
                <w:sz w:val="14"/>
                <w:szCs w:val="14"/>
                <w:lang w:eastAsia="sq-AL"/>
              </w:rPr>
              <w:t>Zhvillimi i aftësive dhe lidhje më e mirë e kërkesës me ofertën në tregun e punës për punësim më të lartë</w:t>
            </w:r>
          </w:p>
        </w:tc>
      </w:tr>
      <w:tr w:rsidR="00FC285A" w:rsidRPr="000E152E" w14:paraId="01BAFDCA" w14:textId="77777777" w:rsidTr="00FC28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01BAFDC9"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III.PROGRAMI BUXHETOR QË KONTRIBUON PËR QËLLIMIN E POLITIKËS: 9240/10550</w:t>
            </w:r>
          </w:p>
        </w:tc>
      </w:tr>
      <w:tr w:rsidR="00FC285A" w:rsidRPr="000E152E" w14:paraId="01BAFDD3" w14:textId="77777777" w:rsidTr="00FC285A">
        <w:trPr>
          <w:trHeight w:val="180"/>
        </w:trPr>
        <w:tc>
          <w:tcPr>
            <w:tcW w:w="287" w:type="pct"/>
            <w:vMerge w:val="restart"/>
            <w:tcBorders>
              <w:top w:val="nil"/>
              <w:left w:val="single" w:sz="4" w:space="0" w:color="auto"/>
              <w:bottom w:val="single" w:sz="4" w:space="0" w:color="auto"/>
              <w:right w:val="single" w:sz="4" w:space="0" w:color="auto"/>
            </w:tcBorders>
            <w:shd w:val="clear" w:color="auto" w:fill="auto"/>
            <w:vAlign w:val="center"/>
            <w:hideMark/>
          </w:tcPr>
          <w:p w14:paraId="01BAFDC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Nr.</w:t>
            </w:r>
          </w:p>
        </w:tc>
        <w:tc>
          <w:tcPr>
            <w:tcW w:w="441" w:type="pct"/>
            <w:vMerge w:val="restart"/>
            <w:tcBorders>
              <w:top w:val="nil"/>
              <w:left w:val="single" w:sz="4" w:space="0" w:color="auto"/>
              <w:bottom w:val="single" w:sz="4" w:space="0" w:color="auto"/>
              <w:right w:val="single" w:sz="4" w:space="0" w:color="auto"/>
            </w:tcBorders>
            <w:shd w:val="clear" w:color="auto" w:fill="auto"/>
            <w:vAlign w:val="center"/>
            <w:hideMark/>
          </w:tcPr>
          <w:p w14:paraId="01BAFDCC"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42" w:type="pct"/>
            <w:vMerge w:val="restart"/>
            <w:tcBorders>
              <w:top w:val="nil"/>
              <w:left w:val="single" w:sz="4" w:space="0" w:color="auto"/>
              <w:bottom w:val="single" w:sz="4" w:space="0" w:color="auto"/>
              <w:right w:val="single" w:sz="4" w:space="0" w:color="auto"/>
            </w:tcBorders>
            <w:shd w:val="clear" w:color="auto" w:fill="auto"/>
            <w:vAlign w:val="center"/>
            <w:hideMark/>
          </w:tcPr>
          <w:p w14:paraId="01BAFDCD"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Referenca e masës prioritare me produktet e programit buxhetor </w:t>
            </w:r>
          </w:p>
        </w:tc>
        <w:tc>
          <w:tcPr>
            <w:tcW w:w="63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AFDCE"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Institucionet përgjegjëse</w:t>
            </w:r>
          </w:p>
        </w:tc>
        <w:tc>
          <w:tcPr>
            <w:tcW w:w="605" w:type="pct"/>
            <w:gridSpan w:val="2"/>
            <w:tcBorders>
              <w:top w:val="single" w:sz="4" w:space="0" w:color="auto"/>
              <w:left w:val="nil"/>
              <w:bottom w:val="single" w:sz="4" w:space="0" w:color="auto"/>
              <w:right w:val="single" w:sz="4" w:space="0" w:color="auto"/>
            </w:tcBorders>
            <w:shd w:val="clear" w:color="auto" w:fill="auto"/>
            <w:vAlign w:val="center"/>
            <w:hideMark/>
          </w:tcPr>
          <w:p w14:paraId="01BAFDC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Afati i zbatimit</w:t>
            </w:r>
          </w:p>
        </w:tc>
        <w:tc>
          <w:tcPr>
            <w:tcW w:w="605" w:type="pct"/>
            <w:vMerge w:val="restart"/>
            <w:tcBorders>
              <w:top w:val="nil"/>
              <w:left w:val="single" w:sz="4" w:space="0" w:color="auto"/>
              <w:bottom w:val="single" w:sz="4" w:space="0" w:color="auto"/>
              <w:right w:val="single" w:sz="4" w:space="0" w:color="auto"/>
            </w:tcBorders>
            <w:shd w:val="clear" w:color="auto" w:fill="auto"/>
            <w:vAlign w:val="center"/>
            <w:hideMark/>
          </w:tcPr>
          <w:p w14:paraId="01BAFDD0"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Kosto indikative</w:t>
            </w:r>
            <w:r w:rsidRPr="000E152E">
              <w:rPr>
                <w:rFonts w:ascii="Times New Roman" w:eastAsia="Times New Roman" w:hAnsi="Times New Roman"/>
                <w:color w:val="000000"/>
                <w:sz w:val="14"/>
                <w:szCs w:val="14"/>
                <w:lang w:eastAsia="sq-AL"/>
              </w:rPr>
              <w:t xml:space="preserve"> (ne ALL)</w:t>
            </w:r>
          </w:p>
        </w:tc>
        <w:tc>
          <w:tcPr>
            <w:tcW w:w="1411" w:type="pct"/>
            <w:gridSpan w:val="2"/>
            <w:tcBorders>
              <w:top w:val="single" w:sz="4" w:space="0" w:color="auto"/>
              <w:left w:val="nil"/>
              <w:bottom w:val="single" w:sz="4" w:space="0" w:color="auto"/>
              <w:right w:val="single" w:sz="4" w:space="0" w:color="000000"/>
            </w:tcBorders>
            <w:shd w:val="clear" w:color="auto" w:fill="auto"/>
            <w:vAlign w:val="center"/>
            <w:hideMark/>
          </w:tcPr>
          <w:p w14:paraId="01BAFDD1" w14:textId="42747DCF"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Burimi i mbulimit</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(ne ALL)</w:t>
            </w:r>
          </w:p>
        </w:tc>
        <w:tc>
          <w:tcPr>
            <w:tcW w:w="676" w:type="pct"/>
            <w:tcBorders>
              <w:top w:val="nil"/>
              <w:left w:val="nil"/>
              <w:bottom w:val="single" w:sz="4" w:space="0" w:color="auto"/>
              <w:right w:val="single" w:sz="4" w:space="0" w:color="auto"/>
            </w:tcBorders>
            <w:shd w:val="clear" w:color="auto" w:fill="auto"/>
            <w:vAlign w:val="center"/>
            <w:hideMark/>
          </w:tcPr>
          <w:p w14:paraId="01BAFDD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Hendeku financiar </w:t>
            </w:r>
            <w:r w:rsidRPr="000E152E">
              <w:rPr>
                <w:rFonts w:ascii="Times New Roman" w:eastAsia="Times New Roman" w:hAnsi="Times New Roman"/>
                <w:color w:val="000000"/>
                <w:sz w:val="14"/>
                <w:szCs w:val="14"/>
                <w:lang w:eastAsia="sq-AL"/>
              </w:rPr>
              <w:t>(ne ALL)</w:t>
            </w:r>
          </w:p>
        </w:tc>
      </w:tr>
      <w:tr w:rsidR="00FC285A" w:rsidRPr="000E152E" w14:paraId="01BAFDDE" w14:textId="77777777" w:rsidTr="00FC285A">
        <w:trPr>
          <w:trHeight w:val="180"/>
        </w:trPr>
        <w:tc>
          <w:tcPr>
            <w:tcW w:w="287" w:type="pct"/>
            <w:vMerge/>
            <w:tcBorders>
              <w:top w:val="nil"/>
              <w:left w:val="single" w:sz="4" w:space="0" w:color="auto"/>
              <w:bottom w:val="single" w:sz="4" w:space="0" w:color="auto"/>
              <w:right w:val="single" w:sz="4" w:space="0" w:color="auto"/>
            </w:tcBorders>
            <w:vAlign w:val="center"/>
            <w:hideMark/>
          </w:tcPr>
          <w:p w14:paraId="01BAFDD4"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vMerge/>
            <w:tcBorders>
              <w:top w:val="nil"/>
              <w:left w:val="single" w:sz="4" w:space="0" w:color="auto"/>
              <w:bottom w:val="single" w:sz="4" w:space="0" w:color="auto"/>
              <w:right w:val="single" w:sz="4" w:space="0" w:color="auto"/>
            </w:tcBorders>
            <w:vAlign w:val="center"/>
            <w:hideMark/>
          </w:tcPr>
          <w:p w14:paraId="01BAFDD5"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p>
        </w:tc>
        <w:tc>
          <w:tcPr>
            <w:tcW w:w="342" w:type="pct"/>
            <w:vMerge/>
            <w:tcBorders>
              <w:top w:val="nil"/>
              <w:left w:val="single" w:sz="4" w:space="0" w:color="auto"/>
              <w:bottom w:val="single" w:sz="4" w:space="0" w:color="auto"/>
              <w:right w:val="single" w:sz="4" w:space="0" w:color="auto"/>
            </w:tcBorders>
            <w:vAlign w:val="center"/>
            <w:hideMark/>
          </w:tcPr>
          <w:p w14:paraId="01BAFDD6"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p>
        </w:tc>
        <w:tc>
          <w:tcPr>
            <w:tcW w:w="633" w:type="pct"/>
            <w:gridSpan w:val="2"/>
            <w:vMerge/>
            <w:tcBorders>
              <w:top w:val="single" w:sz="4" w:space="0" w:color="auto"/>
              <w:left w:val="single" w:sz="4" w:space="0" w:color="auto"/>
              <w:bottom w:val="single" w:sz="4" w:space="0" w:color="auto"/>
              <w:right w:val="single" w:sz="4" w:space="0" w:color="auto"/>
            </w:tcBorders>
            <w:vAlign w:val="center"/>
            <w:hideMark/>
          </w:tcPr>
          <w:p w14:paraId="01BAFDD7"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p>
        </w:tc>
        <w:tc>
          <w:tcPr>
            <w:tcW w:w="276" w:type="pct"/>
            <w:tcBorders>
              <w:top w:val="nil"/>
              <w:left w:val="nil"/>
              <w:bottom w:val="single" w:sz="4" w:space="0" w:color="auto"/>
              <w:right w:val="single" w:sz="4" w:space="0" w:color="auto"/>
            </w:tcBorders>
            <w:shd w:val="clear" w:color="auto" w:fill="auto"/>
            <w:vAlign w:val="center"/>
            <w:hideMark/>
          </w:tcPr>
          <w:p w14:paraId="01BAFDD8"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Afati i fillimit</w:t>
            </w:r>
          </w:p>
        </w:tc>
        <w:tc>
          <w:tcPr>
            <w:tcW w:w="329" w:type="pct"/>
            <w:tcBorders>
              <w:top w:val="nil"/>
              <w:left w:val="nil"/>
              <w:bottom w:val="single" w:sz="4" w:space="0" w:color="auto"/>
              <w:right w:val="single" w:sz="4" w:space="0" w:color="auto"/>
            </w:tcBorders>
            <w:shd w:val="clear" w:color="auto" w:fill="auto"/>
            <w:vAlign w:val="center"/>
            <w:hideMark/>
          </w:tcPr>
          <w:p w14:paraId="01BAFDD9"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Afati i përfundimit</w:t>
            </w:r>
          </w:p>
        </w:tc>
        <w:tc>
          <w:tcPr>
            <w:tcW w:w="605" w:type="pct"/>
            <w:vMerge/>
            <w:tcBorders>
              <w:top w:val="nil"/>
              <w:left w:val="single" w:sz="4" w:space="0" w:color="auto"/>
              <w:bottom w:val="single" w:sz="4" w:space="0" w:color="auto"/>
              <w:right w:val="single" w:sz="4" w:space="0" w:color="auto"/>
            </w:tcBorders>
            <w:vAlign w:val="center"/>
            <w:hideMark/>
          </w:tcPr>
          <w:p w14:paraId="01BAFDDA"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p>
        </w:tc>
        <w:tc>
          <w:tcPr>
            <w:tcW w:w="778" w:type="pct"/>
            <w:tcBorders>
              <w:top w:val="nil"/>
              <w:left w:val="nil"/>
              <w:bottom w:val="single" w:sz="4" w:space="0" w:color="auto"/>
              <w:right w:val="single" w:sz="4" w:space="0" w:color="auto"/>
            </w:tcBorders>
            <w:shd w:val="clear" w:color="auto" w:fill="auto"/>
            <w:vAlign w:val="center"/>
            <w:hideMark/>
          </w:tcPr>
          <w:p w14:paraId="01BAFDDB"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Buxhet Shteti</w:t>
            </w:r>
          </w:p>
        </w:tc>
        <w:tc>
          <w:tcPr>
            <w:tcW w:w="633" w:type="pct"/>
            <w:tcBorders>
              <w:top w:val="nil"/>
              <w:left w:val="nil"/>
              <w:bottom w:val="single" w:sz="4" w:space="0" w:color="auto"/>
              <w:right w:val="single" w:sz="4" w:space="0" w:color="auto"/>
            </w:tcBorders>
            <w:shd w:val="clear" w:color="auto" w:fill="auto"/>
            <w:vAlign w:val="center"/>
            <w:hideMark/>
          </w:tcPr>
          <w:p w14:paraId="01BAFDDC"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Financim i Huaj</w:t>
            </w:r>
          </w:p>
        </w:tc>
        <w:tc>
          <w:tcPr>
            <w:tcW w:w="676" w:type="pct"/>
            <w:tcBorders>
              <w:top w:val="nil"/>
              <w:left w:val="nil"/>
              <w:bottom w:val="single" w:sz="4" w:space="0" w:color="auto"/>
              <w:right w:val="single" w:sz="4" w:space="0" w:color="auto"/>
            </w:tcBorders>
            <w:shd w:val="clear" w:color="auto" w:fill="auto"/>
            <w:vAlign w:val="center"/>
            <w:hideMark/>
          </w:tcPr>
          <w:p w14:paraId="01BAFDDD"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r>
      <w:tr w:rsidR="00FC285A" w:rsidRPr="000E152E" w14:paraId="01BAFDEB"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A9D08E"/>
            <w:vAlign w:val="center"/>
            <w:hideMark/>
          </w:tcPr>
          <w:p w14:paraId="01BAFDD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Objektivi specifik</w:t>
            </w:r>
          </w:p>
        </w:tc>
        <w:tc>
          <w:tcPr>
            <w:tcW w:w="441" w:type="pct"/>
            <w:tcBorders>
              <w:top w:val="nil"/>
              <w:left w:val="nil"/>
              <w:bottom w:val="single" w:sz="4" w:space="0" w:color="auto"/>
              <w:right w:val="single" w:sz="4" w:space="0" w:color="auto"/>
            </w:tcBorders>
            <w:shd w:val="clear" w:color="000000" w:fill="A9D08E"/>
            <w:vAlign w:val="center"/>
            <w:hideMark/>
          </w:tcPr>
          <w:p w14:paraId="01BAFDE0" w14:textId="77777777" w:rsidR="00FC285A" w:rsidRPr="000E152E" w:rsidRDefault="00FC285A" w:rsidP="00FC285A">
            <w:pPr>
              <w:spacing w:after="0" w:line="240" w:lineRule="auto"/>
              <w:rPr>
                <w:rFonts w:ascii="Times New Roman" w:eastAsia="Times New Roman" w:hAnsi="Times New Roman"/>
                <w:b/>
                <w:bCs/>
                <w:sz w:val="14"/>
                <w:szCs w:val="14"/>
                <w:lang w:eastAsia="sq-AL"/>
              </w:rPr>
            </w:pPr>
            <w:r w:rsidRPr="000E152E">
              <w:rPr>
                <w:rFonts w:ascii="Times New Roman" w:eastAsia="Times New Roman" w:hAnsi="Times New Roman"/>
                <w:b/>
                <w:bCs/>
                <w:sz w:val="14"/>
                <w:szCs w:val="14"/>
                <w:lang w:eastAsia="sq-AL"/>
              </w:rPr>
              <w:t xml:space="preserve"> OBJEKTIVI SPECIFIK 1.1: Reduktimi i mospërputhjes së aftësive dhe rritja e nivelit të saj për të gjithë popullsinë në moshë pune dhe për të gjitha profesionet</w:t>
            </w:r>
          </w:p>
        </w:tc>
        <w:tc>
          <w:tcPr>
            <w:tcW w:w="342" w:type="pct"/>
            <w:tcBorders>
              <w:top w:val="nil"/>
              <w:left w:val="nil"/>
              <w:bottom w:val="single" w:sz="4" w:space="0" w:color="auto"/>
              <w:right w:val="single" w:sz="4" w:space="0" w:color="auto"/>
            </w:tcBorders>
            <w:shd w:val="clear" w:color="000000" w:fill="A9D08E"/>
            <w:vAlign w:val="center"/>
            <w:hideMark/>
          </w:tcPr>
          <w:p w14:paraId="01BAFDE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KODI I PROGRAMI BUXHETOR</w:t>
            </w:r>
          </w:p>
        </w:tc>
        <w:tc>
          <w:tcPr>
            <w:tcW w:w="302" w:type="pct"/>
            <w:tcBorders>
              <w:top w:val="nil"/>
              <w:left w:val="nil"/>
              <w:bottom w:val="single" w:sz="4" w:space="0" w:color="auto"/>
              <w:right w:val="single" w:sz="4" w:space="0" w:color="auto"/>
            </w:tcBorders>
            <w:shd w:val="clear" w:color="000000" w:fill="A9D08E"/>
            <w:vAlign w:val="center"/>
            <w:hideMark/>
          </w:tcPr>
          <w:p w14:paraId="01BAFDE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Institucioni udhëheqës</w:t>
            </w:r>
          </w:p>
        </w:tc>
        <w:tc>
          <w:tcPr>
            <w:tcW w:w="331" w:type="pct"/>
            <w:tcBorders>
              <w:top w:val="nil"/>
              <w:left w:val="nil"/>
              <w:bottom w:val="single" w:sz="4" w:space="0" w:color="auto"/>
              <w:right w:val="single" w:sz="4" w:space="0" w:color="auto"/>
            </w:tcBorders>
            <w:shd w:val="clear" w:color="000000" w:fill="A9D08E"/>
            <w:vAlign w:val="center"/>
            <w:hideMark/>
          </w:tcPr>
          <w:p w14:paraId="01BAFDE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Institucione pjesëmarrëse</w:t>
            </w:r>
          </w:p>
        </w:tc>
        <w:tc>
          <w:tcPr>
            <w:tcW w:w="276" w:type="pct"/>
            <w:tcBorders>
              <w:top w:val="nil"/>
              <w:left w:val="nil"/>
              <w:bottom w:val="single" w:sz="4" w:space="0" w:color="auto"/>
              <w:right w:val="single" w:sz="4" w:space="0" w:color="auto"/>
            </w:tcBorders>
            <w:shd w:val="clear" w:color="000000" w:fill="A9D08E"/>
            <w:vAlign w:val="center"/>
            <w:hideMark/>
          </w:tcPr>
          <w:p w14:paraId="01BAFDE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A9D08E"/>
            <w:vAlign w:val="center"/>
            <w:hideMark/>
          </w:tcPr>
          <w:p w14:paraId="01BAFDE5"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A9D08E"/>
            <w:vAlign w:val="center"/>
            <w:hideMark/>
          </w:tcPr>
          <w:p w14:paraId="01BAFDE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29,522,288,975.82 </w:t>
            </w:r>
          </w:p>
        </w:tc>
        <w:tc>
          <w:tcPr>
            <w:tcW w:w="778" w:type="pct"/>
            <w:tcBorders>
              <w:top w:val="nil"/>
              <w:left w:val="nil"/>
              <w:bottom w:val="single" w:sz="4" w:space="0" w:color="auto"/>
              <w:right w:val="single" w:sz="4" w:space="0" w:color="auto"/>
            </w:tcBorders>
            <w:shd w:val="clear" w:color="000000" w:fill="A9D08E"/>
            <w:vAlign w:val="center"/>
            <w:hideMark/>
          </w:tcPr>
          <w:p w14:paraId="01BAFDE7"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26,655,432,496.60 </w:t>
            </w:r>
          </w:p>
        </w:tc>
        <w:tc>
          <w:tcPr>
            <w:tcW w:w="633" w:type="pct"/>
            <w:tcBorders>
              <w:top w:val="nil"/>
              <w:left w:val="nil"/>
              <w:bottom w:val="single" w:sz="4" w:space="0" w:color="auto"/>
              <w:right w:val="single" w:sz="4" w:space="0" w:color="auto"/>
            </w:tcBorders>
            <w:shd w:val="clear" w:color="000000" w:fill="A9D08E"/>
            <w:vAlign w:val="center"/>
            <w:hideMark/>
          </w:tcPr>
          <w:p w14:paraId="01BAFDE8"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106,150,000.00 </w:t>
            </w:r>
          </w:p>
        </w:tc>
        <w:tc>
          <w:tcPr>
            <w:tcW w:w="676" w:type="pct"/>
            <w:tcBorders>
              <w:top w:val="nil"/>
              <w:left w:val="nil"/>
              <w:bottom w:val="single" w:sz="4" w:space="0" w:color="auto"/>
              <w:right w:val="single" w:sz="4" w:space="0" w:color="auto"/>
            </w:tcBorders>
            <w:shd w:val="clear" w:color="000000" w:fill="A9D08E"/>
            <w:vAlign w:val="center"/>
            <w:hideMark/>
          </w:tcPr>
          <w:p w14:paraId="01BAFDE9"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p>
          <w:p w14:paraId="01BAFDEA"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2,760,706,479.22 </w:t>
            </w:r>
          </w:p>
        </w:tc>
      </w:tr>
      <w:tr w:rsidR="00FC285A" w:rsidRPr="000E152E" w14:paraId="01BAFDF7"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9BC2E6"/>
            <w:vAlign w:val="center"/>
            <w:hideMark/>
          </w:tcPr>
          <w:p w14:paraId="01BAFDEC"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nil"/>
            </w:tcBorders>
            <w:shd w:val="clear" w:color="000000" w:fill="9BC2E6"/>
            <w:vAlign w:val="center"/>
            <w:hideMark/>
          </w:tcPr>
          <w:p w14:paraId="01BAFDED" w14:textId="4F9E34D9" w:rsidR="00FC285A" w:rsidRPr="000E152E" w:rsidRDefault="00FC285A" w:rsidP="00C4669F">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1.1.1. Zhvillimi i ofertës së AFP-së më relavant, fleksibël, të qeverisur bazuar në evidencë dhe q</w:t>
            </w:r>
            <w:r w:rsidR="00C4669F">
              <w:rPr>
                <w:rFonts w:ascii="Times New Roman" w:eastAsia="Times New Roman" w:hAnsi="Times New Roman"/>
                <w:b/>
                <w:bCs/>
                <w:color w:val="000000"/>
                <w:sz w:val="14"/>
                <w:szCs w:val="14"/>
                <w:lang w:eastAsia="sq-AL"/>
              </w:rPr>
              <w:t>ë</w:t>
            </w:r>
            <w:r w:rsidRPr="000E152E">
              <w:rPr>
                <w:rFonts w:ascii="Times New Roman" w:eastAsia="Times New Roman" w:hAnsi="Times New Roman"/>
                <w:b/>
                <w:bCs/>
                <w:color w:val="000000"/>
                <w:sz w:val="14"/>
                <w:szCs w:val="14"/>
                <w:lang w:eastAsia="sq-AL"/>
              </w:rPr>
              <w:t xml:space="preserve"> garanton vijushmëri</w:t>
            </w:r>
          </w:p>
        </w:tc>
        <w:tc>
          <w:tcPr>
            <w:tcW w:w="342" w:type="pct"/>
            <w:tcBorders>
              <w:top w:val="nil"/>
              <w:left w:val="single" w:sz="4" w:space="0" w:color="auto"/>
              <w:bottom w:val="single" w:sz="4" w:space="0" w:color="auto"/>
              <w:right w:val="single" w:sz="4" w:space="0" w:color="auto"/>
            </w:tcBorders>
            <w:shd w:val="clear" w:color="000000" w:fill="9BC2E6"/>
            <w:vAlign w:val="center"/>
            <w:hideMark/>
          </w:tcPr>
          <w:p w14:paraId="01BAFDEE"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9BC2E6"/>
            <w:vAlign w:val="center"/>
            <w:hideMark/>
          </w:tcPr>
          <w:p w14:paraId="01BAFDE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9BC2E6"/>
            <w:vAlign w:val="center"/>
            <w:hideMark/>
          </w:tcPr>
          <w:p w14:paraId="01BAFDF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9BC2E6"/>
            <w:vAlign w:val="center"/>
            <w:hideMark/>
          </w:tcPr>
          <w:p w14:paraId="01BAFDF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9BC2E6"/>
            <w:vAlign w:val="center"/>
            <w:hideMark/>
          </w:tcPr>
          <w:p w14:paraId="01BAFDF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9BC2E6"/>
            <w:vAlign w:val="center"/>
            <w:hideMark/>
          </w:tcPr>
          <w:p w14:paraId="01BAFDF3"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28,805,360,233 </w:t>
            </w:r>
          </w:p>
        </w:tc>
        <w:tc>
          <w:tcPr>
            <w:tcW w:w="778" w:type="pct"/>
            <w:tcBorders>
              <w:top w:val="nil"/>
              <w:left w:val="nil"/>
              <w:bottom w:val="single" w:sz="4" w:space="0" w:color="auto"/>
              <w:right w:val="single" w:sz="4" w:space="0" w:color="auto"/>
            </w:tcBorders>
            <w:shd w:val="clear" w:color="000000" w:fill="9BC2E6"/>
            <w:vAlign w:val="center"/>
            <w:hideMark/>
          </w:tcPr>
          <w:p w14:paraId="01BAFDF4"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26,168,280,497 </w:t>
            </w:r>
          </w:p>
        </w:tc>
        <w:tc>
          <w:tcPr>
            <w:tcW w:w="633" w:type="pct"/>
            <w:tcBorders>
              <w:top w:val="nil"/>
              <w:left w:val="nil"/>
              <w:bottom w:val="single" w:sz="4" w:space="0" w:color="auto"/>
              <w:right w:val="single" w:sz="4" w:space="0" w:color="auto"/>
            </w:tcBorders>
            <w:shd w:val="clear" w:color="000000" w:fill="9BC2E6"/>
            <w:vAlign w:val="center"/>
            <w:hideMark/>
          </w:tcPr>
          <w:p w14:paraId="01BAFDF5"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81,078,000 </w:t>
            </w:r>
          </w:p>
        </w:tc>
        <w:tc>
          <w:tcPr>
            <w:tcW w:w="676" w:type="pct"/>
            <w:tcBorders>
              <w:top w:val="nil"/>
              <w:left w:val="nil"/>
              <w:bottom w:val="single" w:sz="4" w:space="0" w:color="auto"/>
              <w:right w:val="single" w:sz="4" w:space="0" w:color="auto"/>
            </w:tcBorders>
            <w:shd w:val="clear" w:color="000000" w:fill="9BC2E6"/>
            <w:vAlign w:val="center"/>
            <w:hideMark/>
          </w:tcPr>
          <w:p w14:paraId="01BAFDF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2,556,001,737 </w:t>
            </w:r>
          </w:p>
        </w:tc>
      </w:tr>
      <w:tr w:rsidR="00FC285A" w:rsidRPr="000E152E" w14:paraId="01BAFE03" w14:textId="77777777" w:rsidTr="00FC285A">
        <w:trPr>
          <w:trHeight w:val="180"/>
        </w:trPr>
        <w:tc>
          <w:tcPr>
            <w:tcW w:w="287" w:type="pct"/>
            <w:vMerge w:val="restart"/>
            <w:tcBorders>
              <w:top w:val="nil"/>
              <w:left w:val="single" w:sz="4" w:space="0" w:color="auto"/>
              <w:bottom w:val="single" w:sz="4" w:space="0" w:color="000000"/>
              <w:right w:val="single" w:sz="4" w:space="0" w:color="auto"/>
            </w:tcBorders>
            <w:shd w:val="clear" w:color="000000" w:fill="FFD579"/>
            <w:vAlign w:val="center"/>
            <w:hideMark/>
          </w:tcPr>
          <w:p w14:paraId="01BAFDF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AFDF9"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Përditësimi i Katalogut Kombëtar të Kualifikimeve Profesionale, në përputhje me kërkesat për aftësitë dhe profesionet e të ardhmes</w:t>
            </w:r>
          </w:p>
        </w:tc>
        <w:tc>
          <w:tcPr>
            <w:tcW w:w="342" w:type="pct"/>
            <w:tcBorders>
              <w:top w:val="nil"/>
              <w:left w:val="nil"/>
              <w:bottom w:val="single" w:sz="4" w:space="0" w:color="auto"/>
              <w:right w:val="single" w:sz="4" w:space="0" w:color="auto"/>
            </w:tcBorders>
            <w:shd w:val="clear" w:color="000000" w:fill="FFD579"/>
            <w:vAlign w:val="center"/>
            <w:hideMark/>
          </w:tcPr>
          <w:p w14:paraId="01BAFDF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DFB"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DFC"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 AKPA</w:t>
            </w:r>
          </w:p>
        </w:tc>
        <w:tc>
          <w:tcPr>
            <w:tcW w:w="276" w:type="pct"/>
            <w:tcBorders>
              <w:top w:val="nil"/>
              <w:left w:val="nil"/>
              <w:bottom w:val="single" w:sz="4" w:space="0" w:color="auto"/>
              <w:right w:val="single" w:sz="4" w:space="0" w:color="auto"/>
            </w:tcBorders>
            <w:shd w:val="clear" w:color="000000" w:fill="FFD579"/>
            <w:vAlign w:val="center"/>
            <w:hideMark/>
          </w:tcPr>
          <w:p w14:paraId="01BAFDF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DF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DFF"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471,401,588 ALL</w:t>
            </w:r>
          </w:p>
        </w:tc>
        <w:tc>
          <w:tcPr>
            <w:tcW w:w="778" w:type="pct"/>
            <w:tcBorders>
              <w:top w:val="nil"/>
              <w:left w:val="nil"/>
              <w:bottom w:val="single" w:sz="4" w:space="0" w:color="auto"/>
              <w:right w:val="single" w:sz="4" w:space="0" w:color="auto"/>
            </w:tcBorders>
            <w:shd w:val="clear" w:color="000000" w:fill="FFD579"/>
            <w:vAlign w:val="center"/>
            <w:hideMark/>
          </w:tcPr>
          <w:p w14:paraId="01BAFE0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449,316,000 </w:t>
            </w:r>
          </w:p>
        </w:tc>
        <w:tc>
          <w:tcPr>
            <w:tcW w:w="633" w:type="pct"/>
            <w:tcBorders>
              <w:top w:val="nil"/>
              <w:left w:val="nil"/>
              <w:bottom w:val="single" w:sz="4" w:space="0" w:color="auto"/>
              <w:right w:val="single" w:sz="4" w:space="0" w:color="auto"/>
            </w:tcBorders>
            <w:shd w:val="clear" w:color="000000" w:fill="FFD579"/>
            <w:vAlign w:val="center"/>
            <w:hideMark/>
          </w:tcPr>
          <w:p w14:paraId="01BAFE0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0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22,085,588 </w:t>
            </w:r>
          </w:p>
        </w:tc>
      </w:tr>
      <w:tr w:rsidR="00FC285A" w:rsidRPr="000E152E" w14:paraId="01BAFE0F"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04"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05" w14:textId="096FB7F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 xml:space="preserve">dhe ofrimi i </w:t>
            </w:r>
            <w:r w:rsidRPr="000E152E">
              <w:rPr>
                <w:rFonts w:ascii="Times New Roman" w:eastAsia="Times New Roman" w:hAnsi="Times New Roman"/>
                <w:color w:val="000000"/>
                <w:sz w:val="14"/>
                <w:szCs w:val="14"/>
                <w:lang w:eastAsia="sq-AL"/>
              </w:rPr>
              <w:lastRenderedPageBreak/>
              <w:t>kualifikimeve profesionale që garantojnë cilësinë në terma të rezultateve të të nxënit (me angazhimin e sektorit privat), me fokus në nivelin 5 të KShK-së</w:t>
            </w:r>
          </w:p>
        </w:tc>
        <w:tc>
          <w:tcPr>
            <w:tcW w:w="342" w:type="pct"/>
            <w:tcBorders>
              <w:top w:val="nil"/>
              <w:left w:val="nil"/>
              <w:bottom w:val="single" w:sz="4" w:space="0" w:color="auto"/>
              <w:right w:val="single" w:sz="4" w:space="0" w:color="auto"/>
            </w:tcBorders>
            <w:shd w:val="clear" w:color="000000" w:fill="FFD579"/>
            <w:vAlign w:val="center"/>
            <w:hideMark/>
          </w:tcPr>
          <w:p w14:paraId="01BAFE0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AFE07"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08"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E0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0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0B"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21,600,000 ALL</w:t>
            </w:r>
          </w:p>
        </w:tc>
        <w:tc>
          <w:tcPr>
            <w:tcW w:w="778" w:type="pct"/>
            <w:tcBorders>
              <w:top w:val="nil"/>
              <w:left w:val="nil"/>
              <w:bottom w:val="single" w:sz="4" w:space="0" w:color="auto"/>
              <w:right w:val="single" w:sz="4" w:space="0" w:color="auto"/>
            </w:tcBorders>
            <w:shd w:val="clear" w:color="000000" w:fill="FFD579"/>
            <w:vAlign w:val="center"/>
            <w:hideMark/>
          </w:tcPr>
          <w:p w14:paraId="01BAFE0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11,117,400 </w:t>
            </w:r>
          </w:p>
        </w:tc>
        <w:tc>
          <w:tcPr>
            <w:tcW w:w="633" w:type="pct"/>
            <w:tcBorders>
              <w:top w:val="nil"/>
              <w:left w:val="nil"/>
              <w:bottom w:val="single" w:sz="4" w:space="0" w:color="auto"/>
              <w:right w:val="single" w:sz="4" w:space="0" w:color="auto"/>
            </w:tcBorders>
            <w:shd w:val="clear" w:color="000000" w:fill="FFD579"/>
            <w:vAlign w:val="center"/>
            <w:hideMark/>
          </w:tcPr>
          <w:p w14:paraId="01BAFE0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5,536,000 </w:t>
            </w:r>
          </w:p>
        </w:tc>
        <w:tc>
          <w:tcPr>
            <w:tcW w:w="676" w:type="pct"/>
            <w:tcBorders>
              <w:top w:val="nil"/>
              <w:left w:val="nil"/>
              <w:bottom w:val="single" w:sz="4" w:space="0" w:color="auto"/>
              <w:right w:val="single" w:sz="4" w:space="0" w:color="auto"/>
            </w:tcBorders>
            <w:shd w:val="clear" w:color="000000" w:fill="FFD579"/>
            <w:vAlign w:val="center"/>
            <w:hideMark/>
          </w:tcPr>
          <w:p w14:paraId="01BAFE0E" w14:textId="6EDD0D89"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4,946,600 </w:t>
            </w:r>
          </w:p>
        </w:tc>
      </w:tr>
      <w:tr w:rsidR="00FC285A" w:rsidRPr="000E152E" w14:paraId="01BAFE1B"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10"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11"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dhe zbatimi i nje strategjie të targetuar për komunikimin e KShK-së, për të garantuar transparencë dhe transferueshmërinë e kualifikimeve</w:t>
            </w:r>
          </w:p>
        </w:tc>
        <w:tc>
          <w:tcPr>
            <w:tcW w:w="342" w:type="pct"/>
            <w:tcBorders>
              <w:top w:val="nil"/>
              <w:left w:val="nil"/>
              <w:bottom w:val="single" w:sz="4" w:space="0" w:color="auto"/>
              <w:right w:val="single" w:sz="4" w:space="0" w:color="auto"/>
            </w:tcBorders>
            <w:shd w:val="clear" w:color="000000" w:fill="FFD579"/>
            <w:vAlign w:val="center"/>
            <w:hideMark/>
          </w:tcPr>
          <w:p w14:paraId="01BAFE1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13"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14"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 xml:space="preserve">MAS </w:t>
            </w:r>
          </w:p>
        </w:tc>
        <w:tc>
          <w:tcPr>
            <w:tcW w:w="276" w:type="pct"/>
            <w:tcBorders>
              <w:top w:val="nil"/>
              <w:left w:val="nil"/>
              <w:bottom w:val="single" w:sz="4" w:space="0" w:color="auto"/>
              <w:right w:val="single" w:sz="4" w:space="0" w:color="auto"/>
            </w:tcBorders>
            <w:shd w:val="clear" w:color="000000" w:fill="FFD579"/>
            <w:vAlign w:val="center"/>
            <w:hideMark/>
          </w:tcPr>
          <w:p w14:paraId="01BAFE1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1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AFE17"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8,000,000 ALL</w:t>
            </w:r>
          </w:p>
        </w:tc>
        <w:tc>
          <w:tcPr>
            <w:tcW w:w="778" w:type="pct"/>
            <w:tcBorders>
              <w:top w:val="nil"/>
              <w:left w:val="nil"/>
              <w:bottom w:val="single" w:sz="4" w:space="0" w:color="auto"/>
              <w:right w:val="single" w:sz="4" w:space="0" w:color="auto"/>
            </w:tcBorders>
            <w:shd w:val="clear" w:color="000000" w:fill="FFD579"/>
            <w:vAlign w:val="center"/>
            <w:hideMark/>
          </w:tcPr>
          <w:p w14:paraId="01BAFE1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1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8,000,000 </w:t>
            </w:r>
          </w:p>
        </w:tc>
        <w:tc>
          <w:tcPr>
            <w:tcW w:w="676" w:type="pct"/>
            <w:tcBorders>
              <w:top w:val="nil"/>
              <w:left w:val="nil"/>
              <w:bottom w:val="single" w:sz="4" w:space="0" w:color="auto"/>
              <w:right w:val="single" w:sz="4" w:space="0" w:color="auto"/>
            </w:tcBorders>
            <w:shd w:val="clear" w:color="000000" w:fill="FFD579"/>
            <w:vAlign w:val="center"/>
            <w:hideMark/>
          </w:tcPr>
          <w:p w14:paraId="01BAFE1A" w14:textId="5D0BF63F"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r>
      <w:tr w:rsidR="00FC285A" w:rsidRPr="000E152E" w14:paraId="01BAFE27"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1C"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1D"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i mekanizmit të koordinimit për zbatimin e KShK-së si një instrument gjithëpërfshirës (Task forca për KShK)</w:t>
            </w:r>
          </w:p>
        </w:tc>
        <w:tc>
          <w:tcPr>
            <w:tcW w:w="342" w:type="pct"/>
            <w:tcBorders>
              <w:top w:val="nil"/>
              <w:left w:val="nil"/>
              <w:bottom w:val="single" w:sz="4" w:space="0" w:color="auto"/>
              <w:right w:val="single" w:sz="4" w:space="0" w:color="auto"/>
            </w:tcBorders>
            <w:shd w:val="clear" w:color="000000" w:fill="FFD579"/>
            <w:vAlign w:val="center"/>
            <w:hideMark/>
          </w:tcPr>
          <w:p w14:paraId="01BAFE1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1F"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20"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 xml:space="preserve">MAS </w:t>
            </w:r>
          </w:p>
        </w:tc>
        <w:tc>
          <w:tcPr>
            <w:tcW w:w="276" w:type="pct"/>
            <w:tcBorders>
              <w:top w:val="nil"/>
              <w:left w:val="nil"/>
              <w:bottom w:val="single" w:sz="4" w:space="0" w:color="auto"/>
              <w:right w:val="single" w:sz="4" w:space="0" w:color="auto"/>
            </w:tcBorders>
            <w:shd w:val="clear" w:color="000000" w:fill="FFD579"/>
            <w:vAlign w:val="center"/>
            <w:hideMark/>
          </w:tcPr>
          <w:p w14:paraId="01BAFE2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TM12023</w:t>
            </w:r>
          </w:p>
        </w:tc>
        <w:tc>
          <w:tcPr>
            <w:tcW w:w="329" w:type="pct"/>
            <w:tcBorders>
              <w:top w:val="nil"/>
              <w:left w:val="nil"/>
              <w:bottom w:val="single" w:sz="4" w:space="0" w:color="auto"/>
              <w:right w:val="single" w:sz="4" w:space="0" w:color="auto"/>
            </w:tcBorders>
            <w:shd w:val="clear" w:color="000000" w:fill="FFD579"/>
            <w:vAlign w:val="center"/>
            <w:hideMark/>
          </w:tcPr>
          <w:p w14:paraId="01BAFE2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AFE23"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0 ALL</w:t>
            </w:r>
          </w:p>
        </w:tc>
        <w:tc>
          <w:tcPr>
            <w:tcW w:w="778" w:type="pct"/>
            <w:tcBorders>
              <w:top w:val="nil"/>
              <w:left w:val="nil"/>
              <w:bottom w:val="single" w:sz="4" w:space="0" w:color="auto"/>
              <w:right w:val="single" w:sz="4" w:space="0" w:color="auto"/>
            </w:tcBorders>
            <w:shd w:val="clear" w:color="000000" w:fill="FFD579"/>
            <w:vAlign w:val="center"/>
            <w:hideMark/>
          </w:tcPr>
          <w:p w14:paraId="01BAFE2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2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26" w14:textId="2FDAC6C0"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r>
      <w:tr w:rsidR="00FC285A" w:rsidRPr="000E152E" w14:paraId="01BAFE33"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28"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29"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Rioriganizmi i rrjetit të ofruesve publikë të AFP-së, në kontekstin e zhvillimit të ekosistemit të ofertës së AFP-së</w:t>
            </w:r>
          </w:p>
        </w:tc>
        <w:tc>
          <w:tcPr>
            <w:tcW w:w="342" w:type="pct"/>
            <w:tcBorders>
              <w:top w:val="nil"/>
              <w:left w:val="nil"/>
              <w:bottom w:val="single" w:sz="4" w:space="0" w:color="auto"/>
              <w:right w:val="single" w:sz="4" w:space="0" w:color="auto"/>
            </w:tcBorders>
            <w:shd w:val="clear" w:color="000000" w:fill="FFD579"/>
            <w:vAlign w:val="center"/>
            <w:hideMark/>
          </w:tcPr>
          <w:p w14:paraId="01BAFE2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2B"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2C"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E2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2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2025</w:t>
            </w:r>
          </w:p>
        </w:tc>
        <w:tc>
          <w:tcPr>
            <w:tcW w:w="605" w:type="pct"/>
            <w:tcBorders>
              <w:top w:val="nil"/>
              <w:left w:val="nil"/>
              <w:bottom w:val="single" w:sz="4" w:space="0" w:color="auto"/>
              <w:right w:val="single" w:sz="4" w:space="0" w:color="auto"/>
            </w:tcBorders>
            <w:shd w:val="clear" w:color="000000" w:fill="FFD579"/>
            <w:vAlign w:val="center"/>
            <w:hideMark/>
          </w:tcPr>
          <w:p w14:paraId="01BAFE2F"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16,894,800,359 ALL</w:t>
            </w:r>
          </w:p>
        </w:tc>
        <w:tc>
          <w:tcPr>
            <w:tcW w:w="778" w:type="pct"/>
            <w:tcBorders>
              <w:top w:val="nil"/>
              <w:left w:val="nil"/>
              <w:bottom w:val="single" w:sz="4" w:space="0" w:color="auto"/>
              <w:right w:val="single" w:sz="4" w:space="0" w:color="auto"/>
            </w:tcBorders>
            <w:shd w:val="clear" w:color="000000" w:fill="FFD579"/>
            <w:vAlign w:val="center"/>
            <w:hideMark/>
          </w:tcPr>
          <w:p w14:paraId="01BAFE3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15,574,960,049 </w:t>
            </w:r>
          </w:p>
        </w:tc>
        <w:tc>
          <w:tcPr>
            <w:tcW w:w="633" w:type="pct"/>
            <w:tcBorders>
              <w:top w:val="nil"/>
              <w:left w:val="nil"/>
              <w:bottom w:val="single" w:sz="4" w:space="0" w:color="auto"/>
              <w:right w:val="single" w:sz="4" w:space="0" w:color="auto"/>
            </w:tcBorders>
            <w:shd w:val="clear" w:color="000000" w:fill="FFD579"/>
            <w:vAlign w:val="center"/>
            <w:hideMark/>
          </w:tcPr>
          <w:p w14:paraId="01BAFE3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3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1,319,840,310 </w:t>
            </w:r>
          </w:p>
        </w:tc>
      </w:tr>
      <w:tr w:rsidR="00FC285A" w:rsidRPr="000E152E" w14:paraId="01BAFE3F"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34"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35"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Modernizimi i infrastrukturës së ofruesve publik të AFP-së, në përputhje me parimet e ekonomisë dhe transformimit digjital </w:t>
            </w:r>
          </w:p>
        </w:tc>
        <w:tc>
          <w:tcPr>
            <w:tcW w:w="342" w:type="pct"/>
            <w:tcBorders>
              <w:top w:val="nil"/>
              <w:left w:val="nil"/>
              <w:bottom w:val="single" w:sz="4" w:space="0" w:color="auto"/>
              <w:right w:val="single" w:sz="4" w:space="0" w:color="auto"/>
            </w:tcBorders>
            <w:shd w:val="clear" w:color="000000" w:fill="FFD579"/>
            <w:vAlign w:val="center"/>
            <w:hideMark/>
          </w:tcPr>
          <w:p w14:paraId="01BAFE3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37"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38"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E3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3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3B"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7,849,809,280 ALL</w:t>
            </w:r>
          </w:p>
        </w:tc>
        <w:tc>
          <w:tcPr>
            <w:tcW w:w="778" w:type="pct"/>
            <w:tcBorders>
              <w:top w:val="nil"/>
              <w:left w:val="nil"/>
              <w:bottom w:val="single" w:sz="4" w:space="0" w:color="auto"/>
              <w:right w:val="single" w:sz="4" w:space="0" w:color="auto"/>
            </w:tcBorders>
            <w:shd w:val="clear" w:color="000000" w:fill="FFD579"/>
            <w:vAlign w:val="center"/>
            <w:hideMark/>
          </w:tcPr>
          <w:p w14:paraId="01BAFE3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7,200,000,000 </w:t>
            </w:r>
          </w:p>
        </w:tc>
        <w:tc>
          <w:tcPr>
            <w:tcW w:w="633" w:type="pct"/>
            <w:tcBorders>
              <w:top w:val="nil"/>
              <w:left w:val="nil"/>
              <w:bottom w:val="single" w:sz="4" w:space="0" w:color="auto"/>
              <w:right w:val="single" w:sz="4" w:space="0" w:color="auto"/>
            </w:tcBorders>
            <w:shd w:val="clear" w:color="000000" w:fill="FFD579"/>
            <w:vAlign w:val="center"/>
            <w:hideMark/>
          </w:tcPr>
          <w:p w14:paraId="01BAFE3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58,410,000 </w:t>
            </w:r>
          </w:p>
        </w:tc>
        <w:tc>
          <w:tcPr>
            <w:tcW w:w="676" w:type="pct"/>
            <w:tcBorders>
              <w:top w:val="nil"/>
              <w:left w:val="nil"/>
              <w:bottom w:val="single" w:sz="4" w:space="0" w:color="auto"/>
              <w:right w:val="single" w:sz="4" w:space="0" w:color="auto"/>
            </w:tcBorders>
            <w:shd w:val="clear" w:color="000000" w:fill="FFD579"/>
            <w:vAlign w:val="center"/>
            <w:hideMark/>
          </w:tcPr>
          <w:p w14:paraId="01BAFE3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591,399,280 </w:t>
            </w:r>
          </w:p>
        </w:tc>
      </w:tr>
      <w:tr w:rsidR="00FC285A" w:rsidRPr="000E152E" w14:paraId="01BAFE4B"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40"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41" w14:textId="2E7344D5"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i kontekstit ligjor dhe institucional</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 xml:space="preserve">për një model të alokimit dhe disbursimit të buxhetit për ofruesit publikë të AFP-së </w:t>
            </w:r>
          </w:p>
        </w:tc>
        <w:tc>
          <w:tcPr>
            <w:tcW w:w="342" w:type="pct"/>
            <w:tcBorders>
              <w:top w:val="nil"/>
              <w:left w:val="nil"/>
              <w:bottom w:val="single" w:sz="4" w:space="0" w:color="auto"/>
              <w:right w:val="single" w:sz="4" w:space="0" w:color="auto"/>
            </w:tcBorders>
            <w:shd w:val="clear" w:color="000000" w:fill="FFD579"/>
            <w:vAlign w:val="center"/>
            <w:hideMark/>
          </w:tcPr>
          <w:p w14:paraId="01BAFE4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4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4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E4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4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AFE47"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5,400,000 ALL</w:t>
            </w:r>
          </w:p>
        </w:tc>
        <w:tc>
          <w:tcPr>
            <w:tcW w:w="778" w:type="pct"/>
            <w:tcBorders>
              <w:top w:val="nil"/>
              <w:left w:val="nil"/>
              <w:bottom w:val="single" w:sz="4" w:space="0" w:color="auto"/>
              <w:right w:val="single" w:sz="4" w:space="0" w:color="auto"/>
            </w:tcBorders>
            <w:shd w:val="clear" w:color="000000" w:fill="FFD579"/>
            <w:vAlign w:val="center"/>
            <w:hideMark/>
          </w:tcPr>
          <w:p w14:paraId="01BAFE4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4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4A" w14:textId="75AAA43A"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AFE57"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4C"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4D"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dhe </w:t>
            </w:r>
            <w:r w:rsidRPr="000E152E">
              <w:rPr>
                <w:rFonts w:ascii="Times New Roman" w:eastAsia="Times New Roman" w:hAnsi="Times New Roman"/>
                <w:color w:val="000000"/>
                <w:sz w:val="14"/>
                <w:szCs w:val="14"/>
                <w:lang w:eastAsia="sq-AL"/>
              </w:rPr>
              <w:lastRenderedPageBreak/>
              <w:t>operacionalizimin i autonomisë financiare të ofruesve AFP-së</w:t>
            </w:r>
          </w:p>
        </w:tc>
        <w:tc>
          <w:tcPr>
            <w:tcW w:w="342" w:type="pct"/>
            <w:tcBorders>
              <w:top w:val="nil"/>
              <w:left w:val="nil"/>
              <w:bottom w:val="single" w:sz="4" w:space="0" w:color="auto"/>
              <w:right w:val="single" w:sz="4" w:space="0" w:color="auto"/>
            </w:tcBorders>
            <w:shd w:val="clear" w:color="000000" w:fill="FFD579"/>
            <w:vAlign w:val="center"/>
            <w:hideMark/>
          </w:tcPr>
          <w:p w14:paraId="01BAFE4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AFE4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5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AFE5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TM1 </w:t>
            </w:r>
            <w:r w:rsidRPr="000E152E">
              <w:rPr>
                <w:rFonts w:ascii="Times New Roman" w:eastAsia="Times New Roman" w:hAnsi="Times New Roman"/>
                <w:color w:val="000000"/>
                <w:sz w:val="14"/>
                <w:szCs w:val="14"/>
                <w:lang w:eastAsia="sq-AL"/>
              </w:rPr>
              <w:lastRenderedPageBreak/>
              <w:t>2025</w:t>
            </w:r>
          </w:p>
        </w:tc>
        <w:tc>
          <w:tcPr>
            <w:tcW w:w="329" w:type="pct"/>
            <w:tcBorders>
              <w:top w:val="nil"/>
              <w:left w:val="nil"/>
              <w:bottom w:val="single" w:sz="4" w:space="0" w:color="auto"/>
              <w:right w:val="single" w:sz="4" w:space="0" w:color="auto"/>
            </w:tcBorders>
            <w:shd w:val="clear" w:color="000000" w:fill="FFD579"/>
            <w:vAlign w:val="center"/>
            <w:hideMark/>
          </w:tcPr>
          <w:p w14:paraId="01BAFE5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53"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5,400,000 ALL</w:t>
            </w:r>
          </w:p>
        </w:tc>
        <w:tc>
          <w:tcPr>
            <w:tcW w:w="778" w:type="pct"/>
            <w:tcBorders>
              <w:top w:val="nil"/>
              <w:left w:val="nil"/>
              <w:bottom w:val="single" w:sz="4" w:space="0" w:color="auto"/>
              <w:right w:val="single" w:sz="4" w:space="0" w:color="auto"/>
            </w:tcBorders>
            <w:shd w:val="clear" w:color="000000" w:fill="FFD579"/>
            <w:vAlign w:val="center"/>
            <w:hideMark/>
          </w:tcPr>
          <w:p w14:paraId="01BAFE5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5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56" w14:textId="617900C4"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AFE63"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58"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59"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Krijimi i qasjes së ofrimit të AFP-së me kohë të pjesshme</w:t>
            </w:r>
          </w:p>
        </w:tc>
        <w:tc>
          <w:tcPr>
            <w:tcW w:w="342" w:type="pct"/>
            <w:tcBorders>
              <w:top w:val="nil"/>
              <w:left w:val="nil"/>
              <w:bottom w:val="single" w:sz="4" w:space="0" w:color="auto"/>
              <w:right w:val="single" w:sz="4" w:space="0" w:color="auto"/>
            </w:tcBorders>
            <w:shd w:val="clear" w:color="000000" w:fill="FFD579"/>
            <w:vAlign w:val="center"/>
            <w:hideMark/>
          </w:tcPr>
          <w:p w14:paraId="01BAFE5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5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5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276" w:type="pct"/>
            <w:tcBorders>
              <w:top w:val="nil"/>
              <w:left w:val="nil"/>
              <w:bottom w:val="single" w:sz="4" w:space="0" w:color="auto"/>
              <w:right w:val="single" w:sz="4" w:space="0" w:color="auto"/>
            </w:tcBorders>
            <w:shd w:val="clear" w:color="000000" w:fill="FFD579"/>
            <w:vAlign w:val="center"/>
            <w:hideMark/>
          </w:tcPr>
          <w:p w14:paraId="01BAFE5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5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AFE5F"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2,700,000 ALL</w:t>
            </w:r>
          </w:p>
        </w:tc>
        <w:tc>
          <w:tcPr>
            <w:tcW w:w="778" w:type="pct"/>
            <w:tcBorders>
              <w:top w:val="nil"/>
              <w:left w:val="nil"/>
              <w:bottom w:val="single" w:sz="4" w:space="0" w:color="auto"/>
              <w:right w:val="single" w:sz="4" w:space="0" w:color="auto"/>
            </w:tcBorders>
            <w:shd w:val="clear" w:color="000000" w:fill="FFD579"/>
            <w:vAlign w:val="center"/>
            <w:hideMark/>
          </w:tcPr>
          <w:p w14:paraId="01BAFE6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6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62" w14:textId="1C3DBCC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2,700,000 </w:t>
            </w:r>
          </w:p>
        </w:tc>
      </w:tr>
      <w:tr w:rsidR="00FC285A" w:rsidRPr="000E152E" w14:paraId="01BAFE70"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64"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65" w14:textId="4353B739"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Zbatimi</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 xml:space="preserve">i ofertës së AFP-së në formë të kombinuar </w:t>
            </w:r>
          </w:p>
        </w:tc>
        <w:tc>
          <w:tcPr>
            <w:tcW w:w="342" w:type="pct"/>
            <w:tcBorders>
              <w:top w:val="nil"/>
              <w:left w:val="nil"/>
              <w:bottom w:val="single" w:sz="4" w:space="0" w:color="auto"/>
              <w:right w:val="single" w:sz="4" w:space="0" w:color="auto"/>
            </w:tcBorders>
            <w:shd w:val="clear" w:color="000000" w:fill="FFD579"/>
            <w:vAlign w:val="center"/>
            <w:hideMark/>
          </w:tcPr>
          <w:p w14:paraId="01BAFE6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6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6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E6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AFE6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6B"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522,068,450 ALL</w:t>
            </w:r>
          </w:p>
        </w:tc>
        <w:tc>
          <w:tcPr>
            <w:tcW w:w="778" w:type="pct"/>
            <w:tcBorders>
              <w:top w:val="nil"/>
              <w:left w:val="nil"/>
              <w:bottom w:val="single" w:sz="4" w:space="0" w:color="auto"/>
              <w:right w:val="single" w:sz="4" w:space="0" w:color="auto"/>
            </w:tcBorders>
            <w:shd w:val="clear" w:color="000000" w:fill="FFD579"/>
            <w:vAlign w:val="center"/>
            <w:hideMark/>
          </w:tcPr>
          <w:p w14:paraId="01BAFE6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293,856,025 </w:t>
            </w:r>
          </w:p>
        </w:tc>
        <w:tc>
          <w:tcPr>
            <w:tcW w:w="633" w:type="pct"/>
            <w:tcBorders>
              <w:top w:val="nil"/>
              <w:left w:val="nil"/>
              <w:bottom w:val="single" w:sz="4" w:space="0" w:color="auto"/>
              <w:right w:val="single" w:sz="4" w:space="0" w:color="auto"/>
            </w:tcBorders>
            <w:shd w:val="clear" w:color="000000" w:fill="FFD579"/>
            <w:vAlign w:val="center"/>
            <w:hideMark/>
          </w:tcPr>
          <w:p w14:paraId="01BAFE6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6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6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228,212,425 </w:t>
            </w:r>
          </w:p>
        </w:tc>
      </w:tr>
      <w:tr w:rsidR="00FC285A" w:rsidRPr="000E152E" w14:paraId="01BAFE7D"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71"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7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Promovimi dhe nxitja e pjesëmarrjes së grupeve të veçanta në AFP (vajza, PAK, romë dhe egjiptianë etj.)</w:t>
            </w:r>
          </w:p>
        </w:tc>
        <w:tc>
          <w:tcPr>
            <w:tcW w:w="342" w:type="pct"/>
            <w:tcBorders>
              <w:top w:val="nil"/>
              <w:left w:val="nil"/>
              <w:bottom w:val="single" w:sz="4" w:space="0" w:color="auto"/>
              <w:right w:val="single" w:sz="4" w:space="0" w:color="auto"/>
            </w:tcBorders>
            <w:shd w:val="clear" w:color="000000" w:fill="FFD579"/>
            <w:vAlign w:val="center"/>
            <w:hideMark/>
          </w:tcPr>
          <w:p w14:paraId="01BAFE7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7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E7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AKAFPK</w:t>
            </w:r>
          </w:p>
        </w:tc>
        <w:tc>
          <w:tcPr>
            <w:tcW w:w="276" w:type="pct"/>
            <w:tcBorders>
              <w:top w:val="nil"/>
              <w:left w:val="nil"/>
              <w:bottom w:val="single" w:sz="4" w:space="0" w:color="auto"/>
              <w:right w:val="single" w:sz="4" w:space="0" w:color="auto"/>
            </w:tcBorders>
            <w:shd w:val="clear" w:color="000000" w:fill="FFD579"/>
            <w:vAlign w:val="center"/>
            <w:hideMark/>
          </w:tcPr>
          <w:p w14:paraId="01BAFE7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7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78"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2,881,980,557 ALL</w:t>
            </w:r>
          </w:p>
        </w:tc>
        <w:tc>
          <w:tcPr>
            <w:tcW w:w="778" w:type="pct"/>
            <w:tcBorders>
              <w:top w:val="nil"/>
              <w:left w:val="nil"/>
              <w:bottom w:val="single" w:sz="4" w:space="0" w:color="auto"/>
              <w:right w:val="single" w:sz="4" w:space="0" w:color="auto"/>
            </w:tcBorders>
            <w:shd w:val="clear" w:color="000000" w:fill="FFD579"/>
            <w:vAlign w:val="center"/>
            <w:hideMark/>
          </w:tcPr>
          <w:p w14:paraId="01BAFE7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2,578,531,022 </w:t>
            </w:r>
          </w:p>
        </w:tc>
        <w:tc>
          <w:tcPr>
            <w:tcW w:w="633" w:type="pct"/>
            <w:tcBorders>
              <w:top w:val="nil"/>
              <w:left w:val="nil"/>
              <w:bottom w:val="single" w:sz="4" w:space="0" w:color="auto"/>
              <w:right w:val="single" w:sz="4" w:space="0" w:color="auto"/>
            </w:tcBorders>
            <w:shd w:val="clear" w:color="000000" w:fill="FFD579"/>
            <w:vAlign w:val="center"/>
            <w:hideMark/>
          </w:tcPr>
          <w:p w14:paraId="01BAFE7A" w14:textId="3B1859A0"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935,000 </w:t>
            </w:r>
          </w:p>
        </w:tc>
        <w:tc>
          <w:tcPr>
            <w:tcW w:w="676" w:type="pct"/>
            <w:tcBorders>
              <w:top w:val="nil"/>
              <w:left w:val="nil"/>
              <w:bottom w:val="single" w:sz="4" w:space="0" w:color="auto"/>
              <w:right w:val="single" w:sz="4" w:space="0" w:color="auto"/>
            </w:tcBorders>
            <w:shd w:val="clear" w:color="000000" w:fill="FFD579"/>
            <w:vAlign w:val="center"/>
            <w:hideMark/>
          </w:tcPr>
          <w:p w14:paraId="01BAFE7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7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302,514,535 </w:t>
            </w:r>
          </w:p>
        </w:tc>
      </w:tr>
      <w:tr w:rsidR="00FC285A" w:rsidRPr="000E152E" w14:paraId="01BAFE89"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7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7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Studimi fizibiliteti për integrimin e sistemit të krediteve</w:t>
            </w:r>
          </w:p>
        </w:tc>
        <w:tc>
          <w:tcPr>
            <w:tcW w:w="342" w:type="pct"/>
            <w:tcBorders>
              <w:top w:val="nil"/>
              <w:left w:val="nil"/>
              <w:bottom w:val="single" w:sz="4" w:space="0" w:color="auto"/>
              <w:right w:val="single" w:sz="4" w:space="0" w:color="auto"/>
            </w:tcBorders>
            <w:shd w:val="clear" w:color="000000" w:fill="FFD579"/>
            <w:vAlign w:val="center"/>
            <w:hideMark/>
          </w:tcPr>
          <w:p w14:paraId="01BAFE8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8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8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w:t>
            </w:r>
          </w:p>
        </w:tc>
        <w:tc>
          <w:tcPr>
            <w:tcW w:w="276" w:type="pct"/>
            <w:tcBorders>
              <w:top w:val="nil"/>
              <w:left w:val="nil"/>
              <w:bottom w:val="single" w:sz="4" w:space="0" w:color="auto"/>
              <w:right w:val="single" w:sz="4" w:space="0" w:color="auto"/>
            </w:tcBorders>
            <w:shd w:val="clear" w:color="000000" w:fill="FFD579"/>
            <w:vAlign w:val="center"/>
            <w:hideMark/>
          </w:tcPr>
          <w:p w14:paraId="01BAFE8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nil"/>
              <w:left w:val="nil"/>
              <w:bottom w:val="single" w:sz="4" w:space="0" w:color="auto"/>
              <w:right w:val="single" w:sz="4" w:space="0" w:color="auto"/>
            </w:tcBorders>
            <w:shd w:val="clear" w:color="000000" w:fill="FFD579"/>
            <w:vAlign w:val="center"/>
            <w:hideMark/>
          </w:tcPr>
          <w:p w14:paraId="01BAFE8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2024</w:t>
            </w:r>
          </w:p>
        </w:tc>
        <w:tc>
          <w:tcPr>
            <w:tcW w:w="605" w:type="pct"/>
            <w:tcBorders>
              <w:top w:val="nil"/>
              <w:left w:val="nil"/>
              <w:bottom w:val="single" w:sz="4" w:space="0" w:color="auto"/>
              <w:right w:val="single" w:sz="4" w:space="0" w:color="auto"/>
            </w:tcBorders>
            <w:shd w:val="clear" w:color="000000" w:fill="FFD579"/>
            <w:vAlign w:val="center"/>
            <w:hideMark/>
          </w:tcPr>
          <w:p w14:paraId="01BAFE8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7,200,000 ALL</w:t>
            </w:r>
          </w:p>
        </w:tc>
        <w:tc>
          <w:tcPr>
            <w:tcW w:w="778" w:type="pct"/>
            <w:tcBorders>
              <w:top w:val="nil"/>
              <w:left w:val="nil"/>
              <w:bottom w:val="single" w:sz="4" w:space="0" w:color="auto"/>
              <w:right w:val="single" w:sz="4" w:space="0" w:color="auto"/>
            </w:tcBorders>
            <w:shd w:val="clear" w:color="000000" w:fill="FFD579"/>
            <w:vAlign w:val="center"/>
            <w:hideMark/>
          </w:tcPr>
          <w:p w14:paraId="01BAFE8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87" w14:textId="2D3174D5"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5,861,000 </w:t>
            </w:r>
          </w:p>
        </w:tc>
        <w:tc>
          <w:tcPr>
            <w:tcW w:w="676" w:type="pct"/>
            <w:tcBorders>
              <w:top w:val="nil"/>
              <w:left w:val="nil"/>
              <w:bottom w:val="single" w:sz="4" w:space="0" w:color="auto"/>
              <w:right w:val="single" w:sz="4" w:space="0" w:color="auto"/>
            </w:tcBorders>
            <w:shd w:val="clear" w:color="000000" w:fill="FFD579"/>
            <w:vAlign w:val="center"/>
            <w:hideMark/>
          </w:tcPr>
          <w:p w14:paraId="01BAFE88" w14:textId="4C7F576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1,339,000 </w:t>
            </w:r>
          </w:p>
        </w:tc>
      </w:tr>
      <w:tr w:rsidR="00FC285A" w:rsidRPr="000E152E" w14:paraId="01BAFE95"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8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8B" w14:textId="3E1FB86F"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Rishikimi i Maturës shtetërore profesionale dhe integrimi i maturës shkollore</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(kohëzgjatja 3-vjeçare) dhe ofrimi i kurseve urë</w:t>
            </w:r>
          </w:p>
        </w:tc>
        <w:tc>
          <w:tcPr>
            <w:tcW w:w="342" w:type="pct"/>
            <w:tcBorders>
              <w:top w:val="nil"/>
              <w:left w:val="nil"/>
              <w:bottom w:val="single" w:sz="4" w:space="0" w:color="auto"/>
              <w:right w:val="single" w:sz="4" w:space="0" w:color="auto"/>
            </w:tcBorders>
            <w:shd w:val="clear" w:color="000000" w:fill="FFD579"/>
            <w:vAlign w:val="center"/>
            <w:hideMark/>
          </w:tcPr>
          <w:p w14:paraId="01BAFE8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8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8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MAS, AKAFPK</w:t>
            </w:r>
          </w:p>
        </w:tc>
        <w:tc>
          <w:tcPr>
            <w:tcW w:w="276" w:type="pct"/>
            <w:tcBorders>
              <w:top w:val="nil"/>
              <w:left w:val="nil"/>
              <w:bottom w:val="single" w:sz="4" w:space="0" w:color="auto"/>
              <w:right w:val="single" w:sz="4" w:space="0" w:color="auto"/>
            </w:tcBorders>
            <w:shd w:val="clear" w:color="000000" w:fill="FFD579"/>
            <w:vAlign w:val="center"/>
            <w:hideMark/>
          </w:tcPr>
          <w:p w14:paraId="01BAFE8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9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TM42030</w:t>
            </w:r>
          </w:p>
        </w:tc>
        <w:tc>
          <w:tcPr>
            <w:tcW w:w="605" w:type="pct"/>
            <w:tcBorders>
              <w:top w:val="nil"/>
              <w:left w:val="nil"/>
              <w:bottom w:val="single" w:sz="4" w:space="0" w:color="auto"/>
              <w:right w:val="single" w:sz="4" w:space="0" w:color="auto"/>
            </w:tcBorders>
            <w:shd w:val="clear" w:color="000000" w:fill="FFD579"/>
            <w:vAlign w:val="center"/>
            <w:hideMark/>
          </w:tcPr>
          <w:p w14:paraId="01BAFE9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778" w:type="pct"/>
            <w:tcBorders>
              <w:top w:val="nil"/>
              <w:left w:val="nil"/>
              <w:bottom w:val="single" w:sz="4" w:space="0" w:color="auto"/>
              <w:right w:val="single" w:sz="4" w:space="0" w:color="auto"/>
            </w:tcBorders>
            <w:shd w:val="clear" w:color="000000" w:fill="FFD579"/>
            <w:vAlign w:val="center"/>
            <w:hideMark/>
          </w:tcPr>
          <w:p w14:paraId="01BAFE9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E9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E94" w14:textId="228898C2"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r>
      <w:tr w:rsidR="00FC285A" w:rsidRPr="000E152E" w14:paraId="01BAFEA1"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9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9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Nxitja e mobilitetit të nxënësve dhe stafeve në kuadër të shkëmbimeve ndërkombëtare</w:t>
            </w:r>
          </w:p>
        </w:tc>
        <w:tc>
          <w:tcPr>
            <w:tcW w:w="342" w:type="pct"/>
            <w:tcBorders>
              <w:top w:val="nil"/>
              <w:left w:val="nil"/>
              <w:bottom w:val="single" w:sz="4" w:space="0" w:color="auto"/>
              <w:right w:val="single" w:sz="4" w:space="0" w:color="auto"/>
            </w:tcBorders>
            <w:shd w:val="clear" w:color="000000" w:fill="FFD579"/>
            <w:vAlign w:val="center"/>
            <w:hideMark/>
          </w:tcPr>
          <w:p w14:paraId="01BAFE9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9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9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MAS, AKAFPK, AKPA, </w:t>
            </w:r>
            <w:r w:rsidRPr="000E152E">
              <w:rPr>
                <w:rFonts w:ascii="Times New Roman" w:eastAsia="Times New Roman" w:hAnsi="Times New Roman"/>
                <w:color w:val="000000"/>
                <w:sz w:val="14"/>
                <w:szCs w:val="14"/>
                <w:lang w:eastAsia="sq-AL"/>
              </w:rPr>
              <w:br/>
              <w:t>MSHRF,</w:t>
            </w:r>
            <w:r w:rsidRPr="000E152E">
              <w:rPr>
                <w:rFonts w:ascii="Times New Roman" w:eastAsia="Times New Roman" w:hAnsi="Times New Roman"/>
                <w:color w:val="000000"/>
                <w:sz w:val="14"/>
                <w:szCs w:val="14"/>
                <w:lang w:eastAsia="sq-AL"/>
              </w:rPr>
              <w:br/>
              <w:t>AKR</w:t>
            </w:r>
          </w:p>
        </w:tc>
        <w:tc>
          <w:tcPr>
            <w:tcW w:w="276" w:type="pct"/>
            <w:tcBorders>
              <w:top w:val="nil"/>
              <w:left w:val="nil"/>
              <w:bottom w:val="single" w:sz="4" w:space="0" w:color="auto"/>
              <w:right w:val="single" w:sz="4" w:space="0" w:color="auto"/>
            </w:tcBorders>
            <w:shd w:val="clear" w:color="000000" w:fill="FFD579"/>
            <w:vAlign w:val="center"/>
            <w:hideMark/>
          </w:tcPr>
          <w:p w14:paraId="01BAFE9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9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9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135,000,000 ALL</w:t>
            </w:r>
          </w:p>
        </w:tc>
        <w:tc>
          <w:tcPr>
            <w:tcW w:w="778" w:type="pct"/>
            <w:tcBorders>
              <w:top w:val="nil"/>
              <w:left w:val="nil"/>
              <w:bottom w:val="single" w:sz="4" w:space="0" w:color="auto"/>
              <w:right w:val="single" w:sz="4" w:space="0" w:color="auto"/>
            </w:tcBorders>
            <w:shd w:val="clear" w:color="000000" w:fill="FFD579"/>
            <w:vAlign w:val="center"/>
            <w:hideMark/>
          </w:tcPr>
          <w:p w14:paraId="01BAFE9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60,500,000 </w:t>
            </w:r>
          </w:p>
        </w:tc>
        <w:tc>
          <w:tcPr>
            <w:tcW w:w="633" w:type="pct"/>
            <w:tcBorders>
              <w:top w:val="nil"/>
              <w:left w:val="nil"/>
              <w:bottom w:val="single" w:sz="4" w:space="0" w:color="auto"/>
              <w:right w:val="single" w:sz="4" w:space="0" w:color="auto"/>
            </w:tcBorders>
            <w:shd w:val="clear" w:color="000000" w:fill="FFD579"/>
            <w:vAlign w:val="center"/>
            <w:hideMark/>
          </w:tcPr>
          <w:p w14:paraId="01BAFE9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2,336,000 </w:t>
            </w:r>
          </w:p>
        </w:tc>
        <w:tc>
          <w:tcPr>
            <w:tcW w:w="676" w:type="pct"/>
            <w:tcBorders>
              <w:top w:val="nil"/>
              <w:left w:val="nil"/>
              <w:bottom w:val="single" w:sz="4" w:space="0" w:color="auto"/>
              <w:right w:val="single" w:sz="4" w:space="0" w:color="auto"/>
            </w:tcBorders>
            <w:shd w:val="clear" w:color="000000" w:fill="FFD579"/>
            <w:vAlign w:val="center"/>
            <w:hideMark/>
          </w:tcPr>
          <w:p w14:paraId="01BAFEA0" w14:textId="3CB280A9"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72,164,000 </w:t>
            </w:r>
          </w:p>
        </w:tc>
      </w:tr>
      <w:tr w:rsidR="00FC285A" w:rsidRPr="000E152E" w14:paraId="01BAFEAD"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9BC2E6"/>
            <w:vAlign w:val="center"/>
            <w:hideMark/>
          </w:tcPr>
          <w:p w14:paraId="01BAFEA2"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single" w:sz="4" w:space="0" w:color="auto"/>
              <w:right w:val="single" w:sz="4" w:space="0" w:color="auto"/>
            </w:tcBorders>
            <w:shd w:val="clear" w:color="000000" w:fill="9BC2E6"/>
            <w:vAlign w:val="center"/>
            <w:hideMark/>
          </w:tcPr>
          <w:p w14:paraId="01BAFEA3"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1.1.2. Forcimi i mekanizmave të garantimit dhe zhvillimit të cilësisë në sistemin e AFP-së</w:t>
            </w:r>
          </w:p>
        </w:tc>
        <w:tc>
          <w:tcPr>
            <w:tcW w:w="342" w:type="pct"/>
            <w:tcBorders>
              <w:top w:val="nil"/>
              <w:left w:val="nil"/>
              <w:bottom w:val="single" w:sz="4" w:space="0" w:color="auto"/>
              <w:right w:val="single" w:sz="4" w:space="0" w:color="auto"/>
            </w:tcBorders>
            <w:shd w:val="clear" w:color="000000" w:fill="9BC2E6"/>
            <w:vAlign w:val="center"/>
            <w:hideMark/>
          </w:tcPr>
          <w:p w14:paraId="01BAFEA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9BC2E6"/>
            <w:vAlign w:val="center"/>
            <w:hideMark/>
          </w:tcPr>
          <w:p w14:paraId="01BAFEA5"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9BC2E6"/>
            <w:vAlign w:val="center"/>
            <w:hideMark/>
          </w:tcPr>
          <w:p w14:paraId="01BAFEA6"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9BC2E6"/>
            <w:vAlign w:val="center"/>
            <w:hideMark/>
          </w:tcPr>
          <w:p w14:paraId="01BAFEA7"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9BC2E6"/>
            <w:vAlign w:val="center"/>
            <w:hideMark/>
          </w:tcPr>
          <w:p w14:paraId="01BAFEA8"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9BC2E6"/>
            <w:vAlign w:val="center"/>
            <w:hideMark/>
          </w:tcPr>
          <w:p w14:paraId="01BAFEA9"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613,328,742 ALL</w:t>
            </w:r>
          </w:p>
        </w:tc>
        <w:tc>
          <w:tcPr>
            <w:tcW w:w="778" w:type="pct"/>
            <w:tcBorders>
              <w:top w:val="nil"/>
              <w:left w:val="nil"/>
              <w:bottom w:val="single" w:sz="4" w:space="0" w:color="auto"/>
              <w:right w:val="single" w:sz="4" w:space="0" w:color="auto"/>
            </w:tcBorders>
            <w:shd w:val="clear" w:color="000000" w:fill="9BC2E6"/>
            <w:vAlign w:val="center"/>
            <w:hideMark/>
          </w:tcPr>
          <w:p w14:paraId="01BAFEAA"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480,752,000 ALL</w:t>
            </w:r>
          </w:p>
        </w:tc>
        <w:tc>
          <w:tcPr>
            <w:tcW w:w="633" w:type="pct"/>
            <w:tcBorders>
              <w:top w:val="nil"/>
              <w:left w:val="nil"/>
              <w:bottom w:val="single" w:sz="4" w:space="0" w:color="auto"/>
              <w:right w:val="single" w:sz="4" w:space="0" w:color="auto"/>
            </w:tcBorders>
            <w:shd w:val="clear" w:color="000000" w:fill="9BC2E6"/>
            <w:vAlign w:val="center"/>
            <w:hideMark/>
          </w:tcPr>
          <w:p w14:paraId="01BAFEAB"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11,536,000 ALL</w:t>
            </w:r>
          </w:p>
        </w:tc>
        <w:tc>
          <w:tcPr>
            <w:tcW w:w="676" w:type="pct"/>
            <w:tcBorders>
              <w:top w:val="nil"/>
              <w:left w:val="nil"/>
              <w:bottom w:val="single" w:sz="4" w:space="0" w:color="auto"/>
              <w:right w:val="single" w:sz="4" w:space="0" w:color="auto"/>
            </w:tcBorders>
            <w:shd w:val="clear" w:color="000000" w:fill="9BC2E6"/>
            <w:vAlign w:val="center"/>
            <w:hideMark/>
          </w:tcPr>
          <w:p w14:paraId="01BAFEAC"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121,040,742 ALL</w:t>
            </w:r>
          </w:p>
        </w:tc>
      </w:tr>
      <w:tr w:rsidR="00FC285A" w:rsidRPr="000E152E" w14:paraId="01BAFEB9" w14:textId="77777777" w:rsidTr="00FC285A">
        <w:trPr>
          <w:trHeight w:val="180"/>
        </w:trPr>
        <w:tc>
          <w:tcPr>
            <w:tcW w:w="287" w:type="pct"/>
            <w:vMerge w:val="restart"/>
            <w:tcBorders>
              <w:top w:val="nil"/>
              <w:left w:val="single" w:sz="4" w:space="0" w:color="auto"/>
              <w:bottom w:val="single" w:sz="4" w:space="0" w:color="000000"/>
              <w:right w:val="single" w:sz="4" w:space="0" w:color="auto"/>
            </w:tcBorders>
            <w:shd w:val="clear" w:color="000000" w:fill="FFD579"/>
            <w:vAlign w:val="center"/>
            <w:hideMark/>
          </w:tcPr>
          <w:p w14:paraId="01BAFEA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AFEA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Zbatimi i vetëvlerësimit si instrument plotësues dhe efektiv i garantimit të cilësisë për identifkimin e fushave për përmirësim (edhe në këndvështrimin e gatishmërisë institucionale për digjitalizim)</w:t>
            </w:r>
          </w:p>
        </w:tc>
        <w:tc>
          <w:tcPr>
            <w:tcW w:w="342" w:type="pct"/>
            <w:tcBorders>
              <w:top w:val="nil"/>
              <w:left w:val="nil"/>
              <w:bottom w:val="single" w:sz="4" w:space="0" w:color="auto"/>
              <w:right w:val="single" w:sz="4" w:space="0" w:color="auto"/>
            </w:tcBorders>
            <w:shd w:val="clear" w:color="000000" w:fill="FFD579"/>
            <w:vAlign w:val="center"/>
            <w:hideMark/>
          </w:tcPr>
          <w:p w14:paraId="01BAFEB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B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B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EB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B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2030</w:t>
            </w:r>
          </w:p>
        </w:tc>
        <w:tc>
          <w:tcPr>
            <w:tcW w:w="605" w:type="pct"/>
            <w:tcBorders>
              <w:top w:val="nil"/>
              <w:left w:val="nil"/>
              <w:bottom w:val="single" w:sz="4" w:space="0" w:color="auto"/>
              <w:right w:val="single" w:sz="4" w:space="0" w:color="auto"/>
            </w:tcBorders>
            <w:shd w:val="clear" w:color="000000" w:fill="FFD579"/>
            <w:vAlign w:val="center"/>
            <w:hideMark/>
          </w:tcPr>
          <w:p w14:paraId="01BAFEB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198,211,588 ALL</w:t>
            </w:r>
          </w:p>
        </w:tc>
        <w:tc>
          <w:tcPr>
            <w:tcW w:w="778" w:type="pct"/>
            <w:tcBorders>
              <w:top w:val="nil"/>
              <w:left w:val="nil"/>
              <w:bottom w:val="single" w:sz="4" w:space="0" w:color="auto"/>
              <w:right w:val="single" w:sz="4" w:space="0" w:color="auto"/>
            </w:tcBorders>
            <w:shd w:val="clear" w:color="000000" w:fill="FFD579"/>
            <w:vAlign w:val="center"/>
            <w:hideMark/>
          </w:tcPr>
          <w:p w14:paraId="01BAFEB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183,056,000 </w:t>
            </w:r>
          </w:p>
        </w:tc>
        <w:tc>
          <w:tcPr>
            <w:tcW w:w="633" w:type="pct"/>
            <w:tcBorders>
              <w:top w:val="nil"/>
              <w:left w:val="nil"/>
              <w:bottom w:val="single" w:sz="4" w:space="0" w:color="auto"/>
              <w:right w:val="single" w:sz="4" w:space="0" w:color="auto"/>
            </w:tcBorders>
            <w:shd w:val="clear" w:color="000000" w:fill="FFD579"/>
            <w:vAlign w:val="center"/>
            <w:hideMark/>
          </w:tcPr>
          <w:p w14:paraId="01BAFEB7" w14:textId="0D9FA273"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EB8" w14:textId="51A5912E"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15,155,588 </w:t>
            </w:r>
          </w:p>
        </w:tc>
      </w:tr>
      <w:tr w:rsidR="00FC285A" w:rsidRPr="000E152E" w14:paraId="01BAFEC5"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B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B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Zbatimi i plotë i procesit të akreditimit për të gjithë ofruesit publikë të AFP-së, si dhe ofrues privatë që ofrojnë kualifikime profesionale të niveleve 2-5 të KSHK-së, bazuar në standardet dhe kriteret e cilësisë sipas modelit të akreditimit</w:t>
            </w:r>
          </w:p>
        </w:tc>
        <w:tc>
          <w:tcPr>
            <w:tcW w:w="342" w:type="pct"/>
            <w:tcBorders>
              <w:top w:val="nil"/>
              <w:left w:val="nil"/>
              <w:bottom w:val="single" w:sz="4" w:space="0" w:color="auto"/>
              <w:right w:val="single" w:sz="4" w:space="0" w:color="auto"/>
            </w:tcBorders>
            <w:shd w:val="clear" w:color="000000" w:fill="FFD579"/>
            <w:vAlign w:val="center"/>
            <w:hideMark/>
          </w:tcPr>
          <w:p w14:paraId="01BAFEB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B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B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w:t>
            </w:r>
          </w:p>
        </w:tc>
        <w:tc>
          <w:tcPr>
            <w:tcW w:w="276" w:type="pct"/>
            <w:tcBorders>
              <w:top w:val="nil"/>
              <w:left w:val="nil"/>
              <w:bottom w:val="single" w:sz="4" w:space="0" w:color="auto"/>
              <w:right w:val="single" w:sz="4" w:space="0" w:color="auto"/>
            </w:tcBorders>
            <w:shd w:val="clear" w:color="000000" w:fill="FFD579"/>
            <w:vAlign w:val="center"/>
            <w:hideMark/>
          </w:tcPr>
          <w:p w14:paraId="01BAFEB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C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2024</w:t>
            </w:r>
          </w:p>
        </w:tc>
        <w:tc>
          <w:tcPr>
            <w:tcW w:w="605" w:type="pct"/>
            <w:tcBorders>
              <w:top w:val="nil"/>
              <w:left w:val="nil"/>
              <w:bottom w:val="single" w:sz="4" w:space="0" w:color="auto"/>
              <w:right w:val="single" w:sz="4" w:space="0" w:color="auto"/>
            </w:tcBorders>
            <w:shd w:val="clear" w:color="000000" w:fill="FFD579"/>
            <w:vAlign w:val="center"/>
            <w:hideMark/>
          </w:tcPr>
          <w:p w14:paraId="01BAFEC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198,211,588 ALL</w:t>
            </w:r>
          </w:p>
        </w:tc>
        <w:tc>
          <w:tcPr>
            <w:tcW w:w="778" w:type="pct"/>
            <w:tcBorders>
              <w:top w:val="nil"/>
              <w:left w:val="nil"/>
              <w:bottom w:val="single" w:sz="4" w:space="0" w:color="auto"/>
              <w:right w:val="single" w:sz="4" w:space="0" w:color="auto"/>
            </w:tcBorders>
            <w:shd w:val="clear" w:color="000000" w:fill="FFD579"/>
            <w:vAlign w:val="center"/>
            <w:hideMark/>
          </w:tcPr>
          <w:p w14:paraId="01BAFEC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183,056,000 </w:t>
            </w:r>
          </w:p>
        </w:tc>
        <w:tc>
          <w:tcPr>
            <w:tcW w:w="633" w:type="pct"/>
            <w:tcBorders>
              <w:top w:val="nil"/>
              <w:left w:val="nil"/>
              <w:bottom w:val="single" w:sz="4" w:space="0" w:color="auto"/>
              <w:right w:val="single" w:sz="4" w:space="0" w:color="auto"/>
            </w:tcBorders>
            <w:shd w:val="clear" w:color="000000" w:fill="FFD579"/>
            <w:vAlign w:val="center"/>
            <w:hideMark/>
          </w:tcPr>
          <w:p w14:paraId="01BAFEC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11,536,000 </w:t>
            </w:r>
          </w:p>
        </w:tc>
        <w:tc>
          <w:tcPr>
            <w:tcW w:w="676" w:type="pct"/>
            <w:tcBorders>
              <w:top w:val="nil"/>
              <w:left w:val="nil"/>
              <w:bottom w:val="single" w:sz="4" w:space="0" w:color="auto"/>
              <w:right w:val="single" w:sz="4" w:space="0" w:color="auto"/>
            </w:tcBorders>
            <w:shd w:val="clear" w:color="000000" w:fill="FFD579"/>
            <w:vAlign w:val="center"/>
            <w:hideMark/>
          </w:tcPr>
          <w:p w14:paraId="01BAFEC4" w14:textId="439D96BE"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3,619,588 </w:t>
            </w:r>
          </w:p>
        </w:tc>
      </w:tr>
      <w:tr w:rsidR="00FC285A" w:rsidRPr="000E152E" w14:paraId="01BAFED1"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C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C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i procesit të licensimit dhe monitorimit të ofruesve privatë të arsimit dhe formimit profesional, në përputhje me kornizën e garantimit dhe zhvillimit të cilësisë</w:t>
            </w:r>
          </w:p>
        </w:tc>
        <w:tc>
          <w:tcPr>
            <w:tcW w:w="342" w:type="pct"/>
            <w:tcBorders>
              <w:top w:val="nil"/>
              <w:left w:val="nil"/>
              <w:bottom w:val="single" w:sz="4" w:space="0" w:color="auto"/>
              <w:right w:val="single" w:sz="4" w:space="0" w:color="auto"/>
            </w:tcBorders>
            <w:shd w:val="clear" w:color="000000" w:fill="FFD579"/>
            <w:vAlign w:val="center"/>
            <w:hideMark/>
          </w:tcPr>
          <w:p w14:paraId="01BAFEC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C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C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 AKAFPK</w:t>
            </w:r>
          </w:p>
        </w:tc>
        <w:tc>
          <w:tcPr>
            <w:tcW w:w="276" w:type="pct"/>
            <w:tcBorders>
              <w:top w:val="nil"/>
              <w:left w:val="nil"/>
              <w:bottom w:val="single" w:sz="4" w:space="0" w:color="auto"/>
              <w:right w:val="single" w:sz="4" w:space="0" w:color="auto"/>
            </w:tcBorders>
            <w:shd w:val="clear" w:color="000000" w:fill="FFD579"/>
            <w:vAlign w:val="center"/>
            <w:hideMark/>
          </w:tcPr>
          <w:p w14:paraId="01BAFEC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EC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4 2024</w:t>
            </w:r>
          </w:p>
        </w:tc>
        <w:tc>
          <w:tcPr>
            <w:tcW w:w="605" w:type="pct"/>
            <w:tcBorders>
              <w:top w:val="nil"/>
              <w:left w:val="nil"/>
              <w:bottom w:val="single" w:sz="4" w:space="0" w:color="auto"/>
              <w:right w:val="single" w:sz="4" w:space="0" w:color="auto"/>
            </w:tcBorders>
            <w:shd w:val="clear" w:color="000000" w:fill="FFD579"/>
            <w:vAlign w:val="center"/>
            <w:hideMark/>
          </w:tcPr>
          <w:p w14:paraId="01BAFEC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0 ALL</w:t>
            </w:r>
          </w:p>
        </w:tc>
        <w:tc>
          <w:tcPr>
            <w:tcW w:w="778" w:type="pct"/>
            <w:tcBorders>
              <w:top w:val="nil"/>
              <w:left w:val="nil"/>
              <w:bottom w:val="single" w:sz="4" w:space="0" w:color="auto"/>
              <w:right w:val="single" w:sz="4" w:space="0" w:color="auto"/>
            </w:tcBorders>
            <w:shd w:val="clear" w:color="000000" w:fill="FFD579"/>
            <w:vAlign w:val="center"/>
            <w:hideMark/>
          </w:tcPr>
          <w:p w14:paraId="01BAFECE" w14:textId="0EC147F0"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AFECF" w14:textId="77470BE4"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ED0" w14:textId="4BA15968"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r>
      <w:tr w:rsidR="00FC285A" w:rsidRPr="000E152E" w14:paraId="01BAFEDF"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D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D3" w14:textId="6238BF33"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i qasjes dhe</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modelit të inspektimit në AFP të harmonizuar me kornizën e garantimit dhe zhvillimit të cilësisë</w:t>
            </w:r>
          </w:p>
        </w:tc>
        <w:tc>
          <w:tcPr>
            <w:tcW w:w="342" w:type="pct"/>
            <w:tcBorders>
              <w:top w:val="nil"/>
              <w:left w:val="nil"/>
              <w:bottom w:val="single" w:sz="4" w:space="0" w:color="auto"/>
              <w:right w:val="single" w:sz="4" w:space="0" w:color="auto"/>
            </w:tcBorders>
            <w:shd w:val="clear" w:color="000000" w:fill="FFD579"/>
            <w:vAlign w:val="center"/>
            <w:hideMark/>
          </w:tcPr>
          <w:p w14:paraId="01BAFED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D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ED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MAS, 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ED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D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AFED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0 ALL</w:t>
            </w:r>
          </w:p>
        </w:tc>
        <w:tc>
          <w:tcPr>
            <w:tcW w:w="778" w:type="pct"/>
            <w:tcBorders>
              <w:top w:val="nil"/>
              <w:left w:val="nil"/>
              <w:bottom w:val="single" w:sz="4" w:space="0" w:color="auto"/>
              <w:right w:val="single" w:sz="4" w:space="0" w:color="auto"/>
            </w:tcBorders>
            <w:shd w:val="clear" w:color="000000" w:fill="FFD579"/>
            <w:vAlign w:val="center"/>
            <w:hideMark/>
          </w:tcPr>
          <w:p w14:paraId="01BAFEDA" w14:textId="1600464C"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AFED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DC" w14:textId="3AA3A8B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ED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DE" w14:textId="28EA6E5C"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r>
      <w:tr w:rsidR="00FC285A" w:rsidRPr="000E152E" w14:paraId="01BAFEED"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E0"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E1" w14:textId="71E6DDD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i sistemit të kualifikimit fillestar dhe zhvillimit të vazhduar profesional të mësimdhënësve</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 xml:space="preserve">për të përmirësuar aftësitë teknike (profesionale) dhe në shërvim të tranzicionit të gjelbër dhe digjital, në shërbim të mësimdhënies cilësore </w:t>
            </w:r>
          </w:p>
        </w:tc>
        <w:tc>
          <w:tcPr>
            <w:tcW w:w="342" w:type="pct"/>
            <w:tcBorders>
              <w:top w:val="nil"/>
              <w:left w:val="nil"/>
              <w:bottom w:val="single" w:sz="4" w:space="0" w:color="auto"/>
              <w:right w:val="single" w:sz="4" w:space="0" w:color="auto"/>
            </w:tcBorders>
            <w:shd w:val="clear" w:color="000000" w:fill="FFD579"/>
            <w:vAlign w:val="center"/>
            <w:hideMark/>
          </w:tcPr>
          <w:p w14:paraId="01BAFEE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E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E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EE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E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E7"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193,105,567 ALL</w:t>
            </w:r>
          </w:p>
        </w:tc>
        <w:tc>
          <w:tcPr>
            <w:tcW w:w="778" w:type="pct"/>
            <w:tcBorders>
              <w:top w:val="nil"/>
              <w:left w:val="nil"/>
              <w:bottom w:val="single" w:sz="4" w:space="0" w:color="auto"/>
              <w:right w:val="single" w:sz="4" w:space="0" w:color="auto"/>
            </w:tcBorders>
            <w:shd w:val="clear" w:color="000000" w:fill="FFD579"/>
            <w:vAlign w:val="center"/>
            <w:hideMark/>
          </w:tcPr>
          <w:p w14:paraId="01BAFEE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E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113,440,000 </w:t>
            </w:r>
          </w:p>
        </w:tc>
        <w:tc>
          <w:tcPr>
            <w:tcW w:w="633" w:type="pct"/>
            <w:tcBorders>
              <w:top w:val="nil"/>
              <w:left w:val="nil"/>
              <w:bottom w:val="single" w:sz="4" w:space="0" w:color="auto"/>
              <w:right w:val="single" w:sz="4" w:space="0" w:color="auto"/>
            </w:tcBorders>
            <w:shd w:val="clear" w:color="000000" w:fill="FFD579"/>
            <w:vAlign w:val="center"/>
            <w:hideMark/>
          </w:tcPr>
          <w:p w14:paraId="01BAFEE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p>
          <w:p w14:paraId="01BAFEEB" w14:textId="29D85812"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EE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79,665,567 </w:t>
            </w:r>
          </w:p>
        </w:tc>
      </w:tr>
      <w:tr w:rsidR="00FC285A" w:rsidRPr="000E152E" w14:paraId="01BAFEF9"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E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E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Konsolidimi (administrativ, me kapacitete dhe mjete) i të gjitha njësive të zhvillimit brenda ofruesve publikë të AFP-së </w:t>
            </w:r>
          </w:p>
        </w:tc>
        <w:tc>
          <w:tcPr>
            <w:tcW w:w="342" w:type="pct"/>
            <w:tcBorders>
              <w:top w:val="nil"/>
              <w:left w:val="nil"/>
              <w:bottom w:val="single" w:sz="4" w:space="0" w:color="auto"/>
              <w:right w:val="single" w:sz="4" w:space="0" w:color="auto"/>
            </w:tcBorders>
            <w:shd w:val="clear" w:color="000000" w:fill="FFD579"/>
            <w:vAlign w:val="center"/>
            <w:hideMark/>
          </w:tcPr>
          <w:p w14:paraId="01BAFEF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F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EF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EF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EF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EF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0 ALL</w:t>
            </w:r>
          </w:p>
        </w:tc>
        <w:tc>
          <w:tcPr>
            <w:tcW w:w="778" w:type="pct"/>
            <w:tcBorders>
              <w:top w:val="nil"/>
              <w:left w:val="nil"/>
              <w:bottom w:val="single" w:sz="4" w:space="0" w:color="auto"/>
              <w:right w:val="single" w:sz="4" w:space="0" w:color="auto"/>
            </w:tcBorders>
            <w:shd w:val="clear" w:color="000000" w:fill="FFD579"/>
            <w:vAlign w:val="center"/>
            <w:hideMark/>
          </w:tcPr>
          <w:p w14:paraId="01BAFEF6" w14:textId="7716F4AC"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AFEF7" w14:textId="351BDE1B"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EF8" w14:textId="04E41801"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05"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EF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EF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Ngritja e kapaciteteve të stafeve drejtuese dhe mbështetëse në ofruesit publik të AFP-së</w:t>
            </w:r>
          </w:p>
        </w:tc>
        <w:tc>
          <w:tcPr>
            <w:tcW w:w="342" w:type="pct"/>
            <w:tcBorders>
              <w:top w:val="nil"/>
              <w:left w:val="nil"/>
              <w:bottom w:val="single" w:sz="4" w:space="0" w:color="auto"/>
              <w:right w:val="single" w:sz="4" w:space="0" w:color="auto"/>
            </w:tcBorders>
            <w:shd w:val="clear" w:color="000000" w:fill="FFD579"/>
            <w:vAlign w:val="center"/>
            <w:hideMark/>
          </w:tcPr>
          <w:p w14:paraId="01BAFEF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EF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EF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276" w:type="pct"/>
            <w:tcBorders>
              <w:top w:val="nil"/>
              <w:left w:val="nil"/>
              <w:bottom w:val="single" w:sz="4" w:space="0" w:color="auto"/>
              <w:right w:val="single" w:sz="4" w:space="0" w:color="auto"/>
            </w:tcBorders>
            <w:shd w:val="clear" w:color="000000" w:fill="FFD579"/>
            <w:vAlign w:val="center"/>
            <w:hideMark/>
          </w:tcPr>
          <w:p w14:paraId="01BAFEF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F0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0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19,000,000 ALL</w:t>
            </w:r>
          </w:p>
        </w:tc>
        <w:tc>
          <w:tcPr>
            <w:tcW w:w="778" w:type="pct"/>
            <w:tcBorders>
              <w:top w:val="nil"/>
              <w:left w:val="nil"/>
              <w:bottom w:val="single" w:sz="4" w:space="0" w:color="auto"/>
              <w:right w:val="single" w:sz="4" w:space="0" w:color="auto"/>
            </w:tcBorders>
            <w:shd w:val="clear" w:color="000000" w:fill="FFD579"/>
            <w:vAlign w:val="center"/>
            <w:hideMark/>
          </w:tcPr>
          <w:p w14:paraId="01BAFF0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03" w14:textId="79BD6F3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04" w14:textId="45C61EB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19,000,000 </w:t>
            </w:r>
          </w:p>
        </w:tc>
      </w:tr>
      <w:tr w:rsidR="00FC285A" w:rsidRPr="000E152E" w14:paraId="01BAFF11"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F0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0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Dizenjimi dhe zbatimi i qasjeve atraktive në politikat e menaxhimit të burimeve njerëzore dhe mundësive për karrierë të stafit mësimdhënës</w:t>
            </w:r>
          </w:p>
        </w:tc>
        <w:tc>
          <w:tcPr>
            <w:tcW w:w="342" w:type="pct"/>
            <w:tcBorders>
              <w:top w:val="nil"/>
              <w:left w:val="nil"/>
              <w:bottom w:val="single" w:sz="4" w:space="0" w:color="auto"/>
              <w:right w:val="single" w:sz="4" w:space="0" w:color="auto"/>
            </w:tcBorders>
            <w:shd w:val="clear" w:color="000000" w:fill="FFD579"/>
            <w:vAlign w:val="center"/>
            <w:hideMark/>
          </w:tcPr>
          <w:p w14:paraId="01BAFF0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0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0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0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F0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0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3,600,000 ALL</w:t>
            </w:r>
          </w:p>
        </w:tc>
        <w:tc>
          <w:tcPr>
            <w:tcW w:w="778" w:type="pct"/>
            <w:tcBorders>
              <w:top w:val="nil"/>
              <w:left w:val="nil"/>
              <w:bottom w:val="single" w:sz="4" w:space="0" w:color="auto"/>
              <w:right w:val="single" w:sz="4" w:space="0" w:color="auto"/>
            </w:tcBorders>
            <w:shd w:val="clear" w:color="000000" w:fill="FFD579"/>
            <w:vAlign w:val="center"/>
            <w:hideMark/>
          </w:tcPr>
          <w:p w14:paraId="01BAFF0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0F" w14:textId="5C5AD67A"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10" w14:textId="51A7579A"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3,600,000 </w:t>
            </w:r>
          </w:p>
        </w:tc>
      </w:tr>
      <w:tr w:rsidR="00FC285A" w:rsidRPr="000E152E" w14:paraId="01BAFF1D"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AFF1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1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dhe zbatimi i mekanizmit të garantimit të cilësisë të ofruesve në zhvillimin e vazhduar profesional për mësimdhënësit e kulturës profesionale</w:t>
            </w:r>
          </w:p>
        </w:tc>
        <w:tc>
          <w:tcPr>
            <w:tcW w:w="342" w:type="pct"/>
            <w:tcBorders>
              <w:top w:val="nil"/>
              <w:left w:val="nil"/>
              <w:bottom w:val="single" w:sz="4" w:space="0" w:color="auto"/>
              <w:right w:val="single" w:sz="4" w:space="0" w:color="auto"/>
            </w:tcBorders>
            <w:shd w:val="clear" w:color="000000" w:fill="FFD579"/>
            <w:vAlign w:val="center"/>
            <w:hideMark/>
          </w:tcPr>
          <w:p w14:paraId="01BAFF1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1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F1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F1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nil"/>
              <w:left w:val="nil"/>
              <w:bottom w:val="single" w:sz="4" w:space="0" w:color="auto"/>
              <w:right w:val="single" w:sz="4" w:space="0" w:color="auto"/>
            </w:tcBorders>
            <w:shd w:val="clear" w:color="000000" w:fill="FFD579"/>
            <w:vAlign w:val="center"/>
            <w:hideMark/>
          </w:tcPr>
          <w:p w14:paraId="01BAFF1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1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1,200,000 ALL</w:t>
            </w:r>
          </w:p>
        </w:tc>
        <w:tc>
          <w:tcPr>
            <w:tcW w:w="778" w:type="pct"/>
            <w:tcBorders>
              <w:top w:val="nil"/>
              <w:left w:val="nil"/>
              <w:bottom w:val="single" w:sz="4" w:space="0" w:color="auto"/>
              <w:right w:val="single" w:sz="4" w:space="0" w:color="auto"/>
            </w:tcBorders>
            <w:shd w:val="clear" w:color="000000" w:fill="FFD579"/>
            <w:vAlign w:val="center"/>
            <w:hideMark/>
          </w:tcPr>
          <w:p w14:paraId="01BAFF1A" w14:textId="7345C66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 </w:t>
            </w:r>
          </w:p>
        </w:tc>
        <w:tc>
          <w:tcPr>
            <w:tcW w:w="633" w:type="pct"/>
            <w:tcBorders>
              <w:top w:val="nil"/>
              <w:left w:val="nil"/>
              <w:bottom w:val="single" w:sz="4" w:space="0" w:color="auto"/>
              <w:right w:val="single" w:sz="4" w:space="0" w:color="auto"/>
            </w:tcBorders>
            <w:shd w:val="clear" w:color="000000" w:fill="FFD579"/>
            <w:vAlign w:val="center"/>
            <w:hideMark/>
          </w:tcPr>
          <w:p w14:paraId="01BAFF1B" w14:textId="34AF7FB6"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1C" w14:textId="323B5D4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29"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9BC2E6"/>
            <w:vAlign w:val="center"/>
            <w:hideMark/>
          </w:tcPr>
          <w:p w14:paraId="01BAFF1E"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nil"/>
            </w:tcBorders>
            <w:shd w:val="clear" w:color="000000" w:fill="9BC2E6"/>
            <w:vAlign w:val="center"/>
            <w:hideMark/>
          </w:tcPr>
          <w:p w14:paraId="01BAFF1F"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1.1.3. Përfshirja në mënyrë sistemike dhe sistematike e sektorit privat në qeverisjen, dizenjimin dhe ofrimin e AFP-së </w:t>
            </w:r>
          </w:p>
        </w:tc>
        <w:tc>
          <w:tcPr>
            <w:tcW w:w="342" w:type="pct"/>
            <w:tcBorders>
              <w:top w:val="nil"/>
              <w:left w:val="single" w:sz="4" w:space="0" w:color="auto"/>
              <w:bottom w:val="single" w:sz="4" w:space="0" w:color="auto"/>
              <w:right w:val="single" w:sz="4" w:space="0" w:color="auto"/>
            </w:tcBorders>
            <w:shd w:val="clear" w:color="000000" w:fill="9BC2E6"/>
            <w:vAlign w:val="center"/>
            <w:hideMark/>
          </w:tcPr>
          <w:p w14:paraId="01BAFF2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9BC2E6"/>
            <w:vAlign w:val="center"/>
            <w:hideMark/>
          </w:tcPr>
          <w:p w14:paraId="01BAFF2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9BC2E6"/>
            <w:vAlign w:val="center"/>
            <w:hideMark/>
          </w:tcPr>
          <w:p w14:paraId="01BAFF2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9BC2E6"/>
            <w:vAlign w:val="center"/>
            <w:hideMark/>
          </w:tcPr>
          <w:p w14:paraId="01BAFF23"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9BC2E6"/>
            <w:vAlign w:val="center"/>
            <w:hideMark/>
          </w:tcPr>
          <w:p w14:paraId="01BAFF2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9BC2E6"/>
            <w:vAlign w:val="center"/>
            <w:hideMark/>
          </w:tcPr>
          <w:p w14:paraId="01BAFF25"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103,600,000 </w:t>
            </w:r>
          </w:p>
        </w:tc>
        <w:tc>
          <w:tcPr>
            <w:tcW w:w="778" w:type="pct"/>
            <w:tcBorders>
              <w:top w:val="nil"/>
              <w:left w:val="nil"/>
              <w:bottom w:val="single" w:sz="4" w:space="0" w:color="auto"/>
              <w:right w:val="single" w:sz="4" w:space="0" w:color="auto"/>
            </w:tcBorders>
            <w:shd w:val="clear" w:color="000000" w:fill="9BC2E6"/>
            <w:vAlign w:val="center"/>
            <w:hideMark/>
          </w:tcPr>
          <w:p w14:paraId="01BAFF2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6,400,000 </w:t>
            </w:r>
          </w:p>
        </w:tc>
        <w:tc>
          <w:tcPr>
            <w:tcW w:w="633" w:type="pct"/>
            <w:tcBorders>
              <w:top w:val="nil"/>
              <w:left w:val="nil"/>
              <w:bottom w:val="single" w:sz="4" w:space="0" w:color="auto"/>
              <w:right w:val="single" w:sz="4" w:space="0" w:color="auto"/>
            </w:tcBorders>
            <w:shd w:val="clear" w:color="000000" w:fill="9BC2E6"/>
            <w:vAlign w:val="center"/>
            <w:hideMark/>
          </w:tcPr>
          <w:p w14:paraId="01BAFF27"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13,536,000 </w:t>
            </w:r>
          </w:p>
        </w:tc>
        <w:tc>
          <w:tcPr>
            <w:tcW w:w="676" w:type="pct"/>
            <w:tcBorders>
              <w:top w:val="nil"/>
              <w:left w:val="nil"/>
              <w:bottom w:val="single" w:sz="4" w:space="0" w:color="auto"/>
              <w:right w:val="single" w:sz="4" w:space="0" w:color="auto"/>
            </w:tcBorders>
            <w:shd w:val="clear" w:color="000000" w:fill="9BC2E6"/>
            <w:vAlign w:val="center"/>
            <w:hideMark/>
          </w:tcPr>
          <w:p w14:paraId="01BAFF28"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83,664,000 </w:t>
            </w:r>
          </w:p>
        </w:tc>
      </w:tr>
      <w:tr w:rsidR="00FC285A" w:rsidRPr="000E152E" w14:paraId="01BAFF35" w14:textId="77777777" w:rsidTr="00FC285A">
        <w:trPr>
          <w:trHeight w:val="180"/>
        </w:trPr>
        <w:tc>
          <w:tcPr>
            <w:tcW w:w="287" w:type="pct"/>
            <w:vMerge w:val="restart"/>
            <w:tcBorders>
              <w:top w:val="nil"/>
              <w:left w:val="single" w:sz="4" w:space="0" w:color="auto"/>
              <w:bottom w:val="nil"/>
              <w:right w:val="single" w:sz="4" w:space="0" w:color="auto"/>
            </w:tcBorders>
            <w:shd w:val="clear" w:color="000000" w:fill="FFD579"/>
            <w:vAlign w:val="center"/>
            <w:hideMark/>
          </w:tcPr>
          <w:p w14:paraId="01BAFF2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AFF2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Angazhimi i sektorit privat në Këshilli Kombëtar i AFP-së) për të lehtësuar kontributin aktiv të komunitetit të biznesit dhe partnerëve socialë në reformën e AFP-së. </w:t>
            </w:r>
          </w:p>
        </w:tc>
        <w:tc>
          <w:tcPr>
            <w:tcW w:w="342" w:type="pct"/>
            <w:tcBorders>
              <w:top w:val="nil"/>
              <w:left w:val="nil"/>
              <w:bottom w:val="single" w:sz="4" w:space="0" w:color="auto"/>
              <w:right w:val="single" w:sz="4" w:space="0" w:color="auto"/>
            </w:tcBorders>
            <w:shd w:val="clear" w:color="000000" w:fill="FFD579"/>
            <w:vAlign w:val="center"/>
            <w:hideMark/>
          </w:tcPr>
          <w:p w14:paraId="01BAFF2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2D"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2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2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F3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31" w14:textId="20060929"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AFF3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3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F34" w14:textId="0BC00681"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41"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3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3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Funksionimi dhe </w:t>
            </w:r>
            <w:r w:rsidRPr="000E152E">
              <w:rPr>
                <w:rFonts w:ascii="Times New Roman" w:eastAsia="Times New Roman" w:hAnsi="Times New Roman"/>
                <w:color w:val="000000"/>
                <w:sz w:val="14"/>
                <w:szCs w:val="14"/>
                <w:lang w:eastAsia="sq-AL"/>
              </w:rPr>
              <w:lastRenderedPageBreak/>
              <w:t>vijimi i krijimit të Komiteteve Sektoriale</w:t>
            </w:r>
          </w:p>
        </w:tc>
        <w:tc>
          <w:tcPr>
            <w:tcW w:w="342" w:type="pct"/>
            <w:tcBorders>
              <w:top w:val="nil"/>
              <w:left w:val="nil"/>
              <w:bottom w:val="single" w:sz="4" w:space="0" w:color="auto"/>
              <w:right w:val="single" w:sz="4" w:space="0" w:color="auto"/>
            </w:tcBorders>
            <w:shd w:val="clear" w:color="000000" w:fill="FFD579"/>
            <w:vAlign w:val="center"/>
            <w:hideMark/>
          </w:tcPr>
          <w:p w14:paraId="01BAFF3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AFF39"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F3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MFE, </w:t>
            </w:r>
            <w:r w:rsidRPr="000E152E">
              <w:rPr>
                <w:rFonts w:ascii="Times New Roman" w:eastAsia="Times New Roman" w:hAnsi="Times New Roman"/>
                <w:color w:val="000000"/>
                <w:sz w:val="14"/>
                <w:szCs w:val="14"/>
                <w:lang w:eastAsia="sq-AL"/>
              </w:rPr>
              <w:lastRenderedPageBreak/>
              <w:t>AKPA</w:t>
            </w:r>
          </w:p>
        </w:tc>
        <w:tc>
          <w:tcPr>
            <w:tcW w:w="276" w:type="pct"/>
            <w:tcBorders>
              <w:top w:val="nil"/>
              <w:left w:val="nil"/>
              <w:bottom w:val="single" w:sz="4" w:space="0" w:color="auto"/>
              <w:right w:val="single" w:sz="4" w:space="0" w:color="auto"/>
            </w:tcBorders>
            <w:shd w:val="clear" w:color="000000" w:fill="FFD579"/>
            <w:vAlign w:val="center"/>
            <w:hideMark/>
          </w:tcPr>
          <w:p w14:paraId="01BAFF3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 xml:space="preserve">TM1 </w:t>
            </w:r>
            <w:r w:rsidRPr="000E152E">
              <w:rPr>
                <w:rFonts w:ascii="Times New Roman" w:eastAsia="Times New Roman" w:hAnsi="Times New Roman"/>
                <w:color w:val="000000"/>
                <w:sz w:val="14"/>
                <w:szCs w:val="14"/>
                <w:lang w:eastAsia="sq-AL"/>
              </w:rPr>
              <w:lastRenderedPageBreak/>
              <w:t>2023</w:t>
            </w:r>
          </w:p>
        </w:tc>
        <w:tc>
          <w:tcPr>
            <w:tcW w:w="329" w:type="pct"/>
            <w:tcBorders>
              <w:top w:val="nil"/>
              <w:left w:val="nil"/>
              <w:bottom w:val="single" w:sz="4" w:space="0" w:color="auto"/>
              <w:right w:val="single" w:sz="4" w:space="0" w:color="auto"/>
            </w:tcBorders>
            <w:shd w:val="clear" w:color="000000" w:fill="FFD579"/>
            <w:vAlign w:val="center"/>
            <w:hideMark/>
          </w:tcPr>
          <w:p w14:paraId="01BAFF3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3D" w14:textId="30336CDD"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7,600,000 </w:t>
            </w:r>
          </w:p>
        </w:tc>
        <w:tc>
          <w:tcPr>
            <w:tcW w:w="778" w:type="pct"/>
            <w:tcBorders>
              <w:top w:val="nil"/>
              <w:left w:val="nil"/>
              <w:bottom w:val="single" w:sz="4" w:space="0" w:color="auto"/>
              <w:right w:val="single" w:sz="4" w:space="0" w:color="auto"/>
            </w:tcBorders>
            <w:shd w:val="clear" w:color="000000" w:fill="FFD579"/>
            <w:vAlign w:val="center"/>
            <w:hideMark/>
          </w:tcPr>
          <w:p w14:paraId="01BAFF3E" w14:textId="04F94DDB"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6,400,000 </w:t>
            </w:r>
          </w:p>
        </w:tc>
        <w:tc>
          <w:tcPr>
            <w:tcW w:w="633" w:type="pct"/>
            <w:tcBorders>
              <w:top w:val="nil"/>
              <w:left w:val="nil"/>
              <w:bottom w:val="single" w:sz="4" w:space="0" w:color="auto"/>
              <w:right w:val="single" w:sz="4" w:space="0" w:color="auto"/>
            </w:tcBorders>
            <w:shd w:val="clear" w:color="000000" w:fill="FFD579"/>
            <w:vAlign w:val="center"/>
            <w:hideMark/>
          </w:tcPr>
          <w:p w14:paraId="01BAFF3F" w14:textId="6B81FA9E"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 </w:t>
            </w:r>
          </w:p>
        </w:tc>
        <w:tc>
          <w:tcPr>
            <w:tcW w:w="676" w:type="pct"/>
            <w:tcBorders>
              <w:top w:val="nil"/>
              <w:left w:val="nil"/>
              <w:bottom w:val="single" w:sz="4" w:space="0" w:color="auto"/>
              <w:right w:val="single" w:sz="4" w:space="0" w:color="auto"/>
            </w:tcBorders>
            <w:shd w:val="clear" w:color="000000" w:fill="FFD579"/>
            <w:vAlign w:val="center"/>
            <w:hideMark/>
          </w:tcPr>
          <w:p w14:paraId="01BAFF40" w14:textId="355E13E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4D"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4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4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dhe zhvillimi kapacitetesh i bordeve drejtuese në menaxhimin e ofruesve të AFP-së (në kontekstin e optimizimit)</w:t>
            </w:r>
          </w:p>
        </w:tc>
        <w:tc>
          <w:tcPr>
            <w:tcW w:w="342" w:type="pct"/>
            <w:tcBorders>
              <w:top w:val="nil"/>
              <w:left w:val="nil"/>
              <w:bottom w:val="single" w:sz="4" w:space="0" w:color="auto"/>
              <w:right w:val="single" w:sz="4" w:space="0" w:color="auto"/>
            </w:tcBorders>
            <w:shd w:val="clear" w:color="000000" w:fill="FFD579"/>
            <w:vAlign w:val="center"/>
            <w:hideMark/>
          </w:tcPr>
          <w:p w14:paraId="01BAFF4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45"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F4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IoAFP, AKAFPK, MFE</w:t>
            </w:r>
          </w:p>
        </w:tc>
        <w:tc>
          <w:tcPr>
            <w:tcW w:w="276" w:type="pct"/>
            <w:tcBorders>
              <w:top w:val="nil"/>
              <w:left w:val="nil"/>
              <w:bottom w:val="single" w:sz="4" w:space="0" w:color="auto"/>
              <w:right w:val="single" w:sz="4" w:space="0" w:color="auto"/>
            </w:tcBorders>
            <w:shd w:val="clear" w:color="000000" w:fill="FFD579"/>
            <w:vAlign w:val="center"/>
            <w:hideMark/>
          </w:tcPr>
          <w:p w14:paraId="01BAFF4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F4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2025</w:t>
            </w:r>
          </w:p>
        </w:tc>
        <w:tc>
          <w:tcPr>
            <w:tcW w:w="605" w:type="pct"/>
            <w:tcBorders>
              <w:top w:val="nil"/>
              <w:left w:val="nil"/>
              <w:bottom w:val="single" w:sz="4" w:space="0" w:color="auto"/>
              <w:right w:val="single" w:sz="4" w:space="0" w:color="auto"/>
            </w:tcBorders>
            <w:shd w:val="clear" w:color="000000" w:fill="FFD579"/>
            <w:vAlign w:val="center"/>
            <w:hideMark/>
          </w:tcPr>
          <w:p w14:paraId="01BAFF49" w14:textId="4FDAF45D"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AFF4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4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F4C" w14:textId="2524B73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59"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4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4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Ndërgjegjësimi, promovimi dhe informimi për zbatimin e praktikave profesionale në biznes (clusters bashkëpunimi të suksesshme)</w:t>
            </w:r>
          </w:p>
        </w:tc>
        <w:tc>
          <w:tcPr>
            <w:tcW w:w="342" w:type="pct"/>
            <w:tcBorders>
              <w:top w:val="nil"/>
              <w:left w:val="nil"/>
              <w:bottom w:val="single" w:sz="4" w:space="0" w:color="auto"/>
              <w:right w:val="single" w:sz="4" w:space="0" w:color="auto"/>
            </w:tcBorders>
            <w:shd w:val="clear" w:color="000000" w:fill="FFD579"/>
            <w:vAlign w:val="center"/>
            <w:hideMark/>
          </w:tcPr>
          <w:p w14:paraId="01BAFF5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51"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F5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IoAFP</w:t>
            </w:r>
          </w:p>
        </w:tc>
        <w:tc>
          <w:tcPr>
            <w:tcW w:w="276" w:type="pct"/>
            <w:tcBorders>
              <w:top w:val="nil"/>
              <w:left w:val="nil"/>
              <w:bottom w:val="single" w:sz="4" w:space="0" w:color="auto"/>
              <w:right w:val="single" w:sz="4" w:space="0" w:color="auto"/>
            </w:tcBorders>
            <w:shd w:val="clear" w:color="000000" w:fill="FFD579"/>
            <w:vAlign w:val="center"/>
            <w:hideMark/>
          </w:tcPr>
          <w:p w14:paraId="01BAFF5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F5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AFF5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48,000,000 </w:t>
            </w:r>
          </w:p>
        </w:tc>
        <w:tc>
          <w:tcPr>
            <w:tcW w:w="778" w:type="pct"/>
            <w:tcBorders>
              <w:top w:val="nil"/>
              <w:left w:val="nil"/>
              <w:bottom w:val="single" w:sz="4" w:space="0" w:color="auto"/>
              <w:right w:val="single" w:sz="4" w:space="0" w:color="auto"/>
            </w:tcBorders>
            <w:shd w:val="clear" w:color="000000" w:fill="FFD579"/>
            <w:vAlign w:val="center"/>
            <w:hideMark/>
          </w:tcPr>
          <w:p w14:paraId="01BAFF5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5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12,336,000 </w:t>
            </w:r>
          </w:p>
        </w:tc>
        <w:tc>
          <w:tcPr>
            <w:tcW w:w="676" w:type="pct"/>
            <w:tcBorders>
              <w:top w:val="nil"/>
              <w:left w:val="nil"/>
              <w:bottom w:val="single" w:sz="4" w:space="0" w:color="auto"/>
              <w:right w:val="single" w:sz="4" w:space="0" w:color="auto"/>
            </w:tcBorders>
            <w:shd w:val="clear" w:color="000000" w:fill="FFD579"/>
            <w:vAlign w:val="center"/>
            <w:hideMark/>
          </w:tcPr>
          <w:p w14:paraId="01BAFF5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35,664,000 </w:t>
            </w:r>
          </w:p>
        </w:tc>
      </w:tr>
      <w:tr w:rsidR="00FC285A" w:rsidRPr="000E152E" w14:paraId="01BAFF65"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5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5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Rritja e atraktivitetit të AFP-së, në bashkëpunim me sektorin privat (rrjete rajonale, sektoriale, rrjete profesionistesh)</w:t>
            </w:r>
          </w:p>
        </w:tc>
        <w:tc>
          <w:tcPr>
            <w:tcW w:w="342" w:type="pct"/>
            <w:tcBorders>
              <w:top w:val="nil"/>
              <w:left w:val="nil"/>
              <w:bottom w:val="single" w:sz="4" w:space="0" w:color="auto"/>
              <w:right w:val="single" w:sz="4" w:space="0" w:color="auto"/>
            </w:tcBorders>
            <w:shd w:val="clear" w:color="000000" w:fill="FFD579"/>
            <w:vAlign w:val="center"/>
            <w:hideMark/>
          </w:tcPr>
          <w:p w14:paraId="01BAFF5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5D"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F5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276" w:type="pct"/>
            <w:tcBorders>
              <w:top w:val="nil"/>
              <w:left w:val="nil"/>
              <w:bottom w:val="single" w:sz="4" w:space="0" w:color="auto"/>
              <w:right w:val="single" w:sz="4" w:space="0" w:color="auto"/>
            </w:tcBorders>
            <w:shd w:val="clear" w:color="000000" w:fill="FFD579"/>
            <w:vAlign w:val="center"/>
            <w:hideMark/>
          </w:tcPr>
          <w:p w14:paraId="01BAFF5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AFF6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6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48,000,000 </w:t>
            </w:r>
          </w:p>
        </w:tc>
        <w:tc>
          <w:tcPr>
            <w:tcW w:w="778" w:type="pct"/>
            <w:tcBorders>
              <w:top w:val="nil"/>
              <w:left w:val="nil"/>
              <w:bottom w:val="single" w:sz="4" w:space="0" w:color="auto"/>
              <w:right w:val="single" w:sz="4" w:space="0" w:color="auto"/>
            </w:tcBorders>
            <w:shd w:val="clear" w:color="000000" w:fill="FFD579"/>
            <w:vAlign w:val="center"/>
            <w:hideMark/>
          </w:tcPr>
          <w:p w14:paraId="01BAFF6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6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F6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48,000,000 </w:t>
            </w:r>
          </w:p>
        </w:tc>
      </w:tr>
      <w:tr w:rsidR="00FC285A" w:rsidRPr="000E152E" w14:paraId="01BAFF71"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6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6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Nxitja e angazhimit dhe zhvillimi i kapaciteteve të sektorit privat për të përmirësuar kontributin në sistemin e AFP-së</w:t>
            </w:r>
          </w:p>
        </w:tc>
        <w:tc>
          <w:tcPr>
            <w:tcW w:w="342" w:type="pct"/>
            <w:tcBorders>
              <w:top w:val="nil"/>
              <w:left w:val="nil"/>
              <w:bottom w:val="single" w:sz="4" w:space="0" w:color="auto"/>
              <w:right w:val="single" w:sz="4" w:space="0" w:color="auto"/>
            </w:tcBorders>
            <w:shd w:val="clear" w:color="000000" w:fill="FFD579"/>
            <w:vAlign w:val="center"/>
            <w:hideMark/>
          </w:tcPr>
          <w:p w14:paraId="01BAFF6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69"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F6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F6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nil"/>
              <w:left w:val="nil"/>
              <w:bottom w:val="single" w:sz="4" w:space="0" w:color="auto"/>
              <w:right w:val="single" w:sz="4" w:space="0" w:color="auto"/>
            </w:tcBorders>
            <w:shd w:val="clear" w:color="000000" w:fill="FFD579"/>
            <w:vAlign w:val="center"/>
            <w:hideMark/>
          </w:tcPr>
          <w:p w14:paraId="01BAFF6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6D" w14:textId="34773456"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AFF6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6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AFF70" w14:textId="32B288B4"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7D" w14:textId="77777777" w:rsidTr="00FC285A">
        <w:trPr>
          <w:trHeight w:val="180"/>
        </w:trPr>
        <w:tc>
          <w:tcPr>
            <w:tcW w:w="287" w:type="pct"/>
            <w:tcBorders>
              <w:top w:val="single" w:sz="4" w:space="0" w:color="000000"/>
              <w:left w:val="single" w:sz="4" w:space="0" w:color="000000"/>
              <w:bottom w:val="single" w:sz="4" w:space="0" w:color="000000"/>
              <w:right w:val="single" w:sz="4" w:space="0" w:color="000000"/>
            </w:tcBorders>
            <w:shd w:val="clear" w:color="000000" w:fill="70AD47"/>
            <w:vAlign w:val="center"/>
            <w:hideMark/>
          </w:tcPr>
          <w:p w14:paraId="01BAFF7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Objektivi specifik</w:t>
            </w:r>
          </w:p>
        </w:tc>
        <w:tc>
          <w:tcPr>
            <w:tcW w:w="441" w:type="pct"/>
            <w:tcBorders>
              <w:top w:val="nil"/>
              <w:left w:val="nil"/>
              <w:bottom w:val="single" w:sz="4" w:space="0" w:color="auto"/>
              <w:right w:val="single" w:sz="4" w:space="0" w:color="auto"/>
            </w:tcBorders>
            <w:shd w:val="clear" w:color="000000" w:fill="70AD47"/>
            <w:vAlign w:val="center"/>
            <w:hideMark/>
          </w:tcPr>
          <w:p w14:paraId="01BAFF73"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OBJEKTIVI SPECIFIK 1.2: Rritja e nivelit të aftësive të grave dhe burrave në moshë pune</w:t>
            </w:r>
          </w:p>
        </w:tc>
        <w:tc>
          <w:tcPr>
            <w:tcW w:w="342" w:type="pct"/>
            <w:tcBorders>
              <w:top w:val="nil"/>
              <w:left w:val="nil"/>
              <w:bottom w:val="single" w:sz="4" w:space="0" w:color="auto"/>
              <w:right w:val="single" w:sz="4" w:space="0" w:color="auto"/>
            </w:tcBorders>
            <w:shd w:val="clear" w:color="000000" w:fill="70AD47"/>
            <w:vAlign w:val="center"/>
            <w:hideMark/>
          </w:tcPr>
          <w:p w14:paraId="01BAFF7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70AD47"/>
            <w:vAlign w:val="center"/>
            <w:hideMark/>
          </w:tcPr>
          <w:p w14:paraId="01BAFF75"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70AD47"/>
            <w:vAlign w:val="center"/>
            <w:hideMark/>
          </w:tcPr>
          <w:p w14:paraId="01BAFF76"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70AD47"/>
            <w:vAlign w:val="center"/>
            <w:hideMark/>
          </w:tcPr>
          <w:p w14:paraId="01BAFF77"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70AD47"/>
            <w:vAlign w:val="center"/>
            <w:hideMark/>
          </w:tcPr>
          <w:p w14:paraId="01BAFF78"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70AD47"/>
            <w:vAlign w:val="center"/>
            <w:hideMark/>
          </w:tcPr>
          <w:p w14:paraId="01BAFF79"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1,224,197,588 </w:t>
            </w:r>
          </w:p>
        </w:tc>
        <w:tc>
          <w:tcPr>
            <w:tcW w:w="778" w:type="pct"/>
            <w:tcBorders>
              <w:top w:val="nil"/>
              <w:left w:val="nil"/>
              <w:bottom w:val="single" w:sz="4" w:space="0" w:color="auto"/>
              <w:right w:val="single" w:sz="4" w:space="0" w:color="auto"/>
            </w:tcBorders>
            <w:shd w:val="clear" w:color="000000" w:fill="70AD47"/>
            <w:vAlign w:val="center"/>
            <w:hideMark/>
          </w:tcPr>
          <w:p w14:paraId="01BAFF7A"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599,874,800 </w:t>
            </w:r>
          </w:p>
        </w:tc>
        <w:tc>
          <w:tcPr>
            <w:tcW w:w="633" w:type="pct"/>
            <w:tcBorders>
              <w:top w:val="nil"/>
              <w:left w:val="nil"/>
              <w:bottom w:val="single" w:sz="4" w:space="0" w:color="auto"/>
              <w:right w:val="single" w:sz="4" w:space="0" w:color="auto"/>
            </w:tcBorders>
            <w:shd w:val="clear" w:color="000000" w:fill="70AD47"/>
            <w:vAlign w:val="center"/>
            <w:hideMark/>
          </w:tcPr>
          <w:p w14:paraId="01BAFF7B" w14:textId="75C79FDD" w:rsidR="00FC285A" w:rsidRPr="000E152E" w:rsidRDefault="000E152E"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r w:rsidR="00FC285A" w:rsidRPr="000E152E">
              <w:rPr>
                <w:rFonts w:ascii="Times New Roman" w:eastAsia="Times New Roman" w:hAnsi="Times New Roman"/>
                <w:b/>
                <w:bCs/>
                <w:color w:val="000000"/>
                <w:sz w:val="14"/>
                <w:szCs w:val="14"/>
                <w:lang w:eastAsia="sq-AL"/>
              </w:rPr>
              <w:t xml:space="preserve">94,985,324 </w:t>
            </w:r>
          </w:p>
        </w:tc>
        <w:tc>
          <w:tcPr>
            <w:tcW w:w="676" w:type="pct"/>
            <w:tcBorders>
              <w:top w:val="nil"/>
              <w:left w:val="nil"/>
              <w:bottom w:val="single" w:sz="4" w:space="0" w:color="auto"/>
              <w:right w:val="single" w:sz="4" w:space="0" w:color="auto"/>
            </w:tcBorders>
            <w:shd w:val="clear" w:color="000000" w:fill="70AD47"/>
            <w:vAlign w:val="center"/>
            <w:hideMark/>
          </w:tcPr>
          <w:p w14:paraId="01BAFF7C" w14:textId="4B31AFA9" w:rsidR="00FC285A" w:rsidRPr="000E152E" w:rsidRDefault="000E152E"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r w:rsidR="00FC285A" w:rsidRPr="000E152E">
              <w:rPr>
                <w:rFonts w:ascii="Times New Roman" w:eastAsia="Times New Roman" w:hAnsi="Times New Roman"/>
                <w:b/>
                <w:bCs/>
                <w:color w:val="000000"/>
                <w:sz w:val="14"/>
                <w:szCs w:val="14"/>
                <w:lang w:eastAsia="sq-AL"/>
              </w:rPr>
              <w:t xml:space="preserve">529,337,464 </w:t>
            </w:r>
          </w:p>
        </w:tc>
      </w:tr>
      <w:tr w:rsidR="00FC285A" w:rsidRPr="000E152E" w14:paraId="01BAFF89"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9BC2E6"/>
            <w:vAlign w:val="center"/>
            <w:hideMark/>
          </w:tcPr>
          <w:p w14:paraId="01BAFF7E"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nil"/>
            </w:tcBorders>
            <w:shd w:val="clear" w:color="000000" w:fill="9BC2E6"/>
            <w:vAlign w:val="center"/>
            <w:hideMark/>
          </w:tcPr>
          <w:p w14:paraId="01BAFF7F"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1.2.1.Nxitja e mundësive gjithëpërfshirëse dhe përshtatja e ofertës për të nxënit gjatë gjithë jetës</w:t>
            </w:r>
          </w:p>
        </w:tc>
        <w:tc>
          <w:tcPr>
            <w:tcW w:w="342" w:type="pct"/>
            <w:tcBorders>
              <w:top w:val="nil"/>
              <w:left w:val="single" w:sz="4" w:space="0" w:color="auto"/>
              <w:bottom w:val="single" w:sz="4" w:space="0" w:color="auto"/>
              <w:right w:val="single" w:sz="4" w:space="0" w:color="auto"/>
            </w:tcBorders>
            <w:shd w:val="clear" w:color="000000" w:fill="9BC2E6"/>
            <w:vAlign w:val="center"/>
            <w:hideMark/>
          </w:tcPr>
          <w:p w14:paraId="01BAFF8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9BC2E6"/>
            <w:vAlign w:val="center"/>
            <w:hideMark/>
          </w:tcPr>
          <w:p w14:paraId="01BAFF8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9BC2E6"/>
            <w:vAlign w:val="center"/>
            <w:hideMark/>
          </w:tcPr>
          <w:p w14:paraId="01BAFF8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9BC2E6"/>
            <w:vAlign w:val="center"/>
            <w:hideMark/>
          </w:tcPr>
          <w:p w14:paraId="01BAFF83"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9BC2E6"/>
            <w:vAlign w:val="center"/>
            <w:hideMark/>
          </w:tcPr>
          <w:p w14:paraId="01BAFF8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9BC2E6"/>
            <w:vAlign w:val="center"/>
            <w:hideMark/>
          </w:tcPr>
          <w:p w14:paraId="01BAFF85"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950,586,000 </w:t>
            </w:r>
          </w:p>
        </w:tc>
        <w:tc>
          <w:tcPr>
            <w:tcW w:w="778" w:type="pct"/>
            <w:tcBorders>
              <w:top w:val="nil"/>
              <w:left w:val="nil"/>
              <w:bottom w:val="single" w:sz="4" w:space="0" w:color="auto"/>
              <w:right w:val="single" w:sz="4" w:space="0" w:color="auto"/>
            </w:tcBorders>
            <w:shd w:val="clear" w:color="000000" w:fill="9BC2E6"/>
            <w:vAlign w:val="center"/>
            <w:hideMark/>
          </w:tcPr>
          <w:p w14:paraId="01BAFF8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416,818,800 </w:t>
            </w:r>
          </w:p>
        </w:tc>
        <w:tc>
          <w:tcPr>
            <w:tcW w:w="633" w:type="pct"/>
            <w:tcBorders>
              <w:top w:val="nil"/>
              <w:left w:val="nil"/>
              <w:bottom w:val="single" w:sz="4" w:space="0" w:color="auto"/>
              <w:right w:val="single" w:sz="4" w:space="0" w:color="auto"/>
            </w:tcBorders>
            <w:shd w:val="clear" w:color="000000" w:fill="9BC2E6"/>
            <w:vAlign w:val="center"/>
            <w:hideMark/>
          </w:tcPr>
          <w:p w14:paraId="01BAFF87" w14:textId="6DB1DA21" w:rsidR="00FC285A" w:rsidRPr="000E152E" w:rsidRDefault="000E152E"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r w:rsidR="00FC285A" w:rsidRPr="000E152E">
              <w:rPr>
                <w:rFonts w:ascii="Times New Roman" w:eastAsia="Times New Roman" w:hAnsi="Times New Roman"/>
                <w:b/>
                <w:bCs/>
                <w:color w:val="000000"/>
                <w:sz w:val="14"/>
                <w:szCs w:val="14"/>
                <w:lang w:eastAsia="sq-AL"/>
              </w:rPr>
              <w:t xml:space="preserve">94,985,324 </w:t>
            </w:r>
          </w:p>
        </w:tc>
        <w:tc>
          <w:tcPr>
            <w:tcW w:w="676" w:type="pct"/>
            <w:tcBorders>
              <w:top w:val="nil"/>
              <w:left w:val="nil"/>
              <w:bottom w:val="single" w:sz="4" w:space="0" w:color="auto"/>
              <w:right w:val="single" w:sz="4" w:space="0" w:color="auto"/>
            </w:tcBorders>
            <w:shd w:val="clear" w:color="000000" w:fill="9BC2E6"/>
            <w:vAlign w:val="center"/>
            <w:hideMark/>
          </w:tcPr>
          <w:p w14:paraId="01BAFF88" w14:textId="2ADF8E61" w:rsidR="00FC285A" w:rsidRPr="000E152E" w:rsidRDefault="000E152E"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r w:rsidR="00FC285A" w:rsidRPr="000E152E">
              <w:rPr>
                <w:rFonts w:ascii="Times New Roman" w:eastAsia="Times New Roman" w:hAnsi="Times New Roman"/>
                <w:b/>
                <w:bCs/>
                <w:color w:val="000000"/>
                <w:sz w:val="14"/>
                <w:szCs w:val="14"/>
                <w:lang w:eastAsia="sq-AL"/>
              </w:rPr>
              <w:t xml:space="preserve">438,781,876 </w:t>
            </w:r>
          </w:p>
        </w:tc>
      </w:tr>
      <w:tr w:rsidR="00FC285A" w:rsidRPr="000E152E" w14:paraId="01BAFF95" w14:textId="77777777" w:rsidTr="00FC285A">
        <w:trPr>
          <w:trHeight w:val="180"/>
        </w:trPr>
        <w:tc>
          <w:tcPr>
            <w:tcW w:w="287" w:type="pct"/>
            <w:vMerge w:val="restart"/>
            <w:tcBorders>
              <w:top w:val="nil"/>
              <w:left w:val="single" w:sz="4" w:space="0" w:color="auto"/>
              <w:bottom w:val="nil"/>
              <w:right w:val="single" w:sz="4" w:space="0" w:color="auto"/>
            </w:tcBorders>
            <w:shd w:val="clear" w:color="000000" w:fill="FFD579"/>
            <w:vAlign w:val="center"/>
            <w:hideMark/>
          </w:tcPr>
          <w:p w14:paraId="01BAFF8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AFF8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Vlerësimi i nevojave të individëve të rritur për të nxënë gjatë gjithë jetës</w:t>
            </w:r>
          </w:p>
        </w:tc>
        <w:tc>
          <w:tcPr>
            <w:tcW w:w="342" w:type="pct"/>
            <w:tcBorders>
              <w:top w:val="nil"/>
              <w:left w:val="nil"/>
              <w:bottom w:val="single" w:sz="4" w:space="0" w:color="auto"/>
              <w:right w:val="single" w:sz="4" w:space="0" w:color="auto"/>
            </w:tcBorders>
            <w:shd w:val="clear" w:color="000000" w:fill="FFD579"/>
            <w:vAlign w:val="center"/>
            <w:hideMark/>
          </w:tcPr>
          <w:p w14:paraId="01BAFF8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8D"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INSTAT</w:t>
            </w:r>
          </w:p>
        </w:tc>
        <w:tc>
          <w:tcPr>
            <w:tcW w:w="331" w:type="pct"/>
            <w:tcBorders>
              <w:top w:val="nil"/>
              <w:left w:val="nil"/>
              <w:bottom w:val="single" w:sz="4" w:space="0" w:color="auto"/>
              <w:right w:val="single" w:sz="4" w:space="0" w:color="auto"/>
            </w:tcBorders>
            <w:shd w:val="clear" w:color="000000" w:fill="FFD579"/>
            <w:vAlign w:val="center"/>
            <w:hideMark/>
          </w:tcPr>
          <w:p w14:paraId="01BAFF8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 AKAFPK</w:t>
            </w:r>
          </w:p>
        </w:tc>
        <w:tc>
          <w:tcPr>
            <w:tcW w:w="276" w:type="pct"/>
            <w:tcBorders>
              <w:top w:val="nil"/>
              <w:left w:val="nil"/>
              <w:bottom w:val="single" w:sz="4" w:space="0" w:color="auto"/>
              <w:right w:val="single" w:sz="4" w:space="0" w:color="auto"/>
            </w:tcBorders>
            <w:shd w:val="clear" w:color="000000" w:fill="FFD579"/>
            <w:vAlign w:val="center"/>
            <w:hideMark/>
          </w:tcPr>
          <w:p w14:paraId="01BAFF8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AFF9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4 2024</w:t>
            </w:r>
          </w:p>
        </w:tc>
        <w:tc>
          <w:tcPr>
            <w:tcW w:w="605" w:type="pct"/>
            <w:tcBorders>
              <w:top w:val="nil"/>
              <w:left w:val="nil"/>
              <w:bottom w:val="single" w:sz="4" w:space="0" w:color="auto"/>
              <w:right w:val="single" w:sz="4" w:space="0" w:color="auto"/>
            </w:tcBorders>
            <w:shd w:val="clear" w:color="000000" w:fill="FFD579"/>
            <w:vAlign w:val="center"/>
            <w:hideMark/>
          </w:tcPr>
          <w:p w14:paraId="01BAFF9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25,800,000 </w:t>
            </w:r>
          </w:p>
        </w:tc>
        <w:tc>
          <w:tcPr>
            <w:tcW w:w="778" w:type="pct"/>
            <w:tcBorders>
              <w:top w:val="nil"/>
              <w:left w:val="nil"/>
              <w:bottom w:val="single" w:sz="4" w:space="0" w:color="auto"/>
              <w:right w:val="single" w:sz="4" w:space="0" w:color="auto"/>
            </w:tcBorders>
            <w:shd w:val="clear" w:color="000000" w:fill="FFD579"/>
            <w:vAlign w:val="center"/>
            <w:hideMark/>
          </w:tcPr>
          <w:p w14:paraId="01BAFF9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93" w14:textId="2B33EFE6"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9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25,800,000 </w:t>
            </w:r>
          </w:p>
        </w:tc>
      </w:tr>
      <w:tr w:rsidR="00FC285A" w:rsidRPr="000E152E" w14:paraId="01BAFFA1"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9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9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Studime fizibiliteti </w:t>
            </w:r>
            <w:r w:rsidRPr="000E152E">
              <w:rPr>
                <w:rFonts w:ascii="Times New Roman" w:eastAsia="Times New Roman" w:hAnsi="Times New Roman"/>
                <w:color w:val="000000"/>
                <w:sz w:val="14"/>
                <w:szCs w:val="14"/>
                <w:lang w:eastAsia="sq-AL"/>
              </w:rPr>
              <w:lastRenderedPageBreak/>
              <w:t>dhe roadmap për nxitjen e mundësive dhe përshtatjen e ofertës të të nxënit gjatë gjithë jetës</w:t>
            </w:r>
          </w:p>
        </w:tc>
        <w:tc>
          <w:tcPr>
            <w:tcW w:w="342" w:type="pct"/>
            <w:tcBorders>
              <w:top w:val="nil"/>
              <w:left w:val="nil"/>
              <w:bottom w:val="single" w:sz="4" w:space="0" w:color="auto"/>
              <w:right w:val="single" w:sz="4" w:space="0" w:color="auto"/>
            </w:tcBorders>
            <w:shd w:val="clear" w:color="000000" w:fill="FFD579"/>
            <w:vAlign w:val="center"/>
            <w:hideMark/>
          </w:tcPr>
          <w:p w14:paraId="01BAFF9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AFF99"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9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AKAFPK, </w:t>
            </w:r>
            <w:r w:rsidRPr="000E152E">
              <w:rPr>
                <w:rFonts w:ascii="Times New Roman" w:eastAsia="Times New Roman" w:hAnsi="Times New Roman"/>
                <w:color w:val="000000"/>
                <w:sz w:val="14"/>
                <w:szCs w:val="14"/>
                <w:lang w:eastAsia="sq-AL"/>
              </w:rPr>
              <w:lastRenderedPageBreak/>
              <w:t>AKPA</w:t>
            </w:r>
          </w:p>
        </w:tc>
        <w:tc>
          <w:tcPr>
            <w:tcW w:w="276" w:type="pct"/>
            <w:tcBorders>
              <w:top w:val="nil"/>
              <w:left w:val="nil"/>
              <w:bottom w:val="single" w:sz="4" w:space="0" w:color="auto"/>
              <w:right w:val="single" w:sz="4" w:space="0" w:color="auto"/>
            </w:tcBorders>
            <w:shd w:val="clear" w:color="000000" w:fill="FFD579"/>
            <w:vAlign w:val="center"/>
            <w:hideMark/>
          </w:tcPr>
          <w:p w14:paraId="01BAFF9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 xml:space="preserve">TM1 </w:t>
            </w:r>
            <w:r w:rsidRPr="000E152E">
              <w:rPr>
                <w:rFonts w:ascii="Times New Roman" w:eastAsia="Times New Roman" w:hAnsi="Times New Roman"/>
                <w:color w:val="000000"/>
                <w:sz w:val="14"/>
                <w:szCs w:val="14"/>
                <w:lang w:eastAsia="sq-AL"/>
              </w:rPr>
              <w:lastRenderedPageBreak/>
              <w:t>2025</w:t>
            </w:r>
          </w:p>
        </w:tc>
        <w:tc>
          <w:tcPr>
            <w:tcW w:w="329" w:type="pct"/>
            <w:tcBorders>
              <w:top w:val="nil"/>
              <w:left w:val="nil"/>
              <w:bottom w:val="single" w:sz="4" w:space="0" w:color="auto"/>
              <w:right w:val="single" w:sz="4" w:space="0" w:color="auto"/>
            </w:tcBorders>
            <w:shd w:val="clear" w:color="000000" w:fill="FFD579"/>
            <w:vAlign w:val="center"/>
            <w:hideMark/>
          </w:tcPr>
          <w:p w14:paraId="01BAFF9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TM3 2025</w:t>
            </w:r>
          </w:p>
        </w:tc>
        <w:tc>
          <w:tcPr>
            <w:tcW w:w="605" w:type="pct"/>
            <w:tcBorders>
              <w:top w:val="nil"/>
              <w:left w:val="nil"/>
              <w:bottom w:val="single" w:sz="4" w:space="0" w:color="auto"/>
              <w:right w:val="single" w:sz="4" w:space="0" w:color="auto"/>
            </w:tcBorders>
            <w:shd w:val="clear" w:color="000000" w:fill="FFD579"/>
            <w:vAlign w:val="center"/>
            <w:hideMark/>
          </w:tcPr>
          <w:p w14:paraId="01BAFF9D" w14:textId="114A9962"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c>
          <w:tcPr>
            <w:tcW w:w="778" w:type="pct"/>
            <w:tcBorders>
              <w:top w:val="nil"/>
              <w:left w:val="nil"/>
              <w:bottom w:val="single" w:sz="4" w:space="0" w:color="auto"/>
              <w:right w:val="single" w:sz="4" w:space="0" w:color="auto"/>
            </w:tcBorders>
            <w:shd w:val="clear" w:color="000000" w:fill="FFD579"/>
            <w:vAlign w:val="center"/>
            <w:hideMark/>
          </w:tcPr>
          <w:p w14:paraId="01BAFF9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9F" w14:textId="508433BA"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A0" w14:textId="63E4C16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AFFAD"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A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A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Ngritja e mekanizmit për financimin e ofruesve privatë për zhvillimin e aftësive në sektorë prioritarë dhe në profesione/ aftësi ku mungon oferta (publike)</w:t>
            </w:r>
          </w:p>
        </w:tc>
        <w:tc>
          <w:tcPr>
            <w:tcW w:w="342" w:type="pct"/>
            <w:tcBorders>
              <w:top w:val="nil"/>
              <w:left w:val="nil"/>
              <w:bottom w:val="single" w:sz="4" w:space="0" w:color="auto"/>
              <w:right w:val="single" w:sz="4" w:space="0" w:color="auto"/>
            </w:tcBorders>
            <w:shd w:val="clear" w:color="000000" w:fill="FFD579"/>
            <w:vAlign w:val="center"/>
            <w:hideMark/>
          </w:tcPr>
          <w:p w14:paraId="01BAFFA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A5"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A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A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FA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AFFA9" w14:textId="757458DB"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2,250,000 </w:t>
            </w:r>
          </w:p>
        </w:tc>
        <w:tc>
          <w:tcPr>
            <w:tcW w:w="778" w:type="pct"/>
            <w:tcBorders>
              <w:top w:val="nil"/>
              <w:left w:val="nil"/>
              <w:bottom w:val="single" w:sz="4" w:space="0" w:color="auto"/>
              <w:right w:val="single" w:sz="4" w:space="0" w:color="auto"/>
            </w:tcBorders>
            <w:shd w:val="clear" w:color="000000" w:fill="FFD579"/>
            <w:vAlign w:val="center"/>
            <w:hideMark/>
          </w:tcPr>
          <w:p w14:paraId="01BAFFAA" w14:textId="273EF62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2,250,000 </w:t>
            </w:r>
          </w:p>
        </w:tc>
        <w:tc>
          <w:tcPr>
            <w:tcW w:w="633" w:type="pct"/>
            <w:tcBorders>
              <w:top w:val="nil"/>
              <w:left w:val="nil"/>
              <w:bottom w:val="single" w:sz="4" w:space="0" w:color="auto"/>
              <w:right w:val="single" w:sz="4" w:space="0" w:color="auto"/>
            </w:tcBorders>
            <w:shd w:val="clear" w:color="000000" w:fill="FFD579"/>
            <w:vAlign w:val="center"/>
            <w:hideMark/>
          </w:tcPr>
          <w:p w14:paraId="01BAFFAB" w14:textId="391EA55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AC" w14:textId="360F351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AFFB9"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A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A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dhe konsolidimi i ofertës së aftësive për tranzicionin e dyfishtë / për sektorë ekonomikë me vlerë të shtuar </w:t>
            </w:r>
          </w:p>
        </w:tc>
        <w:tc>
          <w:tcPr>
            <w:tcW w:w="342" w:type="pct"/>
            <w:tcBorders>
              <w:top w:val="nil"/>
              <w:left w:val="nil"/>
              <w:bottom w:val="single" w:sz="4" w:space="0" w:color="auto"/>
              <w:right w:val="single" w:sz="4" w:space="0" w:color="auto"/>
            </w:tcBorders>
            <w:shd w:val="clear" w:color="000000" w:fill="FFD579"/>
            <w:vAlign w:val="center"/>
            <w:hideMark/>
          </w:tcPr>
          <w:p w14:paraId="01BAFFB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B1"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AFFB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AFFB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AFFB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B5" w14:textId="2D6F33EC"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44,100,000 </w:t>
            </w:r>
          </w:p>
        </w:tc>
        <w:tc>
          <w:tcPr>
            <w:tcW w:w="778" w:type="pct"/>
            <w:tcBorders>
              <w:top w:val="nil"/>
              <w:left w:val="nil"/>
              <w:bottom w:val="single" w:sz="4" w:space="0" w:color="auto"/>
              <w:right w:val="single" w:sz="4" w:space="0" w:color="auto"/>
            </w:tcBorders>
            <w:shd w:val="clear" w:color="000000" w:fill="FFD579"/>
            <w:vAlign w:val="center"/>
            <w:hideMark/>
          </w:tcPr>
          <w:p w14:paraId="01BAFFB6" w14:textId="7581E22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33,300,000 </w:t>
            </w:r>
          </w:p>
        </w:tc>
        <w:tc>
          <w:tcPr>
            <w:tcW w:w="633" w:type="pct"/>
            <w:tcBorders>
              <w:top w:val="nil"/>
              <w:left w:val="nil"/>
              <w:bottom w:val="single" w:sz="4" w:space="0" w:color="auto"/>
              <w:right w:val="single" w:sz="4" w:space="0" w:color="auto"/>
            </w:tcBorders>
            <w:shd w:val="clear" w:color="000000" w:fill="FFD579"/>
            <w:vAlign w:val="center"/>
            <w:hideMark/>
          </w:tcPr>
          <w:p w14:paraId="01BAFFB7" w14:textId="11D82EA9"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B8" w14:textId="77B57B3A"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10,800,000 </w:t>
            </w:r>
          </w:p>
        </w:tc>
      </w:tr>
      <w:tr w:rsidR="00FC285A" w:rsidRPr="000E152E" w14:paraId="01BAFFC5"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B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B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Krijimi i mundësive për rikualifikim dhe rritjen e aftësive të forcave të punës në bazë të trendeve kryesore, zhvillimeve të reja teknologjike</w:t>
            </w:r>
          </w:p>
        </w:tc>
        <w:tc>
          <w:tcPr>
            <w:tcW w:w="342" w:type="pct"/>
            <w:tcBorders>
              <w:top w:val="nil"/>
              <w:left w:val="nil"/>
              <w:bottom w:val="single" w:sz="4" w:space="0" w:color="auto"/>
              <w:right w:val="single" w:sz="4" w:space="0" w:color="auto"/>
            </w:tcBorders>
            <w:shd w:val="clear" w:color="000000" w:fill="FFD579"/>
            <w:vAlign w:val="center"/>
            <w:hideMark/>
          </w:tcPr>
          <w:p w14:paraId="01BAFFB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 / 10550</w:t>
            </w:r>
          </w:p>
        </w:tc>
        <w:tc>
          <w:tcPr>
            <w:tcW w:w="302" w:type="pct"/>
            <w:tcBorders>
              <w:top w:val="nil"/>
              <w:left w:val="nil"/>
              <w:bottom w:val="single" w:sz="4" w:space="0" w:color="auto"/>
              <w:right w:val="single" w:sz="4" w:space="0" w:color="auto"/>
            </w:tcBorders>
            <w:shd w:val="clear" w:color="000000" w:fill="FFD579"/>
            <w:vAlign w:val="center"/>
            <w:hideMark/>
          </w:tcPr>
          <w:p w14:paraId="01BAFFBD"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FB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276" w:type="pct"/>
            <w:tcBorders>
              <w:top w:val="nil"/>
              <w:left w:val="nil"/>
              <w:bottom w:val="single" w:sz="4" w:space="0" w:color="auto"/>
              <w:right w:val="single" w:sz="4" w:space="0" w:color="auto"/>
            </w:tcBorders>
            <w:shd w:val="clear" w:color="000000" w:fill="FFD579"/>
            <w:vAlign w:val="center"/>
            <w:hideMark/>
          </w:tcPr>
          <w:p w14:paraId="01BAFFB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AFFC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C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169,200,000 </w:t>
            </w:r>
          </w:p>
        </w:tc>
        <w:tc>
          <w:tcPr>
            <w:tcW w:w="778" w:type="pct"/>
            <w:tcBorders>
              <w:top w:val="nil"/>
              <w:left w:val="nil"/>
              <w:bottom w:val="single" w:sz="4" w:space="0" w:color="auto"/>
              <w:right w:val="single" w:sz="4" w:space="0" w:color="auto"/>
            </w:tcBorders>
            <w:shd w:val="clear" w:color="000000" w:fill="FFD579"/>
            <w:vAlign w:val="center"/>
            <w:hideMark/>
          </w:tcPr>
          <w:p w14:paraId="01BAFFC2" w14:textId="68AAD93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88,800,000 </w:t>
            </w:r>
          </w:p>
        </w:tc>
        <w:tc>
          <w:tcPr>
            <w:tcW w:w="633" w:type="pct"/>
            <w:tcBorders>
              <w:top w:val="nil"/>
              <w:left w:val="nil"/>
              <w:bottom w:val="single" w:sz="4" w:space="0" w:color="auto"/>
              <w:right w:val="single" w:sz="4" w:space="0" w:color="auto"/>
            </w:tcBorders>
            <w:shd w:val="clear" w:color="000000" w:fill="FFD579"/>
            <w:vAlign w:val="center"/>
            <w:hideMark/>
          </w:tcPr>
          <w:p w14:paraId="01BAFFC3" w14:textId="28A5739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67,449,324 </w:t>
            </w:r>
          </w:p>
        </w:tc>
        <w:tc>
          <w:tcPr>
            <w:tcW w:w="676" w:type="pct"/>
            <w:tcBorders>
              <w:top w:val="nil"/>
              <w:left w:val="nil"/>
              <w:bottom w:val="single" w:sz="4" w:space="0" w:color="auto"/>
              <w:right w:val="single" w:sz="4" w:space="0" w:color="auto"/>
            </w:tcBorders>
            <w:shd w:val="clear" w:color="000000" w:fill="FFD579"/>
            <w:vAlign w:val="center"/>
            <w:hideMark/>
          </w:tcPr>
          <w:p w14:paraId="01BAFFC4" w14:textId="5169EF99"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12,950,676 </w:t>
            </w:r>
          </w:p>
        </w:tc>
      </w:tr>
      <w:tr w:rsidR="00FC285A" w:rsidRPr="000E152E" w14:paraId="01BAFFD1"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C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C7" w14:textId="3A5FA63C"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Studim fizibiliteti</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dhe roadmap për qasjen e mikro-kredencialeve (në përputhje me Rekomandimin e BE-së)</w:t>
            </w:r>
          </w:p>
        </w:tc>
        <w:tc>
          <w:tcPr>
            <w:tcW w:w="342" w:type="pct"/>
            <w:tcBorders>
              <w:top w:val="nil"/>
              <w:left w:val="nil"/>
              <w:bottom w:val="single" w:sz="4" w:space="0" w:color="auto"/>
              <w:right w:val="single" w:sz="4" w:space="0" w:color="auto"/>
            </w:tcBorders>
            <w:shd w:val="clear" w:color="000000" w:fill="FFD579"/>
            <w:vAlign w:val="center"/>
            <w:hideMark/>
          </w:tcPr>
          <w:p w14:paraId="01BAFFC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C9"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C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C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AFFC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2024</w:t>
            </w:r>
          </w:p>
        </w:tc>
        <w:tc>
          <w:tcPr>
            <w:tcW w:w="605" w:type="pct"/>
            <w:tcBorders>
              <w:top w:val="nil"/>
              <w:left w:val="nil"/>
              <w:bottom w:val="single" w:sz="4" w:space="0" w:color="auto"/>
              <w:right w:val="single" w:sz="4" w:space="0" w:color="auto"/>
            </w:tcBorders>
            <w:shd w:val="clear" w:color="000000" w:fill="FFD579"/>
            <w:vAlign w:val="center"/>
            <w:hideMark/>
          </w:tcPr>
          <w:p w14:paraId="01BAFFCD" w14:textId="702E1FB8"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c>
          <w:tcPr>
            <w:tcW w:w="778" w:type="pct"/>
            <w:tcBorders>
              <w:top w:val="nil"/>
              <w:left w:val="nil"/>
              <w:bottom w:val="single" w:sz="4" w:space="0" w:color="auto"/>
              <w:right w:val="single" w:sz="4" w:space="0" w:color="auto"/>
            </w:tcBorders>
            <w:shd w:val="clear" w:color="000000" w:fill="FFD579"/>
            <w:vAlign w:val="center"/>
            <w:hideMark/>
          </w:tcPr>
          <w:p w14:paraId="01BAFFC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CF" w14:textId="3DC1EE26"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D0" w14:textId="69F47159"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AFFDD"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D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D3" w14:textId="13F5BB92" w:rsidR="00FC285A" w:rsidRPr="000E152E" w:rsidRDefault="00FC285A" w:rsidP="0007776C">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Eksplorimi i mundësive për përfshirjen e llogarivë individuale të të nxënit dhe nderlidhja me mekanizma të tjer</w:t>
            </w:r>
            <w:r w:rsidR="0007776C">
              <w:rPr>
                <w:rFonts w:ascii="Times New Roman" w:eastAsia="Times New Roman" w:hAnsi="Times New Roman"/>
                <w:color w:val="000000"/>
                <w:sz w:val="14"/>
                <w:szCs w:val="14"/>
                <w:lang w:eastAsia="sq-AL"/>
              </w:rPr>
              <w:t>ë</w:t>
            </w:r>
            <w:r w:rsidRPr="000E152E">
              <w:rPr>
                <w:rFonts w:ascii="Times New Roman" w:eastAsia="Times New Roman" w:hAnsi="Times New Roman"/>
                <w:color w:val="000000"/>
                <w:sz w:val="14"/>
                <w:szCs w:val="14"/>
                <w:lang w:eastAsia="sq-AL"/>
              </w:rPr>
              <w:t xml:space="preserve"> të financimit</w:t>
            </w:r>
          </w:p>
        </w:tc>
        <w:tc>
          <w:tcPr>
            <w:tcW w:w="342" w:type="pct"/>
            <w:tcBorders>
              <w:top w:val="nil"/>
              <w:left w:val="nil"/>
              <w:bottom w:val="single" w:sz="4" w:space="0" w:color="auto"/>
              <w:right w:val="single" w:sz="4" w:space="0" w:color="auto"/>
            </w:tcBorders>
            <w:shd w:val="clear" w:color="000000" w:fill="FFD579"/>
            <w:vAlign w:val="center"/>
            <w:hideMark/>
          </w:tcPr>
          <w:p w14:paraId="01BAFFD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D5"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D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D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AFFD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AFFD9" w14:textId="52D07BF3"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c>
          <w:tcPr>
            <w:tcW w:w="778" w:type="pct"/>
            <w:tcBorders>
              <w:top w:val="nil"/>
              <w:left w:val="nil"/>
              <w:bottom w:val="single" w:sz="4" w:space="0" w:color="auto"/>
              <w:right w:val="single" w:sz="4" w:space="0" w:color="auto"/>
            </w:tcBorders>
            <w:shd w:val="clear" w:color="000000" w:fill="FFD579"/>
            <w:vAlign w:val="center"/>
            <w:hideMark/>
          </w:tcPr>
          <w:p w14:paraId="01BAFFD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DB" w14:textId="04B6533C"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DC" w14:textId="648A7429"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AFFE9"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D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D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dhe zbatimi i një plani kombëtar për promovimin e kulturws dhe pjeswmarrjes tw të nxënit gjatë gjithë </w:t>
            </w:r>
            <w:r w:rsidRPr="000E152E">
              <w:rPr>
                <w:rFonts w:ascii="Times New Roman" w:eastAsia="Times New Roman" w:hAnsi="Times New Roman"/>
                <w:color w:val="000000"/>
                <w:sz w:val="14"/>
                <w:szCs w:val="14"/>
                <w:lang w:eastAsia="sq-AL"/>
              </w:rPr>
              <w:lastRenderedPageBreak/>
              <w:t>jetës</w:t>
            </w:r>
          </w:p>
        </w:tc>
        <w:tc>
          <w:tcPr>
            <w:tcW w:w="342" w:type="pct"/>
            <w:tcBorders>
              <w:top w:val="nil"/>
              <w:left w:val="nil"/>
              <w:bottom w:val="single" w:sz="4" w:space="0" w:color="auto"/>
              <w:right w:val="single" w:sz="4" w:space="0" w:color="auto"/>
            </w:tcBorders>
            <w:shd w:val="clear" w:color="000000" w:fill="FFD579"/>
            <w:vAlign w:val="center"/>
            <w:hideMark/>
          </w:tcPr>
          <w:p w14:paraId="01BAFFE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AFFE1"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E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AFFE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nil"/>
              <w:left w:val="nil"/>
              <w:bottom w:val="single" w:sz="4" w:space="0" w:color="auto"/>
              <w:right w:val="single" w:sz="4" w:space="0" w:color="auto"/>
            </w:tcBorders>
            <w:shd w:val="clear" w:color="000000" w:fill="FFD579"/>
            <w:vAlign w:val="center"/>
            <w:hideMark/>
          </w:tcPr>
          <w:p w14:paraId="01BAFFE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E5" w14:textId="6A4FB1EF"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17,500,000 </w:t>
            </w:r>
          </w:p>
        </w:tc>
        <w:tc>
          <w:tcPr>
            <w:tcW w:w="778" w:type="pct"/>
            <w:tcBorders>
              <w:top w:val="nil"/>
              <w:left w:val="nil"/>
              <w:bottom w:val="single" w:sz="4" w:space="0" w:color="auto"/>
              <w:right w:val="single" w:sz="4" w:space="0" w:color="auto"/>
            </w:tcBorders>
            <w:shd w:val="clear" w:color="000000" w:fill="FFD579"/>
            <w:vAlign w:val="center"/>
            <w:hideMark/>
          </w:tcPr>
          <w:p w14:paraId="01BAFFE6" w14:textId="4335A92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11,100,000 </w:t>
            </w:r>
          </w:p>
        </w:tc>
        <w:tc>
          <w:tcPr>
            <w:tcW w:w="633" w:type="pct"/>
            <w:tcBorders>
              <w:top w:val="nil"/>
              <w:left w:val="nil"/>
              <w:bottom w:val="single" w:sz="4" w:space="0" w:color="auto"/>
              <w:right w:val="single" w:sz="4" w:space="0" w:color="auto"/>
            </w:tcBorders>
            <w:shd w:val="clear" w:color="000000" w:fill="FFD579"/>
            <w:vAlign w:val="center"/>
            <w:hideMark/>
          </w:tcPr>
          <w:p w14:paraId="01BAFFE7" w14:textId="4A1A3069"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AFFE8" w14:textId="047C1FB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6,400,000 </w:t>
            </w:r>
          </w:p>
        </w:tc>
      </w:tr>
      <w:tr w:rsidR="00FC285A" w:rsidRPr="000E152E" w14:paraId="01BAFFF5" w14:textId="77777777" w:rsidTr="00FC285A">
        <w:trPr>
          <w:trHeight w:val="180"/>
        </w:trPr>
        <w:tc>
          <w:tcPr>
            <w:tcW w:w="287" w:type="pct"/>
            <w:vMerge/>
            <w:tcBorders>
              <w:top w:val="nil"/>
              <w:left w:val="single" w:sz="4" w:space="0" w:color="auto"/>
              <w:bottom w:val="nil"/>
              <w:right w:val="single" w:sz="4" w:space="0" w:color="auto"/>
            </w:tcBorders>
            <w:vAlign w:val="center"/>
            <w:hideMark/>
          </w:tcPr>
          <w:p w14:paraId="01BAFFE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AFFE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Konsolidimi i mekanizmave të këshillimit dhe orientimit për karrierë dhe të nxënit gjatë gjithë jetës </w:t>
            </w:r>
          </w:p>
        </w:tc>
        <w:tc>
          <w:tcPr>
            <w:tcW w:w="342" w:type="pct"/>
            <w:tcBorders>
              <w:top w:val="nil"/>
              <w:left w:val="nil"/>
              <w:bottom w:val="single" w:sz="4" w:space="0" w:color="auto"/>
              <w:right w:val="single" w:sz="4" w:space="0" w:color="auto"/>
            </w:tcBorders>
            <w:shd w:val="clear" w:color="000000" w:fill="FFD579"/>
            <w:vAlign w:val="center"/>
            <w:hideMark/>
          </w:tcPr>
          <w:p w14:paraId="01BAFFE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AFFE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AFFE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r w:rsidRPr="000E152E">
              <w:rPr>
                <w:rFonts w:ascii="Times New Roman" w:eastAsia="Times New Roman" w:hAnsi="Times New Roman"/>
                <w:color w:val="000000"/>
                <w:sz w:val="14"/>
                <w:szCs w:val="14"/>
                <w:lang w:eastAsia="sq-AL"/>
              </w:rPr>
              <w:br/>
              <w:t xml:space="preserve">MSHRF, </w:t>
            </w:r>
            <w:r w:rsidRPr="000E152E">
              <w:rPr>
                <w:rFonts w:ascii="Times New Roman" w:eastAsia="Times New Roman" w:hAnsi="Times New Roman"/>
                <w:color w:val="000000"/>
                <w:sz w:val="14"/>
                <w:szCs w:val="14"/>
                <w:lang w:eastAsia="sq-AL"/>
              </w:rPr>
              <w:br/>
              <w:t xml:space="preserve">AKR, </w:t>
            </w:r>
            <w:r w:rsidRPr="000E152E">
              <w:rPr>
                <w:rFonts w:ascii="Times New Roman" w:eastAsia="Times New Roman" w:hAnsi="Times New Roman"/>
                <w:color w:val="000000"/>
                <w:sz w:val="14"/>
                <w:szCs w:val="14"/>
                <w:lang w:eastAsia="sq-AL"/>
              </w:rPr>
              <w:br/>
              <w:t>Bashkitë</w:t>
            </w:r>
          </w:p>
        </w:tc>
        <w:tc>
          <w:tcPr>
            <w:tcW w:w="276" w:type="pct"/>
            <w:tcBorders>
              <w:top w:val="nil"/>
              <w:left w:val="nil"/>
              <w:bottom w:val="single" w:sz="4" w:space="0" w:color="auto"/>
              <w:right w:val="single" w:sz="4" w:space="0" w:color="auto"/>
            </w:tcBorders>
            <w:shd w:val="clear" w:color="000000" w:fill="FFD579"/>
            <w:vAlign w:val="center"/>
            <w:hideMark/>
          </w:tcPr>
          <w:p w14:paraId="01BAFFE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AFFF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F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27,536,000 </w:t>
            </w:r>
          </w:p>
        </w:tc>
        <w:tc>
          <w:tcPr>
            <w:tcW w:w="778" w:type="pct"/>
            <w:tcBorders>
              <w:top w:val="nil"/>
              <w:left w:val="nil"/>
              <w:bottom w:val="single" w:sz="4" w:space="0" w:color="auto"/>
              <w:right w:val="single" w:sz="4" w:space="0" w:color="auto"/>
            </w:tcBorders>
            <w:shd w:val="clear" w:color="000000" w:fill="FFD579"/>
            <w:vAlign w:val="center"/>
            <w:hideMark/>
          </w:tcPr>
          <w:p w14:paraId="01BAFFF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AFFF3" w14:textId="4F1420E0"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27,536,000 </w:t>
            </w:r>
          </w:p>
        </w:tc>
        <w:tc>
          <w:tcPr>
            <w:tcW w:w="676" w:type="pct"/>
            <w:tcBorders>
              <w:top w:val="nil"/>
              <w:left w:val="nil"/>
              <w:bottom w:val="single" w:sz="4" w:space="0" w:color="auto"/>
              <w:right w:val="single" w:sz="4" w:space="0" w:color="auto"/>
            </w:tcBorders>
            <w:shd w:val="clear" w:color="000000" w:fill="FFD579"/>
            <w:vAlign w:val="center"/>
            <w:hideMark/>
          </w:tcPr>
          <w:p w14:paraId="01BAFFF4" w14:textId="5F7C3D18"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01"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AFFF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AFFF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Përshtatja dhe ofrimi i trajnimeve (para punësim apo para-formim profesional) për të rritur aftësitë bazë. </w:t>
            </w:r>
          </w:p>
        </w:tc>
        <w:tc>
          <w:tcPr>
            <w:tcW w:w="342" w:type="pct"/>
            <w:tcBorders>
              <w:top w:val="nil"/>
              <w:left w:val="nil"/>
              <w:bottom w:val="single" w:sz="4" w:space="0" w:color="auto"/>
              <w:right w:val="single" w:sz="4" w:space="0" w:color="auto"/>
            </w:tcBorders>
            <w:shd w:val="clear" w:color="000000" w:fill="FFD579"/>
            <w:vAlign w:val="center"/>
            <w:hideMark/>
          </w:tcPr>
          <w:p w14:paraId="01BAFFF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AFFF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AFFF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AFFF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AFFF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AFFFD"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648,000,000 </w:t>
            </w:r>
          </w:p>
        </w:tc>
        <w:tc>
          <w:tcPr>
            <w:tcW w:w="778" w:type="pct"/>
            <w:tcBorders>
              <w:top w:val="nil"/>
              <w:left w:val="nil"/>
              <w:bottom w:val="single" w:sz="4" w:space="0" w:color="auto"/>
              <w:right w:val="single" w:sz="4" w:space="0" w:color="auto"/>
            </w:tcBorders>
            <w:shd w:val="clear" w:color="000000" w:fill="FFD579"/>
            <w:vAlign w:val="center"/>
            <w:hideMark/>
          </w:tcPr>
          <w:p w14:paraId="01BAFFF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281,368,800 </w:t>
            </w:r>
          </w:p>
        </w:tc>
        <w:tc>
          <w:tcPr>
            <w:tcW w:w="633" w:type="pct"/>
            <w:tcBorders>
              <w:top w:val="nil"/>
              <w:left w:val="nil"/>
              <w:bottom w:val="single" w:sz="4" w:space="0" w:color="auto"/>
              <w:right w:val="single" w:sz="4" w:space="0" w:color="auto"/>
            </w:tcBorders>
            <w:shd w:val="clear" w:color="000000" w:fill="FFD579"/>
            <w:vAlign w:val="center"/>
            <w:hideMark/>
          </w:tcPr>
          <w:p w14:paraId="01BAFFF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0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366,631,200 </w:t>
            </w:r>
          </w:p>
        </w:tc>
      </w:tr>
      <w:tr w:rsidR="00FC285A" w:rsidRPr="000E152E" w14:paraId="01BB000D" w14:textId="77777777" w:rsidTr="00FC285A">
        <w:trPr>
          <w:trHeight w:val="180"/>
        </w:trPr>
        <w:tc>
          <w:tcPr>
            <w:tcW w:w="287" w:type="pct"/>
            <w:tcBorders>
              <w:top w:val="nil"/>
              <w:left w:val="single" w:sz="4" w:space="0" w:color="auto"/>
              <w:bottom w:val="nil"/>
              <w:right w:val="single" w:sz="4" w:space="0" w:color="auto"/>
            </w:tcBorders>
            <w:shd w:val="clear" w:color="000000" w:fill="8EA9DB"/>
            <w:vAlign w:val="center"/>
            <w:hideMark/>
          </w:tcPr>
          <w:p w14:paraId="01BB000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single" w:sz="4" w:space="0" w:color="auto"/>
              <w:right w:val="single" w:sz="4" w:space="0" w:color="auto"/>
            </w:tcBorders>
            <w:shd w:val="clear" w:color="000000" w:fill="8EA9DB"/>
            <w:vAlign w:val="center"/>
            <w:hideMark/>
          </w:tcPr>
          <w:p w14:paraId="01BB0003"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1.2.2. Njohja e të nxënit të mëparshëm joformal dhe informal</w:t>
            </w:r>
          </w:p>
        </w:tc>
        <w:tc>
          <w:tcPr>
            <w:tcW w:w="342" w:type="pct"/>
            <w:tcBorders>
              <w:top w:val="nil"/>
              <w:left w:val="nil"/>
              <w:bottom w:val="single" w:sz="4" w:space="0" w:color="auto"/>
              <w:right w:val="single" w:sz="4" w:space="0" w:color="auto"/>
            </w:tcBorders>
            <w:shd w:val="clear" w:color="000000" w:fill="8EA9DB"/>
            <w:vAlign w:val="center"/>
            <w:hideMark/>
          </w:tcPr>
          <w:p w14:paraId="01BB000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8EA9DB"/>
            <w:vAlign w:val="center"/>
            <w:hideMark/>
          </w:tcPr>
          <w:p w14:paraId="01BB0005" w14:textId="77777777" w:rsidR="00FC285A" w:rsidRPr="000E152E" w:rsidRDefault="00FC285A" w:rsidP="00FC285A">
            <w:pPr>
              <w:spacing w:after="0" w:line="240" w:lineRule="auto"/>
              <w:jc w:val="center"/>
              <w:rPr>
                <w:rFonts w:ascii="Times New Roman" w:eastAsia="Times New Roman" w:hAnsi="Times New Roman"/>
                <w:b/>
                <w:bCs/>
                <w:color w:val="FF0000"/>
                <w:sz w:val="14"/>
                <w:szCs w:val="14"/>
                <w:lang w:eastAsia="sq-AL"/>
              </w:rPr>
            </w:pPr>
            <w:r w:rsidRPr="000E152E">
              <w:rPr>
                <w:rFonts w:ascii="Times New Roman" w:eastAsia="Times New Roman" w:hAnsi="Times New Roman"/>
                <w:b/>
                <w:bCs/>
                <w:color w:val="FF0000"/>
                <w:sz w:val="14"/>
                <w:szCs w:val="14"/>
                <w:lang w:eastAsia="sq-AL"/>
              </w:rPr>
              <w:t> </w:t>
            </w:r>
          </w:p>
        </w:tc>
        <w:tc>
          <w:tcPr>
            <w:tcW w:w="331" w:type="pct"/>
            <w:tcBorders>
              <w:top w:val="nil"/>
              <w:left w:val="nil"/>
              <w:bottom w:val="single" w:sz="4" w:space="0" w:color="auto"/>
              <w:right w:val="single" w:sz="4" w:space="0" w:color="auto"/>
            </w:tcBorders>
            <w:shd w:val="clear" w:color="000000" w:fill="8EA9DB"/>
            <w:vAlign w:val="center"/>
            <w:hideMark/>
          </w:tcPr>
          <w:p w14:paraId="01BB0006"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8EA9DB"/>
            <w:vAlign w:val="center"/>
            <w:hideMark/>
          </w:tcPr>
          <w:p w14:paraId="01BB0007"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8EA9DB"/>
            <w:vAlign w:val="center"/>
            <w:hideMark/>
          </w:tcPr>
          <w:p w14:paraId="01BB0008"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8EA9DB"/>
            <w:vAlign w:val="center"/>
            <w:hideMark/>
          </w:tcPr>
          <w:p w14:paraId="01BB0009"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273,611,588 </w:t>
            </w:r>
          </w:p>
        </w:tc>
        <w:tc>
          <w:tcPr>
            <w:tcW w:w="778" w:type="pct"/>
            <w:tcBorders>
              <w:top w:val="nil"/>
              <w:left w:val="nil"/>
              <w:bottom w:val="single" w:sz="4" w:space="0" w:color="auto"/>
              <w:right w:val="single" w:sz="4" w:space="0" w:color="auto"/>
            </w:tcBorders>
            <w:shd w:val="clear" w:color="000000" w:fill="8EA9DB"/>
            <w:vAlign w:val="center"/>
            <w:hideMark/>
          </w:tcPr>
          <w:p w14:paraId="01BB000A"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183,056,000 </w:t>
            </w:r>
          </w:p>
        </w:tc>
        <w:tc>
          <w:tcPr>
            <w:tcW w:w="633" w:type="pct"/>
            <w:tcBorders>
              <w:top w:val="nil"/>
              <w:left w:val="nil"/>
              <w:bottom w:val="single" w:sz="4" w:space="0" w:color="auto"/>
              <w:right w:val="single" w:sz="4" w:space="0" w:color="auto"/>
            </w:tcBorders>
            <w:shd w:val="clear" w:color="000000" w:fill="8EA9DB"/>
            <w:vAlign w:val="center"/>
            <w:hideMark/>
          </w:tcPr>
          <w:p w14:paraId="01BB000B"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8EA9DB"/>
            <w:vAlign w:val="center"/>
            <w:hideMark/>
          </w:tcPr>
          <w:p w14:paraId="01BB000C"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90,555,588 </w:t>
            </w:r>
          </w:p>
        </w:tc>
      </w:tr>
      <w:tr w:rsidR="00FC285A" w:rsidRPr="000E152E" w14:paraId="01BB0019" w14:textId="77777777" w:rsidTr="00FC285A">
        <w:trPr>
          <w:trHeight w:val="180"/>
        </w:trPr>
        <w:tc>
          <w:tcPr>
            <w:tcW w:w="287" w:type="pct"/>
            <w:vMerge w:val="restart"/>
            <w:tcBorders>
              <w:top w:val="nil"/>
              <w:left w:val="single" w:sz="4" w:space="0" w:color="auto"/>
              <w:bottom w:val="single" w:sz="4" w:space="0" w:color="000000"/>
              <w:right w:val="single" w:sz="4" w:space="0" w:color="auto"/>
            </w:tcBorders>
            <w:shd w:val="clear" w:color="000000" w:fill="FFD579"/>
            <w:vAlign w:val="center"/>
            <w:hideMark/>
          </w:tcPr>
          <w:p w14:paraId="01BB000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nil"/>
              <w:left w:val="nil"/>
              <w:bottom w:val="single" w:sz="4" w:space="0" w:color="auto"/>
              <w:right w:val="single" w:sz="4" w:space="0" w:color="auto"/>
            </w:tcBorders>
            <w:shd w:val="clear" w:color="000000" w:fill="FFD579"/>
            <w:vAlign w:val="center"/>
            <w:hideMark/>
          </w:tcPr>
          <w:p w14:paraId="01BB000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br/>
              <w:t xml:space="preserve">Plotësimi i kuadrit ligjor, qeverisjes dhe modaliteteve të zbatimit dhe financimit të NjNM </w:t>
            </w:r>
          </w:p>
        </w:tc>
        <w:tc>
          <w:tcPr>
            <w:tcW w:w="342" w:type="pct"/>
            <w:tcBorders>
              <w:top w:val="nil"/>
              <w:left w:val="nil"/>
              <w:bottom w:val="single" w:sz="4" w:space="0" w:color="auto"/>
              <w:right w:val="single" w:sz="4" w:space="0" w:color="auto"/>
            </w:tcBorders>
            <w:shd w:val="clear" w:color="000000" w:fill="FFD579"/>
            <w:vAlign w:val="center"/>
            <w:hideMark/>
          </w:tcPr>
          <w:p w14:paraId="01BB001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11" w14:textId="77777777" w:rsidR="00FC285A" w:rsidRPr="000E152E" w:rsidRDefault="00FC285A" w:rsidP="00FC285A">
            <w:pPr>
              <w:spacing w:after="0" w:line="240" w:lineRule="auto"/>
              <w:jc w:val="center"/>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01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AKAFPK</w:t>
            </w:r>
          </w:p>
        </w:tc>
        <w:tc>
          <w:tcPr>
            <w:tcW w:w="276" w:type="pct"/>
            <w:tcBorders>
              <w:top w:val="nil"/>
              <w:left w:val="nil"/>
              <w:bottom w:val="single" w:sz="4" w:space="0" w:color="auto"/>
              <w:right w:val="single" w:sz="4" w:space="0" w:color="auto"/>
            </w:tcBorders>
            <w:shd w:val="clear" w:color="000000" w:fill="FFD579"/>
            <w:vAlign w:val="center"/>
            <w:hideMark/>
          </w:tcPr>
          <w:p w14:paraId="01BB001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01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01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1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1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18" w14:textId="6B6B142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25"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B001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1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Dizenjimi i rregulloreve për zbatimin e fazave të procesit të njohjes së të nxënit të mëparshëm: identifikimi, dokumentimi, vlerësimi dhe certifikimi</w:t>
            </w:r>
          </w:p>
        </w:tc>
        <w:tc>
          <w:tcPr>
            <w:tcW w:w="342" w:type="pct"/>
            <w:tcBorders>
              <w:top w:val="nil"/>
              <w:left w:val="nil"/>
              <w:bottom w:val="single" w:sz="4" w:space="0" w:color="auto"/>
              <w:right w:val="single" w:sz="4" w:space="0" w:color="auto"/>
            </w:tcBorders>
            <w:shd w:val="clear" w:color="000000" w:fill="FFD579"/>
            <w:vAlign w:val="center"/>
            <w:hideMark/>
          </w:tcPr>
          <w:p w14:paraId="01BB001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01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1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w:t>
            </w:r>
          </w:p>
        </w:tc>
        <w:tc>
          <w:tcPr>
            <w:tcW w:w="276" w:type="pct"/>
            <w:tcBorders>
              <w:top w:val="nil"/>
              <w:left w:val="nil"/>
              <w:bottom w:val="single" w:sz="4" w:space="0" w:color="auto"/>
              <w:right w:val="single" w:sz="4" w:space="0" w:color="auto"/>
            </w:tcBorders>
            <w:shd w:val="clear" w:color="000000" w:fill="FFD579"/>
            <w:vAlign w:val="center"/>
            <w:hideMark/>
          </w:tcPr>
          <w:p w14:paraId="01BB001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2 2023</w:t>
            </w:r>
          </w:p>
        </w:tc>
        <w:tc>
          <w:tcPr>
            <w:tcW w:w="329" w:type="pct"/>
            <w:tcBorders>
              <w:top w:val="nil"/>
              <w:left w:val="nil"/>
              <w:bottom w:val="single" w:sz="4" w:space="0" w:color="auto"/>
              <w:right w:val="single" w:sz="4" w:space="0" w:color="auto"/>
            </w:tcBorders>
            <w:shd w:val="clear" w:color="000000" w:fill="FFD579"/>
            <w:vAlign w:val="center"/>
            <w:hideMark/>
          </w:tcPr>
          <w:p w14:paraId="01BB002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02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236,611,588 </w:t>
            </w:r>
          </w:p>
        </w:tc>
        <w:tc>
          <w:tcPr>
            <w:tcW w:w="778" w:type="pct"/>
            <w:tcBorders>
              <w:top w:val="nil"/>
              <w:left w:val="nil"/>
              <w:bottom w:val="single" w:sz="4" w:space="0" w:color="auto"/>
              <w:right w:val="single" w:sz="4" w:space="0" w:color="auto"/>
            </w:tcBorders>
            <w:shd w:val="clear" w:color="000000" w:fill="FFD579"/>
            <w:vAlign w:val="center"/>
            <w:hideMark/>
          </w:tcPr>
          <w:p w14:paraId="01BB002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183,056,000 </w:t>
            </w:r>
          </w:p>
        </w:tc>
        <w:tc>
          <w:tcPr>
            <w:tcW w:w="633" w:type="pct"/>
            <w:tcBorders>
              <w:top w:val="nil"/>
              <w:left w:val="nil"/>
              <w:bottom w:val="single" w:sz="4" w:space="0" w:color="auto"/>
              <w:right w:val="single" w:sz="4" w:space="0" w:color="auto"/>
            </w:tcBorders>
            <w:shd w:val="clear" w:color="000000" w:fill="FFD579"/>
            <w:vAlign w:val="center"/>
            <w:hideMark/>
          </w:tcPr>
          <w:p w14:paraId="01BB002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2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53,555,588 </w:t>
            </w:r>
          </w:p>
        </w:tc>
      </w:tr>
      <w:tr w:rsidR="00FC285A" w:rsidRPr="000E152E" w14:paraId="01BB0031"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B002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2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Prioritizimi i sektorëve, grupeve të synuara dhe pilotimi i procesit të NjNM (sipas planit të Deklaratës së Osnabrück-ut)</w:t>
            </w:r>
          </w:p>
        </w:tc>
        <w:tc>
          <w:tcPr>
            <w:tcW w:w="342" w:type="pct"/>
            <w:tcBorders>
              <w:top w:val="nil"/>
              <w:left w:val="nil"/>
              <w:bottom w:val="single" w:sz="4" w:space="0" w:color="auto"/>
              <w:right w:val="single" w:sz="4" w:space="0" w:color="auto"/>
            </w:tcBorders>
            <w:shd w:val="clear" w:color="000000" w:fill="FFD579"/>
            <w:vAlign w:val="center"/>
            <w:hideMark/>
          </w:tcPr>
          <w:p w14:paraId="01BB002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02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02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B002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B002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2025</w:t>
            </w:r>
          </w:p>
        </w:tc>
        <w:tc>
          <w:tcPr>
            <w:tcW w:w="605" w:type="pct"/>
            <w:tcBorders>
              <w:top w:val="nil"/>
              <w:left w:val="nil"/>
              <w:bottom w:val="single" w:sz="4" w:space="0" w:color="auto"/>
              <w:right w:val="single" w:sz="4" w:space="0" w:color="auto"/>
            </w:tcBorders>
            <w:shd w:val="clear" w:color="000000" w:fill="FFD579"/>
            <w:vAlign w:val="center"/>
            <w:hideMark/>
          </w:tcPr>
          <w:p w14:paraId="01BB002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25,000,000 </w:t>
            </w:r>
          </w:p>
        </w:tc>
        <w:tc>
          <w:tcPr>
            <w:tcW w:w="778" w:type="pct"/>
            <w:tcBorders>
              <w:top w:val="nil"/>
              <w:left w:val="nil"/>
              <w:bottom w:val="single" w:sz="4" w:space="0" w:color="auto"/>
              <w:right w:val="single" w:sz="4" w:space="0" w:color="auto"/>
            </w:tcBorders>
            <w:shd w:val="clear" w:color="000000" w:fill="FFD579"/>
            <w:vAlign w:val="center"/>
            <w:hideMark/>
          </w:tcPr>
          <w:p w14:paraId="01BB002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2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3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25,000,000 </w:t>
            </w:r>
          </w:p>
        </w:tc>
      </w:tr>
      <w:tr w:rsidR="00FC285A" w:rsidRPr="000E152E" w14:paraId="01BB003D"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B003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3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Akreditimi i ofruesve të njohjes së të nxënit të mëparshëm</w:t>
            </w:r>
          </w:p>
        </w:tc>
        <w:tc>
          <w:tcPr>
            <w:tcW w:w="342" w:type="pct"/>
            <w:tcBorders>
              <w:top w:val="nil"/>
              <w:left w:val="nil"/>
              <w:bottom w:val="single" w:sz="4" w:space="0" w:color="auto"/>
              <w:right w:val="single" w:sz="4" w:space="0" w:color="auto"/>
            </w:tcBorders>
            <w:shd w:val="clear" w:color="000000" w:fill="FFD579"/>
            <w:vAlign w:val="center"/>
            <w:hideMark/>
          </w:tcPr>
          <w:p w14:paraId="01BB003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3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3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03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2024</w:t>
            </w:r>
          </w:p>
        </w:tc>
        <w:tc>
          <w:tcPr>
            <w:tcW w:w="329" w:type="pct"/>
            <w:tcBorders>
              <w:top w:val="nil"/>
              <w:left w:val="nil"/>
              <w:bottom w:val="single" w:sz="4" w:space="0" w:color="auto"/>
              <w:right w:val="single" w:sz="4" w:space="0" w:color="auto"/>
            </w:tcBorders>
            <w:shd w:val="clear" w:color="000000" w:fill="FFD579"/>
            <w:vAlign w:val="center"/>
            <w:hideMark/>
          </w:tcPr>
          <w:p w14:paraId="01BB003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3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3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3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3C" w14:textId="5639961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49"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B003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3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Zbatimi i sistemit të njohjes së të nxënit të mëparshëm joformal dhe informal</w:t>
            </w:r>
          </w:p>
        </w:tc>
        <w:tc>
          <w:tcPr>
            <w:tcW w:w="342" w:type="pct"/>
            <w:tcBorders>
              <w:top w:val="nil"/>
              <w:left w:val="nil"/>
              <w:bottom w:val="single" w:sz="4" w:space="0" w:color="auto"/>
              <w:right w:val="single" w:sz="4" w:space="0" w:color="auto"/>
            </w:tcBorders>
            <w:shd w:val="clear" w:color="000000" w:fill="FFD579"/>
            <w:vAlign w:val="center"/>
            <w:hideMark/>
          </w:tcPr>
          <w:p w14:paraId="01BB004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 / 10550</w:t>
            </w:r>
          </w:p>
        </w:tc>
        <w:tc>
          <w:tcPr>
            <w:tcW w:w="302" w:type="pct"/>
            <w:tcBorders>
              <w:top w:val="nil"/>
              <w:left w:val="nil"/>
              <w:bottom w:val="single" w:sz="4" w:space="0" w:color="auto"/>
              <w:right w:val="single" w:sz="4" w:space="0" w:color="auto"/>
            </w:tcBorders>
            <w:shd w:val="clear" w:color="000000" w:fill="FFD579"/>
            <w:vAlign w:val="center"/>
            <w:hideMark/>
          </w:tcPr>
          <w:p w14:paraId="01BB004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IoAFP</w:t>
            </w:r>
          </w:p>
        </w:tc>
        <w:tc>
          <w:tcPr>
            <w:tcW w:w="331" w:type="pct"/>
            <w:tcBorders>
              <w:top w:val="nil"/>
              <w:left w:val="nil"/>
              <w:bottom w:val="single" w:sz="4" w:space="0" w:color="auto"/>
              <w:right w:val="single" w:sz="4" w:space="0" w:color="auto"/>
            </w:tcBorders>
            <w:shd w:val="clear" w:color="000000" w:fill="FFD579"/>
            <w:vAlign w:val="center"/>
            <w:hideMark/>
          </w:tcPr>
          <w:p w14:paraId="01BB004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 AKAFPK</w:t>
            </w:r>
          </w:p>
        </w:tc>
        <w:tc>
          <w:tcPr>
            <w:tcW w:w="276" w:type="pct"/>
            <w:tcBorders>
              <w:top w:val="nil"/>
              <w:left w:val="nil"/>
              <w:bottom w:val="single" w:sz="4" w:space="0" w:color="auto"/>
              <w:right w:val="single" w:sz="4" w:space="0" w:color="auto"/>
            </w:tcBorders>
            <w:shd w:val="clear" w:color="000000" w:fill="FFD579"/>
            <w:vAlign w:val="center"/>
            <w:hideMark/>
          </w:tcPr>
          <w:p w14:paraId="01BB004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2026</w:t>
            </w:r>
          </w:p>
        </w:tc>
        <w:tc>
          <w:tcPr>
            <w:tcW w:w="329" w:type="pct"/>
            <w:tcBorders>
              <w:top w:val="nil"/>
              <w:left w:val="nil"/>
              <w:bottom w:val="single" w:sz="4" w:space="0" w:color="auto"/>
              <w:right w:val="single" w:sz="4" w:space="0" w:color="auto"/>
            </w:tcBorders>
            <w:shd w:val="clear" w:color="000000" w:fill="FFD579"/>
            <w:vAlign w:val="center"/>
            <w:hideMark/>
          </w:tcPr>
          <w:p w14:paraId="01BB004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4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4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4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48" w14:textId="57988FD5"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55" w14:textId="77777777" w:rsidTr="00FC285A">
        <w:trPr>
          <w:trHeight w:val="180"/>
        </w:trPr>
        <w:tc>
          <w:tcPr>
            <w:tcW w:w="287" w:type="pct"/>
            <w:vMerge/>
            <w:tcBorders>
              <w:top w:val="nil"/>
              <w:left w:val="single" w:sz="4" w:space="0" w:color="auto"/>
              <w:bottom w:val="single" w:sz="4" w:space="0" w:color="000000"/>
              <w:right w:val="single" w:sz="4" w:space="0" w:color="auto"/>
            </w:tcBorders>
            <w:vAlign w:val="center"/>
            <w:hideMark/>
          </w:tcPr>
          <w:p w14:paraId="01BB004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4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Monitorimi dhe vlerësimi i sistemit të njohjes së të nxënit me qëllim përmirësimin e tij</w:t>
            </w:r>
          </w:p>
        </w:tc>
        <w:tc>
          <w:tcPr>
            <w:tcW w:w="342" w:type="pct"/>
            <w:tcBorders>
              <w:top w:val="nil"/>
              <w:left w:val="nil"/>
              <w:bottom w:val="single" w:sz="4" w:space="0" w:color="auto"/>
              <w:right w:val="single" w:sz="4" w:space="0" w:color="auto"/>
            </w:tcBorders>
            <w:shd w:val="clear" w:color="000000" w:fill="FFD579"/>
            <w:vAlign w:val="center"/>
            <w:hideMark/>
          </w:tcPr>
          <w:p w14:paraId="01BB004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04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04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B004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2026</w:t>
            </w:r>
          </w:p>
        </w:tc>
        <w:tc>
          <w:tcPr>
            <w:tcW w:w="329" w:type="pct"/>
            <w:tcBorders>
              <w:top w:val="nil"/>
              <w:left w:val="nil"/>
              <w:bottom w:val="single" w:sz="4" w:space="0" w:color="auto"/>
              <w:right w:val="single" w:sz="4" w:space="0" w:color="auto"/>
            </w:tcBorders>
            <w:shd w:val="clear" w:color="000000" w:fill="FFD579"/>
            <w:vAlign w:val="center"/>
            <w:hideMark/>
          </w:tcPr>
          <w:p w14:paraId="01BB005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51" w14:textId="2140CE36"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12,000,000 </w:t>
            </w:r>
          </w:p>
        </w:tc>
        <w:tc>
          <w:tcPr>
            <w:tcW w:w="778" w:type="pct"/>
            <w:tcBorders>
              <w:top w:val="nil"/>
              <w:left w:val="nil"/>
              <w:bottom w:val="single" w:sz="4" w:space="0" w:color="auto"/>
              <w:right w:val="single" w:sz="4" w:space="0" w:color="auto"/>
            </w:tcBorders>
            <w:shd w:val="clear" w:color="000000" w:fill="FFD579"/>
            <w:vAlign w:val="center"/>
            <w:hideMark/>
          </w:tcPr>
          <w:p w14:paraId="01BB005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5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54" w14:textId="324F927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12,000,000 </w:t>
            </w:r>
          </w:p>
        </w:tc>
      </w:tr>
      <w:tr w:rsidR="00FC285A" w:rsidRPr="000E152E" w14:paraId="01BB0061"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70AD47"/>
            <w:vAlign w:val="center"/>
            <w:hideMark/>
          </w:tcPr>
          <w:p w14:paraId="01BB0056"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70AD47"/>
            <w:vAlign w:val="center"/>
            <w:hideMark/>
          </w:tcPr>
          <w:p w14:paraId="01BB0057"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OBJEKTIVI SPECIFIK 1.3: Funksionimi më i mirë i tregut të punës për të gjithë </w:t>
            </w:r>
          </w:p>
        </w:tc>
        <w:tc>
          <w:tcPr>
            <w:tcW w:w="342" w:type="pct"/>
            <w:tcBorders>
              <w:top w:val="nil"/>
              <w:left w:val="nil"/>
              <w:bottom w:val="single" w:sz="4" w:space="0" w:color="auto"/>
              <w:right w:val="single" w:sz="4" w:space="0" w:color="auto"/>
            </w:tcBorders>
            <w:shd w:val="clear" w:color="000000" w:fill="70AD47"/>
            <w:vAlign w:val="center"/>
            <w:hideMark/>
          </w:tcPr>
          <w:p w14:paraId="01BB0058"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70AD47"/>
            <w:vAlign w:val="center"/>
            <w:hideMark/>
          </w:tcPr>
          <w:p w14:paraId="01BB0059"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70AD47"/>
            <w:vAlign w:val="center"/>
            <w:hideMark/>
          </w:tcPr>
          <w:p w14:paraId="01BB005A"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70AD47"/>
            <w:vAlign w:val="center"/>
            <w:hideMark/>
          </w:tcPr>
          <w:p w14:paraId="01BB005B"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70AD47"/>
            <w:vAlign w:val="center"/>
            <w:hideMark/>
          </w:tcPr>
          <w:p w14:paraId="01BB005C"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70AD47"/>
            <w:vAlign w:val="center"/>
            <w:hideMark/>
          </w:tcPr>
          <w:p w14:paraId="01BB005D"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3,548,552,652.45 </w:t>
            </w:r>
          </w:p>
        </w:tc>
        <w:tc>
          <w:tcPr>
            <w:tcW w:w="778" w:type="pct"/>
            <w:tcBorders>
              <w:top w:val="nil"/>
              <w:left w:val="nil"/>
              <w:bottom w:val="single" w:sz="4" w:space="0" w:color="auto"/>
              <w:right w:val="single" w:sz="4" w:space="0" w:color="auto"/>
            </w:tcBorders>
            <w:shd w:val="clear" w:color="000000" w:fill="70AD47"/>
            <w:vAlign w:val="center"/>
            <w:hideMark/>
          </w:tcPr>
          <w:p w14:paraId="01BB005E" w14:textId="3CC921C9" w:rsidR="00FC285A" w:rsidRPr="000E152E" w:rsidRDefault="000E152E"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 </w:t>
            </w:r>
            <w:r w:rsidR="00FC285A" w:rsidRPr="000E152E">
              <w:rPr>
                <w:rFonts w:ascii="Times New Roman" w:eastAsia="Times New Roman" w:hAnsi="Times New Roman"/>
                <w:b/>
                <w:bCs/>
                <w:color w:val="000000"/>
                <w:sz w:val="14"/>
                <w:szCs w:val="14"/>
                <w:lang w:eastAsia="sq-AL"/>
              </w:rPr>
              <w:t xml:space="preserve">2,878,967,160.00 </w:t>
            </w:r>
          </w:p>
        </w:tc>
        <w:tc>
          <w:tcPr>
            <w:tcW w:w="633" w:type="pct"/>
            <w:tcBorders>
              <w:top w:val="nil"/>
              <w:left w:val="nil"/>
              <w:bottom w:val="single" w:sz="4" w:space="0" w:color="auto"/>
              <w:right w:val="single" w:sz="4" w:space="0" w:color="auto"/>
            </w:tcBorders>
            <w:shd w:val="clear" w:color="000000" w:fill="70AD47"/>
            <w:vAlign w:val="center"/>
            <w:hideMark/>
          </w:tcPr>
          <w:p w14:paraId="01BB005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155,886,160.00 </w:t>
            </w:r>
          </w:p>
        </w:tc>
        <w:tc>
          <w:tcPr>
            <w:tcW w:w="676" w:type="pct"/>
            <w:tcBorders>
              <w:top w:val="nil"/>
              <w:left w:val="nil"/>
              <w:bottom w:val="single" w:sz="4" w:space="0" w:color="auto"/>
              <w:right w:val="single" w:sz="4" w:space="0" w:color="auto"/>
            </w:tcBorders>
            <w:shd w:val="clear" w:color="000000" w:fill="70AD47"/>
            <w:vAlign w:val="center"/>
            <w:hideMark/>
          </w:tcPr>
          <w:p w14:paraId="01BB006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513,699,332.45 </w:t>
            </w:r>
          </w:p>
        </w:tc>
      </w:tr>
      <w:tr w:rsidR="00FC285A" w:rsidRPr="000E152E" w14:paraId="01BB006D" w14:textId="77777777" w:rsidTr="00FC285A">
        <w:trPr>
          <w:trHeight w:val="180"/>
        </w:trPr>
        <w:tc>
          <w:tcPr>
            <w:tcW w:w="287" w:type="pct"/>
            <w:tcBorders>
              <w:top w:val="nil"/>
              <w:left w:val="single" w:sz="4" w:space="0" w:color="auto"/>
              <w:bottom w:val="nil"/>
              <w:right w:val="single" w:sz="4" w:space="0" w:color="auto"/>
            </w:tcBorders>
            <w:shd w:val="clear" w:color="000000" w:fill="8EA9DB"/>
            <w:vAlign w:val="center"/>
            <w:hideMark/>
          </w:tcPr>
          <w:p w14:paraId="01BB006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single" w:sz="4" w:space="0" w:color="auto"/>
              <w:right w:val="single" w:sz="4" w:space="0" w:color="auto"/>
            </w:tcBorders>
            <w:shd w:val="clear" w:color="000000" w:fill="8EA9DB"/>
            <w:vAlign w:val="center"/>
            <w:hideMark/>
          </w:tcPr>
          <w:p w14:paraId="01BB0063"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1.3.1. Transformimi digjital i shërbimeve të punësimit dhe sistemit të AFP-së</w:t>
            </w:r>
          </w:p>
        </w:tc>
        <w:tc>
          <w:tcPr>
            <w:tcW w:w="342" w:type="pct"/>
            <w:tcBorders>
              <w:top w:val="nil"/>
              <w:left w:val="nil"/>
              <w:bottom w:val="nil"/>
              <w:right w:val="single" w:sz="4" w:space="0" w:color="auto"/>
            </w:tcBorders>
            <w:shd w:val="clear" w:color="000000" w:fill="8EA9DB"/>
            <w:vAlign w:val="center"/>
            <w:hideMark/>
          </w:tcPr>
          <w:p w14:paraId="01BB006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8EA9DB"/>
            <w:vAlign w:val="center"/>
            <w:hideMark/>
          </w:tcPr>
          <w:p w14:paraId="01BB0065"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nil"/>
              <w:right w:val="single" w:sz="4" w:space="0" w:color="auto"/>
            </w:tcBorders>
            <w:shd w:val="clear" w:color="000000" w:fill="8EA9DB"/>
            <w:vAlign w:val="center"/>
            <w:hideMark/>
          </w:tcPr>
          <w:p w14:paraId="01BB0066"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8EA9DB"/>
            <w:vAlign w:val="center"/>
            <w:hideMark/>
          </w:tcPr>
          <w:p w14:paraId="01BB0067"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nil"/>
              <w:right w:val="single" w:sz="4" w:space="0" w:color="auto"/>
            </w:tcBorders>
            <w:shd w:val="clear" w:color="000000" w:fill="8EA9DB"/>
            <w:vAlign w:val="center"/>
            <w:hideMark/>
          </w:tcPr>
          <w:p w14:paraId="01BB0068"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8EA9DB"/>
            <w:vAlign w:val="center"/>
            <w:hideMark/>
          </w:tcPr>
          <w:p w14:paraId="01BB0069"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341,000,000 </w:t>
            </w:r>
          </w:p>
        </w:tc>
        <w:tc>
          <w:tcPr>
            <w:tcW w:w="778" w:type="pct"/>
            <w:tcBorders>
              <w:top w:val="nil"/>
              <w:left w:val="nil"/>
              <w:bottom w:val="single" w:sz="4" w:space="0" w:color="auto"/>
              <w:right w:val="single" w:sz="4" w:space="0" w:color="auto"/>
            </w:tcBorders>
            <w:shd w:val="clear" w:color="000000" w:fill="8EA9DB"/>
            <w:vAlign w:val="center"/>
            <w:hideMark/>
          </w:tcPr>
          <w:p w14:paraId="01BB006A"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306,000,000 </w:t>
            </w:r>
          </w:p>
        </w:tc>
        <w:tc>
          <w:tcPr>
            <w:tcW w:w="633" w:type="pct"/>
            <w:tcBorders>
              <w:top w:val="nil"/>
              <w:left w:val="nil"/>
              <w:bottom w:val="single" w:sz="4" w:space="0" w:color="auto"/>
              <w:right w:val="single" w:sz="4" w:space="0" w:color="auto"/>
            </w:tcBorders>
            <w:shd w:val="clear" w:color="000000" w:fill="8EA9DB"/>
            <w:vAlign w:val="center"/>
            <w:hideMark/>
          </w:tcPr>
          <w:p w14:paraId="01BB006B"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33,060,000 </w:t>
            </w:r>
          </w:p>
        </w:tc>
        <w:tc>
          <w:tcPr>
            <w:tcW w:w="676" w:type="pct"/>
            <w:tcBorders>
              <w:top w:val="nil"/>
              <w:left w:val="nil"/>
              <w:bottom w:val="single" w:sz="4" w:space="0" w:color="auto"/>
              <w:right w:val="single" w:sz="4" w:space="0" w:color="auto"/>
            </w:tcBorders>
            <w:shd w:val="clear" w:color="000000" w:fill="8EA9DB"/>
            <w:vAlign w:val="center"/>
            <w:hideMark/>
          </w:tcPr>
          <w:p w14:paraId="01BB006C"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1,940,000 </w:t>
            </w:r>
          </w:p>
        </w:tc>
      </w:tr>
      <w:tr w:rsidR="00FC285A" w:rsidRPr="000E152E" w14:paraId="01BB0079"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6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6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i produkteve digjitale në mënyrë të vazhdueshme, në shërbim të sistemit të AFP-së dhe Punësimit (inovacion dhe zgjidhje digjitale)</w:t>
            </w:r>
          </w:p>
        </w:tc>
        <w:tc>
          <w:tcPr>
            <w:tcW w:w="342" w:type="pct"/>
            <w:tcBorders>
              <w:top w:val="single" w:sz="4" w:space="0" w:color="auto"/>
              <w:left w:val="nil"/>
              <w:bottom w:val="single" w:sz="4" w:space="0" w:color="auto"/>
              <w:right w:val="single" w:sz="4" w:space="0" w:color="auto"/>
            </w:tcBorders>
            <w:shd w:val="clear" w:color="000000" w:fill="FFD579"/>
            <w:vAlign w:val="center"/>
            <w:hideMark/>
          </w:tcPr>
          <w:p w14:paraId="01BB007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 / 10550</w:t>
            </w:r>
          </w:p>
        </w:tc>
        <w:tc>
          <w:tcPr>
            <w:tcW w:w="302" w:type="pct"/>
            <w:tcBorders>
              <w:top w:val="nil"/>
              <w:left w:val="nil"/>
              <w:bottom w:val="single" w:sz="4" w:space="0" w:color="auto"/>
              <w:right w:val="single" w:sz="4" w:space="0" w:color="auto"/>
            </w:tcBorders>
            <w:shd w:val="clear" w:color="000000" w:fill="FFD579"/>
            <w:vAlign w:val="center"/>
            <w:hideMark/>
          </w:tcPr>
          <w:p w14:paraId="01BB007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single" w:sz="4" w:space="0" w:color="auto"/>
              <w:left w:val="nil"/>
              <w:bottom w:val="single" w:sz="4" w:space="0" w:color="auto"/>
              <w:right w:val="single" w:sz="4" w:space="0" w:color="auto"/>
            </w:tcBorders>
            <w:shd w:val="clear" w:color="000000" w:fill="FFD579"/>
            <w:vAlign w:val="center"/>
            <w:hideMark/>
          </w:tcPr>
          <w:p w14:paraId="01BB007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IoAFP, AKAFPK, MFE</w:t>
            </w:r>
          </w:p>
        </w:tc>
        <w:tc>
          <w:tcPr>
            <w:tcW w:w="276" w:type="pct"/>
            <w:tcBorders>
              <w:top w:val="nil"/>
              <w:left w:val="nil"/>
              <w:bottom w:val="single" w:sz="4" w:space="0" w:color="auto"/>
              <w:right w:val="single" w:sz="4" w:space="0" w:color="auto"/>
            </w:tcBorders>
            <w:shd w:val="clear" w:color="000000" w:fill="FFD579"/>
            <w:vAlign w:val="center"/>
            <w:hideMark/>
          </w:tcPr>
          <w:p w14:paraId="01BB007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single" w:sz="4" w:space="0" w:color="auto"/>
              <w:left w:val="nil"/>
              <w:bottom w:val="single" w:sz="4" w:space="0" w:color="auto"/>
              <w:right w:val="single" w:sz="4" w:space="0" w:color="auto"/>
            </w:tcBorders>
            <w:shd w:val="clear" w:color="000000" w:fill="FFD579"/>
            <w:vAlign w:val="center"/>
            <w:hideMark/>
          </w:tcPr>
          <w:p w14:paraId="01BB007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7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76" w14:textId="3251BA0B"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07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78" w14:textId="470395B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85"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7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7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i mëtejshëm i Sistemit të Informacionit të Menaxhimit të Punësimit</w:t>
            </w:r>
          </w:p>
        </w:tc>
        <w:tc>
          <w:tcPr>
            <w:tcW w:w="342" w:type="pct"/>
            <w:tcBorders>
              <w:top w:val="nil"/>
              <w:left w:val="nil"/>
              <w:bottom w:val="single" w:sz="4" w:space="0" w:color="auto"/>
              <w:right w:val="single" w:sz="4" w:space="0" w:color="auto"/>
            </w:tcBorders>
            <w:shd w:val="clear" w:color="000000" w:fill="FFD579"/>
            <w:vAlign w:val="center"/>
            <w:hideMark/>
          </w:tcPr>
          <w:p w14:paraId="01BB007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07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07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B007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FFD579"/>
            <w:vAlign w:val="center"/>
            <w:hideMark/>
          </w:tcPr>
          <w:p w14:paraId="01BB008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FFD579"/>
            <w:vAlign w:val="center"/>
            <w:hideMark/>
          </w:tcPr>
          <w:p w14:paraId="01BB008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158,000,000 </w:t>
            </w:r>
          </w:p>
        </w:tc>
        <w:tc>
          <w:tcPr>
            <w:tcW w:w="778" w:type="pct"/>
            <w:tcBorders>
              <w:top w:val="nil"/>
              <w:left w:val="nil"/>
              <w:bottom w:val="single" w:sz="4" w:space="0" w:color="auto"/>
              <w:right w:val="single" w:sz="4" w:space="0" w:color="auto"/>
            </w:tcBorders>
            <w:shd w:val="clear" w:color="000000" w:fill="FFD579"/>
            <w:vAlign w:val="center"/>
            <w:hideMark/>
          </w:tcPr>
          <w:p w14:paraId="01BB008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143,000,000 </w:t>
            </w:r>
          </w:p>
        </w:tc>
        <w:tc>
          <w:tcPr>
            <w:tcW w:w="633" w:type="pct"/>
            <w:tcBorders>
              <w:top w:val="nil"/>
              <w:left w:val="nil"/>
              <w:bottom w:val="single" w:sz="4" w:space="0" w:color="auto"/>
              <w:right w:val="single" w:sz="4" w:space="0" w:color="auto"/>
            </w:tcBorders>
            <w:shd w:val="clear" w:color="000000" w:fill="FFD579"/>
            <w:vAlign w:val="center"/>
            <w:hideMark/>
          </w:tcPr>
          <w:p w14:paraId="01BB008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13,200,000 </w:t>
            </w:r>
          </w:p>
        </w:tc>
        <w:tc>
          <w:tcPr>
            <w:tcW w:w="676" w:type="pct"/>
            <w:tcBorders>
              <w:top w:val="nil"/>
              <w:left w:val="nil"/>
              <w:bottom w:val="single" w:sz="4" w:space="0" w:color="auto"/>
              <w:right w:val="single" w:sz="4" w:space="0" w:color="auto"/>
            </w:tcBorders>
            <w:shd w:val="clear" w:color="000000" w:fill="FFD579"/>
            <w:vAlign w:val="center"/>
            <w:hideMark/>
          </w:tcPr>
          <w:p w14:paraId="01BB0084" w14:textId="30389A8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1,800,000 </w:t>
            </w:r>
          </w:p>
        </w:tc>
      </w:tr>
      <w:tr w:rsidR="00FC285A" w:rsidRPr="000E152E" w14:paraId="01BB0091"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8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8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Digjitalizimi i shërbimeve dhe zhvillimi i shërbimeve të reja digjitale për klientët e shërbimit të punësimit, si dhe ndërlidhjen e tyre me ofruesit e jashtëm </w:t>
            </w:r>
          </w:p>
        </w:tc>
        <w:tc>
          <w:tcPr>
            <w:tcW w:w="342" w:type="pct"/>
            <w:tcBorders>
              <w:top w:val="nil"/>
              <w:left w:val="nil"/>
              <w:bottom w:val="single" w:sz="4" w:space="0" w:color="auto"/>
              <w:right w:val="single" w:sz="4" w:space="0" w:color="auto"/>
            </w:tcBorders>
            <w:shd w:val="clear" w:color="000000" w:fill="FFD579"/>
            <w:vAlign w:val="center"/>
            <w:hideMark/>
          </w:tcPr>
          <w:p w14:paraId="01BB008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08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08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08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08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8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8E" w14:textId="2DA69E2C"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08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90" w14:textId="10AA1E7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9D"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9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9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dhe përmirësimi i vazhdueshëm i sistemit të menaxhimit të ofruesve të AFP-së</w:t>
            </w:r>
          </w:p>
        </w:tc>
        <w:tc>
          <w:tcPr>
            <w:tcW w:w="342" w:type="pct"/>
            <w:tcBorders>
              <w:top w:val="nil"/>
              <w:left w:val="nil"/>
              <w:bottom w:val="single" w:sz="4" w:space="0" w:color="auto"/>
              <w:right w:val="single" w:sz="4" w:space="0" w:color="auto"/>
            </w:tcBorders>
            <w:shd w:val="clear" w:color="000000" w:fill="FFD579"/>
            <w:vAlign w:val="center"/>
            <w:hideMark/>
          </w:tcPr>
          <w:p w14:paraId="01BB009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9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09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IoAFP, AKAFPK</w:t>
            </w:r>
          </w:p>
        </w:tc>
        <w:tc>
          <w:tcPr>
            <w:tcW w:w="276" w:type="pct"/>
            <w:tcBorders>
              <w:top w:val="nil"/>
              <w:left w:val="nil"/>
              <w:bottom w:val="single" w:sz="4" w:space="0" w:color="auto"/>
              <w:right w:val="single" w:sz="4" w:space="0" w:color="auto"/>
            </w:tcBorders>
            <w:shd w:val="clear" w:color="000000" w:fill="FFD579"/>
            <w:vAlign w:val="center"/>
            <w:hideMark/>
          </w:tcPr>
          <w:p w14:paraId="01BB009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09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4 2024</w:t>
            </w:r>
          </w:p>
        </w:tc>
        <w:tc>
          <w:tcPr>
            <w:tcW w:w="605" w:type="pct"/>
            <w:tcBorders>
              <w:top w:val="nil"/>
              <w:left w:val="nil"/>
              <w:bottom w:val="single" w:sz="4" w:space="0" w:color="auto"/>
              <w:right w:val="single" w:sz="4" w:space="0" w:color="auto"/>
            </w:tcBorders>
            <w:shd w:val="clear" w:color="000000" w:fill="FFD579"/>
            <w:vAlign w:val="center"/>
            <w:hideMark/>
          </w:tcPr>
          <w:p w14:paraId="01BB009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9A" w14:textId="74E5FEC4"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09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9C" w14:textId="437A428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A9"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9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9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i platformave online për lehtësimin e mësimit të </w:t>
            </w:r>
            <w:r w:rsidRPr="000E152E">
              <w:rPr>
                <w:rFonts w:ascii="Times New Roman" w:eastAsia="Times New Roman" w:hAnsi="Times New Roman"/>
                <w:color w:val="000000"/>
                <w:sz w:val="14"/>
                <w:szCs w:val="14"/>
                <w:lang w:eastAsia="sq-AL"/>
              </w:rPr>
              <w:lastRenderedPageBreak/>
              <w:t xml:space="preserve">kombinuar dhe mësimit online, për të rinj dhe të rritur </w:t>
            </w:r>
          </w:p>
        </w:tc>
        <w:tc>
          <w:tcPr>
            <w:tcW w:w="342" w:type="pct"/>
            <w:tcBorders>
              <w:top w:val="nil"/>
              <w:left w:val="nil"/>
              <w:bottom w:val="single" w:sz="4" w:space="0" w:color="auto"/>
              <w:right w:val="single" w:sz="4" w:space="0" w:color="auto"/>
            </w:tcBorders>
            <w:shd w:val="clear" w:color="000000" w:fill="FFD579"/>
            <w:vAlign w:val="center"/>
            <w:hideMark/>
          </w:tcPr>
          <w:p w14:paraId="01BB00A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B00A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A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B00A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B00A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B00A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90,000,000 </w:t>
            </w:r>
          </w:p>
        </w:tc>
        <w:tc>
          <w:tcPr>
            <w:tcW w:w="778" w:type="pct"/>
            <w:tcBorders>
              <w:top w:val="nil"/>
              <w:left w:val="nil"/>
              <w:bottom w:val="single" w:sz="4" w:space="0" w:color="auto"/>
              <w:right w:val="single" w:sz="4" w:space="0" w:color="auto"/>
            </w:tcBorders>
            <w:shd w:val="clear" w:color="000000" w:fill="FFD579"/>
            <w:vAlign w:val="center"/>
            <w:hideMark/>
          </w:tcPr>
          <w:p w14:paraId="01BB00A6" w14:textId="7EDD910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90,000,000 </w:t>
            </w:r>
          </w:p>
        </w:tc>
        <w:tc>
          <w:tcPr>
            <w:tcW w:w="633" w:type="pct"/>
            <w:tcBorders>
              <w:top w:val="nil"/>
              <w:left w:val="nil"/>
              <w:bottom w:val="single" w:sz="4" w:space="0" w:color="auto"/>
              <w:right w:val="single" w:sz="4" w:space="0" w:color="auto"/>
            </w:tcBorders>
            <w:shd w:val="clear" w:color="000000" w:fill="FFD579"/>
            <w:vAlign w:val="center"/>
            <w:hideMark/>
          </w:tcPr>
          <w:p w14:paraId="01BB00A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A8" w14:textId="4E815852"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B5"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A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A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Mbështetja e ofruesve të AFP-së me ngritje kapacitetesh institucionale dhe mësimdhënësve për zhvillim dhe përdorim të përmbajtjeve digjitale dhe mbështetje me infrastrukturën e nevojshme për përdorimin e tyre</w:t>
            </w:r>
          </w:p>
        </w:tc>
        <w:tc>
          <w:tcPr>
            <w:tcW w:w="342" w:type="pct"/>
            <w:tcBorders>
              <w:top w:val="nil"/>
              <w:left w:val="nil"/>
              <w:bottom w:val="single" w:sz="4" w:space="0" w:color="auto"/>
              <w:right w:val="single" w:sz="4" w:space="0" w:color="auto"/>
            </w:tcBorders>
            <w:shd w:val="clear" w:color="000000" w:fill="FFD579"/>
            <w:vAlign w:val="center"/>
            <w:hideMark/>
          </w:tcPr>
          <w:p w14:paraId="01BB00A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A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A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B00A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2024</w:t>
            </w:r>
          </w:p>
        </w:tc>
        <w:tc>
          <w:tcPr>
            <w:tcW w:w="329" w:type="pct"/>
            <w:tcBorders>
              <w:top w:val="nil"/>
              <w:left w:val="nil"/>
              <w:bottom w:val="single" w:sz="4" w:space="0" w:color="auto"/>
              <w:right w:val="single" w:sz="4" w:space="0" w:color="auto"/>
            </w:tcBorders>
            <w:shd w:val="clear" w:color="000000" w:fill="FFD579"/>
            <w:vAlign w:val="center"/>
            <w:hideMark/>
          </w:tcPr>
          <w:p w14:paraId="01BB00B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B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23,000,000 </w:t>
            </w:r>
          </w:p>
        </w:tc>
        <w:tc>
          <w:tcPr>
            <w:tcW w:w="778" w:type="pct"/>
            <w:tcBorders>
              <w:top w:val="nil"/>
              <w:left w:val="nil"/>
              <w:bottom w:val="single" w:sz="4" w:space="0" w:color="auto"/>
              <w:right w:val="single" w:sz="4" w:space="0" w:color="auto"/>
            </w:tcBorders>
            <w:shd w:val="clear" w:color="000000" w:fill="FFD579"/>
            <w:vAlign w:val="center"/>
            <w:hideMark/>
          </w:tcPr>
          <w:p w14:paraId="01BB00B2" w14:textId="0D0E990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3,000,000 </w:t>
            </w:r>
          </w:p>
        </w:tc>
        <w:tc>
          <w:tcPr>
            <w:tcW w:w="633" w:type="pct"/>
            <w:tcBorders>
              <w:top w:val="nil"/>
              <w:left w:val="nil"/>
              <w:bottom w:val="single" w:sz="4" w:space="0" w:color="auto"/>
              <w:right w:val="single" w:sz="4" w:space="0" w:color="auto"/>
            </w:tcBorders>
            <w:shd w:val="clear" w:color="000000" w:fill="FFD579"/>
            <w:vAlign w:val="center"/>
            <w:hideMark/>
          </w:tcPr>
          <w:p w14:paraId="01BB00B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19,860,000 </w:t>
            </w:r>
          </w:p>
        </w:tc>
        <w:tc>
          <w:tcPr>
            <w:tcW w:w="676" w:type="pct"/>
            <w:tcBorders>
              <w:top w:val="nil"/>
              <w:left w:val="nil"/>
              <w:bottom w:val="single" w:sz="4" w:space="0" w:color="auto"/>
              <w:right w:val="single" w:sz="4" w:space="0" w:color="auto"/>
            </w:tcBorders>
            <w:shd w:val="clear" w:color="000000" w:fill="FFD579"/>
            <w:vAlign w:val="center"/>
            <w:hideMark/>
          </w:tcPr>
          <w:p w14:paraId="01BB00B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140,000 </w:t>
            </w:r>
          </w:p>
        </w:tc>
      </w:tr>
      <w:tr w:rsidR="00FC285A" w:rsidRPr="000E152E" w14:paraId="01BB00C1"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B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B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dhe zbatimi gradual i të nxënit dhe mësimdhënies së kombinuar, sipas produkteve digjitale të zhvilluar në të gjithë ofruesit e AFP-së</w:t>
            </w:r>
          </w:p>
        </w:tc>
        <w:tc>
          <w:tcPr>
            <w:tcW w:w="342" w:type="pct"/>
            <w:tcBorders>
              <w:top w:val="nil"/>
              <w:left w:val="nil"/>
              <w:bottom w:val="single" w:sz="4" w:space="0" w:color="auto"/>
              <w:right w:val="single" w:sz="4" w:space="0" w:color="auto"/>
            </w:tcBorders>
            <w:shd w:val="clear" w:color="000000" w:fill="FFD579"/>
            <w:vAlign w:val="center"/>
            <w:hideMark/>
          </w:tcPr>
          <w:p w14:paraId="01BB00B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B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IoAFP</w:t>
            </w:r>
          </w:p>
        </w:tc>
        <w:tc>
          <w:tcPr>
            <w:tcW w:w="331" w:type="pct"/>
            <w:tcBorders>
              <w:top w:val="nil"/>
              <w:left w:val="nil"/>
              <w:bottom w:val="single" w:sz="4" w:space="0" w:color="auto"/>
              <w:right w:val="single" w:sz="4" w:space="0" w:color="auto"/>
            </w:tcBorders>
            <w:shd w:val="clear" w:color="000000" w:fill="FFD579"/>
            <w:vAlign w:val="center"/>
            <w:hideMark/>
          </w:tcPr>
          <w:p w14:paraId="01BB00B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 AKPA</w:t>
            </w:r>
          </w:p>
        </w:tc>
        <w:tc>
          <w:tcPr>
            <w:tcW w:w="276" w:type="pct"/>
            <w:tcBorders>
              <w:top w:val="nil"/>
              <w:left w:val="nil"/>
              <w:bottom w:val="single" w:sz="4" w:space="0" w:color="auto"/>
              <w:right w:val="single" w:sz="4" w:space="0" w:color="auto"/>
            </w:tcBorders>
            <w:shd w:val="clear" w:color="000000" w:fill="FFD579"/>
            <w:vAlign w:val="center"/>
            <w:hideMark/>
          </w:tcPr>
          <w:p w14:paraId="01BB00B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B00B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B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0BE" w14:textId="5A24F98F"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0B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C0" w14:textId="072764E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CD" w14:textId="77777777" w:rsidTr="00FC285A">
        <w:trPr>
          <w:trHeight w:val="180"/>
        </w:trPr>
        <w:tc>
          <w:tcPr>
            <w:tcW w:w="287" w:type="pct"/>
            <w:tcBorders>
              <w:top w:val="nil"/>
              <w:left w:val="single" w:sz="4" w:space="0" w:color="auto"/>
              <w:bottom w:val="nil"/>
              <w:right w:val="single" w:sz="4" w:space="0" w:color="auto"/>
            </w:tcBorders>
            <w:shd w:val="clear" w:color="000000" w:fill="FFD579"/>
            <w:vAlign w:val="center"/>
            <w:hideMark/>
          </w:tcPr>
          <w:p w14:paraId="01BB00C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0C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Konsolidimi dhe zgjerimi platformës digjitale për garantimin e cilësisë në AFP </w:t>
            </w:r>
          </w:p>
        </w:tc>
        <w:tc>
          <w:tcPr>
            <w:tcW w:w="342" w:type="pct"/>
            <w:tcBorders>
              <w:top w:val="nil"/>
              <w:left w:val="nil"/>
              <w:bottom w:val="single" w:sz="4" w:space="0" w:color="auto"/>
              <w:right w:val="single" w:sz="4" w:space="0" w:color="auto"/>
            </w:tcBorders>
            <w:shd w:val="clear" w:color="000000" w:fill="FFD579"/>
            <w:vAlign w:val="center"/>
            <w:hideMark/>
          </w:tcPr>
          <w:p w14:paraId="01BB00C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0C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C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AKPA</w:t>
            </w:r>
          </w:p>
        </w:tc>
        <w:tc>
          <w:tcPr>
            <w:tcW w:w="276" w:type="pct"/>
            <w:tcBorders>
              <w:top w:val="nil"/>
              <w:left w:val="nil"/>
              <w:bottom w:val="single" w:sz="4" w:space="0" w:color="auto"/>
              <w:right w:val="single" w:sz="4" w:space="0" w:color="auto"/>
            </w:tcBorders>
            <w:shd w:val="clear" w:color="000000" w:fill="FFD579"/>
            <w:vAlign w:val="center"/>
            <w:hideMark/>
          </w:tcPr>
          <w:p w14:paraId="01BB00C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TM3 2023</w:t>
            </w:r>
          </w:p>
        </w:tc>
        <w:tc>
          <w:tcPr>
            <w:tcW w:w="329" w:type="pct"/>
            <w:tcBorders>
              <w:top w:val="nil"/>
              <w:left w:val="nil"/>
              <w:bottom w:val="single" w:sz="4" w:space="0" w:color="auto"/>
              <w:right w:val="single" w:sz="4" w:space="0" w:color="auto"/>
            </w:tcBorders>
            <w:shd w:val="clear" w:color="000000" w:fill="FFD579"/>
            <w:vAlign w:val="center"/>
            <w:hideMark/>
          </w:tcPr>
          <w:p w14:paraId="01BB00C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0C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70,000,000 </w:t>
            </w:r>
          </w:p>
        </w:tc>
        <w:tc>
          <w:tcPr>
            <w:tcW w:w="778" w:type="pct"/>
            <w:tcBorders>
              <w:top w:val="nil"/>
              <w:left w:val="nil"/>
              <w:bottom w:val="single" w:sz="4" w:space="0" w:color="auto"/>
              <w:right w:val="single" w:sz="4" w:space="0" w:color="auto"/>
            </w:tcBorders>
            <w:shd w:val="clear" w:color="000000" w:fill="FFD579"/>
            <w:vAlign w:val="center"/>
            <w:hideMark/>
          </w:tcPr>
          <w:p w14:paraId="01BB00CA" w14:textId="2D29294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70,000,000 </w:t>
            </w:r>
          </w:p>
        </w:tc>
        <w:tc>
          <w:tcPr>
            <w:tcW w:w="633" w:type="pct"/>
            <w:tcBorders>
              <w:top w:val="nil"/>
              <w:left w:val="nil"/>
              <w:bottom w:val="single" w:sz="4" w:space="0" w:color="auto"/>
              <w:right w:val="single" w:sz="4" w:space="0" w:color="auto"/>
            </w:tcBorders>
            <w:shd w:val="clear" w:color="000000" w:fill="FFD579"/>
            <w:vAlign w:val="center"/>
            <w:hideMark/>
          </w:tcPr>
          <w:p w14:paraId="01BB00C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CC" w14:textId="5594293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0D9" w14:textId="77777777" w:rsidTr="00FC285A">
        <w:trPr>
          <w:trHeight w:val="180"/>
        </w:trPr>
        <w:tc>
          <w:tcPr>
            <w:tcW w:w="287" w:type="pct"/>
            <w:tcBorders>
              <w:top w:val="nil"/>
              <w:left w:val="single" w:sz="4" w:space="0" w:color="auto"/>
              <w:bottom w:val="nil"/>
              <w:right w:val="single" w:sz="4" w:space="0" w:color="auto"/>
            </w:tcBorders>
            <w:shd w:val="clear" w:color="000000" w:fill="8EA9DB"/>
            <w:vAlign w:val="center"/>
            <w:hideMark/>
          </w:tcPr>
          <w:p w14:paraId="01BB00CE"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single" w:sz="4" w:space="0" w:color="auto"/>
            </w:tcBorders>
            <w:shd w:val="clear" w:color="000000" w:fill="8EA9DB"/>
            <w:vAlign w:val="center"/>
            <w:hideMark/>
          </w:tcPr>
          <w:p w14:paraId="01BB00C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1.3.2. Krijimi i sistemit të inteligjencës së aftësive që prodhon sinjale të rregullta për tregun e punës dhe AFP-në</w:t>
            </w:r>
          </w:p>
        </w:tc>
        <w:tc>
          <w:tcPr>
            <w:tcW w:w="342" w:type="pct"/>
            <w:tcBorders>
              <w:top w:val="nil"/>
              <w:left w:val="nil"/>
              <w:bottom w:val="single" w:sz="4" w:space="0" w:color="auto"/>
              <w:right w:val="single" w:sz="4" w:space="0" w:color="auto"/>
            </w:tcBorders>
            <w:shd w:val="clear" w:color="000000" w:fill="8EA9DB"/>
            <w:vAlign w:val="center"/>
            <w:hideMark/>
          </w:tcPr>
          <w:p w14:paraId="01BB00D0"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nil"/>
              <w:right w:val="single" w:sz="4" w:space="0" w:color="auto"/>
            </w:tcBorders>
            <w:shd w:val="clear" w:color="000000" w:fill="8EA9DB"/>
            <w:vAlign w:val="center"/>
            <w:hideMark/>
          </w:tcPr>
          <w:p w14:paraId="01BB00D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8EA9DB"/>
            <w:vAlign w:val="center"/>
            <w:hideMark/>
          </w:tcPr>
          <w:p w14:paraId="01BB00D2"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nil"/>
              <w:right w:val="single" w:sz="4" w:space="0" w:color="auto"/>
            </w:tcBorders>
            <w:shd w:val="clear" w:color="000000" w:fill="8EA9DB"/>
            <w:vAlign w:val="center"/>
            <w:hideMark/>
          </w:tcPr>
          <w:p w14:paraId="01BB00D3"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8EA9DB"/>
            <w:vAlign w:val="center"/>
            <w:hideMark/>
          </w:tcPr>
          <w:p w14:paraId="01BB00D4"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8EA9DB"/>
            <w:vAlign w:val="center"/>
            <w:hideMark/>
          </w:tcPr>
          <w:p w14:paraId="01BB00D5"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206,400,000 </w:t>
            </w:r>
          </w:p>
        </w:tc>
        <w:tc>
          <w:tcPr>
            <w:tcW w:w="778" w:type="pct"/>
            <w:tcBorders>
              <w:top w:val="nil"/>
              <w:left w:val="nil"/>
              <w:bottom w:val="single" w:sz="4" w:space="0" w:color="auto"/>
              <w:right w:val="single" w:sz="4" w:space="0" w:color="auto"/>
            </w:tcBorders>
            <w:shd w:val="clear" w:color="000000" w:fill="8EA9DB"/>
            <w:vAlign w:val="center"/>
            <w:hideMark/>
          </w:tcPr>
          <w:p w14:paraId="01BB00D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28,800,000 </w:t>
            </w:r>
          </w:p>
        </w:tc>
        <w:tc>
          <w:tcPr>
            <w:tcW w:w="633" w:type="pct"/>
            <w:tcBorders>
              <w:top w:val="nil"/>
              <w:left w:val="nil"/>
              <w:bottom w:val="single" w:sz="4" w:space="0" w:color="auto"/>
              <w:right w:val="single" w:sz="4" w:space="0" w:color="auto"/>
            </w:tcBorders>
            <w:shd w:val="clear" w:color="000000" w:fill="8EA9DB"/>
            <w:vAlign w:val="center"/>
            <w:hideMark/>
          </w:tcPr>
          <w:p w14:paraId="01BB00D7"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6,600,000 </w:t>
            </w:r>
          </w:p>
        </w:tc>
        <w:tc>
          <w:tcPr>
            <w:tcW w:w="676" w:type="pct"/>
            <w:tcBorders>
              <w:top w:val="nil"/>
              <w:left w:val="nil"/>
              <w:bottom w:val="single" w:sz="4" w:space="0" w:color="auto"/>
              <w:right w:val="single" w:sz="4" w:space="0" w:color="auto"/>
            </w:tcBorders>
            <w:shd w:val="clear" w:color="000000" w:fill="8EA9DB"/>
            <w:vAlign w:val="center"/>
            <w:hideMark/>
          </w:tcPr>
          <w:p w14:paraId="01BB00D8"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171,000,000 </w:t>
            </w:r>
          </w:p>
        </w:tc>
      </w:tr>
      <w:tr w:rsidR="00FC285A" w:rsidRPr="000E152E" w14:paraId="01BB00E5" w14:textId="77777777" w:rsidTr="00FC285A">
        <w:trPr>
          <w:trHeight w:val="180"/>
        </w:trPr>
        <w:tc>
          <w:tcPr>
            <w:tcW w:w="287" w:type="pct"/>
            <w:vMerge w:val="restart"/>
            <w:tcBorders>
              <w:top w:val="single" w:sz="4" w:space="0" w:color="auto"/>
              <w:left w:val="single" w:sz="4" w:space="0" w:color="auto"/>
              <w:bottom w:val="single" w:sz="4" w:space="0" w:color="000000"/>
              <w:right w:val="single" w:sz="4" w:space="0" w:color="auto"/>
            </w:tcBorders>
            <w:shd w:val="clear" w:color="000000" w:fill="FFD579"/>
            <w:vAlign w:val="center"/>
            <w:hideMark/>
          </w:tcPr>
          <w:p w14:paraId="01BB00D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B00D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dhe zbatimi i Observatorit i Informacionit të Tregut të Punës (OITP)</w:t>
            </w:r>
          </w:p>
        </w:tc>
        <w:tc>
          <w:tcPr>
            <w:tcW w:w="342" w:type="pct"/>
            <w:tcBorders>
              <w:top w:val="nil"/>
              <w:left w:val="nil"/>
              <w:bottom w:val="single" w:sz="4" w:space="0" w:color="auto"/>
              <w:right w:val="single" w:sz="4" w:space="0" w:color="auto"/>
            </w:tcBorders>
            <w:shd w:val="clear" w:color="000000" w:fill="FFD579"/>
            <w:vAlign w:val="center"/>
            <w:hideMark/>
          </w:tcPr>
          <w:p w14:paraId="01BB00D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single" w:sz="4" w:space="0" w:color="auto"/>
              <w:left w:val="nil"/>
              <w:bottom w:val="single" w:sz="4" w:space="0" w:color="auto"/>
              <w:right w:val="single" w:sz="4" w:space="0" w:color="auto"/>
            </w:tcBorders>
            <w:shd w:val="clear" w:color="000000" w:fill="FFD579"/>
            <w:vAlign w:val="center"/>
            <w:hideMark/>
          </w:tcPr>
          <w:p w14:paraId="01BB00D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0D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MFE, AKAFPK, INSTAT </w:t>
            </w:r>
          </w:p>
        </w:tc>
        <w:tc>
          <w:tcPr>
            <w:tcW w:w="276" w:type="pct"/>
            <w:tcBorders>
              <w:top w:val="single" w:sz="4" w:space="0" w:color="auto"/>
              <w:left w:val="nil"/>
              <w:bottom w:val="single" w:sz="4" w:space="0" w:color="auto"/>
              <w:right w:val="single" w:sz="4" w:space="0" w:color="auto"/>
            </w:tcBorders>
            <w:shd w:val="clear" w:color="000000" w:fill="FFD579"/>
            <w:vAlign w:val="center"/>
            <w:hideMark/>
          </w:tcPr>
          <w:p w14:paraId="01BB00D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0E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B00E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57,600,000 </w:t>
            </w:r>
          </w:p>
        </w:tc>
        <w:tc>
          <w:tcPr>
            <w:tcW w:w="778" w:type="pct"/>
            <w:tcBorders>
              <w:top w:val="nil"/>
              <w:left w:val="nil"/>
              <w:bottom w:val="single" w:sz="4" w:space="0" w:color="auto"/>
              <w:right w:val="single" w:sz="4" w:space="0" w:color="auto"/>
            </w:tcBorders>
            <w:shd w:val="clear" w:color="000000" w:fill="FFD579"/>
            <w:vAlign w:val="center"/>
            <w:hideMark/>
          </w:tcPr>
          <w:p w14:paraId="01BB00E2" w14:textId="014BF08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28,800,000 </w:t>
            </w:r>
          </w:p>
        </w:tc>
        <w:tc>
          <w:tcPr>
            <w:tcW w:w="633" w:type="pct"/>
            <w:tcBorders>
              <w:top w:val="nil"/>
              <w:left w:val="nil"/>
              <w:bottom w:val="single" w:sz="4" w:space="0" w:color="auto"/>
              <w:right w:val="single" w:sz="4" w:space="0" w:color="auto"/>
            </w:tcBorders>
            <w:shd w:val="clear" w:color="000000" w:fill="FFD579"/>
            <w:vAlign w:val="center"/>
            <w:hideMark/>
          </w:tcPr>
          <w:p w14:paraId="01BB00E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E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28,800,000 </w:t>
            </w:r>
          </w:p>
        </w:tc>
      </w:tr>
      <w:tr w:rsidR="00FC285A" w:rsidRPr="000E152E" w14:paraId="01BB00F1" w14:textId="77777777" w:rsidTr="00FC285A">
        <w:trPr>
          <w:trHeight w:val="180"/>
        </w:trPr>
        <w:tc>
          <w:tcPr>
            <w:tcW w:w="287" w:type="pct"/>
            <w:vMerge/>
            <w:tcBorders>
              <w:top w:val="single" w:sz="4" w:space="0" w:color="auto"/>
              <w:left w:val="single" w:sz="4" w:space="0" w:color="auto"/>
              <w:bottom w:val="single" w:sz="4" w:space="0" w:color="000000"/>
              <w:right w:val="single" w:sz="4" w:space="0" w:color="auto"/>
            </w:tcBorders>
            <w:vAlign w:val="center"/>
            <w:hideMark/>
          </w:tcPr>
          <w:p w14:paraId="01BB00E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E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i një instrumenti për parashikimin afatgjatë të aftësive</w:t>
            </w:r>
          </w:p>
        </w:tc>
        <w:tc>
          <w:tcPr>
            <w:tcW w:w="342" w:type="pct"/>
            <w:tcBorders>
              <w:top w:val="nil"/>
              <w:left w:val="nil"/>
              <w:bottom w:val="single" w:sz="4" w:space="0" w:color="auto"/>
              <w:right w:val="single" w:sz="4" w:space="0" w:color="auto"/>
            </w:tcBorders>
            <w:shd w:val="clear" w:color="000000" w:fill="FFD579"/>
            <w:vAlign w:val="center"/>
            <w:hideMark/>
          </w:tcPr>
          <w:p w14:paraId="01BB00E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0E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0E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AKAFPK</w:t>
            </w:r>
          </w:p>
        </w:tc>
        <w:tc>
          <w:tcPr>
            <w:tcW w:w="276" w:type="pct"/>
            <w:tcBorders>
              <w:top w:val="nil"/>
              <w:left w:val="nil"/>
              <w:bottom w:val="single" w:sz="4" w:space="0" w:color="auto"/>
              <w:right w:val="single" w:sz="4" w:space="0" w:color="auto"/>
            </w:tcBorders>
            <w:shd w:val="clear" w:color="000000" w:fill="FFD579"/>
            <w:vAlign w:val="center"/>
            <w:hideMark/>
          </w:tcPr>
          <w:p w14:paraId="01BB00E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0E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B00ED" w14:textId="2E469C9B"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10,800,000 </w:t>
            </w:r>
          </w:p>
        </w:tc>
        <w:tc>
          <w:tcPr>
            <w:tcW w:w="778" w:type="pct"/>
            <w:tcBorders>
              <w:top w:val="nil"/>
              <w:left w:val="nil"/>
              <w:bottom w:val="single" w:sz="4" w:space="0" w:color="auto"/>
              <w:right w:val="single" w:sz="4" w:space="0" w:color="auto"/>
            </w:tcBorders>
            <w:shd w:val="clear" w:color="000000" w:fill="FFD579"/>
            <w:vAlign w:val="center"/>
            <w:hideMark/>
          </w:tcPr>
          <w:p w14:paraId="01BB00E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E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0F0" w14:textId="2AA01C0D"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10,800,000 </w:t>
            </w:r>
          </w:p>
        </w:tc>
      </w:tr>
      <w:tr w:rsidR="00FC285A" w:rsidRPr="000E152E" w14:paraId="01BB00FD" w14:textId="77777777" w:rsidTr="00FC285A">
        <w:trPr>
          <w:trHeight w:val="180"/>
        </w:trPr>
        <w:tc>
          <w:tcPr>
            <w:tcW w:w="287" w:type="pct"/>
            <w:vMerge/>
            <w:tcBorders>
              <w:top w:val="single" w:sz="4" w:space="0" w:color="auto"/>
              <w:left w:val="single" w:sz="4" w:space="0" w:color="auto"/>
              <w:bottom w:val="single" w:sz="4" w:space="0" w:color="000000"/>
              <w:right w:val="single" w:sz="4" w:space="0" w:color="auto"/>
            </w:tcBorders>
            <w:vAlign w:val="center"/>
            <w:hideMark/>
          </w:tcPr>
          <w:p w14:paraId="01BB00F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0F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i analizave </w:t>
            </w:r>
            <w:r w:rsidRPr="000E152E">
              <w:rPr>
                <w:rFonts w:ascii="Times New Roman" w:eastAsia="Times New Roman" w:hAnsi="Times New Roman"/>
                <w:color w:val="000000"/>
                <w:sz w:val="14"/>
                <w:szCs w:val="14"/>
                <w:lang w:eastAsia="sq-AL"/>
              </w:rPr>
              <w:lastRenderedPageBreak/>
              <w:t>sektoriale me kërkesën e Komiteteve Sektoriale</w:t>
            </w:r>
          </w:p>
        </w:tc>
        <w:tc>
          <w:tcPr>
            <w:tcW w:w="342" w:type="pct"/>
            <w:tcBorders>
              <w:top w:val="nil"/>
              <w:left w:val="nil"/>
              <w:bottom w:val="single" w:sz="4" w:space="0" w:color="auto"/>
              <w:right w:val="single" w:sz="4" w:space="0" w:color="auto"/>
            </w:tcBorders>
            <w:shd w:val="clear" w:color="000000" w:fill="FFD579"/>
            <w:vAlign w:val="center"/>
            <w:hideMark/>
          </w:tcPr>
          <w:p w14:paraId="01BB00F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9240</w:t>
            </w:r>
          </w:p>
        </w:tc>
        <w:tc>
          <w:tcPr>
            <w:tcW w:w="302" w:type="pct"/>
            <w:tcBorders>
              <w:top w:val="nil"/>
              <w:left w:val="nil"/>
              <w:bottom w:val="single" w:sz="4" w:space="0" w:color="auto"/>
              <w:right w:val="single" w:sz="4" w:space="0" w:color="auto"/>
            </w:tcBorders>
            <w:shd w:val="clear" w:color="000000" w:fill="FFD579"/>
            <w:vAlign w:val="center"/>
            <w:hideMark/>
          </w:tcPr>
          <w:p w14:paraId="01BB00F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0F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MFE</w:t>
            </w:r>
          </w:p>
        </w:tc>
        <w:tc>
          <w:tcPr>
            <w:tcW w:w="276" w:type="pct"/>
            <w:tcBorders>
              <w:top w:val="nil"/>
              <w:left w:val="nil"/>
              <w:bottom w:val="single" w:sz="4" w:space="0" w:color="auto"/>
              <w:right w:val="single" w:sz="4" w:space="0" w:color="auto"/>
            </w:tcBorders>
            <w:shd w:val="clear" w:color="000000" w:fill="FFD579"/>
            <w:vAlign w:val="center"/>
            <w:hideMark/>
          </w:tcPr>
          <w:p w14:paraId="01BB00F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0F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0F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126,000,000 </w:t>
            </w:r>
          </w:p>
        </w:tc>
        <w:tc>
          <w:tcPr>
            <w:tcW w:w="778" w:type="pct"/>
            <w:tcBorders>
              <w:top w:val="nil"/>
              <w:left w:val="nil"/>
              <w:bottom w:val="single" w:sz="4" w:space="0" w:color="auto"/>
              <w:right w:val="single" w:sz="4" w:space="0" w:color="auto"/>
            </w:tcBorders>
            <w:shd w:val="clear" w:color="000000" w:fill="FFD579"/>
            <w:vAlign w:val="center"/>
            <w:hideMark/>
          </w:tcPr>
          <w:p w14:paraId="01BB00F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0F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6,600,000 </w:t>
            </w:r>
          </w:p>
        </w:tc>
        <w:tc>
          <w:tcPr>
            <w:tcW w:w="676" w:type="pct"/>
            <w:tcBorders>
              <w:top w:val="nil"/>
              <w:left w:val="nil"/>
              <w:bottom w:val="single" w:sz="4" w:space="0" w:color="auto"/>
              <w:right w:val="single" w:sz="4" w:space="0" w:color="auto"/>
            </w:tcBorders>
            <w:shd w:val="clear" w:color="000000" w:fill="FFD579"/>
            <w:vAlign w:val="center"/>
            <w:hideMark/>
          </w:tcPr>
          <w:p w14:paraId="01BB00F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119,400,000 </w:t>
            </w:r>
          </w:p>
        </w:tc>
      </w:tr>
      <w:tr w:rsidR="00FC285A" w:rsidRPr="000E152E" w14:paraId="01BB0109" w14:textId="77777777" w:rsidTr="00FC285A">
        <w:trPr>
          <w:trHeight w:val="180"/>
        </w:trPr>
        <w:tc>
          <w:tcPr>
            <w:tcW w:w="287" w:type="pct"/>
            <w:vMerge/>
            <w:tcBorders>
              <w:top w:val="single" w:sz="4" w:space="0" w:color="auto"/>
              <w:left w:val="single" w:sz="4" w:space="0" w:color="auto"/>
              <w:bottom w:val="single" w:sz="4" w:space="0" w:color="000000"/>
              <w:right w:val="single" w:sz="4" w:space="0" w:color="auto"/>
            </w:tcBorders>
            <w:vAlign w:val="center"/>
            <w:hideMark/>
          </w:tcPr>
          <w:p w14:paraId="01BB00F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nil"/>
              <w:right w:val="nil"/>
            </w:tcBorders>
            <w:shd w:val="clear" w:color="000000" w:fill="FFD579"/>
            <w:vAlign w:val="center"/>
            <w:hideMark/>
          </w:tcPr>
          <w:p w14:paraId="01BB00F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dhe kryerja e analizave kombëtare dhe rajonale për aftësitë e kërkuara nga tregu i punës, çdo dy vjet</w:t>
            </w:r>
          </w:p>
        </w:tc>
        <w:tc>
          <w:tcPr>
            <w:tcW w:w="342" w:type="pct"/>
            <w:tcBorders>
              <w:top w:val="nil"/>
              <w:left w:val="single" w:sz="4" w:space="0" w:color="auto"/>
              <w:bottom w:val="single" w:sz="4" w:space="0" w:color="auto"/>
              <w:right w:val="single" w:sz="4" w:space="0" w:color="auto"/>
            </w:tcBorders>
            <w:shd w:val="clear" w:color="000000" w:fill="FFD579"/>
            <w:vAlign w:val="center"/>
            <w:hideMark/>
          </w:tcPr>
          <w:p w14:paraId="01BB010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0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0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MFE, AKAFPK, INSTAT </w:t>
            </w:r>
          </w:p>
        </w:tc>
        <w:tc>
          <w:tcPr>
            <w:tcW w:w="276" w:type="pct"/>
            <w:tcBorders>
              <w:top w:val="nil"/>
              <w:left w:val="nil"/>
              <w:bottom w:val="single" w:sz="4" w:space="0" w:color="auto"/>
              <w:right w:val="single" w:sz="4" w:space="0" w:color="auto"/>
            </w:tcBorders>
            <w:shd w:val="clear" w:color="000000" w:fill="FFD579"/>
            <w:vAlign w:val="center"/>
            <w:hideMark/>
          </w:tcPr>
          <w:p w14:paraId="01BB010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0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05" w14:textId="2EB725D1"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12,000,000 </w:t>
            </w:r>
          </w:p>
        </w:tc>
        <w:tc>
          <w:tcPr>
            <w:tcW w:w="778" w:type="pct"/>
            <w:tcBorders>
              <w:top w:val="nil"/>
              <w:left w:val="nil"/>
              <w:bottom w:val="single" w:sz="4" w:space="0" w:color="auto"/>
              <w:right w:val="single" w:sz="4" w:space="0" w:color="auto"/>
            </w:tcBorders>
            <w:shd w:val="clear" w:color="000000" w:fill="FFD579"/>
            <w:vAlign w:val="center"/>
            <w:hideMark/>
          </w:tcPr>
          <w:p w14:paraId="01BB010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0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08" w14:textId="082217F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12,000,000 </w:t>
            </w:r>
          </w:p>
        </w:tc>
      </w:tr>
      <w:tr w:rsidR="00FC285A" w:rsidRPr="000E152E" w14:paraId="01BB0115"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8EA9DB"/>
            <w:vAlign w:val="center"/>
            <w:hideMark/>
          </w:tcPr>
          <w:p w14:paraId="01BB010A"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nil"/>
            </w:tcBorders>
            <w:shd w:val="clear" w:color="000000" w:fill="8EA9DB"/>
            <w:vAlign w:val="center"/>
            <w:hideMark/>
          </w:tcPr>
          <w:p w14:paraId="01BB010B"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1.3.3. Konsolidimi dhe zgjerimi i shërbimeve për punëdhënësit dhe punëkërkuesit si dhe përshtatja e vazhdueshme e tyre bazuar në praktikat e monitorimit dhe vlerësimit </w:t>
            </w:r>
          </w:p>
        </w:tc>
        <w:tc>
          <w:tcPr>
            <w:tcW w:w="342" w:type="pct"/>
            <w:tcBorders>
              <w:top w:val="nil"/>
              <w:left w:val="single" w:sz="4" w:space="0" w:color="auto"/>
              <w:bottom w:val="single" w:sz="4" w:space="0" w:color="auto"/>
              <w:right w:val="single" w:sz="4" w:space="0" w:color="auto"/>
            </w:tcBorders>
            <w:shd w:val="clear" w:color="000000" w:fill="8EA9DB"/>
            <w:vAlign w:val="center"/>
            <w:hideMark/>
          </w:tcPr>
          <w:p w14:paraId="01BB010C"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8EA9DB"/>
            <w:vAlign w:val="center"/>
            <w:hideMark/>
          </w:tcPr>
          <w:p w14:paraId="01BB010D"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8EA9DB"/>
            <w:vAlign w:val="center"/>
            <w:hideMark/>
          </w:tcPr>
          <w:p w14:paraId="01BB010E"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8EA9DB"/>
            <w:vAlign w:val="center"/>
            <w:hideMark/>
          </w:tcPr>
          <w:p w14:paraId="01BB010F"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8EA9DB"/>
            <w:vAlign w:val="center"/>
            <w:hideMark/>
          </w:tcPr>
          <w:p w14:paraId="01BB011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8EA9DB"/>
            <w:vAlign w:val="center"/>
            <w:hideMark/>
          </w:tcPr>
          <w:p w14:paraId="01BB0111"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1,658,978,504 </w:t>
            </w:r>
          </w:p>
        </w:tc>
        <w:tc>
          <w:tcPr>
            <w:tcW w:w="778" w:type="pct"/>
            <w:tcBorders>
              <w:top w:val="nil"/>
              <w:left w:val="nil"/>
              <w:bottom w:val="single" w:sz="4" w:space="0" w:color="auto"/>
              <w:right w:val="single" w:sz="4" w:space="0" w:color="auto"/>
            </w:tcBorders>
            <w:shd w:val="clear" w:color="000000" w:fill="8EA9DB"/>
            <w:vAlign w:val="center"/>
            <w:hideMark/>
          </w:tcPr>
          <w:p w14:paraId="01BB0112"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1,338,363,120 </w:t>
            </w:r>
          </w:p>
        </w:tc>
        <w:tc>
          <w:tcPr>
            <w:tcW w:w="633" w:type="pct"/>
            <w:tcBorders>
              <w:top w:val="nil"/>
              <w:left w:val="nil"/>
              <w:bottom w:val="single" w:sz="4" w:space="0" w:color="auto"/>
              <w:right w:val="single" w:sz="4" w:space="0" w:color="auto"/>
            </w:tcBorders>
            <w:shd w:val="clear" w:color="000000" w:fill="8EA9DB"/>
            <w:vAlign w:val="center"/>
            <w:hideMark/>
          </w:tcPr>
          <w:p w14:paraId="01BB0113"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31,800,000 </w:t>
            </w:r>
          </w:p>
        </w:tc>
        <w:tc>
          <w:tcPr>
            <w:tcW w:w="676" w:type="pct"/>
            <w:tcBorders>
              <w:top w:val="nil"/>
              <w:left w:val="nil"/>
              <w:bottom w:val="single" w:sz="4" w:space="0" w:color="auto"/>
              <w:right w:val="single" w:sz="4" w:space="0" w:color="auto"/>
            </w:tcBorders>
            <w:shd w:val="clear" w:color="000000" w:fill="8EA9DB"/>
            <w:vAlign w:val="center"/>
            <w:hideMark/>
          </w:tcPr>
          <w:p w14:paraId="01BB0114"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288,815,384 </w:t>
            </w:r>
          </w:p>
        </w:tc>
      </w:tr>
      <w:tr w:rsidR="00FC285A" w:rsidRPr="000E152E" w14:paraId="01BB0121" w14:textId="77777777" w:rsidTr="00FC285A">
        <w:trPr>
          <w:trHeight w:val="180"/>
        </w:trPr>
        <w:tc>
          <w:tcPr>
            <w:tcW w:w="287" w:type="pct"/>
            <w:vMerge w:val="restart"/>
            <w:tcBorders>
              <w:top w:val="nil"/>
              <w:left w:val="nil"/>
              <w:bottom w:val="single" w:sz="4" w:space="0" w:color="000000"/>
              <w:right w:val="single" w:sz="4" w:space="0" w:color="auto"/>
            </w:tcBorders>
            <w:shd w:val="clear" w:color="000000" w:fill="FFD579"/>
            <w:vAlign w:val="center"/>
            <w:hideMark/>
          </w:tcPr>
          <w:p w14:paraId="01BB011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B011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Optimizim i shërbimeve të punësimit për klientët ballë për ballë bazuar në modelin të ofrimit të shërbimeve dhe atë digjital për punëkërkues dhe punëdhënës</w:t>
            </w:r>
          </w:p>
        </w:tc>
        <w:tc>
          <w:tcPr>
            <w:tcW w:w="342" w:type="pct"/>
            <w:tcBorders>
              <w:top w:val="nil"/>
              <w:left w:val="nil"/>
              <w:bottom w:val="single" w:sz="4" w:space="0" w:color="auto"/>
              <w:right w:val="single" w:sz="4" w:space="0" w:color="auto"/>
            </w:tcBorders>
            <w:shd w:val="clear" w:color="000000" w:fill="FFD579"/>
            <w:vAlign w:val="center"/>
            <w:hideMark/>
          </w:tcPr>
          <w:p w14:paraId="01BB011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1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1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Zyrat e punës</w:t>
            </w:r>
          </w:p>
        </w:tc>
        <w:tc>
          <w:tcPr>
            <w:tcW w:w="276" w:type="pct"/>
            <w:tcBorders>
              <w:top w:val="nil"/>
              <w:left w:val="nil"/>
              <w:bottom w:val="single" w:sz="4" w:space="0" w:color="auto"/>
              <w:right w:val="single" w:sz="4" w:space="0" w:color="auto"/>
            </w:tcBorders>
            <w:shd w:val="clear" w:color="000000" w:fill="FFD579"/>
            <w:vAlign w:val="center"/>
            <w:hideMark/>
          </w:tcPr>
          <w:p w14:paraId="01BB011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11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1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1,618,152,465 </w:t>
            </w:r>
          </w:p>
        </w:tc>
        <w:tc>
          <w:tcPr>
            <w:tcW w:w="778" w:type="pct"/>
            <w:tcBorders>
              <w:top w:val="nil"/>
              <w:left w:val="nil"/>
              <w:bottom w:val="single" w:sz="4" w:space="0" w:color="auto"/>
              <w:right w:val="single" w:sz="4" w:space="0" w:color="auto"/>
            </w:tcBorders>
            <w:shd w:val="clear" w:color="000000" w:fill="FFD579"/>
            <w:vAlign w:val="center"/>
            <w:hideMark/>
          </w:tcPr>
          <w:p w14:paraId="01BB011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1,325,112,000 </w:t>
            </w:r>
          </w:p>
        </w:tc>
        <w:tc>
          <w:tcPr>
            <w:tcW w:w="633" w:type="pct"/>
            <w:tcBorders>
              <w:top w:val="nil"/>
              <w:left w:val="nil"/>
              <w:bottom w:val="single" w:sz="4" w:space="0" w:color="auto"/>
              <w:right w:val="single" w:sz="4" w:space="0" w:color="auto"/>
            </w:tcBorders>
            <w:shd w:val="clear" w:color="000000" w:fill="FFD579"/>
            <w:vAlign w:val="center"/>
            <w:hideMark/>
          </w:tcPr>
          <w:p w14:paraId="01BB011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6,600,000 </w:t>
            </w:r>
          </w:p>
        </w:tc>
        <w:tc>
          <w:tcPr>
            <w:tcW w:w="676" w:type="pct"/>
            <w:tcBorders>
              <w:top w:val="nil"/>
              <w:left w:val="nil"/>
              <w:bottom w:val="single" w:sz="4" w:space="0" w:color="auto"/>
              <w:right w:val="single" w:sz="4" w:space="0" w:color="auto"/>
            </w:tcBorders>
            <w:shd w:val="clear" w:color="000000" w:fill="FFD579"/>
            <w:vAlign w:val="center"/>
            <w:hideMark/>
          </w:tcPr>
          <w:p w14:paraId="01BB012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286,440,465 </w:t>
            </w:r>
          </w:p>
        </w:tc>
      </w:tr>
      <w:tr w:rsidR="00FC285A" w:rsidRPr="000E152E" w14:paraId="01BB012D" w14:textId="77777777" w:rsidTr="00FC285A">
        <w:trPr>
          <w:trHeight w:val="180"/>
        </w:trPr>
        <w:tc>
          <w:tcPr>
            <w:tcW w:w="287" w:type="pct"/>
            <w:vMerge/>
            <w:tcBorders>
              <w:top w:val="nil"/>
              <w:left w:val="nil"/>
              <w:bottom w:val="single" w:sz="4" w:space="0" w:color="000000"/>
              <w:right w:val="single" w:sz="4" w:space="0" w:color="auto"/>
            </w:tcBorders>
            <w:vAlign w:val="center"/>
            <w:hideMark/>
          </w:tcPr>
          <w:p w14:paraId="01BB012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12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Zgjerimi dhe forcimi i kapaciteteve dhe sistemeve të Monitorimit dhe Vlerësimit (M&amp;V)</w:t>
            </w:r>
          </w:p>
        </w:tc>
        <w:tc>
          <w:tcPr>
            <w:tcW w:w="342" w:type="pct"/>
            <w:tcBorders>
              <w:top w:val="nil"/>
              <w:left w:val="nil"/>
              <w:bottom w:val="single" w:sz="4" w:space="0" w:color="auto"/>
              <w:right w:val="single" w:sz="4" w:space="0" w:color="auto"/>
            </w:tcBorders>
            <w:shd w:val="clear" w:color="000000" w:fill="FFD579"/>
            <w:vAlign w:val="center"/>
            <w:hideMark/>
          </w:tcPr>
          <w:p w14:paraId="01BB012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2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2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2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12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29" w14:textId="13835323"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14,000,000 </w:t>
            </w:r>
          </w:p>
        </w:tc>
        <w:tc>
          <w:tcPr>
            <w:tcW w:w="778" w:type="pct"/>
            <w:tcBorders>
              <w:top w:val="nil"/>
              <w:left w:val="nil"/>
              <w:bottom w:val="single" w:sz="4" w:space="0" w:color="auto"/>
              <w:right w:val="single" w:sz="4" w:space="0" w:color="auto"/>
            </w:tcBorders>
            <w:shd w:val="clear" w:color="000000" w:fill="FFD579"/>
            <w:vAlign w:val="center"/>
            <w:hideMark/>
          </w:tcPr>
          <w:p w14:paraId="01BB012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2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14,000,000 </w:t>
            </w:r>
          </w:p>
        </w:tc>
        <w:tc>
          <w:tcPr>
            <w:tcW w:w="676" w:type="pct"/>
            <w:tcBorders>
              <w:top w:val="nil"/>
              <w:left w:val="nil"/>
              <w:bottom w:val="single" w:sz="4" w:space="0" w:color="auto"/>
              <w:right w:val="single" w:sz="4" w:space="0" w:color="auto"/>
            </w:tcBorders>
            <w:shd w:val="clear" w:color="000000" w:fill="FFD579"/>
            <w:vAlign w:val="center"/>
            <w:hideMark/>
          </w:tcPr>
          <w:p w14:paraId="01BB012C" w14:textId="238E1F5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39" w14:textId="77777777" w:rsidTr="00FC285A">
        <w:trPr>
          <w:trHeight w:val="180"/>
        </w:trPr>
        <w:tc>
          <w:tcPr>
            <w:tcW w:w="287" w:type="pct"/>
            <w:vMerge/>
            <w:tcBorders>
              <w:top w:val="nil"/>
              <w:left w:val="nil"/>
              <w:bottom w:val="single" w:sz="4" w:space="0" w:color="000000"/>
              <w:right w:val="single" w:sz="4" w:space="0" w:color="auto"/>
            </w:tcBorders>
            <w:vAlign w:val="center"/>
            <w:hideMark/>
          </w:tcPr>
          <w:p w14:paraId="01BB012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12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Konsolidimi i sistemit të menaxhimit të performancës për shërbimet e punësimit</w:t>
            </w:r>
          </w:p>
        </w:tc>
        <w:tc>
          <w:tcPr>
            <w:tcW w:w="342" w:type="pct"/>
            <w:tcBorders>
              <w:top w:val="nil"/>
              <w:left w:val="nil"/>
              <w:bottom w:val="single" w:sz="4" w:space="0" w:color="auto"/>
              <w:right w:val="single" w:sz="4" w:space="0" w:color="auto"/>
            </w:tcBorders>
            <w:shd w:val="clear" w:color="000000" w:fill="FFD579"/>
            <w:vAlign w:val="center"/>
            <w:hideMark/>
          </w:tcPr>
          <w:p w14:paraId="01BB013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3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3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3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2024</w:t>
            </w:r>
          </w:p>
        </w:tc>
        <w:tc>
          <w:tcPr>
            <w:tcW w:w="329" w:type="pct"/>
            <w:tcBorders>
              <w:top w:val="nil"/>
              <w:left w:val="nil"/>
              <w:bottom w:val="single" w:sz="4" w:space="0" w:color="auto"/>
              <w:right w:val="single" w:sz="4" w:space="0" w:color="auto"/>
            </w:tcBorders>
            <w:shd w:val="clear" w:color="000000" w:fill="FFD579"/>
            <w:vAlign w:val="center"/>
            <w:hideMark/>
          </w:tcPr>
          <w:p w14:paraId="01BB013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2026</w:t>
            </w:r>
          </w:p>
        </w:tc>
        <w:tc>
          <w:tcPr>
            <w:tcW w:w="605" w:type="pct"/>
            <w:tcBorders>
              <w:top w:val="nil"/>
              <w:left w:val="nil"/>
              <w:bottom w:val="single" w:sz="4" w:space="0" w:color="auto"/>
              <w:right w:val="single" w:sz="4" w:space="0" w:color="auto"/>
            </w:tcBorders>
            <w:shd w:val="clear" w:color="000000" w:fill="FFD579"/>
            <w:vAlign w:val="center"/>
            <w:hideMark/>
          </w:tcPr>
          <w:p w14:paraId="01BB013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3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3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38" w14:textId="565AD48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45" w14:textId="77777777" w:rsidTr="00FC285A">
        <w:trPr>
          <w:trHeight w:val="180"/>
        </w:trPr>
        <w:tc>
          <w:tcPr>
            <w:tcW w:w="287" w:type="pct"/>
            <w:vMerge/>
            <w:tcBorders>
              <w:top w:val="nil"/>
              <w:left w:val="nil"/>
              <w:bottom w:val="single" w:sz="4" w:space="0" w:color="000000"/>
              <w:right w:val="single" w:sz="4" w:space="0" w:color="auto"/>
            </w:tcBorders>
            <w:vAlign w:val="center"/>
            <w:hideMark/>
          </w:tcPr>
          <w:p w14:paraId="01BB013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13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Forcimi i kanalaeve të komunikimit online për mbledhjen e vendeve të lira të punës</w:t>
            </w:r>
          </w:p>
        </w:tc>
        <w:tc>
          <w:tcPr>
            <w:tcW w:w="342" w:type="pct"/>
            <w:tcBorders>
              <w:top w:val="nil"/>
              <w:left w:val="nil"/>
              <w:bottom w:val="single" w:sz="4" w:space="0" w:color="auto"/>
              <w:right w:val="single" w:sz="4" w:space="0" w:color="auto"/>
            </w:tcBorders>
            <w:shd w:val="clear" w:color="000000" w:fill="FFD579"/>
            <w:vAlign w:val="center"/>
            <w:hideMark/>
          </w:tcPr>
          <w:p w14:paraId="01BB013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3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3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Agjenci private punësimi</w:t>
            </w:r>
          </w:p>
        </w:tc>
        <w:tc>
          <w:tcPr>
            <w:tcW w:w="276" w:type="pct"/>
            <w:tcBorders>
              <w:top w:val="nil"/>
              <w:left w:val="nil"/>
              <w:bottom w:val="single" w:sz="4" w:space="0" w:color="auto"/>
              <w:right w:val="single" w:sz="4" w:space="0" w:color="auto"/>
            </w:tcBorders>
            <w:shd w:val="clear" w:color="000000" w:fill="FFD579"/>
            <w:vAlign w:val="center"/>
            <w:hideMark/>
          </w:tcPr>
          <w:p w14:paraId="01BB013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14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4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4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4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44" w14:textId="0974A004"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51" w14:textId="77777777" w:rsidTr="00FC285A">
        <w:trPr>
          <w:trHeight w:val="180"/>
        </w:trPr>
        <w:tc>
          <w:tcPr>
            <w:tcW w:w="287" w:type="pct"/>
            <w:vMerge/>
            <w:tcBorders>
              <w:top w:val="nil"/>
              <w:left w:val="nil"/>
              <w:bottom w:val="single" w:sz="4" w:space="0" w:color="000000"/>
              <w:right w:val="single" w:sz="4" w:space="0" w:color="auto"/>
            </w:tcBorders>
            <w:vAlign w:val="center"/>
            <w:hideMark/>
          </w:tcPr>
          <w:p w14:paraId="01BB014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14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Zhvillimi i mekanizmave dhe kapaciteteve të </w:t>
            </w:r>
            <w:r w:rsidRPr="000E152E">
              <w:rPr>
                <w:rFonts w:ascii="Times New Roman" w:eastAsia="Times New Roman" w:hAnsi="Times New Roman"/>
                <w:color w:val="000000"/>
                <w:sz w:val="14"/>
                <w:szCs w:val="14"/>
                <w:lang w:eastAsia="sq-AL"/>
              </w:rPr>
              <w:lastRenderedPageBreak/>
              <w:t>burimeve njerëzore dhe trajnimi për aftësi teknike dhe digjitale</w:t>
            </w:r>
          </w:p>
        </w:tc>
        <w:tc>
          <w:tcPr>
            <w:tcW w:w="342" w:type="pct"/>
            <w:tcBorders>
              <w:top w:val="nil"/>
              <w:left w:val="nil"/>
              <w:bottom w:val="single" w:sz="4" w:space="0" w:color="auto"/>
              <w:right w:val="single" w:sz="4" w:space="0" w:color="auto"/>
            </w:tcBorders>
            <w:shd w:val="clear" w:color="000000" w:fill="FFD579"/>
            <w:vAlign w:val="center"/>
            <w:hideMark/>
          </w:tcPr>
          <w:p w14:paraId="01BB014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10550</w:t>
            </w:r>
          </w:p>
        </w:tc>
        <w:tc>
          <w:tcPr>
            <w:tcW w:w="302" w:type="pct"/>
            <w:tcBorders>
              <w:top w:val="nil"/>
              <w:left w:val="nil"/>
              <w:bottom w:val="single" w:sz="4" w:space="0" w:color="auto"/>
              <w:right w:val="single" w:sz="4" w:space="0" w:color="auto"/>
            </w:tcBorders>
            <w:shd w:val="clear" w:color="000000" w:fill="FFD579"/>
            <w:vAlign w:val="center"/>
            <w:hideMark/>
          </w:tcPr>
          <w:p w14:paraId="01BB014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4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4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14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4D" w14:textId="1A8DFC8D"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24,126,040 </w:t>
            </w:r>
          </w:p>
        </w:tc>
        <w:tc>
          <w:tcPr>
            <w:tcW w:w="778" w:type="pct"/>
            <w:tcBorders>
              <w:top w:val="nil"/>
              <w:left w:val="nil"/>
              <w:bottom w:val="single" w:sz="4" w:space="0" w:color="auto"/>
              <w:right w:val="single" w:sz="4" w:space="0" w:color="auto"/>
            </w:tcBorders>
            <w:shd w:val="clear" w:color="000000" w:fill="FFD579"/>
            <w:vAlign w:val="center"/>
            <w:hideMark/>
          </w:tcPr>
          <w:p w14:paraId="01BB014E" w14:textId="22AAAF88"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13,251,120 </w:t>
            </w:r>
          </w:p>
        </w:tc>
        <w:tc>
          <w:tcPr>
            <w:tcW w:w="633" w:type="pct"/>
            <w:tcBorders>
              <w:top w:val="nil"/>
              <w:left w:val="nil"/>
              <w:bottom w:val="single" w:sz="4" w:space="0" w:color="auto"/>
              <w:right w:val="single" w:sz="4" w:space="0" w:color="auto"/>
            </w:tcBorders>
            <w:shd w:val="clear" w:color="000000" w:fill="FFD579"/>
            <w:vAlign w:val="center"/>
            <w:hideMark/>
          </w:tcPr>
          <w:p w14:paraId="01BB014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8,500,000 </w:t>
            </w:r>
          </w:p>
        </w:tc>
        <w:tc>
          <w:tcPr>
            <w:tcW w:w="676" w:type="pct"/>
            <w:tcBorders>
              <w:top w:val="nil"/>
              <w:left w:val="nil"/>
              <w:bottom w:val="single" w:sz="4" w:space="0" w:color="auto"/>
              <w:right w:val="single" w:sz="4" w:space="0" w:color="auto"/>
            </w:tcBorders>
            <w:shd w:val="clear" w:color="000000" w:fill="FFD579"/>
            <w:vAlign w:val="center"/>
            <w:hideMark/>
          </w:tcPr>
          <w:p w14:paraId="01BB0150" w14:textId="4A1B251C"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2,374,920 </w:t>
            </w:r>
          </w:p>
        </w:tc>
      </w:tr>
      <w:tr w:rsidR="00FC285A" w:rsidRPr="000E152E" w14:paraId="01BB015D" w14:textId="77777777" w:rsidTr="00FC285A">
        <w:trPr>
          <w:trHeight w:val="180"/>
        </w:trPr>
        <w:tc>
          <w:tcPr>
            <w:tcW w:w="287" w:type="pct"/>
            <w:vMerge/>
            <w:tcBorders>
              <w:top w:val="nil"/>
              <w:left w:val="nil"/>
              <w:bottom w:val="single" w:sz="4" w:space="0" w:color="000000"/>
              <w:right w:val="single" w:sz="4" w:space="0" w:color="auto"/>
            </w:tcBorders>
            <w:vAlign w:val="center"/>
            <w:hideMark/>
          </w:tcPr>
          <w:p w14:paraId="01BB015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p>
        </w:tc>
        <w:tc>
          <w:tcPr>
            <w:tcW w:w="441" w:type="pct"/>
            <w:tcBorders>
              <w:top w:val="nil"/>
              <w:left w:val="nil"/>
              <w:bottom w:val="single" w:sz="4" w:space="0" w:color="auto"/>
              <w:right w:val="single" w:sz="4" w:space="0" w:color="auto"/>
            </w:tcBorders>
            <w:shd w:val="clear" w:color="000000" w:fill="FFD579"/>
            <w:vAlign w:val="center"/>
            <w:hideMark/>
          </w:tcPr>
          <w:p w14:paraId="01BB015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Zhvillimi i modaliteteve të bashkëpunimit me Agjencitë Private të Punësimit dhe mbështetja e tyre si pjesë e ekosistemit për ofrimin e shërbimeve të punësimit </w:t>
            </w:r>
          </w:p>
        </w:tc>
        <w:tc>
          <w:tcPr>
            <w:tcW w:w="342" w:type="pct"/>
            <w:tcBorders>
              <w:top w:val="nil"/>
              <w:left w:val="nil"/>
              <w:bottom w:val="single" w:sz="4" w:space="0" w:color="auto"/>
              <w:right w:val="single" w:sz="4" w:space="0" w:color="auto"/>
            </w:tcBorders>
            <w:shd w:val="clear" w:color="000000" w:fill="FFD579"/>
            <w:vAlign w:val="center"/>
            <w:hideMark/>
          </w:tcPr>
          <w:p w14:paraId="01BB015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5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FFD579"/>
            <w:vAlign w:val="center"/>
            <w:hideMark/>
          </w:tcPr>
          <w:p w14:paraId="01BB015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5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1 2023</w:t>
            </w:r>
          </w:p>
        </w:tc>
        <w:tc>
          <w:tcPr>
            <w:tcW w:w="329" w:type="pct"/>
            <w:tcBorders>
              <w:top w:val="nil"/>
              <w:left w:val="nil"/>
              <w:bottom w:val="single" w:sz="4" w:space="0" w:color="auto"/>
              <w:right w:val="single" w:sz="4" w:space="0" w:color="auto"/>
            </w:tcBorders>
            <w:shd w:val="clear" w:color="000000" w:fill="FFD579"/>
            <w:vAlign w:val="center"/>
            <w:hideMark/>
          </w:tcPr>
          <w:p w14:paraId="01BB015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59" w14:textId="4F0072BB"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2,700,000 </w:t>
            </w:r>
          </w:p>
        </w:tc>
        <w:tc>
          <w:tcPr>
            <w:tcW w:w="778" w:type="pct"/>
            <w:tcBorders>
              <w:top w:val="nil"/>
              <w:left w:val="nil"/>
              <w:bottom w:val="single" w:sz="4" w:space="0" w:color="auto"/>
              <w:right w:val="single" w:sz="4" w:space="0" w:color="auto"/>
            </w:tcBorders>
            <w:shd w:val="clear" w:color="000000" w:fill="FFD579"/>
            <w:vAlign w:val="center"/>
            <w:hideMark/>
          </w:tcPr>
          <w:p w14:paraId="01BB015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5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2,700,000 </w:t>
            </w:r>
          </w:p>
        </w:tc>
        <w:tc>
          <w:tcPr>
            <w:tcW w:w="676" w:type="pct"/>
            <w:tcBorders>
              <w:top w:val="nil"/>
              <w:left w:val="nil"/>
              <w:bottom w:val="single" w:sz="4" w:space="0" w:color="auto"/>
              <w:right w:val="single" w:sz="4" w:space="0" w:color="auto"/>
            </w:tcBorders>
            <w:shd w:val="clear" w:color="000000" w:fill="FFD579"/>
            <w:vAlign w:val="center"/>
            <w:hideMark/>
          </w:tcPr>
          <w:p w14:paraId="01BB015C" w14:textId="7D33843A"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69" w14:textId="77777777" w:rsidTr="00FC285A">
        <w:trPr>
          <w:trHeight w:val="180"/>
        </w:trPr>
        <w:tc>
          <w:tcPr>
            <w:tcW w:w="287" w:type="pct"/>
            <w:tcBorders>
              <w:top w:val="nil"/>
              <w:left w:val="single" w:sz="4" w:space="0" w:color="auto"/>
              <w:bottom w:val="single" w:sz="4" w:space="0" w:color="auto"/>
              <w:right w:val="single" w:sz="4" w:space="0" w:color="auto"/>
            </w:tcBorders>
            <w:shd w:val="clear" w:color="000000" w:fill="8EA9DB"/>
            <w:vAlign w:val="center"/>
            <w:hideMark/>
          </w:tcPr>
          <w:p w14:paraId="01BB015E"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Masë prioritare</w:t>
            </w:r>
          </w:p>
        </w:tc>
        <w:tc>
          <w:tcPr>
            <w:tcW w:w="441" w:type="pct"/>
            <w:tcBorders>
              <w:top w:val="nil"/>
              <w:left w:val="nil"/>
              <w:bottom w:val="nil"/>
              <w:right w:val="nil"/>
            </w:tcBorders>
            <w:shd w:val="clear" w:color="000000" w:fill="8EA9DB"/>
            <w:vAlign w:val="center"/>
            <w:hideMark/>
          </w:tcPr>
          <w:p w14:paraId="01BB015F" w14:textId="77777777" w:rsidR="00FC285A" w:rsidRPr="000E152E" w:rsidRDefault="00FC285A" w:rsidP="00FC285A">
            <w:pPr>
              <w:spacing w:after="0" w:line="240" w:lineRule="auto"/>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1.3.4. Lehtësimi i lëvizshmërisë së fuqisë punëtore</w:t>
            </w:r>
          </w:p>
        </w:tc>
        <w:tc>
          <w:tcPr>
            <w:tcW w:w="342" w:type="pct"/>
            <w:tcBorders>
              <w:top w:val="nil"/>
              <w:left w:val="single" w:sz="4" w:space="0" w:color="auto"/>
              <w:bottom w:val="single" w:sz="4" w:space="0" w:color="auto"/>
              <w:right w:val="single" w:sz="4" w:space="0" w:color="auto"/>
            </w:tcBorders>
            <w:shd w:val="clear" w:color="000000" w:fill="8EA9DB"/>
            <w:vAlign w:val="center"/>
            <w:hideMark/>
          </w:tcPr>
          <w:p w14:paraId="01BB0160"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02" w:type="pct"/>
            <w:tcBorders>
              <w:top w:val="nil"/>
              <w:left w:val="nil"/>
              <w:bottom w:val="single" w:sz="4" w:space="0" w:color="auto"/>
              <w:right w:val="single" w:sz="4" w:space="0" w:color="auto"/>
            </w:tcBorders>
            <w:shd w:val="clear" w:color="000000" w:fill="8EA9DB"/>
            <w:vAlign w:val="center"/>
            <w:hideMark/>
          </w:tcPr>
          <w:p w14:paraId="01BB0161"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31" w:type="pct"/>
            <w:tcBorders>
              <w:top w:val="nil"/>
              <w:left w:val="nil"/>
              <w:bottom w:val="single" w:sz="4" w:space="0" w:color="auto"/>
              <w:right w:val="single" w:sz="4" w:space="0" w:color="auto"/>
            </w:tcBorders>
            <w:shd w:val="clear" w:color="000000" w:fill="8EA9DB"/>
            <w:vAlign w:val="center"/>
            <w:hideMark/>
          </w:tcPr>
          <w:p w14:paraId="01BB0162"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8EA9DB"/>
            <w:vAlign w:val="center"/>
            <w:hideMark/>
          </w:tcPr>
          <w:p w14:paraId="01BB0163"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329" w:type="pct"/>
            <w:tcBorders>
              <w:top w:val="nil"/>
              <w:left w:val="nil"/>
              <w:bottom w:val="single" w:sz="4" w:space="0" w:color="auto"/>
              <w:right w:val="single" w:sz="4" w:space="0" w:color="auto"/>
            </w:tcBorders>
            <w:shd w:val="clear" w:color="000000" w:fill="8EA9DB"/>
            <w:vAlign w:val="center"/>
            <w:hideMark/>
          </w:tcPr>
          <w:p w14:paraId="01BB0164" w14:textId="77777777" w:rsidR="00FC285A" w:rsidRPr="000E152E" w:rsidRDefault="00FC285A" w:rsidP="00FC285A">
            <w:pPr>
              <w:spacing w:after="0" w:line="240" w:lineRule="auto"/>
              <w:jc w:val="center"/>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w:t>
            </w:r>
          </w:p>
        </w:tc>
        <w:tc>
          <w:tcPr>
            <w:tcW w:w="605" w:type="pct"/>
            <w:tcBorders>
              <w:top w:val="nil"/>
              <w:left w:val="nil"/>
              <w:bottom w:val="single" w:sz="4" w:space="0" w:color="auto"/>
              <w:right w:val="single" w:sz="4" w:space="0" w:color="auto"/>
            </w:tcBorders>
            <w:shd w:val="clear" w:color="000000" w:fill="8EA9DB"/>
            <w:vAlign w:val="center"/>
            <w:hideMark/>
          </w:tcPr>
          <w:p w14:paraId="01BB0165"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1,342,174,148 </w:t>
            </w:r>
          </w:p>
        </w:tc>
        <w:tc>
          <w:tcPr>
            <w:tcW w:w="778" w:type="pct"/>
            <w:tcBorders>
              <w:top w:val="nil"/>
              <w:left w:val="nil"/>
              <w:bottom w:val="single" w:sz="4" w:space="0" w:color="auto"/>
              <w:right w:val="single" w:sz="4" w:space="0" w:color="auto"/>
            </w:tcBorders>
            <w:shd w:val="clear" w:color="000000" w:fill="8EA9DB"/>
            <w:vAlign w:val="center"/>
            <w:hideMark/>
          </w:tcPr>
          <w:p w14:paraId="01BB0166"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1,205,804,040 </w:t>
            </w:r>
          </w:p>
        </w:tc>
        <w:tc>
          <w:tcPr>
            <w:tcW w:w="633" w:type="pct"/>
            <w:tcBorders>
              <w:top w:val="nil"/>
              <w:left w:val="nil"/>
              <w:bottom w:val="single" w:sz="4" w:space="0" w:color="auto"/>
              <w:right w:val="single" w:sz="4" w:space="0" w:color="auto"/>
            </w:tcBorders>
            <w:shd w:val="clear" w:color="000000" w:fill="8EA9DB"/>
            <w:vAlign w:val="center"/>
            <w:hideMark/>
          </w:tcPr>
          <w:p w14:paraId="01BB0167"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84,426,160 </w:t>
            </w:r>
          </w:p>
        </w:tc>
        <w:tc>
          <w:tcPr>
            <w:tcW w:w="676" w:type="pct"/>
            <w:tcBorders>
              <w:top w:val="nil"/>
              <w:left w:val="nil"/>
              <w:bottom w:val="single" w:sz="4" w:space="0" w:color="auto"/>
              <w:right w:val="single" w:sz="4" w:space="0" w:color="auto"/>
            </w:tcBorders>
            <w:shd w:val="clear" w:color="000000" w:fill="8EA9DB"/>
            <w:vAlign w:val="center"/>
            <w:hideMark/>
          </w:tcPr>
          <w:p w14:paraId="01BB0168" w14:textId="77777777" w:rsidR="00FC285A" w:rsidRPr="000E152E" w:rsidRDefault="00FC285A" w:rsidP="00FC285A">
            <w:pPr>
              <w:spacing w:after="0" w:line="240" w:lineRule="auto"/>
              <w:jc w:val="right"/>
              <w:rPr>
                <w:rFonts w:ascii="Times New Roman" w:eastAsia="Times New Roman" w:hAnsi="Times New Roman"/>
                <w:b/>
                <w:bCs/>
                <w:color w:val="000000"/>
                <w:sz w:val="14"/>
                <w:szCs w:val="14"/>
                <w:lang w:eastAsia="sq-AL"/>
              </w:rPr>
            </w:pPr>
            <w:r w:rsidRPr="000E152E">
              <w:rPr>
                <w:rFonts w:ascii="Times New Roman" w:eastAsia="Times New Roman" w:hAnsi="Times New Roman"/>
                <w:b/>
                <w:bCs/>
                <w:color w:val="000000"/>
                <w:sz w:val="14"/>
                <w:szCs w:val="14"/>
                <w:lang w:eastAsia="sq-AL"/>
              </w:rPr>
              <w:t xml:space="preserve">51,943,948 </w:t>
            </w:r>
          </w:p>
        </w:tc>
      </w:tr>
      <w:tr w:rsidR="00FC285A" w:rsidRPr="000E152E" w14:paraId="01BB0175"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6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Ndërhyrje </w:t>
            </w:r>
          </w:p>
        </w:tc>
        <w:tc>
          <w:tcPr>
            <w:tcW w:w="441" w:type="pct"/>
            <w:tcBorders>
              <w:top w:val="single" w:sz="4" w:space="0" w:color="auto"/>
              <w:left w:val="nil"/>
              <w:bottom w:val="single" w:sz="4" w:space="0" w:color="auto"/>
              <w:right w:val="single" w:sz="4" w:space="0" w:color="auto"/>
            </w:tcBorders>
            <w:shd w:val="clear" w:color="000000" w:fill="FFD579"/>
            <w:vAlign w:val="center"/>
            <w:hideMark/>
          </w:tcPr>
          <w:p w14:paraId="01BB016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Përdorimi i analizave nga sistemi i inteligjencës së aftësive për lëvizshmërinë e fuqisë punëtore dhe hendekun e mundshëm të aftësive nga lëvizshmëria e fuqisë punëtore</w:t>
            </w:r>
          </w:p>
        </w:tc>
        <w:tc>
          <w:tcPr>
            <w:tcW w:w="342" w:type="pct"/>
            <w:tcBorders>
              <w:top w:val="nil"/>
              <w:left w:val="nil"/>
              <w:bottom w:val="single" w:sz="4" w:space="0" w:color="auto"/>
              <w:right w:val="single" w:sz="4" w:space="0" w:color="auto"/>
            </w:tcBorders>
            <w:shd w:val="clear" w:color="000000" w:fill="FFD579"/>
            <w:vAlign w:val="center"/>
            <w:hideMark/>
          </w:tcPr>
          <w:p w14:paraId="01BB016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6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6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 AKAFPK</w:t>
            </w:r>
          </w:p>
        </w:tc>
        <w:tc>
          <w:tcPr>
            <w:tcW w:w="276" w:type="pct"/>
            <w:tcBorders>
              <w:top w:val="nil"/>
              <w:left w:val="nil"/>
              <w:bottom w:val="single" w:sz="4" w:space="0" w:color="auto"/>
              <w:right w:val="single" w:sz="4" w:space="0" w:color="auto"/>
            </w:tcBorders>
            <w:shd w:val="clear" w:color="000000" w:fill="FFD579"/>
            <w:vAlign w:val="center"/>
            <w:hideMark/>
          </w:tcPr>
          <w:p w14:paraId="01BB016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3 2023</w:t>
            </w:r>
          </w:p>
        </w:tc>
        <w:tc>
          <w:tcPr>
            <w:tcW w:w="329" w:type="pct"/>
            <w:tcBorders>
              <w:top w:val="nil"/>
              <w:left w:val="nil"/>
              <w:bottom w:val="single" w:sz="4" w:space="0" w:color="auto"/>
              <w:right w:val="single" w:sz="4" w:space="0" w:color="auto"/>
            </w:tcBorders>
            <w:shd w:val="clear" w:color="000000" w:fill="FFD579"/>
            <w:vAlign w:val="center"/>
            <w:hideMark/>
          </w:tcPr>
          <w:p w14:paraId="01BB017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7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7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73" w14:textId="78A46886"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B0174" w14:textId="72087F2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81"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7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77" w14:textId="77777777" w:rsidR="00FC285A" w:rsidRPr="000E152E" w:rsidRDefault="00FC285A" w:rsidP="00FC285A">
            <w:pPr>
              <w:spacing w:after="0" w:line="240" w:lineRule="auto"/>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Lidhja me platforma EURES si dhe me platforma të tjera rajonale për aftësitë, lëvizshmëri dhe punësim</w:t>
            </w:r>
          </w:p>
        </w:tc>
        <w:tc>
          <w:tcPr>
            <w:tcW w:w="342" w:type="pct"/>
            <w:tcBorders>
              <w:top w:val="nil"/>
              <w:left w:val="nil"/>
              <w:bottom w:val="single" w:sz="4" w:space="0" w:color="auto"/>
              <w:right w:val="single" w:sz="4" w:space="0" w:color="auto"/>
            </w:tcBorders>
            <w:shd w:val="clear" w:color="000000" w:fill="FFD579"/>
            <w:vAlign w:val="center"/>
            <w:hideMark/>
          </w:tcPr>
          <w:p w14:paraId="01BB017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7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7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7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7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7D" w14:textId="4B65549A"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10,800,000 </w:t>
            </w:r>
          </w:p>
        </w:tc>
        <w:tc>
          <w:tcPr>
            <w:tcW w:w="778" w:type="pct"/>
            <w:tcBorders>
              <w:top w:val="nil"/>
              <w:left w:val="nil"/>
              <w:bottom w:val="single" w:sz="4" w:space="0" w:color="auto"/>
              <w:right w:val="single" w:sz="4" w:space="0" w:color="auto"/>
            </w:tcBorders>
            <w:shd w:val="clear" w:color="000000" w:fill="FFD579"/>
            <w:vAlign w:val="center"/>
            <w:hideMark/>
          </w:tcPr>
          <w:p w14:paraId="01BB017E" w14:textId="2F5AECFE"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c>
          <w:tcPr>
            <w:tcW w:w="633" w:type="pct"/>
            <w:tcBorders>
              <w:top w:val="nil"/>
              <w:left w:val="nil"/>
              <w:bottom w:val="single" w:sz="4" w:space="0" w:color="auto"/>
              <w:right w:val="single" w:sz="4" w:space="0" w:color="auto"/>
            </w:tcBorders>
            <w:shd w:val="clear" w:color="000000" w:fill="FFD579"/>
            <w:vAlign w:val="center"/>
            <w:hideMark/>
          </w:tcPr>
          <w:p w14:paraId="01BB017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80" w14:textId="6C8BC9A2"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5,400,000 </w:t>
            </w:r>
          </w:p>
        </w:tc>
      </w:tr>
      <w:tr w:rsidR="00FC285A" w:rsidRPr="000E152E" w14:paraId="01BB018D"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8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83" w14:textId="55D3D626" w:rsidR="00FC285A" w:rsidRPr="000E152E" w:rsidRDefault="00FC285A" w:rsidP="00FC285A">
            <w:pPr>
              <w:spacing w:after="0" w:line="240" w:lineRule="auto"/>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 xml:space="preserve">Ndryshimi i sistemit për të mundësuar të gjitha vendet e lira të punës janë të aksesueshme për të gjithë punëkërkuesit, </w:t>
            </w:r>
            <w:r w:rsidR="00D81709" w:rsidRPr="000E152E">
              <w:rPr>
                <w:rFonts w:ascii="Times New Roman" w:eastAsia="Times New Roman" w:hAnsi="Times New Roman"/>
                <w:sz w:val="14"/>
                <w:szCs w:val="14"/>
                <w:lang w:eastAsia="sq-AL"/>
              </w:rPr>
              <w:t>punëdhënësit</w:t>
            </w:r>
            <w:r w:rsidRPr="000E152E">
              <w:rPr>
                <w:rFonts w:ascii="Times New Roman" w:eastAsia="Times New Roman" w:hAnsi="Times New Roman"/>
                <w:sz w:val="14"/>
                <w:szCs w:val="14"/>
                <w:lang w:eastAsia="sq-AL"/>
              </w:rPr>
              <w:t xml:space="preserve"> si dhe specialistët e punësimit </w:t>
            </w:r>
          </w:p>
        </w:tc>
        <w:tc>
          <w:tcPr>
            <w:tcW w:w="342" w:type="pct"/>
            <w:tcBorders>
              <w:top w:val="nil"/>
              <w:left w:val="nil"/>
              <w:bottom w:val="single" w:sz="4" w:space="0" w:color="auto"/>
              <w:right w:val="single" w:sz="4" w:space="0" w:color="auto"/>
            </w:tcBorders>
            <w:shd w:val="clear" w:color="000000" w:fill="FFD579"/>
            <w:vAlign w:val="center"/>
            <w:hideMark/>
          </w:tcPr>
          <w:p w14:paraId="01BB018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8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8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8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8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18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8A" w14:textId="6089720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18B" w14:textId="52A86E0A"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B018C" w14:textId="7D0EE064"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99"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8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8F" w14:textId="02E868D8" w:rsidR="00FC285A" w:rsidRPr="000E152E" w:rsidRDefault="00FC285A" w:rsidP="00B9759C">
            <w:pPr>
              <w:spacing w:after="0" w:line="240" w:lineRule="auto"/>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Përshtatja e ofertës për të mundësuar të papunëve të fitojnë aftësi të buta dhe di</w:t>
            </w:r>
            <w:r w:rsidR="00B9759C">
              <w:rPr>
                <w:rFonts w:ascii="Times New Roman" w:eastAsia="Times New Roman" w:hAnsi="Times New Roman"/>
                <w:sz w:val="14"/>
                <w:szCs w:val="14"/>
                <w:lang w:eastAsia="sq-AL"/>
              </w:rPr>
              <w:t>gj</w:t>
            </w:r>
            <w:r w:rsidRPr="000E152E">
              <w:rPr>
                <w:rFonts w:ascii="Times New Roman" w:eastAsia="Times New Roman" w:hAnsi="Times New Roman"/>
                <w:sz w:val="14"/>
                <w:szCs w:val="14"/>
                <w:lang w:eastAsia="sq-AL"/>
              </w:rPr>
              <w:t xml:space="preserve">itale, </w:t>
            </w:r>
            <w:r w:rsidRPr="000E152E">
              <w:rPr>
                <w:rFonts w:ascii="Times New Roman" w:eastAsia="Times New Roman" w:hAnsi="Times New Roman"/>
                <w:sz w:val="14"/>
                <w:szCs w:val="14"/>
                <w:lang w:eastAsia="sq-AL"/>
              </w:rPr>
              <w:lastRenderedPageBreak/>
              <w:t>si dhe akses në formim profesional në të gjithë territorin e Shqipërisë</w:t>
            </w:r>
          </w:p>
        </w:tc>
        <w:tc>
          <w:tcPr>
            <w:tcW w:w="342" w:type="pct"/>
            <w:tcBorders>
              <w:top w:val="nil"/>
              <w:left w:val="nil"/>
              <w:bottom w:val="single" w:sz="4" w:space="0" w:color="auto"/>
              <w:right w:val="single" w:sz="4" w:space="0" w:color="auto"/>
            </w:tcBorders>
            <w:shd w:val="clear" w:color="000000" w:fill="FFD579"/>
            <w:vAlign w:val="center"/>
            <w:hideMark/>
          </w:tcPr>
          <w:p w14:paraId="01BB019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10550</w:t>
            </w:r>
          </w:p>
        </w:tc>
        <w:tc>
          <w:tcPr>
            <w:tcW w:w="302" w:type="pct"/>
            <w:tcBorders>
              <w:top w:val="nil"/>
              <w:left w:val="nil"/>
              <w:bottom w:val="single" w:sz="4" w:space="0" w:color="auto"/>
              <w:right w:val="single" w:sz="4" w:space="0" w:color="auto"/>
            </w:tcBorders>
            <w:shd w:val="clear" w:color="000000" w:fill="FFD579"/>
            <w:vAlign w:val="center"/>
            <w:hideMark/>
          </w:tcPr>
          <w:p w14:paraId="01BB019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9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9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9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4 2030</w:t>
            </w:r>
          </w:p>
        </w:tc>
        <w:tc>
          <w:tcPr>
            <w:tcW w:w="605" w:type="pct"/>
            <w:tcBorders>
              <w:top w:val="nil"/>
              <w:left w:val="nil"/>
              <w:bottom w:val="single" w:sz="4" w:space="0" w:color="auto"/>
              <w:right w:val="single" w:sz="4" w:space="0" w:color="auto"/>
            </w:tcBorders>
            <w:shd w:val="clear" w:color="000000" w:fill="FFD579"/>
            <w:vAlign w:val="center"/>
            <w:hideMark/>
          </w:tcPr>
          <w:p w14:paraId="01BB019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96" w14:textId="6457C6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197" w14:textId="58077681"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B0198" w14:textId="2DFC2418"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A5"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9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9B" w14:textId="77777777" w:rsidR="00FC285A" w:rsidRPr="000E152E" w:rsidRDefault="00FC285A" w:rsidP="00FC285A">
            <w:pPr>
              <w:spacing w:after="0" w:line="240" w:lineRule="auto"/>
              <w:rPr>
                <w:rFonts w:ascii="Times New Roman" w:eastAsia="Times New Roman" w:hAnsi="Times New Roman"/>
                <w:sz w:val="14"/>
                <w:szCs w:val="14"/>
                <w:lang w:eastAsia="sq-AL"/>
              </w:rPr>
            </w:pPr>
            <w:r w:rsidRPr="000E152E">
              <w:rPr>
                <w:rFonts w:ascii="Times New Roman" w:eastAsia="Times New Roman" w:hAnsi="Times New Roman"/>
                <w:sz w:val="14"/>
                <w:szCs w:val="14"/>
                <w:lang w:eastAsia="sq-AL"/>
              </w:rPr>
              <w:t>Identifikimi i mungesave të aftësive në nivel rajonal si pjesë e strategjisë rajonale (Strategjia e Evropës Juglindore)</w:t>
            </w:r>
          </w:p>
        </w:tc>
        <w:tc>
          <w:tcPr>
            <w:tcW w:w="342" w:type="pct"/>
            <w:tcBorders>
              <w:top w:val="nil"/>
              <w:left w:val="nil"/>
              <w:bottom w:val="single" w:sz="4" w:space="0" w:color="auto"/>
              <w:right w:val="single" w:sz="4" w:space="0" w:color="auto"/>
            </w:tcBorders>
            <w:shd w:val="clear" w:color="000000" w:fill="FFD579"/>
            <w:vAlign w:val="center"/>
            <w:hideMark/>
          </w:tcPr>
          <w:p w14:paraId="01BB019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 / 9240</w:t>
            </w:r>
          </w:p>
        </w:tc>
        <w:tc>
          <w:tcPr>
            <w:tcW w:w="302" w:type="pct"/>
            <w:tcBorders>
              <w:top w:val="nil"/>
              <w:left w:val="nil"/>
              <w:bottom w:val="single" w:sz="4" w:space="0" w:color="auto"/>
              <w:right w:val="single" w:sz="4" w:space="0" w:color="auto"/>
            </w:tcBorders>
            <w:shd w:val="clear" w:color="000000" w:fill="FFD579"/>
            <w:vAlign w:val="center"/>
            <w:hideMark/>
          </w:tcPr>
          <w:p w14:paraId="01BB019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AKAFPK</w:t>
            </w:r>
          </w:p>
        </w:tc>
        <w:tc>
          <w:tcPr>
            <w:tcW w:w="331" w:type="pct"/>
            <w:tcBorders>
              <w:top w:val="nil"/>
              <w:left w:val="nil"/>
              <w:bottom w:val="single" w:sz="4" w:space="0" w:color="auto"/>
              <w:right w:val="single" w:sz="4" w:space="0" w:color="auto"/>
            </w:tcBorders>
            <w:shd w:val="clear" w:color="000000" w:fill="FFD579"/>
            <w:vAlign w:val="center"/>
            <w:hideMark/>
          </w:tcPr>
          <w:p w14:paraId="01BB019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9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A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 4 2030</w:t>
            </w:r>
          </w:p>
        </w:tc>
        <w:tc>
          <w:tcPr>
            <w:tcW w:w="605" w:type="pct"/>
            <w:tcBorders>
              <w:top w:val="nil"/>
              <w:left w:val="nil"/>
              <w:bottom w:val="single" w:sz="4" w:space="0" w:color="auto"/>
              <w:right w:val="single" w:sz="4" w:space="0" w:color="auto"/>
            </w:tcBorders>
            <w:shd w:val="clear" w:color="000000" w:fill="FFD579"/>
            <w:vAlign w:val="center"/>
            <w:hideMark/>
          </w:tcPr>
          <w:p w14:paraId="01BB01A1" w14:textId="7DA5585A"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8,400,000 </w:t>
            </w:r>
          </w:p>
        </w:tc>
        <w:tc>
          <w:tcPr>
            <w:tcW w:w="778" w:type="pct"/>
            <w:tcBorders>
              <w:top w:val="nil"/>
              <w:left w:val="nil"/>
              <w:bottom w:val="single" w:sz="4" w:space="0" w:color="auto"/>
              <w:right w:val="single" w:sz="4" w:space="0" w:color="auto"/>
            </w:tcBorders>
            <w:shd w:val="clear" w:color="000000" w:fill="FFD579"/>
            <w:vAlign w:val="center"/>
            <w:hideMark/>
          </w:tcPr>
          <w:p w14:paraId="01BB01A2" w14:textId="6DB1FACB"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4,200,000 </w:t>
            </w:r>
          </w:p>
        </w:tc>
        <w:tc>
          <w:tcPr>
            <w:tcW w:w="633" w:type="pct"/>
            <w:tcBorders>
              <w:top w:val="nil"/>
              <w:left w:val="nil"/>
              <w:bottom w:val="single" w:sz="4" w:space="0" w:color="auto"/>
              <w:right w:val="single" w:sz="4" w:space="0" w:color="auto"/>
            </w:tcBorders>
            <w:shd w:val="clear" w:color="000000" w:fill="FFD579"/>
            <w:vAlign w:val="center"/>
            <w:hideMark/>
          </w:tcPr>
          <w:p w14:paraId="01BB01A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A4" w14:textId="1E2DADF1"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4,200,000 </w:t>
            </w:r>
          </w:p>
        </w:tc>
      </w:tr>
      <w:tr w:rsidR="00FC285A" w:rsidRPr="000E152E" w14:paraId="01BB01B1"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A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A7"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Promovimi i lëvizjes së fuqisë punëtore të kualifikuar brenda Rajonit të Evropës Juglindore për aftësitë që nuk plotësohen nga burimet rajonale ose të diasporë</w:t>
            </w:r>
          </w:p>
        </w:tc>
        <w:tc>
          <w:tcPr>
            <w:tcW w:w="342" w:type="pct"/>
            <w:tcBorders>
              <w:top w:val="nil"/>
              <w:left w:val="nil"/>
              <w:bottom w:val="single" w:sz="4" w:space="0" w:color="auto"/>
              <w:right w:val="single" w:sz="4" w:space="0" w:color="auto"/>
            </w:tcBorders>
            <w:shd w:val="clear" w:color="000000" w:fill="FFD579"/>
            <w:vAlign w:val="center"/>
            <w:hideMark/>
          </w:tcPr>
          <w:p w14:paraId="01BB01A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A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1A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B01A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A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AD" w14:textId="3942F642"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8,400,000 </w:t>
            </w:r>
          </w:p>
        </w:tc>
        <w:tc>
          <w:tcPr>
            <w:tcW w:w="778" w:type="pct"/>
            <w:tcBorders>
              <w:top w:val="nil"/>
              <w:left w:val="nil"/>
              <w:bottom w:val="single" w:sz="4" w:space="0" w:color="auto"/>
              <w:right w:val="single" w:sz="4" w:space="0" w:color="auto"/>
            </w:tcBorders>
            <w:shd w:val="clear" w:color="000000" w:fill="FFD579"/>
            <w:vAlign w:val="center"/>
            <w:hideMark/>
          </w:tcPr>
          <w:p w14:paraId="01BB01AE" w14:textId="7331DE2F"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4,200,000 </w:t>
            </w:r>
          </w:p>
        </w:tc>
        <w:tc>
          <w:tcPr>
            <w:tcW w:w="633" w:type="pct"/>
            <w:tcBorders>
              <w:top w:val="nil"/>
              <w:left w:val="nil"/>
              <w:bottom w:val="single" w:sz="4" w:space="0" w:color="auto"/>
              <w:right w:val="single" w:sz="4" w:space="0" w:color="auto"/>
            </w:tcBorders>
            <w:shd w:val="clear" w:color="000000" w:fill="FFD579"/>
            <w:vAlign w:val="center"/>
            <w:hideMark/>
          </w:tcPr>
          <w:p w14:paraId="01BB01A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B0" w14:textId="7398A147"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4,200,000 </w:t>
            </w:r>
          </w:p>
        </w:tc>
      </w:tr>
      <w:tr w:rsidR="00FC285A" w:rsidRPr="000E152E" w14:paraId="01BB01BD"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B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B3" w14:textId="129B2D4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Rishikimi i kuadrit ligjor, rregullator dhe i mekanizmave për nxitjen e rekrutimit të</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drejtë (fair recruitment)</w:t>
            </w:r>
            <w:r w:rsidR="000E152E" w:rsidRPr="000E152E">
              <w:rPr>
                <w:rFonts w:ascii="Times New Roman" w:eastAsia="Times New Roman" w:hAnsi="Times New Roman"/>
                <w:color w:val="000000"/>
                <w:sz w:val="14"/>
                <w:szCs w:val="14"/>
                <w:lang w:eastAsia="sq-AL"/>
              </w:rPr>
              <w:t xml:space="preserve"> </w:t>
            </w:r>
            <w:r w:rsidRPr="000E152E">
              <w:rPr>
                <w:rFonts w:ascii="Times New Roman" w:eastAsia="Times New Roman" w:hAnsi="Times New Roman"/>
                <w:color w:val="000000"/>
                <w:sz w:val="14"/>
                <w:szCs w:val="14"/>
                <w:lang w:eastAsia="sq-AL"/>
              </w:rPr>
              <w:t xml:space="preserve">nga vendet e huaja </w:t>
            </w:r>
          </w:p>
        </w:tc>
        <w:tc>
          <w:tcPr>
            <w:tcW w:w="342" w:type="pct"/>
            <w:tcBorders>
              <w:top w:val="nil"/>
              <w:left w:val="nil"/>
              <w:bottom w:val="single" w:sz="4" w:space="0" w:color="auto"/>
              <w:right w:val="single" w:sz="4" w:space="0" w:color="auto"/>
            </w:tcBorders>
            <w:shd w:val="clear" w:color="000000" w:fill="FFD579"/>
            <w:vAlign w:val="center"/>
            <w:hideMark/>
          </w:tcPr>
          <w:p w14:paraId="01BB01B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B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1B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276" w:type="pct"/>
            <w:tcBorders>
              <w:top w:val="nil"/>
              <w:left w:val="nil"/>
              <w:bottom w:val="single" w:sz="4" w:space="0" w:color="auto"/>
              <w:right w:val="single" w:sz="4" w:space="0" w:color="auto"/>
            </w:tcBorders>
            <w:shd w:val="clear" w:color="000000" w:fill="FFD579"/>
            <w:vAlign w:val="center"/>
            <w:hideMark/>
          </w:tcPr>
          <w:p w14:paraId="01BB01B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B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1B9"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368,726,400 </w:t>
            </w:r>
          </w:p>
        </w:tc>
        <w:tc>
          <w:tcPr>
            <w:tcW w:w="778" w:type="pct"/>
            <w:tcBorders>
              <w:top w:val="nil"/>
              <w:left w:val="nil"/>
              <w:bottom w:val="single" w:sz="4" w:space="0" w:color="auto"/>
              <w:right w:val="single" w:sz="4" w:space="0" w:color="auto"/>
            </w:tcBorders>
            <w:shd w:val="clear" w:color="000000" w:fill="FFD579"/>
            <w:vAlign w:val="center"/>
            <w:hideMark/>
          </w:tcPr>
          <w:p w14:paraId="01BB01B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361,826,400 </w:t>
            </w:r>
          </w:p>
        </w:tc>
        <w:tc>
          <w:tcPr>
            <w:tcW w:w="633" w:type="pct"/>
            <w:tcBorders>
              <w:top w:val="nil"/>
              <w:left w:val="nil"/>
              <w:bottom w:val="single" w:sz="4" w:space="0" w:color="auto"/>
              <w:right w:val="single" w:sz="4" w:space="0" w:color="auto"/>
            </w:tcBorders>
            <w:shd w:val="clear" w:color="000000" w:fill="FFD579"/>
            <w:vAlign w:val="center"/>
            <w:hideMark/>
          </w:tcPr>
          <w:p w14:paraId="01BB01B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BC" w14:textId="055B4C3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6,900,000 </w:t>
            </w:r>
          </w:p>
        </w:tc>
      </w:tr>
      <w:tr w:rsidR="00FC285A" w:rsidRPr="000E152E" w14:paraId="01BB01C9"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B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BF" w14:textId="7D812F82"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Rritja e ndërgjegjësimit të ndërmjetësve të tregut të punës (agjencitë private dhe publike të punësimit), punëkërkuesve dhe punë</w:t>
            </w:r>
            <w:r w:rsidR="00D81709">
              <w:rPr>
                <w:rFonts w:ascii="Times New Roman" w:eastAsia="Times New Roman" w:hAnsi="Times New Roman"/>
                <w:color w:val="000000"/>
                <w:sz w:val="14"/>
                <w:szCs w:val="14"/>
                <w:lang w:eastAsia="sq-AL"/>
              </w:rPr>
              <w:t>dhënësve</w:t>
            </w:r>
            <w:r w:rsidRPr="000E152E">
              <w:rPr>
                <w:rFonts w:ascii="Times New Roman" w:eastAsia="Times New Roman" w:hAnsi="Times New Roman"/>
                <w:color w:val="000000"/>
                <w:sz w:val="14"/>
                <w:szCs w:val="14"/>
                <w:lang w:eastAsia="sq-AL"/>
              </w:rPr>
              <w:t xml:space="preserve"> mbi standardet e rekrutimit të drejtë nga vendet e huaja </w:t>
            </w:r>
          </w:p>
        </w:tc>
        <w:tc>
          <w:tcPr>
            <w:tcW w:w="342" w:type="pct"/>
            <w:tcBorders>
              <w:top w:val="nil"/>
              <w:left w:val="nil"/>
              <w:bottom w:val="single" w:sz="4" w:space="0" w:color="auto"/>
              <w:right w:val="single" w:sz="4" w:space="0" w:color="auto"/>
            </w:tcBorders>
            <w:shd w:val="clear" w:color="000000" w:fill="FFD579"/>
            <w:vAlign w:val="center"/>
            <w:hideMark/>
          </w:tcPr>
          <w:p w14:paraId="01BB01C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C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w:t>
            </w:r>
          </w:p>
        </w:tc>
        <w:tc>
          <w:tcPr>
            <w:tcW w:w="331" w:type="pct"/>
            <w:tcBorders>
              <w:top w:val="nil"/>
              <w:left w:val="nil"/>
              <w:bottom w:val="single" w:sz="4" w:space="0" w:color="auto"/>
              <w:right w:val="single" w:sz="4" w:space="0" w:color="auto"/>
            </w:tcBorders>
            <w:shd w:val="clear" w:color="000000" w:fill="FFD579"/>
            <w:vAlign w:val="center"/>
            <w:hideMark/>
          </w:tcPr>
          <w:p w14:paraId="01BB01C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276" w:type="pct"/>
            <w:tcBorders>
              <w:top w:val="nil"/>
              <w:left w:val="nil"/>
              <w:bottom w:val="single" w:sz="4" w:space="0" w:color="auto"/>
              <w:right w:val="single" w:sz="4" w:space="0" w:color="auto"/>
            </w:tcBorders>
            <w:shd w:val="clear" w:color="000000" w:fill="FFD579"/>
            <w:vAlign w:val="center"/>
            <w:hideMark/>
          </w:tcPr>
          <w:p w14:paraId="01BB01C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B01C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C5" w14:textId="5A39D67B"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3,360,000 </w:t>
            </w:r>
          </w:p>
        </w:tc>
        <w:tc>
          <w:tcPr>
            <w:tcW w:w="778" w:type="pct"/>
            <w:tcBorders>
              <w:top w:val="nil"/>
              <w:left w:val="nil"/>
              <w:bottom w:val="single" w:sz="4" w:space="0" w:color="auto"/>
              <w:right w:val="single" w:sz="4" w:space="0" w:color="auto"/>
            </w:tcBorders>
            <w:shd w:val="clear" w:color="000000" w:fill="FFD579"/>
            <w:vAlign w:val="center"/>
            <w:hideMark/>
          </w:tcPr>
          <w:p w14:paraId="01BB01C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33" w:type="pct"/>
            <w:tcBorders>
              <w:top w:val="nil"/>
              <w:left w:val="nil"/>
              <w:bottom w:val="single" w:sz="4" w:space="0" w:color="auto"/>
              <w:right w:val="single" w:sz="4" w:space="0" w:color="auto"/>
            </w:tcBorders>
            <w:shd w:val="clear" w:color="000000" w:fill="FFD579"/>
            <w:vAlign w:val="center"/>
            <w:hideMark/>
          </w:tcPr>
          <w:p w14:paraId="01BB01C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C8" w14:textId="5063DF88"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3,360,000 </w:t>
            </w:r>
          </w:p>
        </w:tc>
      </w:tr>
      <w:tr w:rsidR="00FC285A" w:rsidRPr="000E152E" w14:paraId="01BB01D5"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CA"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CB" w14:textId="29DDB609"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Angazhimi i Ministrisë në dialog konstruktiv me kornizat shumëpalëshe dhe dypalëshe për të promovuar sisteme të drejta, të si</w:t>
            </w:r>
            <w:r w:rsidR="00B7420C">
              <w:rPr>
                <w:rFonts w:ascii="Times New Roman" w:eastAsia="Times New Roman" w:hAnsi="Times New Roman"/>
                <w:color w:val="000000"/>
                <w:sz w:val="14"/>
                <w:szCs w:val="14"/>
                <w:lang w:eastAsia="sq-AL"/>
              </w:rPr>
              <w:t>gurta, të rregullta dhe të mirë</w:t>
            </w:r>
            <w:r w:rsidRPr="000E152E">
              <w:rPr>
                <w:rFonts w:ascii="Times New Roman" w:eastAsia="Times New Roman" w:hAnsi="Times New Roman"/>
                <w:color w:val="000000"/>
                <w:sz w:val="14"/>
                <w:szCs w:val="14"/>
                <w:lang w:eastAsia="sq-AL"/>
              </w:rPr>
              <w:t xml:space="preserve">qeverisura të migrimit për </w:t>
            </w:r>
            <w:r w:rsidRPr="000E152E">
              <w:rPr>
                <w:rFonts w:ascii="Times New Roman" w:eastAsia="Times New Roman" w:hAnsi="Times New Roman"/>
                <w:color w:val="000000"/>
                <w:sz w:val="14"/>
                <w:szCs w:val="14"/>
                <w:lang w:eastAsia="sq-AL"/>
              </w:rPr>
              <w:lastRenderedPageBreak/>
              <w:t>motive punësimi</w:t>
            </w:r>
          </w:p>
        </w:tc>
        <w:tc>
          <w:tcPr>
            <w:tcW w:w="342" w:type="pct"/>
            <w:tcBorders>
              <w:top w:val="nil"/>
              <w:left w:val="nil"/>
              <w:bottom w:val="single" w:sz="4" w:space="0" w:color="auto"/>
              <w:right w:val="single" w:sz="4" w:space="0" w:color="auto"/>
            </w:tcBorders>
            <w:shd w:val="clear" w:color="000000" w:fill="FFD579"/>
            <w:vAlign w:val="center"/>
            <w:hideMark/>
          </w:tcPr>
          <w:p w14:paraId="01BB01C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lastRenderedPageBreak/>
              <w:t>10550</w:t>
            </w:r>
          </w:p>
        </w:tc>
        <w:tc>
          <w:tcPr>
            <w:tcW w:w="302" w:type="pct"/>
            <w:tcBorders>
              <w:top w:val="nil"/>
              <w:left w:val="nil"/>
              <w:bottom w:val="single" w:sz="4" w:space="0" w:color="auto"/>
              <w:right w:val="single" w:sz="4" w:space="0" w:color="auto"/>
            </w:tcBorders>
            <w:shd w:val="clear" w:color="000000" w:fill="FFD579"/>
            <w:vAlign w:val="center"/>
            <w:hideMark/>
          </w:tcPr>
          <w:p w14:paraId="01BB01CD"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1C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276" w:type="pct"/>
            <w:tcBorders>
              <w:top w:val="nil"/>
              <w:left w:val="nil"/>
              <w:bottom w:val="single" w:sz="4" w:space="0" w:color="auto"/>
              <w:right w:val="single" w:sz="4" w:space="0" w:color="auto"/>
            </w:tcBorders>
            <w:shd w:val="clear" w:color="000000" w:fill="FFD579"/>
            <w:vAlign w:val="center"/>
            <w:hideMark/>
          </w:tcPr>
          <w:p w14:paraId="01BB01C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D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D1"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422,130,800 </w:t>
            </w:r>
          </w:p>
        </w:tc>
        <w:tc>
          <w:tcPr>
            <w:tcW w:w="778" w:type="pct"/>
            <w:tcBorders>
              <w:top w:val="nil"/>
              <w:left w:val="nil"/>
              <w:bottom w:val="single" w:sz="4" w:space="0" w:color="auto"/>
              <w:right w:val="single" w:sz="4" w:space="0" w:color="auto"/>
            </w:tcBorders>
            <w:shd w:val="clear" w:color="000000" w:fill="FFD579"/>
            <w:vAlign w:val="center"/>
            <w:hideMark/>
          </w:tcPr>
          <w:p w14:paraId="01BB01D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379,917,720 </w:t>
            </w:r>
          </w:p>
        </w:tc>
        <w:tc>
          <w:tcPr>
            <w:tcW w:w="633" w:type="pct"/>
            <w:tcBorders>
              <w:top w:val="nil"/>
              <w:left w:val="nil"/>
              <w:bottom w:val="single" w:sz="4" w:space="0" w:color="auto"/>
              <w:right w:val="single" w:sz="4" w:space="0" w:color="auto"/>
            </w:tcBorders>
            <w:shd w:val="clear" w:color="000000" w:fill="FFD579"/>
            <w:vAlign w:val="center"/>
            <w:hideMark/>
          </w:tcPr>
          <w:p w14:paraId="01BB01D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42,213,080 </w:t>
            </w:r>
          </w:p>
        </w:tc>
        <w:tc>
          <w:tcPr>
            <w:tcW w:w="676" w:type="pct"/>
            <w:tcBorders>
              <w:top w:val="nil"/>
              <w:left w:val="nil"/>
              <w:bottom w:val="single" w:sz="4" w:space="0" w:color="auto"/>
              <w:right w:val="single" w:sz="4" w:space="0" w:color="auto"/>
            </w:tcBorders>
            <w:shd w:val="clear" w:color="000000" w:fill="FFD579"/>
            <w:vAlign w:val="center"/>
            <w:hideMark/>
          </w:tcPr>
          <w:p w14:paraId="01BB01D4" w14:textId="4ACACB33"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E1"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D6"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D7" w14:textId="5244F5B9" w:rsidR="00FC285A" w:rsidRPr="000E152E" w:rsidRDefault="006752BC" w:rsidP="00FC285A">
            <w:pPr>
              <w:spacing w:after="0" w:line="240" w:lineRule="auto"/>
              <w:rPr>
                <w:rFonts w:ascii="Times New Roman" w:eastAsia="Times New Roman" w:hAnsi="Times New Roman"/>
                <w:sz w:val="14"/>
                <w:szCs w:val="14"/>
                <w:lang w:eastAsia="sq-AL"/>
              </w:rPr>
            </w:pPr>
            <w:r>
              <w:rPr>
                <w:rFonts w:ascii="Times New Roman" w:eastAsia="Times New Roman" w:hAnsi="Times New Roman"/>
                <w:sz w:val="14"/>
                <w:szCs w:val="14"/>
                <w:lang w:eastAsia="sq-AL"/>
              </w:rPr>
              <w:t>“</w:t>
            </w:r>
            <w:r w:rsidR="00FC285A" w:rsidRPr="000E152E">
              <w:rPr>
                <w:rFonts w:ascii="Times New Roman" w:eastAsia="Times New Roman" w:hAnsi="Times New Roman"/>
                <w:sz w:val="14"/>
                <w:szCs w:val="14"/>
                <w:lang w:eastAsia="sq-AL"/>
              </w:rPr>
              <w:t>Hartimi dhe miratimi i protokolleve përkatëse për të forcuar koordinimin ndërmjet aktorëve të ndryshëm të qeverisë, me qëllim përmirësimin e informacionit të disponueshëm për shtetasit shqiptarë të kthyer</w:t>
            </w:r>
            <w:r>
              <w:rPr>
                <w:rFonts w:ascii="Times New Roman" w:eastAsia="Times New Roman" w:hAnsi="Times New Roman"/>
                <w:sz w:val="14"/>
                <w:szCs w:val="14"/>
                <w:lang w:eastAsia="sq-AL"/>
              </w:rPr>
              <w:t>”</w:t>
            </w:r>
            <w:r w:rsidR="00FC285A" w:rsidRPr="000E152E">
              <w:rPr>
                <w:rFonts w:ascii="Times New Roman" w:eastAsia="Times New Roman" w:hAnsi="Times New Roman"/>
                <w:sz w:val="14"/>
                <w:szCs w:val="14"/>
                <w:lang w:eastAsia="sq-AL"/>
              </w:rPr>
              <w:t xml:space="preserve">. </w:t>
            </w:r>
          </w:p>
        </w:tc>
        <w:tc>
          <w:tcPr>
            <w:tcW w:w="342" w:type="pct"/>
            <w:tcBorders>
              <w:top w:val="nil"/>
              <w:left w:val="nil"/>
              <w:bottom w:val="single" w:sz="4" w:space="0" w:color="auto"/>
              <w:right w:val="single" w:sz="4" w:space="0" w:color="auto"/>
            </w:tcBorders>
            <w:shd w:val="clear" w:color="000000" w:fill="FFD579"/>
            <w:vAlign w:val="center"/>
            <w:hideMark/>
          </w:tcPr>
          <w:p w14:paraId="01BB01D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D9"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1DA"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MB, MSHMS, MAS</w:t>
            </w:r>
          </w:p>
        </w:tc>
        <w:tc>
          <w:tcPr>
            <w:tcW w:w="276" w:type="pct"/>
            <w:tcBorders>
              <w:top w:val="nil"/>
              <w:left w:val="nil"/>
              <w:bottom w:val="single" w:sz="4" w:space="0" w:color="auto"/>
              <w:right w:val="single" w:sz="4" w:space="0" w:color="auto"/>
            </w:tcBorders>
            <w:shd w:val="clear" w:color="000000" w:fill="FFD579"/>
            <w:vAlign w:val="center"/>
            <w:hideMark/>
          </w:tcPr>
          <w:p w14:paraId="01BB01D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2023</w:t>
            </w:r>
          </w:p>
        </w:tc>
        <w:tc>
          <w:tcPr>
            <w:tcW w:w="329" w:type="pct"/>
            <w:tcBorders>
              <w:top w:val="nil"/>
              <w:left w:val="nil"/>
              <w:bottom w:val="single" w:sz="4" w:space="0" w:color="auto"/>
              <w:right w:val="single" w:sz="4" w:space="0" w:color="auto"/>
            </w:tcBorders>
            <w:shd w:val="clear" w:color="000000" w:fill="FFD579"/>
            <w:vAlign w:val="center"/>
            <w:hideMark/>
          </w:tcPr>
          <w:p w14:paraId="01BB01D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2024</w:t>
            </w:r>
          </w:p>
        </w:tc>
        <w:tc>
          <w:tcPr>
            <w:tcW w:w="605" w:type="pct"/>
            <w:tcBorders>
              <w:top w:val="nil"/>
              <w:left w:val="nil"/>
              <w:bottom w:val="single" w:sz="4" w:space="0" w:color="auto"/>
              <w:right w:val="single" w:sz="4" w:space="0" w:color="auto"/>
            </w:tcBorders>
            <w:shd w:val="clear" w:color="000000" w:fill="FFD579"/>
            <w:vAlign w:val="center"/>
            <w:hideMark/>
          </w:tcPr>
          <w:p w14:paraId="01BB01DD"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422,130,800 </w:t>
            </w:r>
          </w:p>
        </w:tc>
        <w:tc>
          <w:tcPr>
            <w:tcW w:w="778" w:type="pct"/>
            <w:tcBorders>
              <w:top w:val="nil"/>
              <w:left w:val="nil"/>
              <w:bottom w:val="single" w:sz="4" w:space="0" w:color="auto"/>
              <w:right w:val="single" w:sz="4" w:space="0" w:color="auto"/>
            </w:tcBorders>
            <w:shd w:val="clear" w:color="000000" w:fill="FFD579"/>
            <w:vAlign w:val="center"/>
            <w:hideMark/>
          </w:tcPr>
          <w:p w14:paraId="01BB01DE"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379,917,720 </w:t>
            </w:r>
          </w:p>
        </w:tc>
        <w:tc>
          <w:tcPr>
            <w:tcW w:w="633" w:type="pct"/>
            <w:tcBorders>
              <w:top w:val="nil"/>
              <w:left w:val="nil"/>
              <w:bottom w:val="single" w:sz="4" w:space="0" w:color="auto"/>
              <w:right w:val="single" w:sz="4" w:space="0" w:color="auto"/>
            </w:tcBorders>
            <w:shd w:val="clear" w:color="000000" w:fill="FFD579"/>
            <w:vAlign w:val="center"/>
            <w:hideMark/>
          </w:tcPr>
          <w:p w14:paraId="01BB01DF"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42,213,080 </w:t>
            </w:r>
          </w:p>
        </w:tc>
        <w:tc>
          <w:tcPr>
            <w:tcW w:w="676" w:type="pct"/>
            <w:tcBorders>
              <w:top w:val="nil"/>
              <w:left w:val="nil"/>
              <w:bottom w:val="single" w:sz="4" w:space="0" w:color="auto"/>
              <w:right w:val="single" w:sz="4" w:space="0" w:color="auto"/>
            </w:tcBorders>
            <w:shd w:val="clear" w:color="000000" w:fill="FFD579"/>
            <w:vAlign w:val="center"/>
            <w:hideMark/>
          </w:tcPr>
          <w:p w14:paraId="01BB01E0" w14:textId="27DC5992"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1ED"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E2"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E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Përshtatja e shërbimeve të punësimit dhe programeve të e nxitjes së punësimit duke përfshir ofrimin e kurseve të gjuhës </w:t>
            </w:r>
          </w:p>
        </w:tc>
        <w:tc>
          <w:tcPr>
            <w:tcW w:w="342" w:type="pct"/>
            <w:tcBorders>
              <w:top w:val="nil"/>
              <w:left w:val="nil"/>
              <w:bottom w:val="single" w:sz="4" w:space="0" w:color="auto"/>
              <w:right w:val="single" w:sz="4" w:space="0" w:color="auto"/>
            </w:tcBorders>
            <w:shd w:val="clear" w:color="000000" w:fill="FFD579"/>
            <w:vAlign w:val="center"/>
            <w:hideMark/>
          </w:tcPr>
          <w:p w14:paraId="01BB01E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10550</w:t>
            </w:r>
          </w:p>
        </w:tc>
        <w:tc>
          <w:tcPr>
            <w:tcW w:w="302" w:type="pct"/>
            <w:tcBorders>
              <w:top w:val="nil"/>
              <w:left w:val="nil"/>
              <w:bottom w:val="single" w:sz="4" w:space="0" w:color="auto"/>
              <w:right w:val="single" w:sz="4" w:space="0" w:color="auto"/>
            </w:tcBorders>
            <w:shd w:val="clear" w:color="000000" w:fill="FFD579"/>
            <w:vAlign w:val="center"/>
            <w:hideMark/>
          </w:tcPr>
          <w:p w14:paraId="01BB01E5"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MFE</w:t>
            </w:r>
          </w:p>
        </w:tc>
        <w:tc>
          <w:tcPr>
            <w:tcW w:w="331" w:type="pct"/>
            <w:tcBorders>
              <w:top w:val="nil"/>
              <w:left w:val="nil"/>
              <w:bottom w:val="single" w:sz="4" w:space="0" w:color="auto"/>
              <w:right w:val="single" w:sz="4" w:space="0" w:color="auto"/>
            </w:tcBorders>
            <w:shd w:val="clear" w:color="000000" w:fill="FFD579"/>
            <w:vAlign w:val="center"/>
            <w:hideMark/>
          </w:tcPr>
          <w:p w14:paraId="01BB01E6"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AKPA, AKAFPK</w:t>
            </w:r>
          </w:p>
        </w:tc>
        <w:tc>
          <w:tcPr>
            <w:tcW w:w="276" w:type="pct"/>
            <w:tcBorders>
              <w:top w:val="nil"/>
              <w:left w:val="nil"/>
              <w:bottom w:val="single" w:sz="4" w:space="0" w:color="auto"/>
              <w:right w:val="single" w:sz="4" w:space="0" w:color="auto"/>
            </w:tcBorders>
            <w:shd w:val="clear" w:color="000000" w:fill="FFD579"/>
            <w:vAlign w:val="center"/>
            <w:hideMark/>
          </w:tcPr>
          <w:p w14:paraId="01BB01E7"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2025</w:t>
            </w:r>
          </w:p>
        </w:tc>
        <w:tc>
          <w:tcPr>
            <w:tcW w:w="329" w:type="pct"/>
            <w:tcBorders>
              <w:top w:val="nil"/>
              <w:left w:val="nil"/>
              <w:bottom w:val="single" w:sz="4" w:space="0" w:color="auto"/>
              <w:right w:val="single" w:sz="4" w:space="0" w:color="auto"/>
            </w:tcBorders>
            <w:shd w:val="clear" w:color="000000" w:fill="FFD579"/>
            <w:vAlign w:val="center"/>
            <w:hideMark/>
          </w:tcPr>
          <w:p w14:paraId="01BB01E8"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E9" w14:textId="74762D3E" w:rsidR="00FC285A" w:rsidRPr="000E152E" w:rsidRDefault="000E152E"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98,226,148 </w:t>
            </w:r>
          </w:p>
        </w:tc>
        <w:tc>
          <w:tcPr>
            <w:tcW w:w="778" w:type="pct"/>
            <w:tcBorders>
              <w:top w:val="nil"/>
              <w:left w:val="nil"/>
              <w:bottom w:val="single" w:sz="4" w:space="0" w:color="auto"/>
              <w:right w:val="single" w:sz="4" w:space="0" w:color="auto"/>
            </w:tcBorders>
            <w:shd w:val="clear" w:color="000000" w:fill="FFD579"/>
            <w:vAlign w:val="center"/>
            <w:hideMark/>
          </w:tcPr>
          <w:p w14:paraId="01BB01EA" w14:textId="058A7986"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 xml:space="preserve">70,342,200 </w:t>
            </w:r>
          </w:p>
        </w:tc>
        <w:tc>
          <w:tcPr>
            <w:tcW w:w="633" w:type="pct"/>
            <w:tcBorders>
              <w:top w:val="nil"/>
              <w:left w:val="nil"/>
              <w:bottom w:val="single" w:sz="4" w:space="0" w:color="auto"/>
              <w:right w:val="single" w:sz="4" w:space="0" w:color="auto"/>
            </w:tcBorders>
            <w:shd w:val="clear" w:color="000000" w:fill="FFD579"/>
            <w:vAlign w:val="center"/>
            <w:hideMark/>
          </w:tcPr>
          <w:p w14:paraId="01BB01EB"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676" w:type="pct"/>
            <w:tcBorders>
              <w:top w:val="nil"/>
              <w:left w:val="nil"/>
              <w:bottom w:val="single" w:sz="4" w:space="0" w:color="auto"/>
              <w:right w:val="single" w:sz="4" w:space="0" w:color="auto"/>
            </w:tcBorders>
            <w:shd w:val="clear" w:color="000000" w:fill="FFD579"/>
            <w:vAlign w:val="center"/>
            <w:hideMark/>
          </w:tcPr>
          <w:p w14:paraId="01BB01EC"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27,883,948 </w:t>
            </w:r>
          </w:p>
        </w:tc>
      </w:tr>
      <w:tr w:rsidR="00FC285A" w:rsidRPr="000E152E" w14:paraId="01BB01F9" w14:textId="77777777" w:rsidTr="00FC285A">
        <w:trPr>
          <w:trHeight w:val="180"/>
        </w:trPr>
        <w:tc>
          <w:tcPr>
            <w:tcW w:w="287" w:type="pct"/>
            <w:tcBorders>
              <w:top w:val="nil"/>
              <w:left w:val="nil"/>
              <w:bottom w:val="nil"/>
              <w:right w:val="single" w:sz="4" w:space="0" w:color="auto"/>
            </w:tcBorders>
            <w:shd w:val="clear" w:color="000000" w:fill="FFD579"/>
            <w:vAlign w:val="center"/>
            <w:hideMark/>
          </w:tcPr>
          <w:p w14:paraId="01BB01EE"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w:t>
            </w:r>
          </w:p>
        </w:tc>
        <w:tc>
          <w:tcPr>
            <w:tcW w:w="441" w:type="pct"/>
            <w:tcBorders>
              <w:top w:val="nil"/>
              <w:left w:val="nil"/>
              <w:bottom w:val="single" w:sz="4" w:space="0" w:color="auto"/>
              <w:right w:val="single" w:sz="4" w:space="0" w:color="auto"/>
            </w:tcBorders>
            <w:shd w:val="clear" w:color="000000" w:fill="FFD579"/>
            <w:vAlign w:val="center"/>
            <w:hideMark/>
          </w:tcPr>
          <w:p w14:paraId="01BB01EF"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Ofrimi i mundësive për njohjen e të nxënit të mëparshëm për emigrantët e kthyer dhe migrantët e tjerë të punës </w:t>
            </w:r>
          </w:p>
        </w:tc>
        <w:tc>
          <w:tcPr>
            <w:tcW w:w="342" w:type="pct"/>
            <w:tcBorders>
              <w:top w:val="nil"/>
              <w:left w:val="nil"/>
              <w:bottom w:val="single" w:sz="4" w:space="0" w:color="auto"/>
              <w:right w:val="single" w:sz="4" w:space="0" w:color="auto"/>
            </w:tcBorders>
            <w:shd w:val="clear" w:color="000000" w:fill="FFD579"/>
            <w:vAlign w:val="center"/>
            <w:hideMark/>
          </w:tcPr>
          <w:p w14:paraId="01BB01F0"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9240</w:t>
            </w:r>
          </w:p>
        </w:tc>
        <w:tc>
          <w:tcPr>
            <w:tcW w:w="302" w:type="pct"/>
            <w:tcBorders>
              <w:top w:val="nil"/>
              <w:left w:val="nil"/>
              <w:bottom w:val="single" w:sz="4" w:space="0" w:color="auto"/>
              <w:right w:val="single" w:sz="4" w:space="0" w:color="auto"/>
            </w:tcBorders>
            <w:shd w:val="clear" w:color="000000" w:fill="FFD579"/>
            <w:vAlign w:val="center"/>
            <w:hideMark/>
          </w:tcPr>
          <w:p w14:paraId="01BB01F1"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AKAFPK</w:t>
            </w:r>
          </w:p>
        </w:tc>
        <w:tc>
          <w:tcPr>
            <w:tcW w:w="331" w:type="pct"/>
            <w:tcBorders>
              <w:top w:val="nil"/>
              <w:left w:val="nil"/>
              <w:bottom w:val="single" w:sz="4" w:space="0" w:color="auto"/>
              <w:right w:val="single" w:sz="4" w:space="0" w:color="auto"/>
            </w:tcBorders>
            <w:shd w:val="clear" w:color="000000" w:fill="FFD579"/>
            <w:vAlign w:val="center"/>
            <w:hideMark/>
          </w:tcPr>
          <w:p w14:paraId="01BB01F2"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Ofruesit, AKPA</w:t>
            </w:r>
          </w:p>
        </w:tc>
        <w:tc>
          <w:tcPr>
            <w:tcW w:w="276" w:type="pct"/>
            <w:tcBorders>
              <w:top w:val="nil"/>
              <w:left w:val="nil"/>
              <w:bottom w:val="single" w:sz="4" w:space="0" w:color="auto"/>
              <w:right w:val="single" w:sz="4" w:space="0" w:color="auto"/>
            </w:tcBorders>
            <w:shd w:val="clear" w:color="000000" w:fill="FFD579"/>
            <w:vAlign w:val="center"/>
            <w:hideMark/>
          </w:tcPr>
          <w:p w14:paraId="01BB01F3"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TM1 2026</w:t>
            </w:r>
          </w:p>
        </w:tc>
        <w:tc>
          <w:tcPr>
            <w:tcW w:w="329" w:type="pct"/>
            <w:tcBorders>
              <w:top w:val="nil"/>
              <w:left w:val="nil"/>
              <w:bottom w:val="single" w:sz="4" w:space="0" w:color="auto"/>
              <w:right w:val="single" w:sz="4" w:space="0" w:color="auto"/>
            </w:tcBorders>
            <w:shd w:val="clear" w:color="000000" w:fill="FFD579"/>
            <w:vAlign w:val="center"/>
            <w:hideMark/>
          </w:tcPr>
          <w:p w14:paraId="01BB01F4" w14:textId="77777777"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TM4 2030</w:t>
            </w:r>
          </w:p>
        </w:tc>
        <w:tc>
          <w:tcPr>
            <w:tcW w:w="605" w:type="pct"/>
            <w:tcBorders>
              <w:top w:val="nil"/>
              <w:left w:val="nil"/>
              <w:bottom w:val="single" w:sz="4" w:space="0" w:color="auto"/>
              <w:right w:val="single" w:sz="4" w:space="0" w:color="auto"/>
            </w:tcBorders>
            <w:shd w:val="clear" w:color="000000" w:fill="FFD579"/>
            <w:vAlign w:val="center"/>
            <w:hideMark/>
          </w:tcPr>
          <w:p w14:paraId="01BB01F5" w14:textId="77777777" w:rsidR="00FC285A" w:rsidRPr="000E152E" w:rsidRDefault="00FC285A" w:rsidP="00FC285A">
            <w:pPr>
              <w:spacing w:after="0" w:line="240" w:lineRule="auto"/>
              <w:jc w:val="right"/>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p>
        </w:tc>
        <w:tc>
          <w:tcPr>
            <w:tcW w:w="778" w:type="pct"/>
            <w:tcBorders>
              <w:top w:val="nil"/>
              <w:left w:val="nil"/>
              <w:bottom w:val="single" w:sz="4" w:space="0" w:color="auto"/>
              <w:right w:val="single" w:sz="4" w:space="0" w:color="auto"/>
            </w:tcBorders>
            <w:shd w:val="clear" w:color="000000" w:fill="FFD579"/>
            <w:vAlign w:val="center"/>
            <w:hideMark/>
          </w:tcPr>
          <w:p w14:paraId="01BB01F6" w14:textId="7E2D8745"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33" w:type="pct"/>
            <w:tcBorders>
              <w:top w:val="nil"/>
              <w:left w:val="nil"/>
              <w:bottom w:val="single" w:sz="4" w:space="0" w:color="auto"/>
              <w:right w:val="single" w:sz="4" w:space="0" w:color="auto"/>
            </w:tcBorders>
            <w:shd w:val="clear" w:color="000000" w:fill="FFD579"/>
            <w:vAlign w:val="center"/>
            <w:hideMark/>
          </w:tcPr>
          <w:p w14:paraId="01BB01F7" w14:textId="50F70209" w:rsidR="00FC285A" w:rsidRPr="000E152E" w:rsidRDefault="00FC285A"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w:t>
            </w:r>
            <w:r w:rsidR="000E152E" w:rsidRPr="000E152E">
              <w:rPr>
                <w:rFonts w:ascii="Times New Roman" w:eastAsia="Times New Roman" w:hAnsi="Times New Roman"/>
                <w:color w:val="000000"/>
                <w:sz w:val="14"/>
                <w:szCs w:val="14"/>
                <w:lang w:eastAsia="sq-AL"/>
              </w:rPr>
              <w:t xml:space="preserve"> </w:t>
            </w:r>
          </w:p>
        </w:tc>
        <w:tc>
          <w:tcPr>
            <w:tcW w:w="676" w:type="pct"/>
            <w:tcBorders>
              <w:top w:val="nil"/>
              <w:left w:val="nil"/>
              <w:bottom w:val="single" w:sz="4" w:space="0" w:color="auto"/>
              <w:right w:val="single" w:sz="4" w:space="0" w:color="auto"/>
            </w:tcBorders>
            <w:shd w:val="clear" w:color="000000" w:fill="FFD579"/>
            <w:vAlign w:val="center"/>
            <w:hideMark/>
          </w:tcPr>
          <w:p w14:paraId="01BB01F8" w14:textId="181D03D8" w:rsidR="00FC285A" w:rsidRPr="000E152E" w:rsidRDefault="000E152E" w:rsidP="00FC285A">
            <w:pPr>
              <w:spacing w:after="0" w:line="240" w:lineRule="auto"/>
              <w:jc w:val="center"/>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 xml:space="preserve"> </w:t>
            </w:r>
            <w:r w:rsidR="00FC285A" w:rsidRPr="000E152E">
              <w:rPr>
                <w:rFonts w:ascii="Times New Roman" w:eastAsia="Times New Roman" w:hAnsi="Times New Roman"/>
                <w:color w:val="000000"/>
                <w:sz w:val="14"/>
                <w:szCs w:val="14"/>
                <w:lang w:eastAsia="sq-AL"/>
              </w:rPr>
              <w:t>-</w:t>
            </w:r>
            <w:r w:rsidRPr="000E152E">
              <w:rPr>
                <w:rFonts w:ascii="Times New Roman" w:eastAsia="Times New Roman" w:hAnsi="Times New Roman"/>
                <w:color w:val="000000"/>
                <w:sz w:val="14"/>
                <w:szCs w:val="14"/>
                <w:lang w:eastAsia="sq-AL"/>
              </w:rPr>
              <w:t xml:space="preserve"> </w:t>
            </w:r>
          </w:p>
        </w:tc>
      </w:tr>
      <w:tr w:rsidR="00FC285A" w:rsidRPr="000E152E" w14:paraId="01BB0205" w14:textId="77777777" w:rsidTr="00FC285A">
        <w:trPr>
          <w:trHeight w:val="180"/>
        </w:trPr>
        <w:tc>
          <w:tcPr>
            <w:tcW w:w="287" w:type="pct"/>
            <w:tcBorders>
              <w:top w:val="nil"/>
              <w:left w:val="nil"/>
              <w:bottom w:val="nil"/>
              <w:right w:val="nil"/>
            </w:tcBorders>
            <w:shd w:val="clear" w:color="auto" w:fill="auto"/>
            <w:noWrap/>
            <w:vAlign w:val="center"/>
            <w:hideMark/>
          </w:tcPr>
          <w:p w14:paraId="01BB01FA" w14:textId="77777777" w:rsidR="00FC285A" w:rsidRPr="000E152E" w:rsidRDefault="00FC285A" w:rsidP="00FC285A">
            <w:pPr>
              <w:spacing w:after="0" w:line="240" w:lineRule="auto"/>
              <w:rPr>
                <w:rFonts w:eastAsia="Times New Roman" w:cs="Calibri"/>
                <w:color w:val="000000"/>
                <w:sz w:val="14"/>
                <w:szCs w:val="14"/>
                <w:lang w:eastAsia="sq-AL"/>
              </w:rPr>
            </w:pPr>
          </w:p>
        </w:tc>
        <w:tc>
          <w:tcPr>
            <w:tcW w:w="441" w:type="pct"/>
            <w:tcBorders>
              <w:top w:val="nil"/>
              <w:left w:val="nil"/>
              <w:bottom w:val="nil"/>
              <w:right w:val="nil"/>
            </w:tcBorders>
            <w:shd w:val="clear" w:color="auto" w:fill="auto"/>
            <w:noWrap/>
            <w:vAlign w:val="center"/>
            <w:hideMark/>
          </w:tcPr>
          <w:p w14:paraId="01BB01FB" w14:textId="77777777" w:rsidR="00FC285A" w:rsidRPr="000E152E" w:rsidRDefault="00FC285A" w:rsidP="00FC285A">
            <w:pPr>
              <w:spacing w:after="0" w:line="240" w:lineRule="auto"/>
              <w:rPr>
                <w:rFonts w:eastAsia="Times New Roman" w:cs="Calibri"/>
                <w:color w:val="000000"/>
                <w:sz w:val="14"/>
                <w:szCs w:val="14"/>
                <w:lang w:eastAsia="sq-AL"/>
              </w:rPr>
            </w:pPr>
          </w:p>
        </w:tc>
        <w:tc>
          <w:tcPr>
            <w:tcW w:w="342" w:type="pct"/>
            <w:tcBorders>
              <w:top w:val="nil"/>
              <w:left w:val="nil"/>
              <w:bottom w:val="nil"/>
              <w:right w:val="nil"/>
            </w:tcBorders>
            <w:shd w:val="clear" w:color="auto" w:fill="auto"/>
            <w:noWrap/>
            <w:vAlign w:val="center"/>
            <w:hideMark/>
          </w:tcPr>
          <w:p w14:paraId="01BB01FC" w14:textId="77777777" w:rsidR="00FC285A" w:rsidRPr="000E152E" w:rsidRDefault="00FC285A" w:rsidP="00FC285A">
            <w:pPr>
              <w:spacing w:after="0" w:line="240" w:lineRule="auto"/>
              <w:rPr>
                <w:rFonts w:eastAsia="Times New Roman" w:cs="Calibri"/>
                <w:color w:val="000000"/>
                <w:sz w:val="14"/>
                <w:szCs w:val="14"/>
                <w:lang w:eastAsia="sq-AL"/>
              </w:rPr>
            </w:pPr>
          </w:p>
        </w:tc>
        <w:tc>
          <w:tcPr>
            <w:tcW w:w="302" w:type="pct"/>
            <w:tcBorders>
              <w:top w:val="nil"/>
              <w:left w:val="nil"/>
              <w:bottom w:val="nil"/>
              <w:right w:val="nil"/>
            </w:tcBorders>
            <w:shd w:val="clear" w:color="auto" w:fill="auto"/>
            <w:noWrap/>
            <w:vAlign w:val="center"/>
            <w:hideMark/>
          </w:tcPr>
          <w:p w14:paraId="01BB01FD" w14:textId="77777777" w:rsidR="00FC285A" w:rsidRPr="000E152E" w:rsidRDefault="00FC285A" w:rsidP="00FC285A">
            <w:pPr>
              <w:spacing w:after="0" w:line="240" w:lineRule="auto"/>
              <w:rPr>
                <w:rFonts w:eastAsia="Times New Roman" w:cs="Calibri"/>
                <w:color w:val="000000"/>
                <w:sz w:val="14"/>
                <w:szCs w:val="14"/>
                <w:lang w:eastAsia="sq-AL"/>
              </w:rPr>
            </w:pPr>
          </w:p>
        </w:tc>
        <w:tc>
          <w:tcPr>
            <w:tcW w:w="331" w:type="pct"/>
            <w:tcBorders>
              <w:top w:val="nil"/>
              <w:left w:val="nil"/>
              <w:bottom w:val="nil"/>
              <w:right w:val="nil"/>
            </w:tcBorders>
            <w:shd w:val="clear" w:color="auto" w:fill="auto"/>
            <w:noWrap/>
            <w:vAlign w:val="center"/>
            <w:hideMark/>
          </w:tcPr>
          <w:p w14:paraId="01BB01FE" w14:textId="77777777" w:rsidR="00FC285A" w:rsidRPr="000E152E" w:rsidRDefault="00FC285A" w:rsidP="00FC285A">
            <w:pPr>
              <w:spacing w:after="0" w:line="240" w:lineRule="auto"/>
              <w:jc w:val="center"/>
              <w:rPr>
                <w:rFonts w:eastAsia="Times New Roman" w:cs="Calibri"/>
                <w:color w:val="000000"/>
                <w:sz w:val="14"/>
                <w:szCs w:val="14"/>
                <w:lang w:eastAsia="sq-AL"/>
              </w:rPr>
            </w:pPr>
          </w:p>
        </w:tc>
        <w:tc>
          <w:tcPr>
            <w:tcW w:w="276" w:type="pct"/>
            <w:tcBorders>
              <w:top w:val="nil"/>
              <w:left w:val="nil"/>
              <w:bottom w:val="nil"/>
              <w:right w:val="nil"/>
            </w:tcBorders>
            <w:shd w:val="clear" w:color="auto" w:fill="auto"/>
            <w:noWrap/>
            <w:vAlign w:val="center"/>
            <w:hideMark/>
          </w:tcPr>
          <w:p w14:paraId="01BB01FF" w14:textId="77777777" w:rsidR="00FC285A" w:rsidRPr="000E152E" w:rsidRDefault="00FC285A" w:rsidP="00FC285A">
            <w:pPr>
              <w:spacing w:after="0" w:line="240" w:lineRule="auto"/>
              <w:rPr>
                <w:rFonts w:eastAsia="Times New Roman" w:cs="Calibri"/>
                <w:color w:val="000000"/>
                <w:sz w:val="14"/>
                <w:szCs w:val="14"/>
                <w:lang w:eastAsia="sq-AL"/>
              </w:rPr>
            </w:pPr>
          </w:p>
        </w:tc>
        <w:tc>
          <w:tcPr>
            <w:tcW w:w="329" w:type="pct"/>
            <w:tcBorders>
              <w:top w:val="nil"/>
              <w:left w:val="nil"/>
              <w:bottom w:val="nil"/>
              <w:right w:val="nil"/>
            </w:tcBorders>
            <w:shd w:val="clear" w:color="auto" w:fill="auto"/>
            <w:noWrap/>
            <w:vAlign w:val="center"/>
            <w:hideMark/>
          </w:tcPr>
          <w:p w14:paraId="01BB0200" w14:textId="77777777" w:rsidR="00FC285A" w:rsidRPr="000E152E" w:rsidRDefault="00FC285A" w:rsidP="00FC285A">
            <w:pPr>
              <w:spacing w:after="0" w:line="240" w:lineRule="auto"/>
              <w:rPr>
                <w:rFonts w:eastAsia="Times New Roman" w:cs="Calibri"/>
                <w:color w:val="000000"/>
                <w:sz w:val="14"/>
                <w:szCs w:val="14"/>
                <w:lang w:eastAsia="sq-AL"/>
              </w:rPr>
            </w:pPr>
          </w:p>
        </w:tc>
        <w:tc>
          <w:tcPr>
            <w:tcW w:w="605" w:type="pct"/>
            <w:tcBorders>
              <w:top w:val="nil"/>
              <w:left w:val="nil"/>
              <w:bottom w:val="nil"/>
              <w:right w:val="nil"/>
            </w:tcBorders>
            <w:shd w:val="clear" w:color="auto" w:fill="auto"/>
            <w:noWrap/>
            <w:vAlign w:val="center"/>
            <w:hideMark/>
          </w:tcPr>
          <w:p w14:paraId="01BB0201" w14:textId="77777777" w:rsidR="00FC285A" w:rsidRPr="000E152E" w:rsidRDefault="00FC285A" w:rsidP="00FC285A">
            <w:pPr>
              <w:spacing w:after="0" w:line="240" w:lineRule="auto"/>
              <w:jc w:val="right"/>
              <w:rPr>
                <w:rFonts w:eastAsia="Times New Roman" w:cs="Calibri"/>
                <w:color w:val="000000"/>
                <w:sz w:val="14"/>
                <w:szCs w:val="14"/>
                <w:lang w:eastAsia="sq-AL"/>
              </w:rPr>
            </w:pPr>
          </w:p>
        </w:tc>
        <w:tc>
          <w:tcPr>
            <w:tcW w:w="778" w:type="pct"/>
            <w:tcBorders>
              <w:top w:val="nil"/>
              <w:left w:val="nil"/>
              <w:bottom w:val="nil"/>
              <w:right w:val="nil"/>
            </w:tcBorders>
            <w:shd w:val="clear" w:color="auto" w:fill="auto"/>
            <w:noWrap/>
            <w:vAlign w:val="center"/>
            <w:hideMark/>
          </w:tcPr>
          <w:p w14:paraId="01BB0202" w14:textId="77777777" w:rsidR="00FC285A" w:rsidRPr="000E152E" w:rsidRDefault="00FC285A" w:rsidP="00FC285A">
            <w:pPr>
              <w:spacing w:after="0" w:line="240" w:lineRule="auto"/>
              <w:rPr>
                <w:rFonts w:eastAsia="Times New Roman" w:cs="Calibri"/>
                <w:color w:val="000000"/>
                <w:sz w:val="14"/>
                <w:szCs w:val="14"/>
                <w:lang w:eastAsia="sq-AL"/>
              </w:rPr>
            </w:pPr>
          </w:p>
        </w:tc>
        <w:tc>
          <w:tcPr>
            <w:tcW w:w="633" w:type="pct"/>
            <w:tcBorders>
              <w:top w:val="nil"/>
              <w:left w:val="nil"/>
              <w:bottom w:val="nil"/>
              <w:right w:val="nil"/>
            </w:tcBorders>
            <w:shd w:val="clear" w:color="auto" w:fill="auto"/>
            <w:noWrap/>
            <w:vAlign w:val="center"/>
            <w:hideMark/>
          </w:tcPr>
          <w:p w14:paraId="01BB0203" w14:textId="77777777" w:rsidR="00FC285A" w:rsidRPr="000E152E" w:rsidRDefault="00FC285A" w:rsidP="00FC285A">
            <w:pPr>
              <w:spacing w:after="0" w:line="240" w:lineRule="auto"/>
              <w:rPr>
                <w:rFonts w:eastAsia="Times New Roman" w:cs="Calibri"/>
                <w:color w:val="000000"/>
                <w:sz w:val="14"/>
                <w:szCs w:val="14"/>
                <w:lang w:eastAsia="sq-AL"/>
              </w:rPr>
            </w:pPr>
          </w:p>
        </w:tc>
        <w:tc>
          <w:tcPr>
            <w:tcW w:w="676" w:type="pct"/>
            <w:tcBorders>
              <w:top w:val="nil"/>
              <w:left w:val="nil"/>
              <w:bottom w:val="nil"/>
              <w:right w:val="nil"/>
            </w:tcBorders>
            <w:shd w:val="clear" w:color="auto" w:fill="auto"/>
            <w:noWrap/>
            <w:vAlign w:val="center"/>
            <w:hideMark/>
          </w:tcPr>
          <w:p w14:paraId="01BB0204" w14:textId="77777777" w:rsidR="00FC285A" w:rsidRPr="000E152E" w:rsidRDefault="00FC285A" w:rsidP="00FC285A">
            <w:pPr>
              <w:spacing w:after="0" w:line="240" w:lineRule="auto"/>
              <w:rPr>
                <w:rFonts w:eastAsia="Times New Roman" w:cs="Calibri"/>
                <w:color w:val="000000"/>
                <w:sz w:val="14"/>
                <w:szCs w:val="14"/>
                <w:lang w:eastAsia="sq-AL"/>
              </w:rPr>
            </w:pPr>
          </w:p>
        </w:tc>
      </w:tr>
      <w:tr w:rsidR="00FC285A" w:rsidRPr="000E152E" w14:paraId="01BB0211" w14:textId="77777777" w:rsidTr="00FC285A">
        <w:trPr>
          <w:trHeight w:val="180"/>
        </w:trPr>
        <w:tc>
          <w:tcPr>
            <w:tcW w:w="287" w:type="pct"/>
            <w:tcBorders>
              <w:top w:val="nil"/>
              <w:left w:val="nil"/>
              <w:bottom w:val="nil"/>
              <w:right w:val="nil"/>
            </w:tcBorders>
            <w:shd w:val="clear" w:color="auto" w:fill="auto"/>
            <w:noWrap/>
            <w:vAlign w:val="center"/>
            <w:hideMark/>
          </w:tcPr>
          <w:p w14:paraId="01BB0206" w14:textId="77777777" w:rsidR="00FC285A" w:rsidRPr="000E152E" w:rsidRDefault="00FC285A" w:rsidP="00FC285A">
            <w:pPr>
              <w:spacing w:after="0" w:line="240" w:lineRule="auto"/>
              <w:rPr>
                <w:rFonts w:eastAsia="Times New Roman" w:cs="Calibri"/>
                <w:color w:val="000000"/>
                <w:sz w:val="14"/>
                <w:szCs w:val="14"/>
                <w:lang w:eastAsia="sq-AL"/>
              </w:rPr>
            </w:pPr>
          </w:p>
        </w:tc>
        <w:tc>
          <w:tcPr>
            <w:tcW w:w="441" w:type="pct"/>
            <w:tcBorders>
              <w:top w:val="nil"/>
              <w:left w:val="nil"/>
              <w:bottom w:val="nil"/>
              <w:right w:val="nil"/>
            </w:tcBorders>
            <w:shd w:val="clear" w:color="auto" w:fill="auto"/>
            <w:noWrap/>
            <w:vAlign w:val="center"/>
            <w:hideMark/>
          </w:tcPr>
          <w:p w14:paraId="01BB0207" w14:textId="77777777" w:rsidR="00FC285A" w:rsidRPr="000E152E" w:rsidRDefault="00FC285A" w:rsidP="00FC285A">
            <w:pPr>
              <w:spacing w:after="0" w:line="240" w:lineRule="auto"/>
              <w:rPr>
                <w:rFonts w:eastAsia="Times New Roman" w:cs="Calibri"/>
                <w:color w:val="000000"/>
                <w:sz w:val="14"/>
                <w:szCs w:val="14"/>
                <w:lang w:eastAsia="sq-AL"/>
              </w:rPr>
            </w:pPr>
          </w:p>
        </w:tc>
        <w:tc>
          <w:tcPr>
            <w:tcW w:w="342" w:type="pct"/>
            <w:tcBorders>
              <w:top w:val="nil"/>
              <w:left w:val="nil"/>
              <w:bottom w:val="nil"/>
              <w:right w:val="nil"/>
            </w:tcBorders>
            <w:shd w:val="clear" w:color="auto" w:fill="auto"/>
            <w:noWrap/>
            <w:vAlign w:val="center"/>
            <w:hideMark/>
          </w:tcPr>
          <w:p w14:paraId="01BB0208" w14:textId="77777777" w:rsidR="00FC285A" w:rsidRPr="000E152E" w:rsidRDefault="00FC285A" w:rsidP="00FC285A">
            <w:pPr>
              <w:spacing w:after="0" w:line="240" w:lineRule="auto"/>
              <w:rPr>
                <w:rFonts w:eastAsia="Times New Roman" w:cs="Calibri"/>
                <w:color w:val="000000"/>
                <w:sz w:val="14"/>
                <w:szCs w:val="14"/>
                <w:lang w:eastAsia="sq-AL"/>
              </w:rPr>
            </w:pPr>
          </w:p>
        </w:tc>
        <w:tc>
          <w:tcPr>
            <w:tcW w:w="302" w:type="pct"/>
            <w:tcBorders>
              <w:top w:val="nil"/>
              <w:left w:val="nil"/>
              <w:bottom w:val="nil"/>
              <w:right w:val="nil"/>
            </w:tcBorders>
            <w:shd w:val="clear" w:color="auto" w:fill="auto"/>
            <w:noWrap/>
            <w:vAlign w:val="center"/>
            <w:hideMark/>
          </w:tcPr>
          <w:p w14:paraId="01BB0209" w14:textId="77777777" w:rsidR="00FC285A" w:rsidRPr="000E152E" w:rsidRDefault="00FC285A" w:rsidP="00FC285A">
            <w:pPr>
              <w:spacing w:after="0" w:line="240" w:lineRule="auto"/>
              <w:rPr>
                <w:rFonts w:eastAsia="Times New Roman" w:cs="Calibri"/>
                <w:color w:val="000000"/>
                <w:sz w:val="14"/>
                <w:szCs w:val="14"/>
                <w:lang w:eastAsia="sq-AL"/>
              </w:rPr>
            </w:pPr>
          </w:p>
        </w:tc>
        <w:tc>
          <w:tcPr>
            <w:tcW w:w="331" w:type="pct"/>
            <w:tcBorders>
              <w:top w:val="nil"/>
              <w:left w:val="nil"/>
              <w:bottom w:val="nil"/>
              <w:right w:val="nil"/>
            </w:tcBorders>
            <w:shd w:val="clear" w:color="auto" w:fill="auto"/>
            <w:noWrap/>
            <w:vAlign w:val="center"/>
            <w:hideMark/>
          </w:tcPr>
          <w:p w14:paraId="01BB020A" w14:textId="77777777" w:rsidR="00FC285A" w:rsidRPr="000E152E" w:rsidRDefault="00FC285A" w:rsidP="00FC285A">
            <w:pPr>
              <w:spacing w:after="0" w:line="240" w:lineRule="auto"/>
              <w:jc w:val="center"/>
              <w:rPr>
                <w:rFonts w:eastAsia="Times New Roman" w:cs="Calibri"/>
                <w:color w:val="000000"/>
                <w:sz w:val="14"/>
                <w:szCs w:val="14"/>
                <w:lang w:eastAsia="sq-AL"/>
              </w:rPr>
            </w:pPr>
          </w:p>
        </w:tc>
        <w:tc>
          <w:tcPr>
            <w:tcW w:w="276" w:type="pct"/>
            <w:tcBorders>
              <w:top w:val="nil"/>
              <w:left w:val="nil"/>
              <w:bottom w:val="nil"/>
              <w:right w:val="nil"/>
            </w:tcBorders>
            <w:shd w:val="clear" w:color="auto" w:fill="auto"/>
            <w:noWrap/>
            <w:vAlign w:val="center"/>
            <w:hideMark/>
          </w:tcPr>
          <w:p w14:paraId="01BB020B" w14:textId="77777777" w:rsidR="00FC285A" w:rsidRPr="000E152E" w:rsidRDefault="00FC285A" w:rsidP="00FC285A">
            <w:pPr>
              <w:spacing w:after="0" w:line="240" w:lineRule="auto"/>
              <w:rPr>
                <w:rFonts w:eastAsia="Times New Roman" w:cs="Calibri"/>
                <w:color w:val="000000"/>
                <w:sz w:val="14"/>
                <w:szCs w:val="14"/>
                <w:lang w:eastAsia="sq-AL"/>
              </w:rPr>
            </w:pPr>
          </w:p>
        </w:tc>
        <w:tc>
          <w:tcPr>
            <w:tcW w:w="329" w:type="pct"/>
            <w:tcBorders>
              <w:top w:val="nil"/>
              <w:left w:val="nil"/>
              <w:bottom w:val="nil"/>
              <w:right w:val="nil"/>
            </w:tcBorders>
            <w:shd w:val="clear" w:color="auto" w:fill="auto"/>
            <w:noWrap/>
            <w:vAlign w:val="center"/>
            <w:hideMark/>
          </w:tcPr>
          <w:p w14:paraId="01BB020C" w14:textId="77777777" w:rsidR="00FC285A" w:rsidRPr="000E152E" w:rsidRDefault="00FC285A" w:rsidP="00FC285A">
            <w:pPr>
              <w:spacing w:after="0" w:line="240" w:lineRule="auto"/>
              <w:rPr>
                <w:rFonts w:eastAsia="Times New Roman" w:cs="Calibri"/>
                <w:color w:val="000000"/>
                <w:sz w:val="14"/>
                <w:szCs w:val="14"/>
                <w:lang w:eastAsia="sq-AL"/>
              </w:rPr>
            </w:pPr>
          </w:p>
        </w:tc>
        <w:tc>
          <w:tcPr>
            <w:tcW w:w="605" w:type="pct"/>
            <w:tcBorders>
              <w:top w:val="nil"/>
              <w:left w:val="nil"/>
              <w:bottom w:val="nil"/>
              <w:right w:val="nil"/>
            </w:tcBorders>
            <w:shd w:val="clear" w:color="auto" w:fill="auto"/>
            <w:noWrap/>
            <w:vAlign w:val="center"/>
            <w:hideMark/>
          </w:tcPr>
          <w:p w14:paraId="01BB020D" w14:textId="77777777" w:rsidR="00FC285A" w:rsidRPr="000E152E" w:rsidRDefault="00FC285A" w:rsidP="00FC285A">
            <w:pPr>
              <w:spacing w:after="0" w:line="240" w:lineRule="auto"/>
              <w:jc w:val="right"/>
              <w:rPr>
                <w:rFonts w:eastAsia="Times New Roman" w:cs="Calibri"/>
                <w:color w:val="000000"/>
                <w:sz w:val="14"/>
                <w:szCs w:val="14"/>
                <w:lang w:eastAsia="sq-AL"/>
              </w:rPr>
            </w:pPr>
          </w:p>
        </w:tc>
        <w:tc>
          <w:tcPr>
            <w:tcW w:w="778" w:type="pct"/>
            <w:tcBorders>
              <w:top w:val="nil"/>
              <w:left w:val="nil"/>
              <w:bottom w:val="nil"/>
              <w:right w:val="nil"/>
            </w:tcBorders>
            <w:shd w:val="clear" w:color="auto" w:fill="auto"/>
            <w:noWrap/>
            <w:vAlign w:val="center"/>
            <w:hideMark/>
          </w:tcPr>
          <w:p w14:paraId="01BB020E" w14:textId="77777777" w:rsidR="00FC285A" w:rsidRPr="000E152E" w:rsidRDefault="00FC285A" w:rsidP="00FC285A">
            <w:pPr>
              <w:spacing w:after="0" w:line="240" w:lineRule="auto"/>
              <w:rPr>
                <w:rFonts w:eastAsia="Times New Roman" w:cs="Calibri"/>
                <w:color w:val="000000"/>
                <w:sz w:val="14"/>
                <w:szCs w:val="14"/>
                <w:lang w:eastAsia="sq-AL"/>
              </w:rPr>
            </w:pPr>
          </w:p>
        </w:tc>
        <w:tc>
          <w:tcPr>
            <w:tcW w:w="633" w:type="pct"/>
            <w:tcBorders>
              <w:top w:val="nil"/>
              <w:left w:val="nil"/>
              <w:bottom w:val="nil"/>
              <w:right w:val="nil"/>
            </w:tcBorders>
            <w:shd w:val="clear" w:color="auto" w:fill="auto"/>
            <w:noWrap/>
            <w:vAlign w:val="center"/>
            <w:hideMark/>
          </w:tcPr>
          <w:p w14:paraId="01BB020F" w14:textId="77777777" w:rsidR="00FC285A" w:rsidRPr="000E152E" w:rsidRDefault="00FC285A" w:rsidP="00FC285A">
            <w:pPr>
              <w:spacing w:after="0" w:line="240" w:lineRule="auto"/>
              <w:rPr>
                <w:rFonts w:eastAsia="Times New Roman" w:cs="Calibri"/>
                <w:color w:val="000000"/>
                <w:sz w:val="14"/>
                <w:szCs w:val="14"/>
                <w:lang w:eastAsia="sq-AL"/>
              </w:rPr>
            </w:pPr>
          </w:p>
        </w:tc>
        <w:tc>
          <w:tcPr>
            <w:tcW w:w="676" w:type="pct"/>
            <w:tcBorders>
              <w:top w:val="nil"/>
              <w:left w:val="nil"/>
              <w:bottom w:val="nil"/>
              <w:right w:val="nil"/>
            </w:tcBorders>
            <w:shd w:val="clear" w:color="auto" w:fill="auto"/>
            <w:noWrap/>
            <w:vAlign w:val="center"/>
            <w:hideMark/>
          </w:tcPr>
          <w:p w14:paraId="01BB0210" w14:textId="77777777" w:rsidR="00FC285A" w:rsidRPr="000E152E" w:rsidRDefault="00FC285A" w:rsidP="00FC285A">
            <w:pPr>
              <w:spacing w:after="0" w:line="240" w:lineRule="auto"/>
              <w:rPr>
                <w:rFonts w:eastAsia="Times New Roman" w:cs="Calibri"/>
                <w:color w:val="000000"/>
                <w:sz w:val="14"/>
                <w:szCs w:val="14"/>
                <w:lang w:eastAsia="sq-AL"/>
              </w:rPr>
            </w:pPr>
          </w:p>
        </w:tc>
      </w:tr>
      <w:tr w:rsidR="00FC285A" w:rsidRPr="000E152E" w14:paraId="01BB021D" w14:textId="77777777" w:rsidTr="00FC285A">
        <w:trPr>
          <w:trHeight w:val="180"/>
        </w:trPr>
        <w:tc>
          <w:tcPr>
            <w:tcW w:w="287" w:type="pct"/>
            <w:tcBorders>
              <w:top w:val="nil"/>
              <w:left w:val="nil"/>
              <w:bottom w:val="nil"/>
              <w:right w:val="nil"/>
            </w:tcBorders>
            <w:shd w:val="clear" w:color="auto" w:fill="auto"/>
            <w:noWrap/>
            <w:vAlign w:val="center"/>
            <w:hideMark/>
          </w:tcPr>
          <w:p w14:paraId="01BB0212" w14:textId="77777777" w:rsidR="00FC285A" w:rsidRPr="000E152E" w:rsidRDefault="00FC285A" w:rsidP="00FC285A">
            <w:pPr>
              <w:spacing w:after="0" w:line="240" w:lineRule="auto"/>
              <w:rPr>
                <w:rFonts w:eastAsia="Times New Roman" w:cs="Calibri"/>
                <w:color w:val="000000"/>
                <w:sz w:val="14"/>
                <w:szCs w:val="14"/>
                <w:lang w:eastAsia="sq-AL"/>
              </w:rPr>
            </w:pPr>
          </w:p>
        </w:tc>
        <w:tc>
          <w:tcPr>
            <w:tcW w:w="441" w:type="pct"/>
            <w:tcBorders>
              <w:top w:val="nil"/>
              <w:left w:val="nil"/>
              <w:bottom w:val="nil"/>
              <w:right w:val="nil"/>
            </w:tcBorders>
            <w:shd w:val="clear" w:color="000000" w:fill="FFD579"/>
            <w:vAlign w:val="center"/>
            <w:hideMark/>
          </w:tcPr>
          <w:p w14:paraId="01BB0213"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GJITHSEJ SHTYLLA B</w:t>
            </w:r>
          </w:p>
        </w:tc>
        <w:tc>
          <w:tcPr>
            <w:tcW w:w="342" w:type="pct"/>
            <w:tcBorders>
              <w:top w:val="nil"/>
              <w:left w:val="nil"/>
              <w:bottom w:val="nil"/>
              <w:right w:val="nil"/>
            </w:tcBorders>
            <w:shd w:val="clear" w:color="auto" w:fill="auto"/>
            <w:noWrap/>
            <w:vAlign w:val="center"/>
            <w:hideMark/>
          </w:tcPr>
          <w:p w14:paraId="01BB0214" w14:textId="77777777" w:rsidR="00FC285A" w:rsidRPr="000E152E" w:rsidRDefault="00FC285A" w:rsidP="00FC285A">
            <w:pPr>
              <w:spacing w:after="0" w:line="240" w:lineRule="auto"/>
              <w:rPr>
                <w:rFonts w:eastAsia="Times New Roman" w:cs="Calibri"/>
                <w:color w:val="000000"/>
                <w:sz w:val="14"/>
                <w:szCs w:val="14"/>
                <w:lang w:eastAsia="sq-AL"/>
              </w:rPr>
            </w:pPr>
          </w:p>
        </w:tc>
        <w:tc>
          <w:tcPr>
            <w:tcW w:w="302" w:type="pct"/>
            <w:tcBorders>
              <w:top w:val="nil"/>
              <w:left w:val="nil"/>
              <w:bottom w:val="nil"/>
              <w:right w:val="nil"/>
            </w:tcBorders>
            <w:shd w:val="clear" w:color="auto" w:fill="auto"/>
            <w:noWrap/>
            <w:vAlign w:val="center"/>
            <w:hideMark/>
          </w:tcPr>
          <w:p w14:paraId="01BB0215" w14:textId="77777777" w:rsidR="00FC285A" w:rsidRPr="000E152E" w:rsidRDefault="00FC285A" w:rsidP="00FC285A">
            <w:pPr>
              <w:spacing w:after="0" w:line="240" w:lineRule="auto"/>
              <w:rPr>
                <w:rFonts w:eastAsia="Times New Roman" w:cs="Calibri"/>
                <w:color w:val="000000"/>
                <w:sz w:val="14"/>
                <w:szCs w:val="14"/>
                <w:lang w:eastAsia="sq-AL"/>
              </w:rPr>
            </w:pPr>
          </w:p>
        </w:tc>
        <w:tc>
          <w:tcPr>
            <w:tcW w:w="331" w:type="pct"/>
            <w:tcBorders>
              <w:top w:val="nil"/>
              <w:left w:val="nil"/>
              <w:bottom w:val="nil"/>
              <w:right w:val="nil"/>
            </w:tcBorders>
            <w:shd w:val="clear" w:color="auto" w:fill="auto"/>
            <w:noWrap/>
            <w:vAlign w:val="center"/>
            <w:hideMark/>
          </w:tcPr>
          <w:p w14:paraId="01BB0216" w14:textId="77777777" w:rsidR="00FC285A" w:rsidRPr="000E152E" w:rsidRDefault="00FC285A" w:rsidP="00FC285A">
            <w:pPr>
              <w:spacing w:after="0" w:line="240" w:lineRule="auto"/>
              <w:jc w:val="center"/>
              <w:rPr>
                <w:rFonts w:eastAsia="Times New Roman" w:cs="Calibri"/>
                <w:color w:val="000000"/>
                <w:sz w:val="14"/>
                <w:szCs w:val="14"/>
                <w:lang w:eastAsia="sq-AL"/>
              </w:rPr>
            </w:pPr>
          </w:p>
        </w:tc>
        <w:tc>
          <w:tcPr>
            <w:tcW w:w="276" w:type="pct"/>
            <w:tcBorders>
              <w:top w:val="nil"/>
              <w:left w:val="nil"/>
              <w:bottom w:val="nil"/>
              <w:right w:val="nil"/>
            </w:tcBorders>
            <w:shd w:val="clear" w:color="auto" w:fill="auto"/>
            <w:noWrap/>
            <w:vAlign w:val="center"/>
            <w:hideMark/>
          </w:tcPr>
          <w:p w14:paraId="01BB0217" w14:textId="77777777" w:rsidR="00FC285A" w:rsidRPr="000E152E" w:rsidRDefault="00FC285A" w:rsidP="00FC285A">
            <w:pPr>
              <w:spacing w:after="0" w:line="240" w:lineRule="auto"/>
              <w:rPr>
                <w:rFonts w:eastAsia="Times New Roman" w:cs="Calibri"/>
                <w:color w:val="000000"/>
                <w:sz w:val="14"/>
                <w:szCs w:val="14"/>
                <w:lang w:eastAsia="sq-AL"/>
              </w:rPr>
            </w:pPr>
          </w:p>
        </w:tc>
        <w:tc>
          <w:tcPr>
            <w:tcW w:w="329" w:type="pct"/>
            <w:tcBorders>
              <w:top w:val="nil"/>
              <w:left w:val="nil"/>
              <w:bottom w:val="nil"/>
              <w:right w:val="nil"/>
            </w:tcBorders>
            <w:shd w:val="clear" w:color="auto" w:fill="auto"/>
            <w:noWrap/>
            <w:vAlign w:val="center"/>
            <w:hideMark/>
          </w:tcPr>
          <w:p w14:paraId="01BB0218" w14:textId="77777777" w:rsidR="00FC285A" w:rsidRPr="000E152E" w:rsidRDefault="00FC285A" w:rsidP="00FC285A">
            <w:pPr>
              <w:spacing w:after="0" w:line="240" w:lineRule="auto"/>
              <w:rPr>
                <w:rFonts w:eastAsia="Times New Roman" w:cs="Calibri"/>
                <w:color w:val="000000"/>
                <w:sz w:val="14"/>
                <w:szCs w:val="14"/>
                <w:lang w:eastAsia="sq-AL"/>
              </w:rPr>
            </w:pPr>
          </w:p>
        </w:tc>
        <w:tc>
          <w:tcPr>
            <w:tcW w:w="605" w:type="pct"/>
            <w:tcBorders>
              <w:top w:val="nil"/>
              <w:left w:val="nil"/>
              <w:bottom w:val="nil"/>
              <w:right w:val="nil"/>
            </w:tcBorders>
            <w:shd w:val="clear" w:color="000000" w:fill="8EA9DB"/>
            <w:noWrap/>
            <w:vAlign w:val="bottom"/>
            <w:hideMark/>
          </w:tcPr>
          <w:p w14:paraId="01BB0219" w14:textId="4E0C399D"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34,295,039,216</w:t>
            </w:r>
            <w:r w:rsidR="000E152E" w:rsidRPr="000E152E">
              <w:rPr>
                <w:rFonts w:eastAsia="Times New Roman" w:cs="Calibri"/>
                <w:b/>
                <w:bCs/>
                <w:color w:val="000000"/>
                <w:sz w:val="14"/>
                <w:szCs w:val="14"/>
                <w:lang w:eastAsia="sq-AL"/>
              </w:rPr>
              <w:t xml:space="preserve"> </w:t>
            </w:r>
          </w:p>
        </w:tc>
        <w:tc>
          <w:tcPr>
            <w:tcW w:w="778" w:type="pct"/>
            <w:tcBorders>
              <w:top w:val="nil"/>
              <w:left w:val="nil"/>
              <w:bottom w:val="nil"/>
              <w:right w:val="nil"/>
            </w:tcBorders>
            <w:shd w:val="clear" w:color="000000" w:fill="8EA9DB"/>
            <w:noWrap/>
            <w:vAlign w:val="bottom"/>
            <w:hideMark/>
          </w:tcPr>
          <w:p w14:paraId="01BB021A" w14:textId="339215B1"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 xml:space="preserve"> 30,134,274,457</w:t>
            </w:r>
            <w:r w:rsidR="000E152E" w:rsidRPr="000E152E">
              <w:rPr>
                <w:rFonts w:eastAsia="Times New Roman" w:cs="Calibri"/>
                <w:b/>
                <w:bCs/>
                <w:color w:val="000000"/>
                <w:sz w:val="14"/>
                <w:szCs w:val="14"/>
                <w:lang w:eastAsia="sq-AL"/>
              </w:rPr>
              <w:t xml:space="preserve"> </w:t>
            </w:r>
          </w:p>
        </w:tc>
        <w:tc>
          <w:tcPr>
            <w:tcW w:w="633" w:type="pct"/>
            <w:tcBorders>
              <w:top w:val="nil"/>
              <w:left w:val="nil"/>
              <w:bottom w:val="nil"/>
              <w:right w:val="nil"/>
            </w:tcBorders>
            <w:shd w:val="clear" w:color="000000" w:fill="8EA9DB"/>
            <w:noWrap/>
            <w:vAlign w:val="bottom"/>
            <w:hideMark/>
          </w:tcPr>
          <w:p w14:paraId="01BB021B" w14:textId="53326F7B"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357,021,484</w:t>
            </w:r>
            <w:r w:rsidR="000E152E" w:rsidRPr="000E152E">
              <w:rPr>
                <w:rFonts w:eastAsia="Times New Roman" w:cs="Calibri"/>
                <w:b/>
                <w:bCs/>
                <w:color w:val="000000"/>
                <w:sz w:val="14"/>
                <w:szCs w:val="14"/>
                <w:lang w:eastAsia="sq-AL"/>
              </w:rPr>
              <w:t xml:space="preserve"> </w:t>
            </w:r>
          </w:p>
        </w:tc>
        <w:tc>
          <w:tcPr>
            <w:tcW w:w="676" w:type="pct"/>
            <w:tcBorders>
              <w:top w:val="nil"/>
              <w:left w:val="nil"/>
              <w:bottom w:val="nil"/>
              <w:right w:val="nil"/>
            </w:tcBorders>
            <w:shd w:val="clear" w:color="000000" w:fill="8EA9DB"/>
            <w:noWrap/>
            <w:vAlign w:val="bottom"/>
            <w:hideMark/>
          </w:tcPr>
          <w:p w14:paraId="01BB021C" w14:textId="7C46B7FE"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3,803,743,276</w:t>
            </w:r>
            <w:r w:rsidR="000E152E" w:rsidRPr="000E152E">
              <w:rPr>
                <w:rFonts w:eastAsia="Times New Roman" w:cs="Calibri"/>
                <w:b/>
                <w:bCs/>
                <w:color w:val="000000"/>
                <w:sz w:val="14"/>
                <w:szCs w:val="14"/>
                <w:lang w:eastAsia="sq-AL"/>
              </w:rPr>
              <w:t xml:space="preserve"> </w:t>
            </w:r>
          </w:p>
        </w:tc>
      </w:tr>
      <w:tr w:rsidR="00FC285A" w:rsidRPr="000E152E" w14:paraId="01BB0229" w14:textId="77777777" w:rsidTr="00FC285A">
        <w:trPr>
          <w:trHeight w:val="180"/>
        </w:trPr>
        <w:tc>
          <w:tcPr>
            <w:tcW w:w="287" w:type="pct"/>
            <w:tcBorders>
              <w:top w:val="nil"/>
              <w:left w:val="nil"/>
              <w:bottom w:val="nil"/>
              <w:right w:val="nil"/>
            </w:tcBorders>
            <w:shd w:val="clear" w:color="auto" w:fill="auto"/>
            <w:noWrap/>
            <w:vAlign w:val="center"/>
            <w:hideMark/>
          </w:tcPr>
          <w:p w14:paraId="01BB021E" w14:textId="77777777" w:rsidR="00FC285A" w:rsidRPr="000E152E" w:rsidRDefault="00FC285A" w:rsidP="00FC285A">
            <w:pPr>
              <w:spacing w:after="0" w:line="240" w:lineRule="auto"/>
              <w:rPr>
                <w:rFonts w:eastAsia="Times New Roman" w:cs="Calibri"/>
                <w:color w:val="000000"/>
                <w:sz w:val="14"/>
                <w:szCs w:val="14"/>
                <w:lang w:eastAsia="sq-AL"/>
              </w:rPr>
            </w:pPr>
          </w:p>
        </w:tc>
        <w:tc>
          <w:tcPr>
            <w:tcW w:w="441" w:type="pct"/>
            <w:tcBorders>
              <w:top w:val="nil"/>
              <w:left w:val="nil"/>
              <w:bottom w:val="nil"/>
              <w:right w:val="nil"/>
            </w:tcBorders>
            <w:shd w:val="clear" w:color="auto" w:fill="auto"/>
            <w:noWrap/>
            <w:vAlign w:val="bottom"/>
            <w:hideMark/>
          </w:tcPr>
          <w:p w14:paraId="01BB021F" w14:textId="77777777" w:rsidR="00FC285A" w:rsidRPr="000E152E" w:rsidRDefault="00FC285A" w:rsidP="00FC285A">
            <w:pPr>
              <w:spacing w:after="0" w:line="240" w:lineRule="auto"/>
              <w:rPr>
                <w:rFonts w:eastAsia="Times New Roman" w:cs="Calibri"/>
                <w:color w:val="000000"/>
                <w:sz w:val="14"/>
                <w:szCs w:val="14"/>
                <w:lang w:eastAsia="sq-AL"/>
              </w:rPr>
            </w:pPr>
          </w:p>
        </w:tc>
        <w:tc>
          <w:tcPr>
            <w:tcW w:w="342" w:type="pct"/>
            <w:tcBorders>
              <w:top w:val="nil"/>
              <w:left w:val="nil"/>
              <w:bottom w:val="nil"/>
              <w:right w:val="nil"/>
            </w:tcBorders>
            <w:shd w:val="clear" w:color="auto" w:fill="auto"/>
            <w:noWrap/>
            <w:vAlign w:val="center"/>
            <w:hideMark/>
          </w:tcPr>
          <w:p w14:paraId="01BB0220" w14:textId="77777777" w:rsidR="00FC285A" w:rsidRPr="000E152E" w:rsidRDefault="00FC285A" w:rsidP="00FC285A">
            <w:pPr>
              <w:spacing w:after="0" w:line="240" w:lineRule="auto"/>
              <w:rPr>
                <w:rFonts w:eastAsia="Times New Roman" w:cs="Calibri"/>
                <w:color w:val="000000"/>
                <w:sz w:val="14"/>
                <w:szCs w:val="14"/>
                <w:lang w:eastAsia="sq-AL"/>
              </w:rPr>
            </w:pPr>
          </w:p>
        </w:tc>
        <w:tc>
          <w:tcPr>
            <w:tcW w:w="302" w:type="pct"/>
            <w:tcBorders>
              <w:top w:val="nil"/>
              <w:left w:val="nil"/>
              <w:bottom w:val="nil"/>
              <w:right w:val="nil"/>
            </w:tcBorders>
            <w:shd w:val="clear" w:color="auto" w:fill="auto"/>
            <w:noWrap/>
            <w:vAlign w:val="center"/>
            <w:hideMark/>
          </w:tcPr>
          <w:p w14:paraId="01BB0221" w14:textId="77777777" w:rsidR="00FC285A" w:rsidRPr="000E152E" w:rsidRDefault="00FC285A" w:rsidP="00FC285A">
            <w:pPr>
              <w:spacing w:after="0" w:line="240" w:lineRule="auto"/>
              <w:rPr>
                <w:rFonts w:eastAsia="Times New Roman" w:cs="Calibri"/>
                <w:color w:val="000000"/>
                <w:sz w:val="14"/>
                <w:szCs w:val="14"/>
                <w:lang w:eastAsia="sq-AL"/>
              </w:rPr>
            </w:pPr>
          </w:p>
        </w:tc>
        <w:tc>
          <w:tcPr>
            <w:tcW w:w="331" w:type="pct"/>
            <w:tcBorders>
              <w:top w:val="nil"/>
              <w:left w:val="nil"/>
              <w:bottom w:val="nil"/>
              <w:right w:val="nil"/>
            </w:tcBorders>
            <w:shd w:val="clear" w:color="auto" w:fill="auto"/>
            <w:noWrap/>
            <w:vAlign w:val="center"/>
            <w:hideMark/>
          </w:tcPr>
          <w:p w14:paraId="01BB0222" w14:textId="77777777" w:rsidR="00FC285A" w:rsidRPr="000E152E" w:rsidRDefault="00FC285A" w:rsidP="00FC285A">
            <w:pPr>
              <w:spacing w:after="0" w:line="240" w:lineRule="auto"/>
              <w:jc w:val="center"/>
              <w:rPr>
                <w:rFonts w:eastAsia="Times New Roman" w:cs="Calibri"/>
                <w:color w:val="000000"/>
                <w:sz w:val="14"/>
                <w:szCs w:val="14"/>
                <w:lang w:eastAsia="sq-AL"/>
              </w:rPr>
            </w:pPr>
          </w:p>
        </w:tc>
        <w:tc>
          <w:tcPr>
            <w:tcW w:w="276" w:type="pct"/>
            <w:tcBorders>
              <w:top w:val="nil"/>
              <w:left w:val="nil"/>
              <w:bottom w:val="nil"/>
              <w:right w:val="nil"/>
            </w:tcBorders>
            <w:shd w:val="clear" w:color="auto" w:fill="auto"/>
            <w:noWrap/>
            <w:vAlign w:val="center"/>
            <w:hideMark/>
          </w:tcPr>
          <w:p w14:paraId="01BB0223" w14:textId="77777777" w:rsidR="00FC285A" w:rsidRPr="000E152E" w:rsidRDefault="00FC285A" w:rsidP="00FC285A">
            <w:pPr>
              <w:spacing w:after="0" w:line="240" w:lineRule="auto"/>
              <w:rPr>
                <w:rFonts w:eastAsia="Times New Roman" w:cs="Calibri"/>
                <w:color w:val="000000"/>
                <w:sz w:val="14"/>
                <w:szCs w:val="14"/>
                <w:lang w:eastAsia="sq-AL"/>
              </w:rPr>
            </w:pPr>
          </w:p>
        </w:tc>
        <w:tc>
          <w:tcPr>
            <w:tcW w:w="329" w:type="pct"/>
            <w:tcBorders>
              <w:top w:val="nil"/>
              <w:left w:val="nil"/>
              <w:bottom w:val="nil"/>
              <w:right w:val="nil"/>
            </w:tcBorders>
            <w:shd w:val="clear" w:color="auto" w:fill="auto"/>
            <w:noWrap/>
            <w:vAlign w:val="center"/>
            <w:hideMark/>
          </w:tcPr>
          <w:p w14:paraId="01BB0224" w14:textId="77777777" w:rsidR="00FC285A" w:rsidRPr="000E152E" w:rsidRDefault="00FC285A" w:rsidP="00FC285A">
            <w:pPr>
              <w:spacing w:after="0" w:line="240" w:lineRule="auto"/>
              <w:rPr>
                <w:rFonts w:eastAsia="Times New Roman" w:cs="Calibri"/>
                <w:color w:val="000000"/>
                <w:sz w:val="14"/>
                <w:szCs w:val="14"/>
                <w:lang w:eastAsia="sq-AL"/>
              </w:rPr>
            </w:pPr>
          </w:p>
        </w:tc>
        <w:tc>
          <w:tcPr>
            <w:tcW w:w="605" w:type="pct"/>
            <w:tcBorders>
              <w:top w:val="nil"/>
              <w:left w:val="nil"/>
              <w:bottom w:val="nil"/>
              <w:right w:val="nil"/>
            </w:tcBorders>
            <w:shd w:val="clear" w:color="auto" w:fill="auto"/>
            <w:noWrap/>
            <w:vAlign w:val="bottom"/>
            <w:hideMark/>
          </w:tcPr>
          <w:p w14:paraId="01BB0225" w14:textId="77777777" w:rsidR="00FC285A" w:rsidRPr="000E152E" w:rsidRDefault="00FC285A" w:rsidP="00FC285A">
            <w:pPr>
              <w:spacing w:after="0" w:line="240" w:lineRule="auto"/>
              <w:jc w:val="right"/>
              <w:rPr>
                <w:rFonts w:eastAsia="Times New Roman" w:cs="Calibri"/>
                <w:color w:val="000000"/>
                <w:sz w:val="14"/>
                <w:szCs w:val="14"/>
                <w:lang w:eastAsia="sq-AL"/>
              </w:rPr>
            </w:pPr>
            <w:r w:rsidRPr="000E152E">
              <w:rPr>
                <w:rFonts w:eastAsia="Times New Roman" w:cs="Calibri"/>
                <w:color w:val="000000"/>
                <w:sz w:val="14"/>
                <w:szCs w:val="14"/>
                <w:lang w:eastAsia="sq-AL"/>
              </w:rPr>
              <w:t>45%</w:t>
            </w:r>
          </w:p>
        </w:tc>
        <w:tc>
          <w:tcPr>
            <w:tcW w:w="778" w:type="pct"/>
            <w:tcBorders>
              <w:top w:val="nil"/>
              <w:left w:val="nil"/>
              <w:bottom w:val="nil"/>
              <w:right w:val="nil"/>
            </w:tcBorders>
            <w:shd w:val="clear" w:color="auto" w:fill="auto"/>
            <w:noWrap/>
            <w:vAlign w:val="bottom"/>
            <w:hideMark/>
          </w:tcPr>
          <w:p w14:paraId="01BB0226" w14:textId="77777777" w:rsidR="00FC285A" w:rsidRPr="000E152E" w:rsidRDefault="00FC285A" w:rsidP="00FC285A">
            <w:pPr>
              <w:spacing w:after="0" w:line="240" w:lineRule="auto"/>
              <w:jc w:val="right"/>
              <w:rPr>
                <w:rFonts w:eastAsia="Times New Roman" w:cs="Calibri"/>
                <w:color w:val="000000"/>
                <w:sz w:val="14"/>
                <w:szCs w:val="14"/>
                <w:lang w:eastAsia="sq-AL"/>
              </w:rPr>
            </w:pPr>
            <w:r w:rsidRPr="000E152E">
              <w:rPr>
                <w:rFonts w:eastAsia="Times New Roman" w:cs="Calibri"/>
                <w:color w:val="000000"/>
                <w:sz w:val="14"/>
                <w:szCs w:val="14"/>
                <w:lang w:eastAsia="sq-AL"/>
              </w:rPr>
              <w:t>59%</w:t>
            </w:r>
          </w:p>
        </w:tc>
        <w:tc>
          <w:tcPr>
            <w:tcW w:w="633" w:type="pct"/>
            <w:tcBorders>
              <w:top w:val="nil"/>
              <w:left w:val="nil"/>
              <w:bottom w:val="nil"/>
              <w:right w:val="nil"/>
            </w:tcBorders>
            <w:shd w:val="clear" w:color="auto" w:fill="auto"/>
            <w:noWrap/>
            <w:vAlign w:val="bottom"/>
            <w:hideMark/>
          </w:tcPr>
          <w:p w14:paraId="01BB0227" w14:textId="77777777" w:rsidR="00FC285A" w:rsidRPr="000E152E" w:rsidRDefault="00FC285A" w:rsidP="00FC285A">
            <w:pPr>
              <w:spacing w:after="0" w:line="240" w:lineRule="auto"/>
              <w:jc w:val="right"/>
              <w:rPr>
                <w:rFonts w:eastAsia="Times New Roman" w:cs="Calibri"/>
                <w:color w:val="000000"/>
                <w:sz w:val="14"/>
                <w:szCs w:val="14"/>
                <w:lang w:eastAsia="sq-AL"/>
              </w:rPr>
            </w:pPr>
            <w:r w:rsidRPr="000E152E">
              <w:rPr>
                <w:rFonts w:eastAsia="Times New Roman" w:cs="Calibri"/>
                <w:color w:val="000000"/>
                <w:sz w:val="14"/>
                <w:szCs w:val="14"/>
                <w:lang w:eastAsia="sq-AL"/>
              </w:rPr>
              <w:t>5%</w:t>
            </w:r>
          </w:p>
        </w:tc>
        <w:tc>
          <w:tcPr>
            <w:tcW w:w="676" w:type="pct"/>
            <w:tcBorders>
              <w:top w:val="nil"/>
              <w:left w:val="nil"/>
              <w:bottom w:val="nil"/>
              <w:right w:val="nil"/>
            </w:tcBorders>
            <w:shd w:val="clear" w:color="auto" w:fill="auto"/>
            <w:noWrap/>
            <w:vAlign w:val="bottom"/>
            <w:hideMark/>
          </w:tcPr>
          <w:p w14:paraId="01BB0228" w14:textId="77777777" w:rsidR="00FC285A" w:rsidRPr="000E152E" w:rsidRDefault="00FC285A" w:rsidP="00FC285A">
            <w:pPr>
              <w:spacing w:after="0" w:line="240" w:lineRule="auto"/>
              <w:jc w:val="right"/>
              <w:rPr>
                <w:rFonts w:eastAsia="Times New Roman" w:cs="Calibri"/>
                <w:color w:val="000000"/>
                <w:sz w:val="14"/>
                <w:szCs w:val="14"/>
                <w:lang w:eastAsia="sq-AL"/>
              </w:rPr>
            </w:pPr>
            <w:r w:rsidRPr="000E152E">
              <w:rPr>
                <w:rFonts w:eastAsia="Times New Roman" w:cs="Calibri"/>
                <w:color w:val="000000"/>
                <w:sz w:val="14"/>
                <w:szCs w:val="14"/>
                <w:lang w:eastAsia="sq-AL"/>
              </w:rPr>
              <w:t>22%</w:t>
            </w:r>
          </w:p>
        </w:tc>
      </w:tr>
      <w:tr w:rsidR="00FC285A" w:rsidRPr="000E152E" w14:paraId="01BB0235" w14:textId="77777777" w:rsidTr="00FC285A">
        <w:trPr>
          <w:trHeight w:val="180"/>
        </w:trPr>
        <w:tc>
          <w:tcPr>
            <w:tcW w:w="287" w:type="pct"/>
            <w:tcBorders>
              <w:top w:val="nil"/>
              <w:left w:val="nil"/>
              <w:bottom w:val="nil"/>
              <w:right w:val="nil"/>
            </w:tcBorders>
            <w:shd w:val="clear" w:color="auto" w:fill="auto"/>
            <w:noWrap/>
            <w:vAlign w:val="center"/>
            <w:hideMark/>
          </w:tcPr>
          <w:p w14:paraId="01BB022A" w14:textId="77777777" w:rsidR="00FC285A" w:rsidRPr="000E152E" w:rsidRDefault="00FC285A" w:rsidP="00FC285A">
            <w:pPr>
              <w:spacing w:after="0" w:line="240" w:lineRule="auto"/>
              <w:rPr>
                <w:rFonts w:eastAsia="Times New Roman" w:cs="Calibri"/>
                <w:color w:val="000000"/>
                <w:sz w:val="14"/>
                <w:szCs w:val="14"/>
                <w:lang w:eastAsia="sq-AL"/>
              </w:rPr>
            </w:pPr>
          </w:p>
        </w:tc>
        <w:tc>
          <w:tcPr>
            <w:tcW w:w="441" w:type="pct"/>
            <w:tcBorders>
              <w:top w:val="nil"/>
              <w:left w:val="nil"/>
              <w:bottom w:val="nil"/>
              <w:right w:val="nil"/>
            </w:tcBorders>
            <w:shd w:val="clear" w:color="000000" w:fill="FFD579"/>
            <w:vAlign w:val="center"/>
            <w:hideMark/>
          </w:tcPr>
          <w:p w14:paraId="01BB022B" w14:textId="77777777" w:rsidR="00FC285A" w:rsidRPr="000E152E" w:rsidRDefault="00FC285A" w:rsidP="00FC285A">
            <w:pPr>
              <w:spacing w:after="0" w:line="240" w:lineRule="auto"/>
              <w:rPr>
                <w:rFonts w:ascii="Times New Roman" w:eastAsia="Times New Roman" w:hAnsi="Times New Roman"/>
                <w:color w:val="000000"/>
                <w:sz w:val="14"/>
                <w:szCs w:val="14"/>
                <w:lang w:eastAsia="sq-AL"/>
              </w:rPr>
            </w:pPr>
            <w:r w:rsidRPr="000E152E">
              <w:rPr>
                <w:rFonts w:ascii="Times New Roman" w:eastAsia="Times New Roman" w:hAnsi="Times New Roman"/>
                <w:color w:val="000000"/>
                <w:sz w:val="14"/>
                <w:szCs w:val="14"/>
                <w:lang w:eastAsia="sq-AL"/>
              </w:rPr>
              <w:t>GJITHSEJ STRATEGJIA</w:t>
            </w:r>
          </w:p>
        </w:tc>
        <w:tc>
          <w:tcPr>
            <w:tcW w:w="342" w:type="pct"/>
            <w:tcBorders>
              <w:top w:val="nil"/>
              <w:left w:val="nil"/>
              <w:bottom w:val="nil"/>
              <w:right w:val="nil"/>
            </w:tcBorders>
            <w:shd w:val="clear" w:color="auto" w:fill="auto"/>
            <w:noWrap/>
            <w:vAlign w:val="center"/>
            <w:hideMark/>
          </w:tcPr>
          <w:p w14:paraId="01BB022C" w14:textId="77777777" w:rsidR="00FC285A" w:rsidRPr="000E152E" w:rsidRDefault="00FC285A" w:rsidP="00FC285A">
            <w:pPr>
              <w:spacing w:after="0" w:line="240" w:lineRule="auto"/>
              <w:rPr>
                <w:rFonts w:eastAsia="Times New Roman" w:cs="Calibri"/>
                <w:color w:val="000000"/>
                <w:sz w:val="14"/>
                <w:szCs w:val="14"/>
                <w:lang w:eastAsia="sq-AL"/>
              </w:rPr>
            </w:pPr>
          </w:p>
        </w:tc>
        <w:tc>
          <w:tcPr>
            <w:tcW w:w="302" w:type="pct"/>
            <w:tcBorders>
              <w:top w:val="nil"/>
              <w:left w:val="nil"/>
              <w:bottom w:val="nil"/>
              <w:right w:val="nil"/>
            </w:tcBorders>
            <w:shd w:val="clear" w:color="auto" w:fill="auto"/>
            <w:noWrap/>
            <w:vAlign w:val="center"/>
            <w:hideMark/>
          </w:tcPr>
          <w:p w14:paraId="01BB022D" w14:textId="77777777" w:rsidR="00FC285A" w:rsidRPr="000E152E" w:rsidRDefault="00FC285A" w:rsidP="00FC285A">
            <w:pPr>
              <w:spacing w:after="0" w:line="240" w:lineRule="auto"/>
              <w:rPr>
                <w:rFonts w:eastAsia="Times New Roman" w:cs="Calibri"/>
                <w:color w:val="000000"/>
                <w:sz w:val="14"/>
                <w:szCs w:val="14"/>
                <w:lang w:eastAsia="sq-AL"/>
              </w:rPr>
            </w:pPr>
          </w:p>
        </w:tc>
        <w:tc>
          <w:tcPr>
            <w:tcW w:w="331" w:type="pct"/>
            <w:tcBorders>
              <w:top w:val="nil"/>
              <w:left w:val="nil"/>
              <w:bottom w:val="nil"/>
              <w:right w:val="nil"/>
            </w:tcBorders>
            <w:shd w:val="clear" w:color="auto" w:fill="auto"/>
            <w:noWrap/>
            <w:vAlign w:val="center"/>
            <w:hideMark/>
          </w:tcPr>
          <w:p w14:paraId="01BB022E" w14:textId="77777777" w:rsidR="00FC285A" w:rsidRPr="000E152E" w:rsidRDefault="00FC285A" w:rsidP="00FC285A">
            <w:pPr>
              <w:spacing w:after="0" w:line="240" w:lineRule="auto"/>
              <w:jc w:val="center"/>
              <w:rPr>
                <w:rFonts w:eastAsia="Times New Roman" w:cs="Calibri"/>
                <w:color w:val="000000"/>
                <w:sz w:val="14"/>
                <w:szCs w:val="14"/>
                <w:lang w:eastAsia="sq-AL"/>
              </w:rPr>
            </w:pPr>
          </w:p>
        </w:tc>
        <w:tc>
          <w:tcPr>
            <w:tcW w:w="276" w:type="pct"/>
            <w:tcBorders>
              <w:top w:val="nil"/>
              <w:left w:val="nil"/>
              <w:bottom w:val="nil"/>
              <w:right w:val="nil"/>
            </w:tcBorders>
            <w:shd w:val="clear" w:color="auto" w:fill="auto"/>
            <w:noWrap/>
            <w:vAlign w:val="center"/>
            <w:hideMark/>
          </w:tcPr>
          <w:p w14:paraId="01BB022F" w14:textId="77777777" w:rsidR="00FC285A" w:rsidRPr="000E152E" w:rsidRDefault="00FC285A" w:rsidP="00FC285A">
            <w:pPr>
              <w:spacing w:after="0" w:line="240" w:lineRule="auto"/>
              <w:rPr>
                <w:rFonts w:eastAsia="Times New Roman" w:cs="Calibri"/>
                <w:color w:val="000000"/>
                <w:sz w:val="14"/>
                <w:szCs w:val="14"/>
                <w:lang w:eastAsia="sq-AL"/>
              </w:rPr>
            </w:pPr>
          </w:p>
        </w:tc>
        <w:tc>
          <w:tcPr>
            <w:tcW w:w="329" w:type="pct"/>
            <w:tcBorders>
              <w:top w:val="nil"/>
              <w:left w:val="nil"/>
              <w:bottom w:val="nil"/>
              <w:right w:val="nil"/>
            </w:tcBorders>
            <w:shd w:val="clear" w:color="auto" w:fill="auto"/>
            <w:noWrap/>
            <w:vAlign w:val="center"/>
            <w:hideMark/>
          </w:tcPr>
          <w:p w14:paraId="01BB0230" w14:textId="77777777" w:rsidR="00FC285A" w:rsidRPr="000E152E" w:rsidRDefault="00FC285A" w:rsidP="00FC285A">
            <w:pPr>
              <w:spacing w:after="0" w:line="240" w:lineRule="auto"/>
              <w:rPr>
                <w:rFonts w:eastAsia="Times New Roman" w:cs="Calibri"/>
                <w:color w:val="000000"/>
                <w:sz w:val="14"/>
                <w:szCs w:val="14"/>
                <w:lang w:eastAsia="sq-AL"/>
              </w:rPr>
            </w:pPr>
          </w:p>
        </w:tc>
        <w:tc>
          <w:tcPr>
            <w:tcW w:w="605" w:type="pct"/>
            <w:tcBorders>
              <w:top w:val="nil"/>
              <w:left w:val="nil"/>
              <w:bottom w:val="nil"/>
              <w:right w:val="nil"/>
            </w:tcBorders>
            <w:shd w:val="clear" w:color="000000" w:fill="92D050"/>
            <w:noWrap/>
            <w:vAlign w:val="bottom"/>
            <w:hideMark/>
          </w:tcPr>
          <w:p w14:paraId="01BB0231" w14:textId="6065133E"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75,513,866,666</w:t>
            </w:r>
            <w:r w:rsidR="000E152E" w:rsidRPr="000E152E">
              <w:rPr>
                <w:rFonts w:eastAsia="Times New Roman" w:cs="Calibri"/>
                <w:b/>
                <w:bCs/>
                <w:color w:val="000000"/>
                <w:sz w:val="14"/>
                <w:szCs w:val="14"/>
                <w:lang w:eastAsia="sq-AL"/>
              </w:rPr>
              <w:t xml:space="preserve"> </w:t>
            </w:r>
          </w:p>
        </w:tc>
        <w:tc>
          <w:tcPr>
            <w:tcW w:w="778" w:type="pct"/>
            <w:tcBorders>
              <w:top w:val="nil"/>
              <w:left w:val="nil"/>
              <w:bottom w:val="nil"/>
              <w:right w:val="nil"/>
            </w:tcBorders>
            <w:shd w:val="clear" w:color="000000" w:fill="92D050"/>
            <w:noWrap/>
            <w:vAlign w:val="bottom"/>
            <w:hideMark/>
          </w:tcPr>
          <w:p w14:paraId="01BB0232" w14:textId="3B72ABD2"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 xml:space="preserve"> 50,949,415,955</w:t>
            </w:r>
            <w:r w:rsidR="000E152E" w:rsidRPr="000E152E">
              <w:rPr>
                <w:rFonts w:eastAsia="Times New Roman" w:cs="Calibri"/>
                <w:b/>
                <w:bCs/>
                <w:color w:val="000000"/>
                <w:sz w:val="14"/>
                <w:szCs w:val="14"/>
                <w:lang w:eastAsia="sq-AL"/>
              </w:rPr>
              <w:t xml:space="preserve"> </w:t>
            </w:r>
          </w:p>
        </w:tc>
        <w:tc>
          <w:tcPr>
            <w:tcW w:w="633" w:type="pct"/>
            <w:tcBorders>
              <w:top w:val="nil"/>
              <w:left w:val="nil"/>
              <w:bottom w:val="nil"/>
              <w:right w:val="nil"/>
            </w:tcBorders>
            <w:shd w:val="clear" w:color="000000" w:fill="92D050"/>
            <w:noWrap/>
            <w:vAlign w:val="bottom"/>
            <w:hideMark/>
          </w:tcPr>
          <w:p w14:paraId="01BB0233" w14:textId="7A289EF0"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7,392,277,484</w:t>
            </w:r>
            <w:r w:rsidR="000E152E" w:rsidRPr="000E152E">
              <w:rPr>
                <w:rFonts w:eastAsia="Times New Roman" w:cs="Calibri"/>
                <w:b/>
                <w:bCs/>
                <w:color w:val="000000"/>
                <w:sz w:val="14"/>
                <w:szCs w:val="14"/>
                <w:lang w:eastAsia="sq-AL"/>
              </w:rPr>
              <w:t xml:space="preserve"> </w:t>
            </w:r>
          </w:p>
        </w:tc>
        <w:tc>
          <w:tcPr>
            <w:tcW w:w="676" w:type="pct"/>
            <w:tcBorders>
              <w:top w:val="nil"/>
              <w:left w:val="nil"/>
              <w:bottom w:val="nil"/>
              <w:right w:val="nil"/>
            </w:tcBorders>
            <w:shd w:val="clear" w:color="000000" w:fill="92D050"/>
            <w:noWrap/>
            <w:vAlign w:val="bottom"/>
            <w:hideMark/>
          </w:tcPr>
          <w:p w14:paraId="01BB0234" w14:textId="0AA9252D" w:rsidR="00FC285A" w:rsidRPr="000E152E" w:rsidRDefault="00FC285A" w:rsidP="00FC285A">
            <w:pPr>
              <w:spacing w:after="0" w:line="240" w:lineRule="auto"/>
              <w:rPr>
                <w:rFonts w:eastAsia="Times New Roman" w:cs="Calibri"/>
                <w:b/>
                <w:bCs/>
                <w:color w:val="000000"/>
                <w:sz w:val="14"/>
                <w:szCs w:val="14"/>
                <w:lang w:eastAsia="sq-AL"/>
              </w:rPr>
            </w:pPr>
            <w:r w:rsidRPr="000E152E">
              <w:rPr>
                <w:rFonts w:eastAsia="Times New Roman" w:cs="Calibri"/>
                <w:b/>
                <w:bCs/>
                <w:color w:val="000000"/>
                <w:sz w:val="14"/>
                <w:szCs w:val="14"/>
                <w:lang w:eastAsia="sq-AL"/>
              </w:rPr>
              <w:t>17,172,173,227</w:t>
            </w:r>
            <w:r w:rsidR="000E152E" w:rsidRPr="000E152E">
              <w:rPr>
                <w:rFonts w:eastAsia="Times New Roman" w:cs="Calibri"/>
                <w:b/>
                <w:bCs/>
                <w:color w:val="000000"/>
                <w:sz w:val="14"/>
                <w:szCs w:val="14"/>
                <w:lang w:eastAsia="sq-AL"/>
              </w:rPr>
              <w:t xml:space="preserve"> </w:t>
            </w:r>
          </w:p>
        </w:tc>
      </w:tr>
    </w:tbl>
    <w:p w14:paraId="01BB0236" w14:textId="77777777" w:rsidR="005E3939" w:rsidRPr="000E152E" w:rsidRDefault="005E3939" w:rsidP="00A96392">
      <w:pPr>
        <w:pStyle w:val="TEKSTIIII"/>
      </w:pPr>
    </w:p>
    <w:p w14:paraId="01BB0237" w14:textId="77777777" w:rsidR="00DF095A" w:rsidRPr="000E152E" w:rsidRDefault="00DF095A" w:rsidP="00A96392">
      <w:pPr>
        <w:pStyle w:val="TEKSTIIII"/>
      </w:pPr>
    </w:p>
    <w:p w14:paraId="01BB0238" w14:textId="77777777" w:rsidR="00DF095A" w:rsidRPr="000E152E" w:rsidRDefault="00DF095A" w:rsidP="00A96392">
      <w:pPr>
        <w:pStyle w:val="TEKSTIIII"/>
      </w:pPr>
    </w:p>
    <w:p w14:paraId="01BB0239" w14:textId="77777777" w:rsidR="00DF095A" w:rsidRPr="000E152E" w:rsidRDefault="00DF095A" w:rsidP="00A96392">
      <w:pPr>
        <w:pStyle w:val="TEKSTIIII"/>
      </w:pPr>
    </w:p>
    <w:p w14:paraId="01BB023C" w14:textId="77777777" w:rsidR="00DF095A" w:rsidRDefault="00DF095A" w:rsidP="00A96392">
      <w:pPr>
        <w:pStyle w:val="TEKSTIIII"/>
      </w:pPr>
    </w:p>
    <w:p w14:paraId="590FAA49" w14:textId="77777777" w:rsidR="006C6C95" w:rsidRDefault="006C6C95" w:rsidP="00A96392">
      <w:pPr>
        <w:pStyle w:val="TEKSTIIII"/>
      </w:pPr>
    </w:p>
    <w:p w14:paraId="4904865D" w14:textId="77777777" w:rsidR="006C6C95" w:rsidRDefault="006C6C95" w:rsidP="00A96392">
      <w:pPr>
        <w:pStyle w:val="TEKSTIIII"/>
      </w:pPr>
    </w:p>
    <w:p w14:paraId="4DA38170" w14:textId="77777777" w:rsidR="006C6C95" w:rsidRPr="000E152E" w:rsidRDefault="006C6C95" w:rsidP="00A96392">
      <w:pPr>
        <w:pStyle w:val="TEKSTIIII"/>
      </w:pPr>
    </w:p>
    <w:p w14:paraId="01BB023D" w14:textId="77777777" w:rsidR="00DF095A" w:rsidRPr="000E152E" w:rsidRDefault="00DF095A" w:rsidP="00A96392">
      <w:pPr>
        <w:pStyle w:val="TEKSTIIII"/>
      </w:pPr>
    </w:p>
    <w:p w14:paraId="01BB023E" w14:textId="77777777" w:rsidR="00DF095A" w:rsidRPr="000E152E" w:rsidRDefault="00DF095A" w:rsidP="00A96392">
      <w:pPr>
        <w:pStyle w:val="TEKSTIIII"/>
      </w:pPr>
    </w:p>
    <w:tbl>
      <w:tblPr>
        <w:tblW w:w="5000" w:type="pct"/>
        <w:tblLook w:val="04A0" w:firstRow="1" w:lastRow="0" w:firstColumn="1" w:lastColumn="0" w:noHBand="0" w:noVBand="1"/>
      </w:tblPr>
      <w:tblGrid>
        <w:gridCol w:w="874"/>
        <w:gridCol w:w="3107"/>
        <w:gridCol w:w="1063"/>
        <w:gridCol w:w="865"/>
        <w:gridCol w:w="915"/>
        <w:gridCol w:w="800"/>
        <w:gridCol w:w="1105"/>
        <w:gridCol w:w="1399"/>
        <w:gridCol w:w="1363"/>
        <w:gridCol w:w="1203"/>
        <w:gridCol w:w="1298"/>
      </w:tblGrid>
      <w:tr w:rsidR="00DF095A" w:rsidRPr="000E152E" w14:paraId="01BB0240" w14:textId="77777777" w:rsidTr="00DF09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B023F"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PLANI I VEPRIMIT</w:t>
            </w:r>
          </w:p>
        </w:tc>
      </w:tr>
      <w:tr w:rsidR="00DF095A" w:rsidRPr="000E152E" w14:paraId="01BB0242" w14:textId="77777777" w:rsidTr="00DF09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B0241"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NË ZBATIM TË DOKUMENTIT STRATEGJIK TË PUNËSIMIT DHE AFTËSIVE 2023 - 2030</w:t>
            </w:r>
          </w:p>
        </w:tc>
      </w:tr>
      <w:tr w:rsidR="00DF095A" w:rsidRPr="000E152E" w14:paraId="01BB0244" w14:textId="77777777" w:rsidTr="00DF09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1BB0243"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I. QËLLIMI STRATEGJIK: Punësim cilësor dhe aftësim gjatë gjithë jetës për të gjithë</w:t>
            </w:r>
          </w:p>
        </w:tc>
      </w:tr>
      <w:tr w:rsidR="00DF095A" w:rsidRPr="000E152E" w14:paraId="01BB0246" w14:textId="77777777" w:rsidTr="00DF09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1F4E78"/>
            <w:vAlign w:val="center"/>
            <w:hideMark/>
          </w:tcPr>
          <w:p w14:paraId="01BB0245" w14:textId="77777777" w:rsidR="00DF095A" w:rsidRPr="000E152E" w:rsidRDefault="00DF095A" w:rsidP="00DF095A">
            <w:pPr>
              <w:spacing w:after="0" w:line="240" w:lineRule="auto"/>
              <w:jc w:val="center"/>
              <w:rPr>
                <w:rFonts w:ascii="Garamond" w:eastAsia="Times New Roman" w:hAnsi="Garamond"/>
                <w:b/>
                <w:bCs/>
                <w:color w:val="FFFFFF"/>
                <w:sz w:val="14"/>
                <w:szCs w:val="14"/>
                <w:lang w:eastAsia="sq-AL"/>
              </w:rPr>
            </w:pPr>
            <w:r w:rsidRPr="000E152E">
              <w:rPr>
                <w:rFonts w:ascii="Garamond" w:eastAsia="Times New Roman" w:hAnsi="Garamond"/>
                <w:b/>
                <w:bCs/>
                <w:color w:val="FFFFFF"/>
                <w:sz w:val="14"/>
                <w:szCs w:val="14"/>
                <w:lang w:eastAsia="sq-AL"/>
              </w:rPr>
              <w:t>II. Qëllimi i Politikës 1: Mundësimi i punësimit të denjë nëpërmjet zbatimit të politikave gjithëpërfshirëse të tregut të punës</w:t>
            </w:r>
          </w:p>
        </w:tc>
      </w:tr>
      <w:tr w:rsidR="00DF095A" w:rsidRPr="000E152E" w14:paraId="01BB0248" w14:textId="77777777" w:rsidTr="00DF095A">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E7E6E6"/>
            <w:vAlign w:val="center"/>
            <w:hideMark/>
          </w:tcPr>
          <w:p w14:paraId="01BB0247"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III.PROGRAMI BUXHETOR QË KONTRIBUON PËR QËLLIMIN E POLITIKËS: 10550/9240/1110</w:t>
            </w:r>
          </w:p>
        </w:tc>
      </w:tr>
      <w:tr w:rsidR="00DF095A" w:rsidRPr="000E152E" w14:paraId="01BB0251" w14:textId="77777777" w:rsidTr="00364541">
        <w:trPr>
          <w:trHeight w:val="476"/>
        </w:trPr>
        <w:tc>
          <w:tcPr>
            <w:tcW w:w="312" w:type="pct"/>
            <w:vMerge w:val="restart"/>
            <w:tcBorders>
              <w:top w:val="nil"/>
              <w:left w:val="single" w:sz="4" w:space="0" w:color="auto"/>
              <w:bottom w:val="single" w:sz="4" w:space="0" w:color="auto"/>
              <w:right w:val="single" w:sz="4" w:space="0" w:color="auto"/>
            </w:tcBorders>
            <w:shd w:val="clear" w:color="auto" w:fill="auto"/>
            <w:vAlign w:val="center"/>
            <w:hideMark/>
          </w:tcPr>
          <w:p w14:paraId="01BB024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Nr.</w:t>
            </w:r>
          </w:p>
        </w:tc>
        <w:tc>
          <w:tcPr>
            <w:tcW w:w="1110" w:type="pct"/>
            <w:vMerge w:val="restart"/>
            <w:tcBorders>
              <w:top w:val="nil"/>
              <w:left w:val="single" w:sz="4" w:space="0" w:color="auto"/>
              <w:bottom w:val="single" w:sz="4" w:space="0" w:color="auto"/>
              <w:right w:val="single" w:sz="4" w:space="0" w:color="auto"/>
            </w:tcBorders>
            <w:shd w:val="clear" w:color="auto" w:fill="auto"/>
            <w:vAlign w:val="center"/>
            <w:hideMark/>
          </w:tcPr>
          <w:p w14:paraId="01BB024A"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80" w:type="pct"/>
            <w:tcBorders>
              <w:top w:val="nil"/>
              <w:left w:val="nil"/>
              <w:bottom w:val="single" w:sz="4" w:space="0" w:color="auto"/>
              <w:right w:val="single" w:sz="4" w:space="0" w:color="auto"/>
            </w:tcBorders>
            <w:shd w:val="clear" w:color="auto" w:fill="auto"/>
            <w:vAlign w:val="center"/>
            <w:hideMark/>
          </w:tcPr>
          <w:p w14:paraId="01BB024B" w14:textId="308B8E85"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Referenca e masës prioritare me produktet e programit buxhetor</w:t>
            </w:r>
            <w:r w:rsidR="000E152E" w:rsidRPr="000E152E">
              <w:rPr>
                <w:rFonts w:ascii="Garamond" w:eastAsia="Times New Roman" w:hAnsi="Garamond"/>
                <w:b/>
                <w:bCs/>
                <w:color w:val="000000"/>
                <w:sz w:val="14"/>
                <w:szCs w:val="14"/>
                <w:lang w:eastAsia="sq-AL"/>
              </w:rPr>
              <w:t xml:space="preserve"> </w:t>
            </w:r>
          </w:p>
        </w:tc>
        <w:tc>
          <w:tcPr>
            <w:tcW w:w="63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B024C"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Institucionet përgjegjëse</w:t>
            </w:r>
          </w:p>
        </w:tc>
        <w:tc>
          <w:tcPr>
            <w:tcW w:w="680" w:type="pct"/>
            <w:gridSpan w:val="2"/>
            <w:tcBorders>
              <w:top w:val="single" w:sz="4" w:space="0" w:color="auto"/>
              <w:left w:val="nil"/>
              <w:bottom w:val="single" w:sz="4" w:space="0" w:color="auto"/>
              <w:right w:val="single" w:sz="4" w:space="0" w:color="auto"/>
            </w:tcBorders>
            <w:shd w:val="clear" w:color="auto" w:fill="auto"/>
            <w:vAlign w:val="center"/>
            <w:hideMark/>
          </w:tcPr>
          <w:p w14:paraId="01BB024D"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Afati i zbatimit</w:t>
            </w:r>
          </w:p>
        </w:tc>
        <w:tc>
          <w:tcPr>
            <w:tcW w:w="500" w:type="pct"/>
            <w:vMerge w:val="restart"/>
            <w:tcBorders>
              <w:top w:val="nil"/>
              <w:left w:val="single" w:sz="4" w:space="0" w:color="auto"/>
              <w:bottom w:val="single" w:sz="4" w:space="0" w:color="auto"/>
              <w:right w:val="single" w:sz="4" w:space="0" w:color="auto"/>
            </w:tcBorders>
            <w:shd w:val="clear" w:color="auto" w:fill="auto"/>
            <w:vAlign w:val="center"/>
            <w:hideMark/>
          </w:tcPr>
          <w:p w14:paraId="01BB024E"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Kosto indikative</w:t>
            </w:r>
            <w:r w:rsidRPr="000E152E">
              <w:rPr>
                <w:rFonts w:ascii="Garamond" w:eastAsia="Times New Roman" w:hAnsi="Garamond"/>
                <w:color w:val="000000"/>
                <w:sz w:val="14"/>
                <w:szCs w:val="14"/>
                <w:lang w:eastAsia="sq-AL"/>
              </w:rPr>
              <w:t xml:space="preserve"> (ne ALL)</w:t>
            </w:r>
          </w:p>
        </w:tc>
        <w:tc>
          <w:tcPr>
            <w:tcW w:w="917" w:type="pct"/>
            <w:gridSpan w:val="2"/>
            <w:tcBorders>
              <w:top w:val="single" w:sz="4" w:space="0" w:color="auto"/>
              <w:left w:val="nil"/>
              <w:bottom w:val="single" w:sz="4" w:space="0" w:color="auto"/>
              <w:right w:val="single" w:sz="4" w:space="0" w:color="000000"/>
            </w:tcBorders>
            <w:shd w:val="clear" w:color="auto" w:fill="auto"/>
            <w:vAlign w:val="center"/>
            <w:hideMark/>
          </w:tcPr>
          <w:p w14:paraId="01BB024F"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Burimi i mbulimit</w:t>
            </w:r>
            <w:r w:rsidRPr="000E152E">
              <w:rPr>
                <w:rFonts w:ascii="Garamond" w:eastAsia="Times New Roman" w:hAnsi="Garamond"/>
                <w:color w:val="000000"/>
                <w:sz w:val="14"/>
                <w:szCs w:val="14"/>
                <w:lang w:eastAsia="sq-AL"/>
              </w:rPr>
              <w:t xml:space="preserve"> (ne ALL)</w:t>
            </w:r>
          </w:p>
        </w:tc>
        <w:tc>
          <w:tcPr>
            <w:tcW w:w="466" w:type="pct"/>
            <w:tcBorders>
              <w:top w:val="nil"/>
              <w:left w:val="nil"/>
              <w:bottom w:val="single" w:sz="4" w:space="0" w:color="auto"/>
              <w:right w:val="single" w:sz="4" w:space="0" w:color="auto"/>
            </w:tcBorders>
            <w:shd w:val="clear" w:color="auto" w:fill="auto"/>
            <w:vAlign w:val="center"/>
            <w:hideMark/>
          </w:tcPr>
          <w:p w14:paraId="01BB0250"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Hendeku financiar </w:t>
            </w:r>
            <w:r w:rsidRPr="000E152E">
              <w:rPr>
                <w:rFonts w:ascii="Garamond" w:eastAsia="Times New Roman" w:hAnsi="Garamond"/>
                <w:color w:val="000000"/>
                <w:sz w:val="14"/>
                <w:szCs w:val="14"/>
                <w:lang w:eastAsia="sq-AL"/>
              </w:rPr>
              <w:t>(ne ALL)</w:t>
            </w:r>
          </w:p>
        </w:tc>
      </w:tr>
      <w:tr w:rsidR="00DF095A" w:rsidRPr="000E152E" w14:paraId="01BB025C" w14:textId="77777777" w:rsidTr="00364541">
        <w:trPr>
          <w:trHeight w:val="180"/>
        </w:trPr>
        <w:tc>
          <w:tcPr>
            <w:tcW w:w="312" w:type="pct"/>
            <w:vMerge/>
            <w:tcBorders>
              <w:top w:val="nil"/>
              <w:left w:val="single" w:sz="4" w:space="0" w:color="auto"/>
              <w:bottom w:val="single" w:sz="4" w:space="0" w:color="auto"/>
              <w:right w:val="single" w:sz="4" w:space="0" w:color="auto"/>
            </w:tcBorders>
            <w:vAlign w:val="center"/>
            <w:hideMark/>
          </w:tcPr>
          <w:p w14:paraId="01BB0252"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vMerge/>
            <w:tcBorders>
              <w:top w:val="nil"/>
              <w:left w:val="single" w:sz="4" w:space="0" w:color="auto"/>
              <w:bottom w:val="single" w:sz="4" w:space="0" w:color="auto"/>
              <w:right w:val="single" w:sz="4" w:space="0" w:color="auto"/>
            </w:tcBorders>
            <w:vAlign w:val="center"/>
            <w:hideMark/>
          </w:tcPr>
          <w:p w14:paraId="01BB0253"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p>
        </w:tc>
        <w:tc>
          <w:tcPr>
            <w:tcW w:w="380" w:type="pct"/>
            <w:tcBorders>
              <w:top w:val="nil"/>
              <w:left w:val="nil"/>
              <w:bottom w:val="single" w:sz="4" w:space="0" w:color="auto"/>
              <w:right w:val="single" w:sz="4" w:space="0" w:color="auto"/>
            </w:tcBorders>
            <w:shd w:val="clear" w:color="auto" w:fill="auto"/>
            <w:vAlign w:val="center"/>
            <w:hideMark/>
          </w:tcPr>
          <w:p w14:paraId="01BB0254"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636" w:type="pct"/>
            <w:gridSpan w:val="2"/>
            <w:vMerge/>
            <w:tcBorders>
              <w:top w:val="nil"/>
              <w:left w:val="nil"/>
              <w:bottom w:val="single" w:sz="4" w:space="0" w:color="auto"/>
              <w:right w:val="single" w:sz="4" w:space="0" w:color="auto"/>
            </w:tcBorders>
            <w:vAlign w:val="center"/>
            <w:hideMark/>
          </w:tcPr>
          <w:p w14:paraId="01BB0255"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p>
        </w:tc>
        <w:tc>
          <w:tcPr>
            <w:tcW w:w="286" w:type="pct"/>
            <w:tcBorders>
              <w:top w:val="nil"/>
              <w:left w:val="nil"/>
              <w:bottom w:val="single" w:sz="4" w:space="0" w:color="auto"/>
              <w:right w:val="single" w:sz="4" w:space="0" w:color="auto"/>
            </w:tcBorders>
            <w:shd w:val="clear" w:color="auto" w:fill="auto"/>
            <w:vAlign w:val="center"/>
            <w:hideMark/>
          </w:tcPr>
          <w:p w14:paraId="01BB0256"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Afati i fillimit</w:t>
            </w:r>
          </w:p>
        </w:tc>
        <w:tc>
          <w:tcPr>
            <w:tcW w:w="395" w:type="pct"/>
            <w:tcBorders>
              <w:top w:val="nil"/>
              <w:left w:val="nil"/>
              <w:bottom w:val="single" w:sz="4" w:space="0" w:color="auto"/>
              <w:right w:val="single" w:sz="4" w:space="0" w:color="auto"/>
            </w:tcBorders>
            <w:shd w:val="clear" w:color="auto" w:fill="auto"/>
            <w:vAlign w:val="center"/>
            <w:hideMark/>
          </w:tcPr>
          <w:p w14:paraId="01BB0257"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Afati i përfundimit</w:t>
            </w:r>
          </w:p>
        </w:tc>
        <w:tc>
          <w:tcPr>
            <w:tcW w:w="500" w:type="pct"/>
            <w:vMerge/>
            <w:tcBorders>
              <w:top w:val="nil"/>
              <w:left w:val="single" w:sz="4" w:space="0" w:color="auto"/>
              <w:bottom w:val="single" w:sz="4" w:space="0" w:color="auto"/>
              <w:right w:val="single" w:sz="4" w:space="0" w:color="auto"/>
            </w:tcBorders>
            <w:vAlign w:val="center"/>
            <w:hideMark/>
          </w:tcPr>
          <w:p w14:paraId="01BB0258"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p>
        </w:tc>
        <w:tc>
          <w:tcPr>
            <w:tcW w:w="487" w:type="pct"/>
            <w:tcBorders>
              <w:top w:val="nil"/>
              <w:left w:val="nil"/>
              <w:bottom w:val="single" w:sz="4" w:space="0" w:color="auto"/>
              <w:right w:val="single" w:sz="4" w:space="0" w:color="auto"/>
            </w:tcBorders>
            <w:shd w:val="clear" w:color="auto" w:fill="auto"/>
            <w:vAlign w:val="center"/>
            <w:hideMark/>
          </w:tcPr>
          <w:p w14:paraId="01BB0259"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Buxhet Shteti</w:t>
            </w:r>
          </w:p>
        </w:tc>
        <w:tc>
          <w:tcPr>
            <w:tcW w:w="430" w:type="pct"/>
            <w:tcBorders>
              <w:top w:val="nil"/>
              <w:left w:val="nil"/>
              <w:bottom w:val="single" w:sz="4" w:space="0" w:color="auto"/>
              <w:right w:val="single" w:sz="4" w:space="0" w:color="auto"/>
            </w:tcBorders>
            <w:shd w:val="clear" w:color="auto" w:fill="auto"/>
            <w:vAlign w:val="center"/>
            <w:hideMark/>
          </w:tcPr>
          <w:p w14:paraId="01BB025A"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Financim i Huaj</w:t>
            </w:r>
          </w:p>
        </w:tc>
        <w:tc>
          <w:tcPr>
            <w:tcW w:w="466" w:type="pct"/>
            <w:tcBorders>
              <w:top w:val="nil"/>
              <w:left w:val="nil"/>
              <w:bottom w:val="single" w:sz="4" w:space="0" w:color="auto"/>
              <w:right w:val="single" w:sz="4" w:space="0" w:color="auto"/>
            </w:tcBorders>
            <w:shd w:val="clear" w:color="auto" w:fill="auto"/>
            <w:vAlign w:val="center"/>
            <w:hideMark/>
          </w:tcPr>
          <w:p w14:paraId="01BB025B"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r>
      <w:tr w:rsidR="00DF095A" w:rsidRPr="000E152E" w14:paraId="01BB0268" w14:textId="77777777" w:rsidTr="00364541">
        <w:trPr>
          <w:trHeight w:val="180"/>
        </w:trPr>
        <w:tc>
          <w:tcPr>
            <w:tcW w:w="312" w:type="pct"/>
            <w:tcBorders>
              <w:top w:val="nil"/>
              <w:left w:val="single" w:sz="4" w:space="0" w:color="auto"/>
              <w:bottom w:val="single" w:sz="4" w:space="0" w:color="auto"/>
              <w:right w:val="single" w:sz="4" w:space="0" w:color="auto"/>
            </w:tcBorders>
            <w:shd w:val="clear" w:color="000000" w:fill="A9D08E"/>
            <w:vAlign w:val="center"/>
            <w:hideMark/>
          </w:tcPr>
          <w:p w14:paraId="01BB025D"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Objektivi specifik</w:t>
            </w:r>
          </w:p>
        </w:tc>
        <w:tc>
          <w:tcPr>
            <w:tcW w:w="1110" w:type="pct"/>
            <w:tcBorders>
              <w:top w:val="nil"/>
              <w:left w:val="nil"/>
              <w:bottom w:val="single" w:sz="4" w:space="0" w:color="auto"/>
              <w:right w:val="single" w:sz="4" w:space="0" w:color="auto"/>
            </w:tcBorders>
            <w:shd w:val="clear" w:color="000000" w:fill="A9D08E"/>
            <w:vAlign w:val="center"/>
            <w:hideMark/>
          </w:tcPr>
          <w:p w14:paraId="01BB025E" w14:textId="77777777" w:rsidR="00DF095A" w:rsidRPr="000E152E" w:rsidRDefault="00DF095A" w:rsidP="00DF095A">
            <w:pPr>
              <w:spacing w:after="0" w:line="240" w:lineRule="auto"/>
              <w:rPr>
                <w:rFonts w:ascii="Garamond" w:eastAsia="Times New Roman" w:hAnsi="Garamond"/>
                <w:b/>
                <w:bCs/>
                <w:sz w:val="14"/>
                <w:szCs w:val="14"/>
                <w:lang w:eastAsia="sq-AL"/>
              </w:rPr>
            </w:pPr>
            <w:r w:rsidRPr="000E152E">
              <w:rPr>
                <w:rFonts w:ascii="Garamond" w:eastAsia="Times New Roman" w:hAnsi="Garamond"/>
                <w:b/>
                <w:bCs/>
                <w:sz w:val="14"/>
                <w:szCs w:val="14"/>
                <w:lang w:eastAsia="sq-AL"/>
              </w:rPr>
              <w:t xml:space="preserve"> OBJEKTIVI SPECIFIK 2.1: Ndërmjetësim me gjithëpërfshires i punësimit </w:t>
            </w:r>
          </w:p>
        </w:tc>
        <w:tc>
          <w:tcPr>
            <w:tcW w:w="380" w:type="pct"/>
            <w:tcBorders>
              <w:top w:val="nil"/>
              <w:left w:val="nil"/>
              <w:bottom w:val="single" w:sz="4" w:space="0" w:color="auto"/>
              <w:right w:val="single" w:sz="4" w:space="0" w:color="auto"/>
            </w:tcBorders>
            <w:shd w:val="clear" w:color="000000" w:fill="A9D08E"/>
            <w:vAlign w:val="center"/>
            <w:hideMark/>
          </w:tcPr>
          <w:p w14:paraId="01BB025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KODI I PROGRAMI BUXHETOR</w:t>
            </w:r>
          </w:p>
        </w:tc>
        <w:tc>
          <w:tcPr>
            <w:tcW w:w="309" w:type="pct"/>
            <w:tcBorders>
              <w:top w:val="nil"/>
              <w:left w:val="nil"/>
              <w:bottom w:val="single" w:sz="4" w:space="0" w:color="auto"/>
              <w:right w:val="single" w:sz="4" w:space="0" w:color="auto"/>
            </w:tcBorders>
            <w:shd w:val="clear" w:color="000000" w:fill="A9D08E"/>
            <w:vAlign w:val="center"/>
            <w:hideMark/>
          </w:tcPr>
          <w:p w14:paraId="01BB026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Institucioni udhëheqës</w:t>
            </w:r>
          </w:p>
        </w:tc>
        <w:tc>
          <w:tcPr>
            <w:tcW w:w="327" w:type="pct"/>
            <w:tcBorders>
              <w:top w:val="nil"/>
              <w:left w:val="nil"/>
              <w:bottom w:val="single" w:sz="4" w:space="0" w:color="auto"/>
              <w:right w:val="single" w:sz="4" w:space="0" w:color="auto"/>
            </w:tcBorders>
            <w:shd w:val="clear" w:color="000000" w:fill="A9D08E"/>
            <w:vAlign w:val="center"/>
            <w:hideMark/>
          </w:tcPr>
          <w:p w14:paraId="01BB026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Institucione pjesëmarrëse</w:t>
            </w:r>
          </w:p>
        </w:tc>
        <w:tc>
          <w:tcPr>
            <w:tcW w:w="286" w:type="pct"/>
            <w:tcBorders>
              <w:top w:val="nil"/>
              <w:left w:val="nil"/>
              <w:bottom w:val="single" w:sz="4" w:space="0" w:color="auto"/>
              <w:right w:val="single" w:sz="4" w:space="0" w:color="auto"/>
            </w:tcBorders>
            <w:shd w:val="clear" w:color="000000" w:fill="A9D08E"/>
            <w:vAlign w:val="center"/>
            <w:hideMark/>
          </w:tcPr>
          <w:p w14:paraId="01BB0262"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A9D08E"/>
            <w:vAlign w:val="center"/>
            <w:hideMark/>
          </w:tcPr>
          <w:p w14:paraId="01BB0263"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A9D08E"/>
            <w:vAlign w:val="center"/>
            <w:hideMark/>
          </w:tcPr>
          <w:p w14:paraId="01BB0264"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26,211,384,015.30 </w:t>
            </w:r>
          </w:p>
        </w:tc>
        <w:tc>
          <w:tcPr>
            <w:tcW w:w="487" w:type="pct"/>
            <w:tcBorders>
              <w:top w:val="nil"/>
              <w:left w:val="nil"/>
              <w:bottom w:val="single" w:sz="4" w:space="0" w:color="auto"/>
              <w:right w:val="single" w:sz="4" w:space="0" w:color="auto"/>
            </w:tcBorders>
            <w:shd w:val="clear" w:color="000000" w:fill="A9D08E"/>
            <w:vAlign w:val="center"/>
            <w:hideMark/>
          </w:tcPr>
          <w:p w14:paraId="01BB0265"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10,227,488,066.00 </w:t>
            </w:r>
          </w:p>
        </w:tc>
        <w:tc>
          <w:tcPr>
            <w:tcW w:w="430" w:type="pct"/>
            <w:tcBorders>
              <w:top w:val="nil"/>
              <w:left w:val="nil"/>
              <w:bottom w:val="single" w:sz="4" w:space="0" w:color="auto"/>
              <w:right w:val="single" w:sz="4" w:space="0" w:color="auto"/>
            </w:tcBorders>
            <w:shd w:val="clear" w:color="000000" w:fill="A9D08E"/>
            <w:vAlign w:val="center"/>
            <w:hideMark/>
          </w:tcPr>
          <w:p w14:paraId="01BB0266"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7,011,456,000.00 </w:t>
            </w:r>
          </w:p>
        </w:tc>
        <w:tc>
          <w:tcPr>
            <w:tcW w:w="466" w:type="pct"/>
            <w:tcBorders>
              <w:top w:val="nil"/>
              <w:left w:val="nil"/>
              <w:bottom w:val="single" w:sz="4" w:space="0" w:color="auto"/>
              <w:right w:val="single" w:sz="4" w:space="0" w:color="auto"/>
            </w:tcBorders>
            <w:shd w:val="clear" w:color="000000" w:fill="A9D08E"/>
            <w:vAlign w:val="center"/>
            <w:hideMark/>
          </w:tcPr>
          <w:p w14:paraId="01BB0267"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8,972,439,949.30 </w:t>
            </w:r>
          </w:p>
        </w:tc>
      </w:tr>
      <w:tr w:rsidR="00DF095A" w:rsidRPr="000E152E" w14:paraId="01BB0274" w14:textId="77777777" w:rsidTr="00364541">
        <w:trPr>
          <w:trHeight w:val="180"/>
        </w:trPr>
        <w:tc>
          <w:tcPr>
            <w:tcW w:w="312" w:type="pct"/>
            <w:tcBorders>
              <w:top w:val="nil"/>
              <w:left w:val="single" w:sz="4" w:space="0" w:color="auto"/>
              <w:bottom w:val="single" w:sz="4" w:space="0" w:color="auto"/>
              <w:right w:val="single" w:sz="4" w:space="0" w:color="auto"/>
            </w:tcBorders>
            <w:shd w:val="clear" w:color="000000" w:fill="9BC2E6"/>
            <w:vAlign w:val="center"/>
            <w:hideMark/>
          </w:tcPr>
          <w:p w14:paraId="01BB0269"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26A" w14:textId="77777777" w:rsidR="00DF095A" w:rsidRPr="000E152E" w:rsidRDefault="00DF095A" w:rsidP="00DF095A">
            <w:pPr>
              <w:spacing w:after="0" w:line="240" w:lineRule="auto"/>
              <w:rPr>
                <w:rFonts w:ascii="Garamond" w:eastAsia="Times New Roman" w:hAnsi="Garamond"/>
                <w:b/>
                <w:bCs/>
                <w:sz w:val="14"/>
                <w:szCs w:val="14"/>
                <w:lang w:eastAsia="sq-AL"/>
              </w:rPr>
            </w:pPr>
            <w:r w:rsidRPr="000E152E">
              <w:rPr>
                <w:rFonts w:ascii="Garamond" w:eastAsia="Times New Roman" w:hAnsi="Garamond"/>
                <w:b/>
                <w:bCs/>
                <w:sz w:val="14"/>
                <w:szCs w:val="14"/>
                <w:lang w:eastAsia="sq-AL"/>
              </w:rPr>
              <w:t xml:space="preserve">2.1.1. Ofrimi i shërbimeve duke përdorur ekosistemin e tregut të punës për dalje dhe tranzicion të qëndrueshëm nga skemat e mbrojtjes sociale </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26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26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26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26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26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270"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12,053,628,015 </w:t>
            </w:r>
          </w:p>
        </w:tc>
        <w:tc>
          <w:tcPr>
            <w:tcW w:w="487" w:type="pct"/>
            <w:tcBorders>
              <w:top w:val="nil"/>
              <w:left w:val="nil"/>
              <w:bottom w:val="single" w:sz="4" w:space="0" w:color="auto"/>
              <w:right w:val="single" w:sz="4" w:space="0" w:color="auto"/>
            </w:tcBorders>
            <w:shd w:val="clear" w:color="000000" w:fill="9BC2E6"/>
            <w:vAlign w:val="center"/>
            <w:hideMark/>
          </w:tcPr>
          <w:p w14:paraId="01BB0271"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8,781,586,760 </w:t>
            </w:r>
          </w:p>
        </w:tc>
        <w:tc>
          <w:tcPr>
            <w:tcW w:w="430" w:type="pct"/>
            <w:tcBorders>
              <w:top w:val="nil"/>
              <w:left w:val="nil"/>
              <w:bottom w:val="single" w:sz="4" w:space="0" w:color="auto"/>
              <w:right w:val="single" w:sz="4" w:space="0" w:color="auto"/>
            </w:tcBorders>
            <w:shd w:val="clear" w:color="000000" w:fill="9BC2E6"/>
            <w:vAlign w:val="center"/>
            <w:hideMark/>
          </w:tcPr>
          <w:p w14:paraId="01BB0272"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637,800,000 </w:t>
            </w:r>
          </w:p>
        </w:tc>
        <w:tc>
          <w:tcPr>
            <w:tcW w:w="466" w:type="pct"/>
            <w:tcBorders>
              <w:top w:val="nil"/>
              <w:left w:val="nil"/>
              <w:bottom w:val="single" w:sz="4" w:space="0" w:color="auto"/>
              <w:right w:val="single" w:sz="4" w:space="0" w:color="auto"/>
            </w:tcBorders>
            <w:shd w:val="clear" w:color="000000" w:fill="9BC2E6"/>
            <w:vAlign w:val="center"/>
            <w:hideMark/>
          </w:tcPr>
          <w:p w14:paraId="01BB0273"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2,634,241,255 </w:t>
            </w:r>
          </w:p>
        </w:tc>
      </w:tr>
      <w:tr w:rsidR="00DF095A" w:rsidRPr="000E152E" w14:paraId="01BB0280"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27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hideMark/>
          </w:tcPr>
          <w:p w14:paraId="01BB027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Hartimi i një modeli për menaxhim më të specializuar të rasteve për grupet e cenueshme si dhe një modeli për outsourcing/kontraktimin e shërbimeve</w:t>
            </w:r>
          </w:p>
        </w:tc>
        <w:tc>
          <w:tcPr>
            <w:tcW w:w="380" w:type="pct"/>
            <w:tcBorders>
              <w:top w:val="nil"/>
              <w:left w:val="nil"/>
              <w:bottom w:val="single" w:sz="4" w:space="0" w:color="auto"/>
              <w:right w:val="single" w:sz="4" w:space="0" w:color="auto"/>
            </w:tcBorders>
            <w:shd w:val="clear" w:color="000000" w:fill="FFD579"/>
            <w:vAlign w:val="center"/>
            <w:hideMark/>
          </w:tcPr>
          <w:p w14:paraId="01BB027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7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7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286" w:type="pct"/>
            <w:tcBorders>
              <w:top w:val="nil"/>
              <w:left w:val="nil"/>
              <w:bottom w:val="single" w:sz="4" w:space="0" w:color="auto"/>
              <w:right w:val="single" w:sz="4" w:space="0" w:color="auto"/>
            </w:tcBorders>
            <w:shd w:val="clear" w:color="000000" w:fill="FFD579"/>
            <w:vAlign w:val="center"/>
            <w:hideMark/>
          </w:tcPr>
          <w:p w14:paraId="01BB027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7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27C"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87" w:type="pct"/>
            <w:tcBorders>
              <w:top w:val="nil"/>
              <w:left w:val="nil"/>
              <w:bottom w:val="single" w:sz="4" w:space="0" w:color="auto"/>
              <w:right w:val="single" w:sz="4" w:space="0" w:color="auto"/>
            </w:tcBorders>
            <w:shd w:val="clear" w:color="000000" w:fill="FFD579"/>
            <w:vAlign w:val="center"/>
            <w:hideMark/>
          </w:tcPr>
          <w:p w14:paraId="01BB027D" w14:textId="76FF8256"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7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1,800,000 </w:t>
            </w:r>
          </w:p>
        </w:tc>
        <w:tc>
          <w:tcPr>
            <w:tcW w:w="466" w:type="pct"/>
            <w:tcBorders>
              <w:top w:val="nil"/>
              <w:left w:val="nil"/>
              <w:bottom w:val="single" w:sz="4" w:space="0" w:color="auto"/>
              <w:right w:val="single" w:sz="4" w:space="0" w:color="auto"/>
            </w:tcBorders>
            <w:shd w:val="clear" w:color="000000" w:fill="FFD579"/>
            <w:vAlign w:val="center"/>
            <w:hideMark/>
          </w:tcPr>
          <w:p w14:paraId="01BB027F" w14:textId="5AEE0ED0"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1,800,000 </w:t>
            </w:r>
          </w:p>
        </w:tc>
      </w:tr>
      <w:tr w:rsidR="00DF095A" w:rsidRPr="000E152E" w14:paraId="01BB028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8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hideMark/>
          </w:tcPr>
          <w:p w14:paraId="01BB028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Evidentimi i ekosistemit me të gjithë aktorët së bashku me praktikat dhe përvojën e tyre në nivel qarku</w:t>
            </w:r>
          </w:p>
        </w:tc>
        <w:tc>
          <w:tcPr>
            <w:tcW w:w="380" w:type="pct"/>
            <w:tcBorders>
              <w:top w:val="nil"/>
              <w:left w:val="nil"/>
              <w:bottom w:val="single" w:sz="4" w:space="0" w:color="auto"/>
              <w:right w:val="single" w:sz="4" w:space="0" w:color="auto"/>
            </w:tcBorders>
            <w:shd w:val="clear" w:color="000000" w:fill="FFD579"/>
            <w:vAlign w:val="center"/>
            <w:hideMark/>
          </w:tcPr>
          <w:p w14:paraId="01BB028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8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8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AKAFPK</w:t>
            </w:r>
          </w:p>
        </w:tc>
        <w:tc>
          <w:tcPr>
            <w:tcW w:w="286" w:type="pct"/>
            <w:tcBorders>
              <w:top w:val="nil"/>
              <w:left w:val="nil"/>
              <w:bottom w:val="single" w:sz="4" w:space="0" w:color="auto"/>
              <w:right w:val="single" w:sz="4" w:space="0" w:color="auto"/>
            </w:tcBorders>
            <w:shd w:val="clear" w:color="000000" w:fill="FFD579"/>
            <w:vAlign w:val="center"/>
            <w:hideMark/>
          </w:tcPr>
          <w:p w14:paraId="01BB028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8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2023</w:t>
            </w:r>
          </w:p>
        </w:tc>
        <w:tc>
          <w:tcPr>
            <w:tcW w:w="500" w:type="pct"/>
            <w:tcBorders>
              <w:top w:val="nil"/>
              <w:left w:val="nil"/>
              <w:bottom w:val="single" w:sz="4" w:space="0" w:color="auto"/>
              <w:right w:val="single" w:sz="4" w:space="0" w:color="auto"/>
            </w:tcBorders>
            <w:shd w:val="clear" w:color="000000" w:fill="FFD579"/>
            <w:vAlign w:val="center"/>
            <w:hideMark/>
          </w:tcPr>
          <w:p w14:paraId="01BB0288"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2,400,000 </w:t>
            </w:r>
          </w:p>
        </w:tc>
        <w:tc>
          <w:tcPr>
            <w:tcW w:w="487" w:type="pct"/>
            <w:tcBorders>
              <w:top w:val="nil"/>
              <w:left w:val="nil"/>
              <w:bottom w:val="single" w:sz="4" w:space="0" w:color="auto"/>
              <w:right w:val="single" w:sz="4" w:space="0" w:color="auto"/>
            </w:tcBorders>
            <w:shd w:val="clear" w:color="000000" w:fill="FFD579"/>
            <w:vAlign w:val="center"/>
            <w:hideMark/>
          </w:tcPr>
          <w:p w14:paraId="01BB0289" w14:textId="1B1124D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8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2,400,000 </w:t>
            </w:r>
          </w:p>
        </w:tc>
        <w:tc>
          <w:tcPr>
            <w:tcW w:w="466" w:type="pct"/>
            <w:tcBorders>
              <w:top w:val="nil"/>
              <w:left w:val="nil"/>
              <w:bottom w:val="single" w:sz="4" w:space="0" w:color="auto"/>
              <w:right w:val="single" w:sz="4" w:space="0" w:color="auto"/>
            </w:tcBorders>
            <w:shd w:val="clear" w:color="000000" w:fill="FFD579"/>
            <w:vAlign w:val="center"/>
            <w:hideMark/>
          </w:tcPr>
          <w:p w14:paraId="01BB028B" w14:textId="6D145E1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9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8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hideMark/>
          </w:tcPr>
          <w:p w14:paraId="01BB028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Përditësimi i kuadrit ligjor për zbatimin e shërbimeve dhe programeve duke shfrytëzuar aktorët e ekosistemit të tregut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28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9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291"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AKPA, MSHMS, NJQV</w:t>
            </w:r>
          </w:p>
        </w:tc>
        <w:tc>
          <w:tcPr>
            <w:tcW w:w="286" w:type="pct"/>
            <w:tcBorders>
              <w:top w:val="nil"/>
              <w:left w:val="nil"/>
              <w:bottom w:val="single" w:sz="4" w:space="0" w:color="auto"/>
              <w:right w:val="single" w:sz="4" w:space="0" w:color="auto"/>
            </w:tcBorders>
            <w:shd w:val="clear" w:color="000000" w:fill="FFD579"/>
            <w:vAlign w:val="center"/>
            <w:hideMark/>
          </w:tcPr>
          <w:p w14:paraId="01BB029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29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29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87" w:type="pct"/>
            <w:tcBorders>
              <w:top w:val="nil"/>
              <w:left w:val="nil"/>
              <w:bottom w:val="single" w:sz="4" w:space="0" w:color="auto"/>
              <w:right w:val="single" w:sz="4" w:space="0" w:color="auto"/>
            </w:tcBorders>
            <w:shd w:val="clear" w:color="000000" w:fill="FFD579"/>
            <w:vAlign w:val="center"/>
            <w:hideMark/>
          </w:tcPr>
          <w:p w14:paraId="01BB0295" w14:textId="5CC3047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9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66" w:type="pct"/>
            <w:tcBorders>
              <w:top w:val="nil"/>
              <w:left w:val="nil"/>
              <w:bottom w:val="single" w:sz="4" w:space="0" w:color="auto"/>
              <w:right w:val="single" w:sz="4" w:space="0" w:color="auto"/>
            </w:tcBorders>
            <w:shd w:val="clear" w:color="000000" w:fill="FFD579"/>
            <w:vAlign w:val="center"/>
            <w:hideMark/>
          </w:tcPr>
          <w:p w14:paraId="01BB0297" w14:textId="7F3EA6F5"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A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9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hideMark/>
          </w:tcPr>
          <w:p w14:paraId="01BB029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Krijimi i një modaliteti bashkëpunimi që garanton përfshirjen e partnerëve në ekosistem në trajtimin e punëkërkuesve të nivelit të tretë</w:t>
            </w:r>
          </w:p>
        </w:tc>
        <w:tc>
          <w:tcPr>
            <w:tcW w:w="380" w:type="pct"/>
            <w:tcBorders>
              <w:top w:val="nil"/>
              <w:left w:val="nil"/>
              <w:bottom w:val="single" w:sz="4" w:space="0" w:color="auto"/>
              <w:right w:val="single" w:sz="4" w:space="0" w:color="auto"/>
            </w:tcBorders>
            <w:shd w:val="clear" w:color="000000" w:fill="FFD579"/>
            <w:vAlign w:val="center"/>
            <w:hideMark/>
          </w:tcPr>
          <w:p w14:paraId="01BB029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9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29D"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AKPA, MSHMS, NJQV</w:t>
            </w:r>
          </w:p>
        </w:tc>
        <w:tc>
          <w:tcPr>
            <w:tcW w:w="286" w:type="pct"/>
            <w:tcBorders>
              <w:top w:val="nil"/>
              <w:left w:val="nil"/>
              <w:bottom w:val="single" w:sz="4" w:space="0" w:color="auto"/>
              <w:right w:val="single" w:sz="4" w:space="0" w:color="auto"/>
            </w:tcBorders>
            <w:shd w:val="clear" w:color="000000" w:fill="FFD579"/>
            <w:vAlign w:val="center"/>
            <w:hideMark/>
          </w:tcPr>
          <w:p w14:paraId="01BB029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9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500" w:type="pct"/>
            <w:tcBorders>
              <w:top w:val="nil"/>
              <w:left w:val="nil"/>
              <w:bottom w:val="single" w:sz="4" w:space="0" w:color="auto"/>
              <w:right w:val="single" w:sz="4" w:space="0" w:color="auto"/>
            </w:tcBorders>
            <w:shd w:val="clear" w:color="000000" w:fill="FFD579"/>
            <w:vAlign w:val="center"/>
            <w:hideMark/>
          </w:tcPr>
          <w:p w14:paraId="01BB02A0"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2A1" w14:textId="61CFDF9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A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A3" w14:textId="0EB2ED79"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B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A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hideMark/>
          </w:tcPr>
          <w:p w14:paraId="01BB02A6" w14:textId="4F30BA91"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Krijimi i një sistemi referimi në bashkëpunim me strukturat e nivelit lokal (Njësitë e Vlerësimit të Nevojave dhe Referimit) për identifikimin, vlerësimin dhe trajtimin e grupeve vulnerabël me nevoja të ndryshme (përfituesit në moshë pune nga familjet e mbështetura me ndihmë ekonomike, punëkërkuesit afatgjatë, pakicat etnike, personat me arsim e kualifikim të ulët</w:t>
            </w:r>
            <w:r w:rsidR="00DE3FCD">
              <w:rPr>
                <w:rFonts w:ascii="Garamond" w:eastAsia="Times New Roman" w:hAnsi="Garamond"/>
                <w:sz w:val="14"/>
                <w:szCs w:val="14"/>
                <w:lang w:eastAsia="sq-AL"/>
              </w:rPr>
              <w:t xml:space="preserve"> etj.</w:t>
            </w:r>
            <w:r w:rsidRPr="000E152E">
              <w:rPr>
                <w:rFonts w:ascii="Garamond" w:eastAsia="Times New Roman" w:hAnsi="Garamond"/>
                <w:sz w:val="14"/>
                <w:szCs w:val="14"/>
                <w:lang w:eastAsia="sq-AL"/>
              </w:rPr>
              <w:t>)</w:t>
            </w:r>
          </w:p>
        </w:tc>
        <w:tc>
          <w:tcPr>
            <w:tcW w:w="380" w:type="pct"/>
            <w:tcBorders>
              <w:top w:val="nil"/>
              <w:left w:val="nil"/>
              <w:bottom w:val="single" w:sz="4" w:space="0" w:color="auto"/>
              <w:right w:val="single" w:sz="4" w:space="0" w:color="auto"/>
            </w:tcBorders>
            <w:shd w:val="clear" w:color="000000" w:fill="FFD579"/>
            <w:vAlign w:val="center"/>
            <w:hideMark/>
          </w:tcPr>
          <w:p w14:paraId="01BB02A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A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A9"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MFE, MShMS, NJQV</w:t>
            </w:r>
          </w:p>
        </w:tc>
        <w:tc>
          <w:tcPr>
            <w:tcW w:w="286" w:type="pct"/>
            <w:tcBorders>
              <w:top w:val="nil"/>
              <w:left w:val="nil"/>
              <w:bottom w:val="single" w:sz="4" w:space="0" w:color="auto"/>
              <w:right w:val="single" w:sz="4" w:space="0" w:color="auto"/>
            </w:tcBorders>
            <w:shd w:val="clear" w:color="000000" w:fill="FFD579"/>
            <w:vAlign w:val="center"/>
            <w:hideMark/>
          </w:tcPr>
          <w:p w14:paraId="01BB02A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A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2AC"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2AD" w14:textId="00AB9B4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A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AF" w14:textId="286D5E6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B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B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B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Përshtatja e kapaciteteve të zyrave të punësimit dhe partnerëve të tjerë për të ofruar shërbime të integruara punësimi, në bashkë me një gamë të gjerë partnerësh</w:t>
            </w:r>
          </w:p>
        </w:tc>
        <w:tc>
          <w:tcPr>
            <w:tcW w:w="380" w:type="pct"/>
            <w:tcBorders>
              <w:top w:val="nil"/>
              <w:left w:val="nil"/>
              <w:bottom w:val="single" w:sz="4" w:space="0" w:color="auto"/>
              <w:right w:val="single" w:sz="4" w:space="0" w:color="auto"/>
            </w:tcBorders>
            <w:shd w:val="clear" w:color="000000" w:fill="FFD579"/>
            <w:vAlign w:val="center"/>
            <w:hideMark/>
          </w:tcPr>
          <w:p w14:paraId="01BB02B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B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B5"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SHSSH, NJQV</w:t>
            </w:r>
          </w:p>
        </w:tc>
        <w:tc>
          <w:tcPr>
            <w:tcW w:w="286" w:type="pct"/>
            <w:tcBorders>
              <w:top w:val="nil"/>
              <w:left w:val="nil"/>
              <w:bottom w:val="single" w:sz="4" w:space="0" w:color="auto"/>
              <w:right w:val="single" w:sz="4" w:space="0" w:color="auto"/>
            </w:tcBorders>
            <w:shd w:val="clear" w:color="000000" w:fill="FFD579"/>
            <w:vAlign w:val="center"/>
            <w:hideMark/>
          </w:tcPr>
          <w:p w14:paraId="01BB02B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B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2B8" w14:textId="287176F5"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396,447,354 </w:t>
            </w:r>
          </w:p>
        </w:tc>
        <w:tc>
          <w:tcPr>
            <w:tcW w:w="487" w:type="pct"/>
            <w:tcBorders>
              <w:top w:val="nil"/>
              <w:left w:val="nil"/>
              <w:bottom w:val="single" w:sz="4" w:space="0" w:color="auto"/>
              <w:right w:val="single" w:sz="4" w:space="0" w:color="auto"/>
            </w:tcBorders>
            <w:shd w:val="clear" w:color="000000" w:fill="FFD579"/>
            <w:vAlign w:val="center"/>
            <w:hideMark/>
          </w:tcPr>
          <w:p w14:paraId="01BB02B9" w14:textId="64E21BB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B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B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396,447,354 </w:t>
            </w:r>
          </w:p>
        </w:tc>
      </w:tr>
      <w:tr w:rsidR="00DF095A" w:rsidRPr="000E152E" w14:paraId="01BB02C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B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B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Pilotimi dhe vlerësimi i mënyrës dhe ofrimit të shërbimeve për punëkërkuesit e nivelit të tretë në partneritet me ofrues publikë, jopublikë dhe privatë </w:t>
            </w:r>
          </w:p>
        </w:tc>
        <w:tc>
          <w:tcPr>
            <w:tcW w:w="380" w:type="pct"/>
            <w:tcBorders>
              <w:top w:val="nil"/>
              <w:left w:val="nil"/>
              <w:bottom w:val="single" w:sz="4" w:space="0" w:color="auto"/>
              <w:right w:val="single" w:sz="4" w:space="0" w:color="auto"/>
            </w:tcBorders>
            <w:shd w:val="clear" w:color="000000" w:fill="FFD579"/>
            <w:vAlign w:val="center"/>
            <w:hideMark/>
          </w:tcPr>
          <w:p w14:paraId="01BB02B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C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2C1"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SHSSH, NJQV</w:t>
            </w:r>
          </w:p>
        </w:tc>
        <w:tc>
          <w:tcPr>
            <w:tcW w:w="286" w:type="pct"/>
            <w:tcBorders>
              <w:top w:val="nil"/>
              <w:left w:val="nil"/>
              <w:bottom w:val="single" w:sz="4" w:space="0" w:color="auto"/>
              <w:right w:val="single" w:sz="4" w:space="0" w:color="auto"/>
            </w:tcBorders>
            <w:shd w:val="clear" w:color="000000" w:fill="FFD579"/>
            <w:vAlign w:val="center"/>
            <w:hideMark/>
          </w:tcPr>
          <w:p w14:paraId="01BB02C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2C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2C4" w14:textId="5DA8D3F5"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120,000,000 </w:t>
            </w:r>
          </w:p>
        </w:tc>
        <w:tc>
          <w:tcPr>
            <w:tcW w:w="487" w:type="pct"/>
            <w:tcBorders>
              <w:top w:val="nil"/>
              <w:left w:val="nil"/>
              <w:bottom w:val="single" w:sz="4" w:space="0" w:color="auto"/>
              <w:right w:val="single" w:sz="4" w:space="0" w:color="auto"/>
            </w:tcBorders>
            <w:shd w:val="clear" w:color="000000" w:fill="FFD579"/>
            <w:vAlign w:val="center"/>
            <w:hideMark/>
          </w:tcPr>
          <w:p w14:paraId="01BB02C5" w14:textId="4FF6AA0F"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120,000,000 </w:t>
            </w:r>
          </w:p>
        </w:tc>
        <w:tc>
          <w:tcPr>
            <w:tcW w:w="430" w:type="pct"/>
            <w:tcBorders>
              <w:top w:val="nil"/>
              <w:left w:val="nil"/>
              <w:bottom w:val="single" w:sz="4" w:space="0" w:color="auto"/>
              <w:right w:val="single" w:sz="4" w:space="0" w:color="auto"/>
            </w:tcBorders>
            <w:shd w:val="clear" w:color="000000" w:fill="FFD579"/>
            <w:vAlign w:val="center"/>
            <w:hideMark/>
          </w:tcPr>
          <w:p w14:paraId="01BB02C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C7" w14:textId="71AC8D9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D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C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hideMark/>
          </w:tcPr>
          <w:p w14:paraId="01BB02CA" w14:textId="188C494D" w:rsidR="00DF095A" w:rsidRPr="000E152E" w:rsidRDefault="00DF095A" w:rsidP="0039029D">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dhe garantimi i funksionimit të shërbimeve në tr</w:t>
            </w:r>
            <w:r w:rsidR="0039029D">
              <w:rPr>
                <w:rFonts w:ascii="Garamond" w:eastAsia="Times New Roman" w:hAnsi="Garamond"/>
                <w:color w:val="000000"/>
                <w:sz w:val="14"/>
                <w:szCs w:val="14"/>
                <w:lang w:eastAsia="sq-AL"/>
              </w:rPr>
              <w:t>i</w:t>
            </w:r>
            <w:r w:rsidRPr="000E152E">
              <w:rPr>
                <w:rFonts w:ascii="Garamond" w:eastAsia="Times New Roman" w:hAnsi="Garamond"/>
                <w:color w:val="000000"/>
                <w:sz w:val="14"/>
                <w:szCs w:val="14"/>
                <w:lang w:eastAsia="sq-AL"/>
              </w:rPr>
              <w:t xml:space="preserve"> nivele të shtrira në të gjithë territorin gjeografik me të gjitha instrumentet duke përfshirë përdorimin e ekosistemit të tregut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2C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C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CD"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MFE, MSHMS, SHSSH, NJQV</w:t>
            </w:r>
          </w:p>
        </w:tc>
        <w:tc>
          <w:tcPr>
            <w:tcW w:w="286" w:type="pct"/>
            <w:tcBorders>
              <w:top w:val="nil"/>
              <w:left w:val="nil"/>
              <w:bottom w:val="single" w:sz="4" w:space="0" w:color="auto"/>
              <w:right w:val="single" w:sz="4" w:space="0" w:color="auto"/>
            </w:tcBorders>
            <w:shd w:val="clear" w:color="000000" w:fill="FFD579"/>
            <w:vAlign w:val="center"/>
            <w:hideMark/>
          </w:tcPr>
          <w:p w14:paraId="01BB02C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2C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2D0"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1,585,789,416 </w:t>
            </w:r>
          </w:p>
        </w:tc>
        <w:tc>
          <w:tcPr>
            <w:tcW w:w="487" w:type="pct"/>
            <w:tcBorders>
              <w:top w:val="nil"/>
              <w:left w:val="nil"/>
              <w:bottom w:val="single" w:sz="4" w:space="0" w:color="auto"/>
              <w:right w:val="single" w:sz="4" w:space="0" w:color="auto"/>
            </w:tcBorders>
            <w:shd w:val="clear" w:color="000000" w:fill="FFD579"/>
            <w:vAlign w:val="center"/>
            <w:hideMark/>
          </w:tcPr>
          <w:p w14:paraId="01BB02D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1,298,609,760 </w:t>
            </w:r>
          </w:p>
        </w:tc>
        <w:tc>
          <w:tcPr>
            <w:tcW w:w="430" w:type="pct"/>
            <w:tcBorders>
              <w:top w:val="nil"/>
              <w:left w:val="nil"/>
              <w:bottom w:val="single" w:sz="4" w:space="0" w:color="auto"/>
              <w:right w:val="single" w:sz="4" w:space="0" w:color="auto"/>
            </w:tcBorders>
            <w:shd w:val="clear" w:color="000000" w:fill="FFD579"/>
            <w:vAlign w:val="center"/>
            <w:hideMark/>
          </w:tcPr>
          <w:p w14:paraId="01BB02D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D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287,179,656 </w:t>
            </w:r>
          </w:p>
        </w:tc>
      </w:tr>
      <w:tr w:rsidR="00DF095A" w:rsidRPr="000E152E" w14:paraId="01BB02E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D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D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Kryerja e një vlerësimi të aftësive bazë për </w:t>
            </w:r>
            <w:r w:rsidRPr="000E152E">
              <w:rPr>
                <w:rFonts w:ascii="Garamond" w:eastAsia="Times New Roman" w:hAnsi="Garamond"/>
                <w:color w:val="000000"/>
                <w:sz w:val="14"/>
                <w:szCs w:val="14"/>
                <w:lang w:eastAsia="sq-AL"/>
              </w:rPr>
              <w:lastRenderedPageBreak/>
              <w:t xml:space="preserve">punëkërkuesit në përgjithësi dhe punëkërkuesit nga grupet e cenueshme në veçanti </w:t>
            </w:r>
          </w:p>
        </w:tc>
        <w:tc>
          <w:tcPr>
            <w:tcW w:w="380" w:type="pct"/>
            <w:tcBorders>
              <w:top w:val="nil"/>
              <w:left w:val="nil"/>
              <w:bottom w:val="single" w:sz="4" w:space="0" w:color="auto"/>
              <w:right w:val="single" w:sz="4" w:space="0" w:color="auto"/>
            </w:tcBorders>
            <w:shd w:val="clear" w:color="000000" w:fill="FFD579"/>
            <w:vAlign w:val="center"/>
            <w:hideMark/>
          </w:tcPr>
          <w:p w14:paraId="01BB02D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lastRenderedPageBreak/>
              <w:t>10550</w:t>
            </w:r>
          </w:p>
        </w:tc>
        <w:tc>
          <w:tcPr>
            <w:tcW w:w="309" w:type="pct"/>
            <w:tcBorders>
              <w:top w:val="nil"/>
              <w:left w:val="nil"/>
              <w:bottom w:val="single" w:sz="4" w:space="0" w:color="auto"/>
              <w:right w:val="single" w:sz="4" w:space="0" w:color="auto"/>
            </w:tcBorders>
            <w:shd w:val="clear" w:color="000000" w:fill="FFD579"/>
            <w:vAlign w:val="center"/>
            <w:hideMark/>
          </w:tcPr>
          <w:p w14:paraId="01BB02D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D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2D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2D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2DC" w14:textId="1E651F1E"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2DD" w14:textId="28502489"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2D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DF" w14:textId="14004354"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E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E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E2" w14:textId="77777777"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Replikimi i modelit të shërbimeve të specializuara për punëkërkuesit e profilizuar në nivelin e tretë</w:t>
            </w:r>
          </w:p>
        </w:tc>
        <w:tc>
          <w:tcPr>
            <w:tcW w:w="380" w:type="pct"/>
            <w:tcBorders>
              <w:top w:val="nil"/>
              <w:left w:val="nil"/>
              <w:bottom w:val="single" w:sz="4" w:space="0" w:color="auto"/>
              <w:right w:val="single" w:sz="4" w:space="0" w:color="auto"/>
            </w:tcBorders>
            <w:shd w:val="clear" w:color="000000" w:fill="FFD579"/>
            <w:vAlign w:val="center"/>
            <w:hideMark/>
          </w:tcPr>
          <w:p w14:paraId="01BB02E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E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E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2E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2E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2E8" w14:textId="15FB2C6C"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600,000,000 </w:t>
            </w:r>
          </w:p>
        </w:tc>
        <w:tc>
          <w:tcPr>
            <w:tcW w:w="487" w:type="pct"/>
            <w:tcBorders>
              <w:top w:val="nil"/>
              <w:left w:val="nil"/>
              <w:bottom w:val="single" w:sz="4" w:space="0" w:color="auto"/>
              <w:right w:val="single" w:sz="4" w:space="0" w:color="auto"/>
            </w:tcBorders>
            <w:shd w:val="clear" w:color="000000" w:fill="FFD579"/>
            <w:vAlign w:val="center"/>
            <w:hideMark/>
          </w:tcPr>
          <w:p w14:paraId="01BB02E9" w14:textId="27D59104"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600,000,000 </w:t>
            </w:r>
          </w:p>
        </w:tc>
        <w:tc>
          <w:tcPr>
            <w:tcW w:w="430" w:type="pct"/>
            <w:tcBorders>
              <w:top w:val="nil"/>
              <w:left w:val="nil"/>
              <w:bottom w:val="single" w:sz="4" w:space="0" w:color="auto"/>
              <w:right w:val="single" w:sz="4" w:space="0" w:color="auto"/>
            </w:tcBorders>
            <w:shd w:val="clear" w:color="000000" w:fill="FFD579"/>
            <w:vAlign w:val="center"/>
            <w:hideMark/>
          </w:tcPr>
          <w:p w14:paraId="01BB02E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EB" w14:textId="47DA7023"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2F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E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EE" w14:textId="43B4B1CD"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Përditësimi i programeve për nxitjen e</w:t>
            </w:r>
            <w:r w:rsidR="000E152E" w:rsidRPr="000E152E">
              <w:rPr>
                <w:rFonts w:ascii="Garamond" w:eastAsia="Times New Roman" w:hAnsi="Garamond"/>
                <w:sz w:val="14"/>
                <w:szCs w:val="14"/>
                <w:lang w:eastAsia="sq-AL"/>
              </w:rPr>
              <w:t xml:space="preserve"> </w:t>
            </w:r>
            <w:r w:rsidRPr="000E152E">
              <w:rPr>
                <w:rFonts w:ascii="Garamond" w:eastAsia="Times New Roman" w:hAnsi="Garamond"/>
                <w:sz w:val="14"/>
                <w:szCs w:val="14"/>
                <w:lang w:eastAsia="sq-AL"/>
              </w:rPr>
              <w:t>punësimit për grupe të cenueshme (përfituesit në moshë pune nga familjet e mbështetura me ndihmë ekonomike, punëkërkuesit afatgjatë, pakicat etnike, personat me arsim e kualifikim të ulët), sipas gjetjeve të vlerësimit të kryer sipas masës prioritare 1.2.3</w:t>
            </w:r>
          </w:p>
        </w:tc>
        <w:tc>
          <w:tcPr>
            <w:tcW w:w="380" w:type="pct"/>
            <w:tcBorders>
              <w:top w:val="nil"/>
              <w:left w:val="nil"/>
              <w:bottom w:val="single" w:sz="4" w:space="0" w:color="auto"/>
              <w:right w:val="single" w:sz="4" w:space="0" w:color="auto"/>
            </w:tcBorders>
            <w:shd w:val="clear" w:color="000000" w:fill="FFD579"/>
            <w:vAlign w:val="center"/>
            <w:hideMark/>
          </w:tcPr>
          <w:p w14:paraId="01BB02E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F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2F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286" w:type="pct"/>
            <w:tcBorders>
              <w:top w:val="nil"/>
              <w:left w:val="nil"/>
              <w:bottom w:val="single" w:sz="4" w:space="0" w:color="auto"/>
              <w:right w:val="single" w:sz="4" w:space="0" w:color="auto"/>
            </w:tcBorders>
            <w:shd w:val="clear" w:color="000000" w:fill="FFD579"/>
            <w:vAlign w:val="center"/>
            <w:hideMark/>
          </w:tcPr>
          <w:p w14:paraId="01BB02F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2F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2F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7,200,000 </w:t>
            </w:r>
          </w:p>
        </w:tc>
        <w:tc>
          <w:tcPr>
            <w:tcW w:w="487" w:type="pct"/>
            <w:tcBorders>
              <w:top w:val="nil"/>
              <w:left w:val="nil"/>
              <w:bottom w:val="single" w:sz="4" w:space="0" w:color="auto"/>
              <w:right w:val="single" w:sz="4" w:space="0" w:color="auto"/>
            </w:tcBorders>
            <w:shd w:val="clear" w:color="000000" w:fill="FFD579"/>
            <w:vAlign w:val="center"/>
            <w:hideMark/>
          </w:tcPr>
          <w:p w14:paraId="01BB02F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2F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2F7" w14:textId="5FDB5CBB"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7,200,000 </w:t>
            </w:r>
          </w:p>
        </w:tc>
      </w:tr>
      <w:tr w:rsidR="00DF095A" w:rsidRPr="000E152E" w14:paraId="01BB030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2F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2F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Këshillimi, orientimi, mentorimi i punëkërkuesve nga shërbimet e punësimit edhe përmes nënkontraktimit </w:t>
            </w:r>
          </w:p>
        </w:tc>
        <w:tc>
          <w:tcPr>
            <w:tcW w:w="380" w:type="pct"/>
            <w:tcBorders>
              <w:top w:val="nil"/>
              <w:left w:val="nil"/>
              <w:bottom w:val="single" w:sz="4" w:space="0" w:color="auto"/>
              <w:right w:val="single" w:sz="4" w:space="0" w:color="auto"/>
            </w:tcBorders>
            <w:shd w:val="clear" w:color="000000" w:fill="FFD579"/>
            <w:vAlign w:val="center"/>
            <w:hideMark/>
          </w:tcPr>
          <w:p w14:paraId="01BB02F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2F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2F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MSHRF, AKR</w:t>
            </w:r>
          </w:p>
        </w:tc>
        <w:tc>
          <w:tcPr>
            <w:tcW w:w="286" w:type="pct"/>
            <w:tcBorders>
              <w:top w:val="nil"/>
              <w:left w:val="nil"/>
              <w:bottom w:val="single" w:sz="4" w:space="0" w:color="auto"/>
              <w:right w:val="single" w:sz="4" w:space="0" w:color="auto"/>
            </w:tcBorders>
            <w:shd w:val="clear" w:color="000000" w:fill="FFD579"/>
            <w:vAlign w:val="center"/>
            <w:hideMark/>
          </w:tcPr>
          <w:p w14:paraId="01BB02F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2F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00" w14:textId="65950D7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0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0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03" w14:textId="0AFBEE11"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1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0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0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i shërbimeve të punësimit dhe programeve për nxitjen e punësimit për grupe të cenueshme duke përdorur ekosistemin e tregut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30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0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30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MSHRF, AKR</w:t>
            </w:r>
          </w:p>
        </w:tc>
        <w:tc>
          <w:tcPr>
            <w:tcW w:w="286" w:type="pct"/>
            <w:tcBorders>
              <w:top w:val="nil"/>
              <w:left w:val="nil"/>
              <w:bottom w:val="single" w:sz="4" w:space="0" w:color="auto"/>
              <w:right w:val="single" w:sz="4" w:space="0" w:color="auto"/>
            </w:tcBorders>
            <w:shd w:val="clear" w:color="000000" w:fill="FFD579"/>
            <w:vAlign w:val="center"/>
            <w:hideMark/>
          </w:tcPr>
          <w:p w14:paraId="01BB030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0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0C"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9,314,791,246 </w:t>
            </w:r>
          </w:p>
        </w:tc>
        <w:tc>
          <w:tcPr>
            <w:tcW w:w="487" w:type="pct"/>
            <w:tcBorders>
              <w:top w:val="nil"/>
              <w:left w:val="nil"/>
              <w:bottom w:val="single" w:sz="4" w:space="0" w:color="auto"/>
              <w:right w:val="single" w:sz="4" w:space="0" w:color="auto"/>
            </w:tcBorders>
            <w:shd w:val="clear" w:color="000000" w:fill="FFD579"/>
            <w:vAlign w:val="center"/>
            <w:hideMark/>
          </w:tcPr>
          <w:p w14:paraId="01BB030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6,762,977,000 </w:t>
            </w:r>
          </w:p>
        </w:tc>
        <w:tc>
          <w:tcPr>
            <w:tcW w:w="430" w:type="pct"/>
            <w:tcBorders>
              <w:top w:val="nil"/>
              <w:left w:val="nil"/>
              <w:bottom w:val="single" w:sz="4" w:space="0" w:color="auto"/>
              <w:right w:val="single" w:sz="4" w:space="0" w:color="auto"/>
            </w:tcBorders>
            <w:shd w:val="clear" w:color="000000" w:fill="FFD579"/>
            <w:vAlign w:val="center"/>
            <w:hideMark/>
          </w:tcPr>
          <w:p w14:paraId="01BB030E" w14:textId="62516790"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612,000,000 </w:t>
            </w:r>
          </w:p>
        </w:tc>
        <w:tc>
          <w:tcPr>
            <w:tcW w:w="466" w:type="pct"/>
            <w:tcBorders>
              <w:top w:val="nil"/>
              <w:left w:val="nil"/>
              <w:bottom w:val="single" w:sz="4" w:space="0" w:color="auto"/>
              <w:right w:val="single" w:sz="4" w:space="0" w:color="auto"/>
            </w:tcBorders>
            <w:shd w:val="clear" w:color="000000" w:fill="FFD579"/>
            <w:vAlign w:val="center"/>
            <w:hideMark/>
          </w:tcPr>
          <w:p w14:paraId="01BB030F" w14:textId="3B7DC98F"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1,939,814,246 </w:t>
            </w:r>
          </w:p>
        </w:tc>
      </w:tr>
      <w:tr w:rsidR="00DF095A" w:rsidRPr="000E152E" w14:paraId="01BB031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1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1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Përmirësimi i shërbimeve me punëdhënësit që lehtëson ndërmjetësimin e grupeve të cenueshme</w:t>
            </w:r>
          </w:p>
        </w:tc>
        <w:tc>
          <w:tcPr>
            <w:tcW w:w="380" w:type="pct"/>
            <w:tcBorders>
              <w:top w:val="nil"/>
              <w:left w:val="nil"/>
              <w:bottom w:val="single" w:sz="4" w:space="0" w:color="auto"/>
              <w:right w:val="single" w:sz="4" w:space="0" w:color="auto"/>
            </w:tcBorders>
            <w:shd w:val="clear" w:color="000000" w:fill="FFD579"/>
            <w:vAlign w:val="center"/>
            <w:hideMark/>
          </w:tcPr>
          <w:p w14:paraId="01BB031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1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1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1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1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 2024</w:t>
            </w:r>
          </w:p>
        </w:tc>
        <w:tc>
          <w:tcPr>
            <w:tcW w:w="500" w:type="pct"/>
            <w:tcBorders>
              <w:top w:val="nil"/>
              <w:left w:val="nil"/>
              <w:bottom w:val="single" w:sz="4" w:space="0" w:color="auto"/>
              <w:right w:val="single" w:sz="4" w:space="0" w:color="auto"/>
            </w:tcBorders>
            <w:shd w:val="clear" w:color="000000" w:fill="FFD579"/>
            <w:vAlign w:val="center"/>
            <w:hideMark/>
          </w:tcPr>
          <w:p w14:paraId="01BB0318" w14:textId="15C404E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1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1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1B" w14:textId="4FD94F90"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2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1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1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Organizimi i fushatave të ndërgjegjësimi dhe informimit për të rritur qasjen e grupeve të cenueshme ndaj shërbimeve të punësimit dhe tregjeve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31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2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2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 MSHRF, AKR</w:t>
            </w:r>
          </w:p>
        </w:tc>
        <w:tc>
          <w:tcPr>
            <w:tcW w:w="286" w:type="pct"/>
            <w:tcBorders>
              <w:top w:val="nil"/>
              <w:left w:val="nil"/>
              <w:bottom w:val="single" w:sz="4" w:space="0" w:color="auto"/>
              <w:right w:val="single" w:sz="4" w:space="0" w:color="auto"/>
            </w:tcBorders>
            <w:shd w:val="clear" w:color="000000" w:fill="FFD579"/>
            <w:vAlign w:val="center"/>
            <w:hideMark/>
          </w:tcPr>
          <w:p w14:paraId="01BB032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2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24" w14:textId="6A75DD50"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19,800,000 </w:t>
            </w:r>
          </w:p>
        </w:tc>
        <w:tc>
          <w:tcPr>
            <w:tcW w:w="487" w:type="pct"/>
            <w:tcBorders>
              <w:top w:val="nil"/>
              <w:left w:val="nil"/>
              <w:bottom w:val="single" w:sz="4" w:space="0" w:color="auto"/>
              <w:right w:val="single" w:sz="4" w:space="0" w:color="auto"/>
            </w:tcBorders>
            <w:shd w:val="clear" w:color="000000" w:fill="FFD579"/>
            <w:vAlign w:val="center"/>
            <w:hideMark/>
          </w:tcPr>
          <w:p w14:paraId="01BB032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2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18,000,000 </w:t>
            </w:r>
          </w:p>
        </w:tc>
        <w:tc>
          <w:tcPr>
            <w:tcW w:w="466" w:type="pct"/>
            <w:tcBorders>
              <w:top w:val="nil"/>
              <w:left w:val="nil"/>
              <w:bottom w:val="single" w:sz="4" w:space="0" w:color="auto"/>
              <w:right w:val="single" w:sz="4" w:space="0" w:color="auto"/>
            </w:tcBorders>
            <w:shd w:val="clear" w:color="000000" w:fill="FFD579"/>
            <w:vAlign w:val="center"/>
            <w:hideMark/>
          </w:tcPr>
          <w:p w14:paraId="01BB0327" w14:textId="5D279896"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1,800,000 </w:t>
            </w:r>
          </w:p>
        </w:tc>
      </w:tr>
      <w:tr w:rsidR="00DF095A" w:rsidRPr="000E152E" w14:paraId="01BB033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2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2A" w14:textId="77777777"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Forcimi i bashkëpunimit institucional me institucionet përgjegjëse për ofrimin e shërbimeve mbështetëse sociale, shëndetësore dhe arsimore për grupe të cenueshme përfshirë dhe konsolidimin e praktikës së grupeve trepalëshe rajonale për Ndihmën Ekonomike (SHSSH/AKPA/bashki)</w:t>
            </w:r>
          </w:p>
        </w:tc>
        <w:tc>
          <w:tcPr>
            <w:tcW w:w="380" w:type="pct"/>
            <w:tcBorders>
              <w:top w:val="nil"/>
              <w:left w:val="nil"/>
              <w:bottom w:val="single" w:sz="4" w:space="0" w:color="auto"/>
              <w:right w:val="single" w:sz="4" w:space="0" w:color="auto"/>
            </w:tcBorders>
            <w:shd w:val="clear" w:color="000000" w:fill="FFD579"/>
            <w:vAlign w:val="center"/>
            <w:hideMark/>
          </w:tcPr>
          <w:p w14:paraId="01BB032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2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32D"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MSHMS, AKPA, SHSSH, NJQV</w:t>
            </w:r>
          </w:p>
        </w:tc>
        <w:tc>
          <w:tcPr>
            <w:tcW w:w="286" w:type="pct"/>
            <w:tcBorders>
              <w:top w:val="nil"/>
              <w:left w:val="nil"/>
              <w:bottom w:val="single" w:sz="4" w:space="0" w:color="auto"/>
              <w:right w:val="single" w:sz="4" w:space="0" w:color="auto"/>
            </w:tcBorders>
            <w:shd w:val="clear" w:color="000000" w:fill="FFD579"/>
            <w:vAlign w:val="center"/>
            <w:hideMark/>
          </w:tcPr>
          <w:p w14:paraId="01BB032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2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30" w14:textId="7F8F89B3"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3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3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33" w14:textId="3701F4D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40" w14:textId="77777777" w:rsidTr="00364541">
        <w:trPr>
          <w:trHeight w:val="180"/>
        </w:trPr>
        <w:tc>
          <w:tcPr>
            <w:tcW w:w="312"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1BB0335"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336"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2.1.2. Tranzicion i mbështetur dhe gjithëpërfshirës nga shkolla në punë për të rinjtë (NEET) nëpërmjet zbatimit të skemës së Garancisë Rinore</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337"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338"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339"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33A"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33B"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33C"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13,442,256,000 </w:t>
            </w:r>
          </w:p>
        </w:tc>
        <w:tc>
          <w:tcPr>
            <w:tcW w:w="487" w:type="pct"/>
            <w:tcBorders>
              <w:top w:val="nil"/>
              <w:left w:val="nil"/>
              <w:bottom w:val="single" w:sz="4" w:space="0" w:color="auto"/>
              <w:right w:val="single" w:sz="4" w:space="0" w:color="auto"/>
            </w:tcBorders>
            <w:shd w:val="clear" w:color="000000" w:fill="9BC2E6"/>
            <w:vAlign w:val="center"/>
            <w:hideMark/>
          </w:tcPr>
          <w:p w14:paraId="01BB033D"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1,282,461,306 </w:t>
            </w:r>
          </w:p>
        </w:tc>
        <w:tc>
          <w:tcPr>
            <w:tcW w:w="430" w:type="pct"/>
            <w:tcBorders>
              <w:top w:val="nil"/>
              <w:left w:val="nil"/>
              <w:bottom w:val="single" w:sz="4" w:space="0" w:color="auto"/>
              <w:right w:val="single" w:sz="4" w:space="0" w:color="auto"/>
            </w:tcBorders>
            <w:shd w:val="clear" w:color="000000" w:fill="9BC2E6"/>
            <w:vAlign w:val="center"/>
            <w:hideMark/>
          </w:tcPr>
          <w:p w14:paraId="01BB033E"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5,989,356,000 </w:t>
            </w:r>
          </w:p>
        </w:tc>
        <w:tc>
          <w:tcPr>
            <w:tcW w:w="466" w:type="pct"/>
            <w:tcBorders>
              <w:top w:val="nil"/>
              <w:left w:val="nil"/>
              <w:bottom w:val="single" w:sz="4" w:space="0" w:color="auto"/>
              <w:right w:val="single" w:sz="4" w:space="0" w:color="auto"/>
            </w:tcBorders>
            <w:shd w:val="clear" w:color="000000" w:fill="9BC2E6"/>
            <w:vAlign w:val="center"/>
            <w:hideMark/>
          </w:tcPr>
          <w:p w14:paraId="01BB033F"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6,170,438,694 </w:t>
            </w:r>
          </w:p>
        </w:tc>
      </w:tr>
      <w:tr w:rsidR="00DF095A" w:rsidRPr="000E152E" w14:paraId="01BB034C"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34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34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Kryerja vlerësimit (vjetor) të profilit NEET në Shqipëri</w:t>
            </w:r>
          </w:p>
        </w:tc>
        <w:tc>
          <w:tcPr>
            <w:tcW w:w="380" w:type="pct"/>
            <w:tcBorders>
              <w:top w:val="nil"/>
              <w:left w:val="nil"/>
              <w:bottom w:val="single" w:sz="4" w:space="0" w:color="auto"/>
              <w:right w:val="single" w:sz="4" w:space="0" w:color="auto"/>
            </w:tcBorders>
            <w:shd w:val="clear" w:color="000000" w:fill="FFD579"/>
            <w:vAlign w:val="center"/>
            <w:hideMark/>
          </w:tcPr>
          <w:p w14:paraId="01BB034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4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INSTAT</w:t>
            </w:r>
          </w:p>
        </w:tc>
        <w:tc>
          <w:tcPr>
            <w:tcW w:w="327" w:type="pct"/>
            <w:tcBorders>
              <w:top w:val="nil"/>
              <w:left w:val="nil"/>
              <w:bottom w:val="single" w:sz="4" w:space="0" w:color="auto"/>
              <w:right w:val="single" w:sz="4" w:space="0" w:color="auto"/>
            </w:tcBorders>
            <w:shd w:val="clear" w:color="000000" w:fill="FFD579"/>
            <w:vAlign w:val="center"/>
            <w:hideMark/>
          </w:tcPr>
          <w:p w14:paraId="01BB0345"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4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4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vMerge w:val="restart"/>
            <w:tcBorders>
              <w:top w:val="nil"/>
              <w:left w:val="single" w:sz="4" w:space="0" w:color="auto"/>
              <w:bottom w:val="single" w:sz="4" w:space="0" w:color="000000"/>
              <w:right w:val="single" w:sz="4" w:space="0" w:color="auto"/>
            </w:tcBorders>
            <w:shd w:val="clear" w:color="000000" w:fill="FFD579"/>
            <w:vAlign w:val="center"/>
            <w:hideMark/>
          </w:tcPr>
          <w:p w14:paraId="01BB034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2,105,100,000 </w:t>
            </w:r>
          </w:p>
        </w:tc>
        <w:tc>
          <w:tcPr>
            <w:tcW w:w="487" w:type="pct"/>
            <w:tcBorders>
              <w:top w:val="nil"/>
              <w:left w:val="nil"/>
              <w:bottom w:val="single" w:sz="4" w:space="0" w:color="auto"/>
              <w:right w:val="single" w:sz="4" w:space="0" w:color="auto"/>
            </w:tcBorders>
            <w:shd w:val="clear" w:color="000000" w:fill="FFD579"/>
            <w:vAlign w:val="center"/>
            <w:hideMark/>
          </w:tcPr>
          <w:p w14:paraId="01BB0349" w14:textId="18F32304"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392,481,517 </w:t>
            </w:r>
          </w:p>
        </w:tc>
        <w:tc>
          <w:tcPr>
            <w:tcW w:w="430" w:type="pct"/>
            <w:tcBorders>
              <w:top w:val="nil"/>
              <w:left w:val="nil"/>
              <w:bottom w:val="single" w:sz="4" w:space="0" w:color="auto"/>
              <w:right w:val="single" w:sz="4" w:space="0" w:color="auto"/>
            </w:tcBorders>
            <w:shd w:val="clear" w:color="000000" w:fill="FFD579"/>
            <w:vAlign w:val="center"/>
            <w:hideMark/>
          </w:tcPr>
          <w:p w14:paraId="01BB034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1,032,150,000 </w:t>
            </w:r>
          </w:p>
        </w:tc>
        <w:tc>
          <w:tcPr>
            <w:tcW w:w="466" w:type="pct"/>
            <w:tcBorders>
              <w:top w:val="nil"/>
              <w:left w:val="nil"/>
              <w:bottom w:val="single" w:sz="4" w:space="0" w:color="auto"/>
              <w:right w:val="single" w:sz="4" w:space="0" w:color="auto"/>
            </w:tcBorders>
            <w:shd w:val="clear" w:color="000000" w:fill="FFD579"/>
            <w:vAlign w:val="center"/>
            <w:hideMark/>
          </w:tcPr>
          <w:p w14:paraId="01BB034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680,468,483 </w:t>
            </w:r>
          </w:p>
        </w:tc>
      </w:tr>
      <w:tr w:rsidR="00DF095A" w:rsidRPr="000E152E" w14:paraId="01BB035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4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4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Zhvillimi i Portalit Kombëtar për Garancinë Rinore</w:t>
            </w:r>
          </w:p>
        </w:tc>
        <w:tc>
          <w:tcPr>
            <w:tcW w:w="380" w:type="pct"/>
            <w:tcBorders>
              <w:top w:val="nil"/>
              <w:left w:val="nil"/>
              <w:bottom w:val="single" w:sz="4" w:space="0" w:color="auto"/>
              <w:right w:val="single" w:sz="4" w:space="0" w:color="auto"/>
            </w:tcBorders>
            <w:shd w:val="clear" w:color="000000" w:fill="FFD579"/>
            <w:vAlign w:val="center"/>
            <w:hideMark/>
          </w:tcPr>
          <w:p w14:paraId="01BB034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5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5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AKSHI</w:t>
            </w:r>
          </w:p>
        </w:tc>
        <w:tc>
          <w:tcPr>
            <w:tcW w:w="286" w:type="pct"/>
            <w:tcBorders>
              <w:top w:val="nil"/>
              <w:left w:val="nil"/>
              <w:bottom w:val="single" w:sz="4" w:space="0" w:color="auto"/>
              <w:right w:val="single" w:sz="4" w:space="0" w:color="auto"/>
            </w:tcBorders>
            <w:shd w:val="clear" w:color="000000" w:fill="FFD579"/>
            <w:vAlign w:val="center"/>
            <w:hideMark/>
          </w:tcPr>
          <w:p w14:paraId="01BB035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5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2023</w:t>
            </w:r>
          </w:p>
        </w:tc>
        <w:tc>
          <w:tcPr>
            <w:tcW w:w="500" w:type="pct"/>
            <w:vMerge/>
            <w:tcBorders>
              <w:top w:val="nil"/>
              <w:left w:val="single" w:sz="4" w:space="0" w:color="auto"/>
              <w:bottom w:val="single" w:sz="4" w:space="0" w:color="000000"/>
              <w:right w:val="single" w:sz="4" w:space="0" w:color="auto"/>
            </w:tcBorders>
            <w:vAlign w:val="center"/>
            <w:hideMark/>
          </w:tcPr>
          <w:p w14:paraId="01BB0354"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487" w:type="pct"/>
            <w:tcBorders>
              <w:top w:val="nil"/>
              <w:left w:val="nil"/>
              <w:bottom w:val="single" w:sz="4" w:space="0" w:color="auto"/>
              <w:right w:val="single" w:sz="4" w:space="0" w:color="auto"/>
            </w:tcBorders>
            <w:shd w:val="clear" w:color="000000" w:fill="FFD579"/>
            <w:vAlign w:val="center"/>
            <w:hideMark/>
          </w:tcPr>
          <w:p w14:paraId="01BB035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5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57" w14:textId="55E017D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6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5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5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i sistemit të paralajmërimit të hershëm të zhvilluar dhe testuar tashmë, i cili do të lejojë të vlerësohet rreziku i braktisjes pas arsimit të detyrueshëm.</w:t>
            </w:r>
          </w:p>
        </w:tc>
        <w:tc>
          <w:tcPr>
            <w:tcW w:w="380" w:type="pct"/>
            <w:tcBorders>
              <w:top w:val="nil"/>
              <w:left w:val="nil"/>
              <w:bottom w:val="single" w:sz="4" w:space="0" w:color="auto"/>
              <w:right w:val="single" w:sz="4" w:space="0" w:color="auto"/>
            </w:tcBorders>
            <w:shd w:val="clear" w:color="000000" w:fill="FFD579"/>
            <w:vAlign w:val="center"/>
            <w:hideMark/>
          </w:tcPr>
          <w:p w14:paraId="01BB035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5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5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AKSHI</w:t>
            </w:r>
          </w:p>
        </w:tc>
        <w:tc>
          <w:tcPr>
            <w:tcW w:w="286" w:type="pct"/>
            <w:tcBorders>
              <w:top w:val="nil"/>
              <w:left w:val="nil"/>
              <w:bottom w:val="single" w:sz="4" w:space="0" w:color="auto"/>
              <w:right w:val="single" w:sz="4" w:space="0" w:color="auto"/>
            </w:tcBorders>
            <w:shd w:val="clear" w:color="000000" w:fill="FFD579"/>
            <w:vAlign w:val="center"/>
            <w:hideMark/>
          </w:tcPr>
          <w:p w14:paraId="01BB035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5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vMerge/>
            <w:tcBorders>
              <w:top w:val="nil"/>
              <w:left w:val="single" w:sz="4" w:space="0" w:color="auto"/>
              <w:bottom w:val="single" w:sz="4" w:space="0" w:color="000000"/>
              <w:right w:val="single" w:sz="4" w:space="0" w:color="auto"/>
            </w:tcBorders>
            <w:vAlign w:val="center"/>
            <w:hideMark/>
          </w:tcPr>
          <w:p w14:paraId="01BB0360"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487" w:type="pct"/>
            <w:tcBorders>
              <w:top w:val="nil"/>
              <w:left w:val="nil"/>
              <w:bottom w:val="single" w:sz="4" w:space="0" w:color="auto"/>
              <w:right w:val="single" w:sz="4" w:space="0" w:color="auto"/>
            </w:tcBorders>
            <w:shd w:val="clear" w:color="000000" w:fill="FFD579"/>
            <w:vAlign w:val="center"/>
            <w:hideMark/>
          </w:tcPr>
          <w:p w14:paraId="01BB036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6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63" w14:textId="18B1553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7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6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6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Ofrimi i mbështetjës mësimore në ndihmë të nxënësve që rrezikohen nga braktisja</w:t>
            </w:r>
          </w:p>
        </w:tc>
        <w:tc>
          <w:tcPr>
            <w:tcW w:w="380" w:type="pct"/>
            <w:tcBorders>
              <w:top w:val="nil"/>
              <w:left w:val="nil"/>
              <w:bottom w:val="single" w:sz="4" w:space="0" w:color="auto"/>
              <w:right w:val="single" w:sz="4" w:space="0" w:color="auto"/>
            </w:tcBorders>
            <w:shd w:val="clear" w:color="000000" w:fill="FFD579"/>
            <w:vAlign w:val="center"/>
            <w:hideMark/>
          </w:tcPr>
          <w:p w14:paraId="01BB036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6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FFD579"/>
            <w:vAlign w:val="center"/>
            <w:hideMark/>
          </w:tcPr>
          <w:p w14:paraId="01BB0369"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6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36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vMerge/>
            <w:tcBorders>
              <w:top w:val="nil"/>
              <w:left w:val="single" w:sz="4" w:space="0" w:color="auto"/>
              <w:bottom w:val="single" w:sz="4" w:space="0" w:color="000000"/>
              <w:right w:val="single" w:sz="4" w:space="0" w:color="auto"/>
            </w:tcBorders>
            <w:vAlign w:val="center"/>
            <w:hideMark/>
          </w:tcPr>
          <w:p w14:paraId="01BB036C"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487" w:type="pct"/>
            <w:tcBorders>
              <w:top w:val="nil"/>
              <w:left w:val="nil"/>
              <w:bottom w:val="single" w:sz="4" w:space="0" w:color="auto"/>
              <w:right w:val="single" w:sz="4" w:space="0" w:color="auto"/>
            </w:tcBorders>
            <w:shd w:val="clear" w:color="000000" w:fill="FFD579"/>
            <w:vAlign w:val="center"/>
            <w:hideMark/>
          </w:tcPr>
          <w:p w14:paraId="01BB036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6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6F" w14:textId="4E86F316"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7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7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7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Vlerësimi i zbatimit të masave të mbështetjes sociale për të reduktuar disavantazhet për akses në sistemin e arsimit dhe trajnimit</w:t>
            </w:r>
          </w:p>
        </w:tc>
        <w:tc>
          <w:tcPr>
            <w:tcW w:w="380" w:type="pct"/>
            <w:tcBorders>
              <w:top w:val="nil"/>
              <w:left w:val="nil"/>
              <w:bottom w:val="single" w:sz="4" w:space="0" w:color="auto"/>
              <w:right w:val="single" w:sz="4" w:space="0" w:color="auto"/>
            </w:tcBorders>
            <w:shd w:val="clear" w:color="000000" w:fill="FFD579"/>
            <w:vAlign w:val="center"/>
            <w:hideMark/>
          </w:tcPr>
          <w:p w14:paraId="01BB037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7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FFD579"/>
            <w:vAlign w:val="center"/>
            <w:hideMark/>
          </w:tcPr>
          <w:p w14:paraId="01BB0375"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7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7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2023</w:t>
            </w:r>
          </w:p>
        </w:tc>
        <w:tc>
          <w:tcPr>
            <w:tcW w:w="500" w:type="pct"/>
            <w:tcBorders>
              <w:top w:val="nil"/>
              <w:left w:val="nil"/>
              <w:bottom w:val="single" w:sz="4" w:space="0" w:color="auto"/>
              <w:right w:val="single" w:sz="4" w:space="0" w:color="auto"/>
            </w:tcBorders>
            <w:shd w:val="clear" w:color="000000" w:fill="FFD579"/>
            <w:vAlign w:val="center"/>
            <w:hideMark/>
          </w:tcPr>
          <w:p w14:paraId="01BB0378" w14:textId="6F8A2F04"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7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7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7B" w14:textId="1D6E95D0"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8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7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7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Zhvillimi dhe zbatimi i fushata informuese të bazuara në komunitet dhe fushata duke përdorur metoda inovatore angazhimi në rrjete sociale në bashkëpunim me partnerë dhe grupe interesi </w:t>
            </w:r>
          </w:p>
        </w:tc>
        <w:tc>
          <w:tcPr>
            <w:tcW w:w="380" w:type="pct"/>
            <w:tcBorders>
              <w:top w:val="nil"/>
              <w:left w:val="nil"/>
              <w:bottom w:val="single" w:sz="4" w:space="0" w:color="auto"/>
              <w:right w:val="single" w:sz="4" w:space="0" w:color="auto"/>
            </w:tcBorders>
            <w:shd w:val="clear" w:color="000000" w:fill="FFD579"/>
            <w:vAlign w:val="center"/>
            <w:hideMark/>
          </w:tcPr>
          <w:p w14:paraId="01BB037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8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81"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8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8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84" w14:textId="68DAE692"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371,400,000 </w:t>
            </w:r>
          </w:p>
        </w:tc>
        <w:tc>
          <w:tcPr>
            <w:tcW w:w="487" w:type="pct"/>
            <w:tcBorders>
              <w:top w:val="nil"/>
              <w:left w:val="nil"/>
              <w:bottom w:val="single" w:sz="4" w:space="0" w:color="auto"/>
              <w:right w:val="single" w:sz="4" w:space="0" w:color="auto"/>
            </w:tcBorders>
            <w:shd w:val="clear" w:color="000000" w:fill="FFD579"/>
            <w:vAlign w:val="center"/>
            <w:hideMark/>
          </w:tcPr>
          <w:p w14:paraId="01BB0385" w14:textId="287F0CA0"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84,899,129 </w:t>
            </w:r>
          </w:p>
        </w:tc>
        <w:tc>
          <w:tcPr>
            <w:tcW w:w="430" w:type="pct"/>
            <w:tcBorders>
              <w:top w:val="nil"/>
              <w:left w:val="nil"/>
              <w:bottom w:val="single" w:sz="4" w:space="0" w:color="auto"/>
              <w:right w:val="single" w:sz="4" w:space="0" w:color="auto"/>
            </w:tcBorders>
            <w:shd w:val="clear" w:color="000000" w:fill="FFD579"/>
            <w:vAlign w:val="center"/>
            <w:hideMark/>
          </w:tcPr>
          <w:p w14:paraId="01BB0386" w14:textId="7A95077E"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159,450,000 </w:t>
            </w:r>
          </w:p>
        </w:tc>
        <w:tc>
          <w:tcPr>
            <w:tcW w:w="466" w:type="pct"/>
            <w:tcBorders>
              <w:top w:val="nil"/>
              <w:left w:val="nil"/>
              <w:bottom w:val="single" w:sz="4" w:space="0" w:color="auto"/>
              <w:right w:val="single" w:sz="4" w:space="0" w:color="auto"/>
            </w:tcBorders>
            <w:shd w:val="clear" w:color="000000" w:fill="FFD579"/>
            <w:vAlign w:val="center"/>
            <w:hideMark/>
          </w:tcPr>
          <w:p w14:paraId="01BB038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127,050,871 </w:t>
            </w:r>
          </w:p>
        </w:tc>
      </w:tr>
      <w:tr w:rsidR="00DF095A" w:rsidRPr="000E152E" w14:paraId="01BB039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8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8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Organizimi i trajnimeve për zyrat e punës dhe partnerë të tjerë për realizimin e shërbimeve më të specializuara për NEET</w:t>
            </w:r>
          </w:p>
        </w:tc>
        <w:tc>
          <w:tcPr>
            <w:tcW w:w="380" w:type="pct"/>
            <w:tcBorders>
              <w:top w:val="nil"/>
              <w:left w:val="nil"/>
              <w:bottom w:val="single" w:sz="4" w:space="0" w:color="auto"/>
              <w:right w:val="single" w:sz="4" w:space="0" w:color="auto"/>
            </w:tcBorders>
            <w:shd w:val="clear" w:color="000000" w:fill="FFD579"/>
            <w:vAlign w:val="center"/>
            <w:hideMark/>
          </w:tcPr>
          <w:p w14:paraId="01BB038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8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8D"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8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8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390" w14:textId="25D6F71A"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92,400,000 </w:t>
            </w:r>
          </w:p>
        </w:tc>
        <w:tc>
          <w:tcPr>
            <w:tcW w:w="487" w:type="pct"/>
            <w:tcBorders>
              <w:top w:val="nil"/>
              <w:left w:val="nil"/>
              <w:bottom w:val="single" w:sz="4" w:space="0" w:color="auto"/>
              <w:right w:val="single" w:sz="4" w:space="0" w:color="auto"/>
            </w:tcBorders>
            <w:shd w:val="clear" w:color="000000" w:fill="FFD579"/>
            <w:vAlign w:val="center"/>
            <w:hideMark/>
          </w:tcPr>
          <w:p w14:paraId="01BB0391" w14:textId="37F39505"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392" w14:textId="1D377063"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33,000,000 </w:t>
            </w:r>
          </w:p>
        </w:tc>
        <w:tc>
          <w:tcPr>
            <w:tcW w:w="466" w:type="pct"/>
            <w:tcBorders>
              <w:top w:val="nil"/>
              <w:left w:val="nil"/>
              <w:bottom w:val="single" w:sz="4" w:space="0" w:color="auto"/>
              <w:right w:val="single" w:sz="4" w:space="0" w:color="auto"/>
            </w:tcBorders>
            <w:shd w:val="clear" w:color="000000" w:fill="FFD579"/>
            <w:vAlign w:val="center"/>
            <w:hideMark/>
          </w:tcPr>
          <w:p w14:paraId="01BB039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59,400,000 </w:t>
            </w:r>
          </w:p>
        </w:tc>
      </w:tr>
      <w:tr w:rsidR="00DF095A" w:rsidRPr="000E152E" w14:paraId="01BB03A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9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9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Përforcimi i shërbimeve të këshillimit dhe udhëzimit brenda sistemit të arsimit dhe trajnimit</w:t>
            </w:r>
          </w:p>
        </w:tc>
        <w:tc>
          <w:tcPr>
            <w:tcW w:w="380" w:type="pct"/>
            <w:tcBorders>
              <w:top w:val="nil"/>
              <w:left w:val="nil"/>
              <w:bottom w:val="single" w:sz="4" w:space="0" w:color="auto"/>
              <w:right w:val="single" w:sz="4" w:space="0" w:color="auto"/>
            </w:tcBorders>
            <w:shd w:val="clear" w:color="000000" w:fill="FFD579"/>
            <w:vAlign w:val="center"/>
            <w:hideMark/>
          </w:tcPr>
          <w:p w14:paraId="01BB039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9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99"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9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9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9C" w14:textId="3053FF9C"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9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9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9F" w14:textId="0DC2A046"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A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A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A2" w14:textId="2B337661" w:rsidR="00DF095A" w:rsidRPr="000E152E" w:rsidRDefault="00DF095A" w:rsidP="00B9759C">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Ofrimi i mbështetj</w:t>
            </w:r>
            <w:r w:rsidR="00B9759C">
              <w:rPr>
                <w:rFonts w:ascii="Garamond" w:eastAsia="Times New Roman" w:hAnsi="Garamond"/>
                <w:color w:val="000000"/>
                <w:sz w:val="14"/>
                <w:szCs w:val="14"/>
                <w:lang w:eastAsia="sq-AL"/>
              </w:rPr>
              <w:t>e</w:t>
            </w:r>
            <w:r w:rsidRPr="000E152E">
              <w:rPr>
                <w:rFonts w:ascii="Garamond" w:eastAsia="Times New Roman" w:hAnsi="Garamond"/>
                <w:color w:val="000000"/>
                <w:sz w:val="14"/>
                <w:szCs w:val="14"/>
                <w:lang w:eastAsia="sq-AL"/>
              </w:rPr>
              <w:t>s së personave NEET me aftësitë e kërkimit të punës, aftësitë e buta të tregut të punës, aftësitë di</w:t>
            </w:r>
            <w:r w:rsidR="00B9759C">
              <w:rPr>
                <w:rFonts w:ascii="Garamond" w:eastAsia="Times New Roman" w:hAnsi="Garamond"/>
                <w:color w:val="000000"/>
                <w:sz w:val="14"/>
                <w:szCs w:val="14"/>
                <w:lang w:eastAsia="sq-AL"/>
              </w:rPr>
              <w:t>gj</w:t>
            </w:r>
            <w:r w:rsidRPr="000E152E">
              <w:rPr>
                <w:rFonts w:ascii="Garamond" w:eastAsia="Times New Roman" w:hAnsi="Garamond"/>
                <w:color w:val="000000"/>
                <w:sz w:val="14"/>
                <w:szCs w:val="14"/>
                <w:lang w:eastAsia="sq-AL"/>
              </w:rPr>
              <w:t>itale etj</w:t>
            </w:r>
            <w:r w:rsidR="00B9759C">
              <w:rPr>
                <w:rFonts w:ascii="Garamond" w:eastAsia="Times New Roman" w:hAnsi="Garamond"/>
                <w:color w:val="000000"/>
                <w:sz w:val="14"/>
                <w:szCs w:val="14"/>
                <w:lang w:eastAsia="sq-AL"/>
              </w:rPr>
              <w:t>.</w:t>
            </w:r>
            <w:r w:rsidRPr="000E152E">
              <w:rPr>
                <w:rFonts w:ascii="Garamond" w:eastAsia="Times New Roman" w:hAnsi="Garamond"/>
                <w:color w:val="000000"/>
                <w:sz w:val="14"/>
                <w:szCs w:val="14"/>
                <w:lang w:eastAsia="sq-AL"/>
              </w:rPr>
              <w:t xml:space="preserve"> sipas nevojave të tyre</w:t>
            </w:r>
          </w:p>
        </w:tc>
        <w:tc>
          <w:tcPr>
            <w:tcW w:w="380" w:type="pct"/>
            <w:tcBorders>
              <w:top w:val="nil"/>
              <w:left w:val="nil"/>
              <w:bottom w:val="single" w:sz="4" w:space="0" w:color="auto"/>
              <w:right w:val="single" w:sz="4" w:space="0" w:color="auto"/>
            </w:tcBorders>
            <w:shd w:val="clear" w:color="000000" w:fill="FFD579"/>
            <w:vAlign w:val="center"/>
            <w:hideMark/>
          </w:tcPr>
          <w:p w14:paraId="01BB03A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A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A5"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A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3A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A8" w14:textId="7B015AD2"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10,873,356,000 </w:t>
            </w:r>
          </w:p>
        </w:tc>
        <w:tc>
          <w:tcPr>
            <w:tcW w:w="487" w:type="pct"/>
            <w:tcBorders>
              <w:top w:val="nil"/>
              <w:left w:val="nil"/>
              <w:bottom w:val="single" w:sz="4" w:space="0" w:color="auto"/>
              <w:right w:val="single" w:sz="4" w:space="0" w:color="auto"/>
            </w:tcBorders>
            <w:shd w:val="clear" w:color="000000" w:fill="FFD579"/>
            <w:vAlign w:val="center"/>
            <w:hideMark/>
          </w:tcPr>
          <w:p w14:paraId="01BB03A9" w14:textId="5AF5B886"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805,080,660 </w:t>
            </w:r>
          </w:p>
        </w:tc>
        <w:tc>
          <w:tcPr>
            <w:tcW w:w="430" w:type="pct"/>
            <w:tcBorders>
              <w:top w:val="nil"/>
              <w:left w:val="nil"/>
              <w:bottom w:val="single" w:sz="4" w:space="0" w:color="auto"/>
              <w:right w:val="single" w:sz="4" w:space="0" w:color="auto"/>
            </w:tcBorders>
            <w:shd w:val="clear" w:color="000000" w:fill="FFD579"/>
            <w:vAlign w:val="center"/>
            <w:hideMark/>
          </w:tcPr>
          <w:p w14:paraId="01BB03A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4,764,756,000 </w:t>
            </w:r>
          </w:p>
        </w:tc>
        <w:tc>
          <w:tcPr>
            <w:tcW w:w="466" w:type="pct"/>
            <w:tcBorders>
              <w:top w:val="nil"/>
              <w:left w:val="nil"/>
              <w:bottom w:val="single" w:sz="4" w:space="0" w:color="auto"/>
              <w:right w:val="single" w:sz="4" w:space="0" w:color="auto"/>
            </w:tcBorders>
            <w:shd w:val="clear" w:color="000000" w:fill="FFD579"/>
            <w:vAlign w:val="center"/>
            <w:hideMark/>
          </w:tcPr>
          <w:p w14:paraId="01BB03AB" w14:textId="4EED010D"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5,303,519,340 </w:t>
            </w:r>
          </w:p>
        </w:tc>
      </w:tr>
      <w:tr w:rsidR="00DF095A" w:rsidRPr="000E152E" w14:paraId="01BB03B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A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A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Përshtatja dhe zgjerimi i programit për nxitjen e punësimit dhe trajnimit siç janë programe që mbështesin punësimin, programe që ofrojnë arsim të mesëm profesional, pas të mesëm dhe arsim me kohë të pjesshëm dhe programe për trajnim të vazhduar dhe praktika profesionale për rritje të aftësive bazë dhe atyre profesionale.</w:t>
            </w:r>
          </w:p>
        </w:tc>
        <w:tc>
          <w:tcPr>
            <w:tcW w:w="380" w:type="pct"/>
            <w:tcBorders>
              <w:top w:val="nil"/>
              <w:left w:val="nil"/>
              <w:bottom w:val="single" w:sz="4" w:space="0" w:color="auto"/>
              <w:right w:val="single" w:sz="4" w:space="0" w:color="auto"/>
            </w:tcBorders>
            <w:shd w:val="clear" w:color="000000" w:fill="FFD579"/>
            <w:vAlign w:val="center"/>
            <w:hideMark/>
          </w:tcPr>
          <w:p w14:paraId="01BB03A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B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3B1"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B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B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B4" w14:textId="55D925BD"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B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B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B7" w14:textId="68BC858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C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3B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B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i sistemit të menaxhimit të informacionit të tregut të punës për të gjurmuar rrugëtimin e të rinjve NEET para, gjatë dhe pas përfshirjes në skemën e Garancisë Rinore</w:t>
            </w:r>
          </w:p>
        </w:tc>
        <w:tc>
          <w:tcPr>
            <w:tcW w:w="380" w:type="pct"/>
            <w:tcBorders>
              <w:top w:val="nil"/>
              <w:left w:val="nil"/>
              <w:bottom w:val="single" w:sz="4" w:space="0" w:color="auto"/>
              <w:right w:val="single" w:sz="4" w:space="0" w:color="auto"/>
            </w:tcBorders>
            <w:shd w:val="clear" w:color="000000" w:fill="FFD579"/>
            <w:vAlign w:val="center"/>
            <w:hideMark/>
          </w:tcPr>
          <w:p w14:paraId="01BB03B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B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BD"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B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3B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3C0" w14:textId="26C214C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C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C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3C3" w14:textId="729C15E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D0" w14:textId="77777777" w:rsidTr="00364541">
        <w:trPr>
          <w:trHeight w:val="180"/>
        </w:trPr>
        <w:tc>
          <w:tcPr>
            <w:tcW w:w="312"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1BB03C5"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3C6" w14:textId="7F8EC38D"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2.1.3. Rritja e përfshirjes së grave inaktive në tregun e punës</w:t>
            </w:r>
            <w:r w:rsidR="000E152E" w:rsidRPr="000E152E">
              <w:rPr>
                <w:rFonts w:ascii="Garamond" w:eastAsia="Times New Roman" w:hAnsi="Garamond"/>
                <w:b/>
                <w:bCs/>
                <w:color w:val="000000"/>
                <w:sz w:val="14"/>
                <w:szCs w:val="14"/>
                <w:lang w:eastAsia="sq-AL"/>
              </w:rPr>
              <w:t xml:space="preserve"> </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3C7"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3C8"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3C9"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3CA"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3CB"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3CC"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13,900,000 </w:t>
            </w:r>
          </w:p>
        </w:tc>
        <w:tc>
          <w:tcPr>
            <w:tcW w:w="487" w:type="pct"/>
            <w:tcBorders>
              <w:top w:val="nil"/>
              <w:left w:val="nil"/>
              <w:bottom w:val="single" w:sz="4" w:space="0" w:color="auto"/>
              <w:right w:val="single" w:sz="4" w:space="0" w:color="auto"/>
            </w:tcBorders>
            <w:shd w:val="clear" w:color="000000" w:fill="9BC2E6"/>
            <w:vAlign w:val="center"/>
            <w:hideMark/>
          </w:tcPr>
          <w:p w14:paraId="01BB03CD"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0 </w:t>
            </w:r>
          </w:p>
        </w:tc>
        <w:tc>
          <w:tcPr>
            <w:tcW w:w="430" w:type="pct"/>
            <w:tcBorders>
              <w:top w:val="nil"/>
              <w:left w:val="nil"/>
              <w:bottom w:val="single" w:sz="4" w:space="0" w:color="auto"/>
              <w:right w:val="single" w:sz="4" w:space="0" w:color="auto"/>
            </w:tcBorders>
            <w:shd w:val="clear" w:color="000000" w:fill="9BC2E6"/>
            <w:vAlign w:val="center"/>
            <w:hideMark/>
          </w:tcPr>
          <w:p w14:paraId="01BB03CE"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12,300,000 </w:t>
            </w:r>
          </w:p>
        </w:tc>
        <w:tc>
          <w:tcPr>
            <w:tcW w:w="466" w:type="pct"/>
            <w:tcBorders>
              <w:top w:val="nil"/>
              <w:left w:val="nil"/>
              <w:bottom w:val="single" w:sz="4" w:space="0" w:color="auto"/>
              <w:right w:val="single" w:sz="4" w:space="0" w:color="auto"/>
            </w:tcBorders>
            <w:shd w:val="clear" w:color="000000" w:fill="9BC2E6"/>
            <w:vAlign w:val="center"/>
            <w:hideMark/>
          </w:tcPr>
          <w:p w14:paraId="01BB03CF"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1,600,000 </w:t>
            </w:r>
          </w:p>
        </w:tc>
      </w:tr>
      <w:tr w:rsidR="00DF095A" w:rsidRPr="000E152E" w14:paraId="01BB03DC" w14:textId="77777777" w:rsidTr="00364541">
        <w:trPr>
          <w:trHeight w:val="180"/>
        </w:trPr>
        <w:tc>
          <w:tcPr>
            <w:tcW w:w="312" w:type="pct"/>
            <w:vMerge w:val="restart"/>
            <w:tcBorders>
              <w:top w:val="nil"/>
              <w:left w:val="single" w:sz="4" w:space="0" w:color="auto"/>
              <w:bottom w:val="single" w:sz="4" w:space="0" w:color="000000"/>
              <w:right w:val="single" w:sz="4" w:space="0" w:color="auto"/>
            </w:tcBorders>
            <w:shd w:val="clear" w:color="000000" w:fill="FFD579"/>
            <w:vAlign w:val="center"/>
            <w:hideMark/>
          </w:tcPr>
          <w:p w14:paraId="01BB03D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3D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Ndërtimi i mekanizmit për identifikimin e nevojave dhe profileve të grave, me fokus të veçantë te gratë joaktive, nëpërmjet administratorëve lokalë dhe ndarjes së këtij informacioni me Zyrat e Punësimit</w:t>
            </w:r>
          </w:p>
        </w:tc>
        <w:tc>
          <w:tcPr>
            <w:tcW w:w="380" w:type="pct"/>
            <w:tcBorders>
              <w:top w:val="nil"/>
              <w:left w:val="nil"/>
              <w:bottom w:val="single" w:sz="4" w:space="0" w:color="auto"/>
              <w:right w:val="single" w:sz="4" w:space="0" w:color="auto"/>
            </w:tcBorders>
            <w:shd w:val="clear" w:color="000000" w:fill="FFD579"/>
            <w:vAlign w:val="center"/>
            <w:hideMark/>
          </w:tcPr>
          <w:p w14:paraId="01BB03D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D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D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D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3D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3D8" w14:textId="50914291"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D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DA" w14:textId="5A3DA3C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3DB" w14:textId="50E338C9"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3E8"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3D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D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Forcimi i mekanizmave të komunikimit dhe informimit për gratë, me fokus te gratë joaktive.</w:t>
            </w:r>
          </w:p>
        </w:tc>
        <w:tc>
          <w:tcPr>
            <w:tcW w:w="380" w:type="pct"/>
            <w:tcBorders>
              <w:top w:val="nil"/>
              <w:left w:val="nil"/>
              <w:bottom w:val="single" w:sz="4" w:space="0" w:color="auto"/>
              <w:right w:val="single" w:sz="4" w:space="0" w:color="auto"/>
            </w:tcBorders>
            <w:shd w:val="clear" w:color="000000" w:fill="FFD579"/>
            <w:vAlign w:val="center"/>
            <w:hideMark/>
          </w:tcPr>
          <w:p w14:paraId="01BB03D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E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E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E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3E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E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7,600,000 </w:t>
            </w:r>
          </w:p>
        </w:tc>
        <w:tc>
          <w:tcPr>
            <w:tcW w:w="487" w:type="pct"/>
            <w:tcBorders>
              <w:top w:val="nil"/>
              <w:left w:val="nil"/>
              <w:bottom w:val="single" w:sz="4" w:space="0" w:color="auto"/>
              <w:right w:val="single" w:sz="4" w:space="0" w:color="auto"/>
            </w:tcBorders>
            <w:shd w:val="clear" w:color="000000" w:fill="FFD579"/>
            <w:vAlign w:val="center"/>
            <w:hideMark/>
          </w:tcPr>
          <w:p w14:paraId="01BB03E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E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6,000,000 </w:t>
            </w:r>
          </w:p>
        </w:tc>
        <w:tc>
          <w:tcPr>
            <w:tcW w:w="466" w:type="pct"/>
            <w:tcBorders>
              <w:top w:val="nil"/>
              <w:left w:val="nil"/>
              <w:bottom w:val="single" w:sz="4" w:space="0" w:color="auto"/>
              <w:right w:val="single" w:sz="4" w:space="0" w:color="auto"/>
            </w:tcBorders>
            <w:shd w:val="clear" w:color="000000" w:fill="FFD579"/>
            <w:vAlign w:val="center"/>
            <w:hideMark/>
          </w:tcPr>
          <w:p w14:paraId="01BB03E7" w14:textId="67AEBEB1"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1,600,000 </w:t>
            </w:r>
          </w:p>
        </w:tc>
      </w:tr>
      <w:tr w:rsidR="00DF095A" w:rsidRPr="000E152E" w14:paraId="01BB03F4"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3E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EA" w14:textId="37C023A6"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Krijimi i mekanizmit që identifikon programe të ndryshme të financimit të zhvillimit</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dhe inkurajon përfshirjen e grave duke ofruar informacion dhe mbështetje për aksesin dhe përdorimin e fondeve të tilla</w:t>
            </w:r>
          </w:p>
        </w:tc>
        <w:tc>
          <w:tcPr>
            <w:tcW w:w="380" w:type="pct"/>
            <w:tcBorders>
              <w:top w:val="nil"/>
              <w:left w:val="nil"/>
              <w:bottom w:val="single" w:sz="4" w:space="0" w:color="auto"/>
              <w:right w:val="single" w:sz="4" w:space="0" w:color="auto"/>
            </w:tcBorders>
            <w:shd w:val="clear" w:color="000000" w:fill="FFD579"/>
            <w:vAlign w:val="center"/>
            <w:hideMark/>
          </w:tcPr>
          <w:p w14:paraId="01BB03E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E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E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E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3E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3F0" w14:textId="00CDDA14"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F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F2" w14:textId="0334BD39"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3F3" w14:textId="0DDFDF8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00"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3F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3F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Koordimi me autoritetet që financojnë programe të ndryshme zhvillimi</w:t>
            </w:r>
          </w:p>
        </w:tc>
        <w:tc>
          <w:tcPr>
            <w:tcW w:w="380" w:type="pct"/>
            <w:tcBorders>
              <w:top w:val="nil"/>
              <w:left w:val="nil"/>
              <w:bottom w:val="single" w:sz="4" w:space="0" w:color="auto"/>
              <w:right w:val="single" w:sz="4" w:space="0" w:color="auto"/>
            </w:tcBorders>
            <w:shd w:val="clear" w:color="000000" w:fill="FFD579"/>
            <w:vAlign w:val="center"/>
            <w:hideMark/>
          </w:tcPr>
          <w:p w14:paraId="01BB03F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3F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3F9"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3F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3F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3FC" w14:textId="059B4A83"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3F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3FE" w14:textId="025D96F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3FF" w14:textId="575F97B0"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0C"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40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02" w14:textId="70514139"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Kryerja e vlerësim</w:t>
            </w:r>
            <w:r w:rsidR="00B9759C">
              <w:rPr>
                <w:rFonts w:ascii="Garamond" w:eastAsia="Times New Roman" w:hAnsi="Garamond"/>
                <w:color w:val="000000"/>
                <w:sz w:val="14"/>
                <w:szCs w:val="14"/>
                <w:lang w:eastAsia="sq-AL"/>
              </w:rPr>
              <w:t>i</w:t>
            </w:r>
            <w:r w:rsidRPr="000E152E">
              <w:rPr>
                <w:rFonts w:ascii="Garamond" w:eastAsia="Times New Roman" w:hAnsi="Garamond"/>
                <w:color w:val="000000"/>
                <w:sz w:val="14"/>
                <w:szCs w:val="14"/>
                <w:lang w:eastAsia="sq-AL"/>
              </w:rPr>
              <w:t>t të potencialit apo fizibilitetit të Ekonomisë së Përkujdesjes dhe sektorë të tjerë që kanë potencial të madh për punësimin e grave</w:t>
            </w:r>
          </w:p>
        </w:tc>
        <w:tc>
          <w:tcPr>
            <w:tcW w:w="380" w:type="pct"/>
            <w:tcBorders>
              <w:top w:val="nil"/>
              <w:left w:val="nil"/>
              <w:bottom w:val="single" w:sz="4" w:space="0" w:color="auto"/>
              <w:right w:val="single" w:sz="4" w:space="0" w:color="auto"/>
            </w:tcBorders>
            <w:shd w:val="clear" w:color="000000" w:fill="FFD579"/>
            <w:vAlign w:val="center"/>
            <w:hideMark/>
          </w:tcPr>
          <w:p w14:paraId="01BB040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0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40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0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0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2024</w:t>
            </w:r>
          </w:p>
        </w:tc>
        <w:tc>
          <w:tcPr>
            <w:tcW w:w="500" w:type="pct"/>
            <w:tcBorders>
              <w:top w:val="nil"/>
              <w:left w:val="nil"/>
              <w:bottom w:val="single" w:sz="4" w:space="0" w:color="auto"/>
              <w:right w:val="single" w:sz="4" w:space="0" w:color="auto"/>
            </w:tcBorders>
            <w:shd w:val="clear" w:color="000000" w:fill="FFD579"/>
            <w:vAlign w:val="center"/>
            <w:hideMark/>
          </w:tcPr>
          <w:p w14:paraId="01BB0408"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6,300,000 </w:t>
            </w:r>
          </w:p>
        </w:tc>
        <w:tc>
          <w:tcPr>
            <w:tcW w:w="487" w:type="pct"/>
            <w:tcBorders>
              <w:top w:val="nil"/>
              <w:left w:val="nil"/>
              <w:bottom w:val="single" w:sz="4" w:space="0" w:color="auto"/>
              <w:right w:val="single" w:sz="4" w:space="0" w:color="auto"/>
            </w:tcBorders>
            <w:shd w:val="clear" w:color="000000" w:fill="FFD579"/>
            <w:vAlign w:val="center"/>
            <w:hideMark/>
          </w:tcPr>
          <w:p w14:paraId="01BB040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0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6,300,000 </w:t>
            </w:r>
          </w:p>
        </w:tc>
        <w:tc>
          <w:tcPr>
            <w:tcW w:w="466" w:type="pct"/>
            <w:tcBorders>
              <w:top w:val="nil"/>
              <w:left w:val="nil"/>
              <w:bottom w:val="single" w:sz="4" w:space="0" w:color="auto"/>
              <w:right w:val="single" w:sz="4" w:space="0" w:color="auto"/>
            </w:tcBorders>
            <w:shd w:val="clear" w:color="000000" w:fill="FFD579"/>
            <w:vAlign w:val="center"/>
            <w:hideMark/>
          </w:tcPr>
          <w:p w14:paraId="01BB040B" w14:textId="23FAFED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18"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40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0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Përshtatja e shërbimeve të punësimit me nevojat e ndryshme të grave joaktive (duke përfshirë edhe ndihmën për kujdesin ndaj familjes)</w:t>
            </w:r>
          </w:p>
        </w:tc>
        <w:tc>
          <w:tcPr>
            <w:tcW w:w="380" w:type="pct"/>
            <w:tcBorders>
              <w:top w:val="nil"/>
              <w:left w:val="nil"/>
              <w:bottom w:val="single" w:sz="4" w:space="0" w:color="auto"/>
              <w:right w:val="single" w:sz="4" w:space="0" w:color="auto"/>
            </w:tcBorders>
            <w:shd w:val="clear" w:color="000000" w:fill="FFD579"/>
            <w:vAlign w:val="center"/>
            <w:hideMark/>
          </w:tcPr>
          <w:p w14:paraId="01BB040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1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1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1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41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500" w:type="pct"/>
            <w:tcBorders>
              <w:top w:val="nil"/>
              <w:left w:val="nil"/>
              <w:bottom w:val="single" w:sz="4" w:space="0" w:color="auto"/>
              <w:right w:val="single" w:sz="4" w:space="0" w:color="auto"/>
            </w:tcBorders>
            <w:shd w:val="clear" w:color="000000" w:fill="FFD579"/>
            <w:vAlign w:val="center"/>
            <w:hideMark/>
          </w:tcPr>
          <w:p w14:paraId="01BB0414" w14:textId="39B0BBF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1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16" w14:textId="306F313A"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17" w14:textId="4F13B8A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24"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41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1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Përshtatja e programeve për nxitjen e punësimit për të ofruar mundësi aftësimi dhe punësimi në sektorë të ndryshëm ekonomik, përfshirë edhe eksplorim e ekonomisë së përkujdesjes </w:t>
            </w:r>
          </w:p>
        </w:tc>
        <w:tc>
          <w:tcPr>
            <w:tcW w:w="380" w:type="pct"/>
            <w:tcBorders>
              <w:top w:val="nil"/>
              <w:left w:val="nil"/>
              <w:bottom w:val="single" w:sz="4" w:space="0" w:color="auto"/>
              <w:right w:val="single" w:sz="4" w:space="0" w:color="auto"/>
            </w:tcBorders>
            <w:shd w:val="clear" w:color="000000" w:fill="FFD579"/>
            <w:vAlign w:val="center"/>
            <w:hideMark/>
          </w:tcPr>
          <w:p w14:paraId="01BB041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1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41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1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1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420" w14:textId="30BF26D7"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2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2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423" w14:textId="664B05D9"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30" w14:textId="77777777" w:rsidTr="00364541">
        <w:trPr>
          <w:trHeight w:val="180"/>
        </w:trPr>
        <w:tc>
          <w:tcPr>
            <w:tcW w:w="312" w:type="pct"/>
            <w:vMerge/>
            <w:tcBorders>
              <w:top w:val="nil"/>
              <w:left w:val="single" w:sz="4" w:space="0" w:color="auto"/>
              <w:bottom w:val="single" w:sz="4" w:space="0" w:color="000000"/>
              <w:right w:val="single" w:sz="4" w:space="0" w:color="auto"/>
            </w:tcBorders>
            <w:vAlign w:val="center"/>
            <w:hideMark/>
          </w:tcPr>
          <w:p w14:paraId="01BB042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26" w14:textId="06A6472B"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i programeve për nxitjen e punësimit,</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me sipërmarrjen dhe ekonominë sociale, prodhimin e produkteve vendore apo ekonominë e gjelbër, aktivitetet e biznesit online, si dhe vlerësimin e mundësisë së stimujve fiskalë në këta sektorë</w:t>
            </w:r>
          </w:p>
        </w:tc>
        <w:tc>
          <w:tcPr>
            <w:tcW w:w="380" w:type="pct"/>
            <w:tcBorders>
              <w:top w:val="nil"/>
              <w:left w:val="nil"/>
              <w:bottom w:val="single" w:sz="4" w:space="0" w:color="auto"/>
              <w:right w:val="single" w:sz="4" w:space="0" w:color="auto"/>
            </w:tcBorders>
            <w:shd w:val="clear" w:color="000000" w:fill="FFD579"/>
            <w:vAlign w:val="center"/>
            <w:hideMark/>
          </w:tcPr>
          <w:p w14:paraId="01BB042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2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429" w14:textId="77777777"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2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TM2 2024</w:t>
            </w:r>
          </w:p>
        </w:tc>
        <w:tc>
          <w:tcPr>
            <w:tcW w:w="395" w:type="pct"/>
            <w:tcBorders>
              <w:top w:val="nil"/>
              <w:left w:val="nil"/>
              <w:bottom w:val="single" w:sz="4" w:space="0" w:color="auto"/>
              <w:right w:val="single" w:sz="4" w:space="0" w:color="auto"/>
            </w:tcBorders>
            <w:shd w:val="clear" w:color="000000" w:fill="FFD579"/>
            <w:vAlign w:val="center"/>
            <w:hideMark/>
          </w:tcPr>
          <w:p w14:paraId="01BB042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500" w:type="pct"/>
            <w:tcBorders>
              <w:top w:val="nil"/>
              <w:left w:val="nil"/>
              <w:bottom w:val="single" w:sz="4" w:space="0" w:color="auto"/>
              <w:right w:val="single" w:sz="4" w:space="0" w:color="auto"/>
            </w:tcBorders>
            <w:shd w:val="clear" w:color="000000" w:fill="FFD579"/>
            <w:vAlign w:val="center"/>
            <w:hideMark/>
          </w:tcPr>
          <w:p w14:paraId="01BB042C" w14:textId="288C045C"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2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2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42F" w14:textId="177A86CB"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3C" w14:textId="77777777" w:rsidTr="00364541">
        <w:trPr>
          <w:trHeight w:val="180"/>
        </w:trPr>
        <w:tc>
          <w:tcPr>
            <w:tcW w:w="312" w:type="pct"/>
            <w:tcBorders>
              <w:top w:val="nil"/>
              <w:left w:val="single" w:sz="4" w:space="0" w:color="auto"/>
              <w:bottom w:val="single" w:sz="4" w:space="0" w:color="auto"/>
              <w:right w:val="single" w:sz="4" w:space="0" w:color="auto"/>
            </w:tcBorders>
            <w:shd w:val="clear" w:color="000000" w:fill="9BC2E6"/>
            <w:vAlign w:val="center"/>
            <w:hideMark/>
          </w:tcPr>
          <w:p w14:paraId="01BB0431"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432"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2.1.4 Integrimi në rritje i personave me aftësi të kufizuara në sistemet e zhvillimit të aftësive dhe të tregut të punës</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433"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434"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435"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436"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437"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438"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701,600,000 </w:t>
            </w:r>
          </w:p>
        </w:tc>
        <w:tc>
          <w:tcPr>
            <w:tcW w:w="487" w:type="pct"/>
            <w:tcBorders>
              <w:top w:val="nil"/>
              <w:left w:val="nil"/>
              <w:bottom w:val="single" w:sz="4" w:space="0" w:color="auto"/>
              <w:right w:val="single" w:sz="4" w:space="0" w:color="auto"/>
            </w:tcBorders>
            <w:shd w:val="clear" w:color="000000" w:fill="9BC2E6"/>
            <w:vAlign w:val="center"/>
            <w:hideMark/>
          </w:tcPr>
          <w:p w14:paraId="01BB0439"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163,440,000 </w:t>
            </w:r>
          </w:p>
        </w:tc>
        <w:tc>
          <w:tcPr>
            <w:tcW w:w="430" w:type="pct"/>
            <w:tcBorders>
              <w:top w:val="nil"/>
              <w:left w:val="nil"/>
              <w:bottom w:val="single" w:sz="4" w:space="0" w:color="auto"/>
              <w:right w:val="single" w:sz="4" w:space="0" w:color="auto"/>
            </w:tcBorders>
            <w:shd w:val="clear" w:color="000000" w:fill="9BC2E6"/>
            <w:vAlign w:val="center"/>
            <w:hideMark/>
          </w:tcPr>
          <w:p w14:paraId="01BB043A"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372,000,000 </w:t>
            </w:r>
          </w:p>
        </w:tc>
        <w:tc>
          <w:tcPr>
            <w:tcW w:w="466" w:type="pct"/>
            <w:tcBorders>
              <w:top w:val="nil"/>
              <w:left w:val="nil"/>
              <w:bottom w:val="single" w:sz="4" w:space="0" w:color="auto"/>
              <w:right w:val="single" w:sz="4" w:space="0" w:color="auto"/>
            </w:tcBorders>
            <w:shd w:val="clear" w:color="000000" w:fill="9BC2E6"/>
            <w:vAlign w:val="center"/>
            <w:hideMark/>
          </w:tcPr>
          <w:p w14:paraId="01BB043B"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166,160,000 </w:t>
            </w:r>
          </w:p>
        </w:tc>
      </w:tr>
      <w:tr w:rsidR="00DF095A" w:rsidRPr="000E152E" w14:paraId="01BB0448"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43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43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Zhvillimi i instrumenteve të reja për vlerësimin e nevojave për punësim dhe trajnim të personave me aftësi të kufizuara në koordinim me AKAFPK, Shërbimin Social dhe komisionet e vlerësimit</w:t>
            </w:r>
          </w:p>
        </w:tc>
        <w:tc>
          <w:tcPr>
            <w:tcW w:w="380" w:type="pct"/>
            <w:tcBorders>
              <w:top w:val="nil"/>
              <w:left w:val="nil"/>
              <w:bottom w:val="single" w:sz="4" w:space="0" w:color="auto"/>
              <w:right w:val="single" w:sz="4" w:space="0" w:color="auto"/>
            </w:tcBorders>
            <w:shd w:val="clear" w:color="000000" w:fill="FFD579"/>
            <w:vAlign w:val="center"/>
            <w:hideMark/>
          </w:tcPr>
          <w:p w14:paraId="01BB043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4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4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4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4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444" w14:textId="4B938CCC"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23,400,000 </w:t>
            </w:r>
          </w:p>
        </w:tc>
        <w:tc>
          <w:tcPr>
            <w:tcW w:w="487" w:type="pct"/>
            <w:tcBorders>
              <w:top w:val="nil"/>
              <w:left w:val="nil"/>
              <w:bottom w:val="single" w:sz="4" w:space="0" w:color="auto"/>
              <w:right w:val="single" w:sz="4" w:space="0" w:color="auto"/>
            </w:tcBorders>
            <w:shd w:val="clear" w:color="000000" w:fill="FFD579"/>
            <w:vAlign w:val="center"/>
            <w:hideMark/>
          </w:tcPr>
          <w:p w14:paraId="01BB0445" w14:textId="4BA4CF72"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14,040,000 </w:t>
            </w:r>
          </w:p>
        </w:tc>
        <w:tc>
          <w:tcPr>
            <w:tcW w:w="430" w:type="pct"/>
            <w:tcBorders>
              <w:top w:val="nil"/>
              <w:left w:val="nil"/>
              <w:bottom w:val="single" w:sz="4" w:space="0" w:color="auto"/>
              <w:right w:val="single" w:sz="4" w:space="0" w:color="auto"/>
            </w:tcBorders>
            <w:shd w:val="clear" w:color="000000" w:fill="FFD579"/>
            <w:vAlign w:val="center"/>
            <w:hideMark/>
          </w:tcPr>
          <w:p w14:paraId="01BB0446" w14:textId="69F75A4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47" w14:textId="6EAB0663"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9,360,000 </w:t>
            </w:r>
          </w:p>
        </w:tc>
      </w:tr>
      <w:tr w:rsidR="00DF095A" w:rsidRPr="000E152E" w14:paraId="01BB045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4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4A" w14:textId="1D9E0AA3"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Përshtatja e shërbimeve publike të punësimit për të krijuar akses dhe ofruar </w:t>
            </w:r>
            <w:r w:rsidR="00B9759C" w:rsidRPr="000E152E">
              <w:rPr>
                <w:rFonts w:ascii="Garamond" w:eastAsia="Times New Roman" w:hAnsi="Garamond"/>
                <w:color w:val="000000"/>
                <w:sz w:val="14"/>
                <w:szCs w:val="14"/>
                <w:lang w:eastAsia="sq-AL"/>
              </w:rPr>
              <w:t>shërbime</w:t>
            </w:r>
            <w:r w:rsidRPr="000E152E">
              <w:rPr>
                <w:rFonts w:ascii="Garamond" w:eastAsia="Times New Roman" w:hAnsi="Garamond"/>
                <w:color w:val="000000"/>
                <w:sz w:val="14"/>
                <w:szCs w:val="14"/>
                <w:lang w:eastAsia="sq-AL"/>
              </w:rPr>
              <w:t xml:space="preserve"> </w:t>
            </w:r>
            <w:r w:rsidR="00B9759C" w:rsidRPr="000E152E">
              <w:rPr>
                <w:rFonts w:ascii="Garamond" w:eastAsia="Times New Roman" w:hAnsi="Garamond"/>
                <w:color w:val="000000"/>
                <w:sz w:val="14"/>
                <w:szCs w:val="14"/>
                <w:lang w:eastAsia="sq-AL"/>
              </w:rPr>
              <w:t>cilësore</w:t>
            </w:r>
            <w:r w:rsidRPr="000E152E">
              <w:rPr>
                <w:rFonts w:ascii="Garamond" w:eastAsia="Times New Roman" w:hAnsi="Garamond"/>
                <w:color w:val="000000"/>
                <w:sz w:val="14"/>
                <w:szCs w:val="14"/>
                <w:lang w:eastAsia="sq-AL"/>
              </w:rPr>
              <w:t xml:space="preserve"> PAK </w:t>
            </w:r>
          </w:p>
        </w:tc>
        <w:tc>
          <w:tcPr>
            <w:tcW w:w="380" w:type="pct"/>
            <w:tcBorders>
              <w:top w:val="nil"/>
              <w:left w:val="nil"/>
              <w:bottom w:val="single" w:sz="4" w:space="0" w:color="auto"/>
              <w:right w:val="single" w:sz="4" w:space="0" w:color="auto"/>
            </w:tcBorders>
            <w:shd w:val="clear" w:color="000000" w:fill="FFD579"/>
            <w:vAlign w:val="center"/>
            <w:hideMark/>
          </w:tcPr>
          <w:p w14:paraId="01BB044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4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4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4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44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50" w14:textId="27F96554"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46,800,000 </w:t>
            </w:r>
          </w:p>
        </w:tc>
        <w:tc>
          <w:tcPr>
            <w:tcW w:w="487" w:type="pct"/>
            <w:tcBorders>
              <w:top w:val="nil"/>
              <w:left w:val="nil"/>
              <w:bottom w:val="single" w:sz="4" w:space="0" w:color="auto"/>
              <w:right w:val="single" w:sz="4" w:space="0" w:color="auto"/>
            </w:tcBorders>
            <w:shd w:val="clear" w:color="000000" w:fill="FFD579"/>
            <w:vAlign w:val="center"/>
            <w:hideMark/>
          </w:tcPr>
          <w:p w14:paraId="01BB0451" w14:textId="6368D0B5"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46,800,000 </w:t>
            </w:r>
          </w:p>
        </w:tc>
        <w:tc>
          <w:tcPr>
            <w:tcW w:w="430" w:type="pct"/>
            <w:tcBorders>
              <w:top w:val="nil"/>
              <w:left w:val="nil"/>
              <w:bottom w:val="single" w:sz="4" w:space="0" w:color="auto"/>
              <w:right w:val="single" w:sz="4" w:space="0" w:color="auto"/>
            </w:tcBorders>
            <w:shd w:val="clear" w:color="000000" w:fill="FFD579"/>
            <w:vAlign w:val="center"/>
            <w:hideMark/>
          </w:tcPr>
          <w:p w14:paraId="01BB0452" w14:textId="08A524E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53" w14:textId="420622B4"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6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5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5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Organizimi i trajnimeve për zyrat e punës dhe partnerë të tjerë për ofrimin e shërbimeve për PAK</w:t>
            </w:r>
          </w:p>
        </w:tc>
        <w:tc>
          <w:tcPr>
            <w:tcW w:w="380" w:type="pct"/>
            <w:tcBorders>
              <w:top w:val="nil"/>
              <w:left w:val="nil"/>
              <w:bottom w:val="single" w:sz="4" w:space="0" w:color="auto"/>
              <w:right w:val="single" w:sz="4" w:space="0" w:color="auto"/>
            </w:tcBorders>
            <w:shd w:val="clear" w:color="000000" w:fill="FFD579"/>
            <w:vAlign w:val="center"/>
            <w:hideMark/>
          </w:tcPr>
          <w:p w14:paraId="01BB045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5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59"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5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5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45C"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9,000,000 </w:t>
            </w:r>
          </w:p>
        </w:tc>
        <w:tc>
          <w:tcPr>
            <w:tcW w:w="487" w:type="pct"/>
            <w:tcBorders>
              <w:top w:val="nil"/>
              <w:left w:val="nil"/>
              <w:bottom w:val="single" w:sz="4" w:space="0" w:color="auto"/>
              <w:right w:val="single" w:sz="4" w:space="0" w:color="auto"/>
            </w:tcBorders>
            <w:shd w:val="clear" w:color="000000" w:fill="FFD579"/>
            <w:vAlign w:val="center"/>
            <w:hideMark/>
          </w:tcPr>
          <w:p w14:paraId="01BB045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5E" w14:textId="1D4E67AB"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5F" w14:textId="6979C888"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9,000,000 </w:t>
            </w:r>
          </w:p>
        </w:tc>
      </w:tr>
      <w:tr w:rsidR="00DF095A" w:rsidRPr="000E152E" w14:paraId="01BB046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6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6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Zhvillimi i programeve të reja dhe të përshtatura për nxitjen e punësimit dhe aftësimin e personave me aftësi të kufizuara </w:t>
            </w:r>
          </w:p>
        </w:tc>
        <w:tc>
          <w:tcPr>
            <w:tcW w:w="380" w:type="pct"/>
            <w:tcBorders>
              <w:top w:val="nil"/>
              <w:left w:val="nil"/>
              <w:bottom w:val="single" w:sz="4" w:space="0" w:color="auto"/>
              <w:right w:val="single" w:sz="4" w:space="0" w:color="auto"/>
            </w:tcBorders>
            <w:shd w:val="clear" w:color="000000" w:fill="FFD579"/>
            <w:vAlign w:val="center"/>
            <w:hideMark/>
          </w:tcPr>
          <w:p w14:paraId="01BB046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6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6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6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6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468" w14:textId="5BB9D9CD"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69" w14:textId="12E4656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46A" w14:textId="20D6BB4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6B" w14:textId="6D5262D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7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6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6E" w14:textId="617C73B5"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Hartimi i programeve mbështetëse për </w:t>
            </w:r>
            <w:r w:rsidR="00B9759C" w:rsidRPr="000E152E">
              <w:rPr>
                <w:rFonts w:ascii="Garamond" w:eastAsia="Times New Roman" w:hAnsi="Garamond"/>
                <w:color w:val="000000"/>
                <w:sz w:val="14"/>
                <w:szCs w:val="14"/>
                <w:lang w:eastAsia="sq-AL"/>
              </w:rPr>
              <w:t>punëdhënësit</w:t>
            </w:r>
            <w:r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lastRenderedPageBreak/>
              <w:t>për përshtatjen e arsyeshme për përfshirjen e personave me aftësi të kufizuar në vendin e punës (përfshirë sigurimin e pajisjeve dhe shërbimeve personale të vazhdueshme)</w:t>
            </w:r>
          </w:p>
        </w:tc>
        <w:tc>
          <w:tcPr>
            <w:tcW w:w="380" w:type="pct"/>
            <w:tcBorders>
              <w:top w:val="nil"/>
              <w:left w:val="nil"/>
              <w:bottom w:val="single" w:sz="4" w:space="0" w:color="auto"/>
              <w:right w:val="single" w:sz="4" w:space="0" w:color="auto"/>
            </w:tcBorders>
            <w:shd w:val="clear" w:color="000000" w:fill="FFD579"/>
            <w:vAlign w:val="center"/>
            <w:hideMark/>
          </w:tcPr>
          <w:p w14:paraId="01BB046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lastRenderedPageBreak/>
              <w:t>10550</w:t>
            </w:r>
          </w:p>
        </w:tc>
        <w:tc>
          <w:tcPr>
            <w:tcW w:w="309" w:type="pct"/>
            <w:tcBorders>
              <w:top w:val="nil"/>
              <w:left w:val="nil"/>
              <w:bottom w:val="single" w:sz="4" w:space="0" w:color="auto"/>
              <w:right w:val="single" w:sz="4" w:space="0" w:color="auto"/>
            </w:tcBorders>
            <w:shd w:val="clear" w:color="000000" w:fill="FFD579"/>
            <w:vAlign w:val="center"/>
            <w:hideMark/>
          </w:tcPr>
          <w:p w14:paraId="01BB047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7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7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7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7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99,000,000 </w:t>
            </w:r>
          </w:p>
        </w:tc>
        <w:tc>
          <w:tcPr>
            <w:tcW w:w="487" w:type="pct"/>
            <w:tcBorders>
              <w:top w:val="nil"/>
              <w:left w:val="nil"/>
              <w:bottom w:val="single" w:sz="4" w:space="0" w:color="auto"/>
              <w:right w:val="single" w:sz="4" w:space="0" w:color="auto"/>
            </w:tcBorders>
            <w:shd w:val="clear" w:color="000000" w:fill="FFD579"/>
            <w:vAlign w:val="center"/>
            <w:hideMark/>
          </w:tcPr>
          <w:p w14:paraId="01BB0475" w14:textId="554F1513"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99,000,000 </w:t>
            </w:r>
          </w:p>
        </w:tc>
        <w:tc>
          <w:tcPr>
            <w:tcW w:w="430" w:type="pct"/>
            <w:tcBorders>
              <w:top w:val="nil"/>
              <w:left w:val="nil"/>
              <w:bottom w:val="single" w:sz="4" w:space="0" w:color="auto"/>
              <w:right w:val="single" w:sz="4" w:space="0" w:color="auto"/>
            </w:tcBorders>
            <w:shd w:val="clear" w:color="000000" w:fill="FFD579"/>
            <w:vAlign w:val="center"/>
            <w:hideMark/>
          </w:tcPr>
          <w:p w14:paraId="01BB0476" w14:textId="4F6274DB"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77" w14:textId="52372B8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8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7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7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Organizimi i fushatave informuese për programet, instrumentet dhe Fondin Social për PAK dhe punëdhënësit </w:t>
            </w:r>
          </w:p>
        </w:tc>
        <w:tc>
          <w:tcPr>
            <w:tcW w:w="380" w:type="pct"/>
            <w:tcBorders>
              <w:top w:val="nil"/>
              <w:left w:val="nil"/>
              <w:bottom w:val="single" w:sz="4" w:space="0" w:color="auto"/>
              <w:right w:val="single" w:sz="4" w:space="0" w:color="auto"/>
            </w:tcBorders>
            <w:shd w:val="clear" w:color="000000" w:fill="FFD579"/>
            <w:vAlign w:val="center"/>
            <w:hideMark/>
          </w:tcPr>
          <w:p w14:paraId="01BB047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7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7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7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47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80"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19,800,000 </w:t>
            </w:r>
          </w:p>
        </w:tc>
        <w:tc>
          <w:tcPr>
            <w:tcW w:w="487" w:type="pct"/>
            <w:tcBorders>
              <w:top w:val="nil"/>
              <w:left w:val="nil"/>
              <w:bottom w:val="single" w:sz="4" w:space="0" w:color="auto"/>
              <w:right w:val="single" w:sz="4" w:space="0" w:color="auto"/>
            </w:tcBorders>
            <w:shd w:val="clear" w:color="000000" w:fill="FFD579"/>
            <w:vAlign w:val="center"/>
            <w:hideMark/>
          </w:tcPr>
          <w:p w14:paraId="01BB048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82" w14:textId="11F5AFCF"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12,000,000 </w:t>
            </w:r>
          </w:p>
        </w:tc>
        <w:tc>
          <w:tcPr>
            <w:tcW w:w="466" w:type="pct"/>
            <w:tcBorders>
              <w:top w:val="nil"/>
              <w:left w:val="nil"/>
              <w:bottom w:val="single" w:sz="4" w:space="0" w:color="auto"/>
              <w:right w:val="single" w:sz="4" w:space="0" w:color="auto"/>
            </w:tcBorders>
            <w:shd w:val="clear" w:color="000000" w:fill="FFD579"/>
            <w:vAlign w:val="center"/>
            <w:hideMark/>
          </w:tcPr>
          <w:p w14:paraId="01BB0483" w14:textId="477E4FD8"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7,800,000 </w:t>
            </w:r>
          </w:p>
        </w:tc>
      </w:tr>
      <w:tr w:rsidR="00DF095A" w:rsidRPr="000E152E" w14:paraId="01BB049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8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86" w14:textId="6C984481"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Krijimi i mekanizmit për</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mbledhjen e kontributeve nga punëdhënësit, në bashkëpunim me Drejtorinë e Përgjithshme të Tatimeve</w:t>
            </w:r>
          </w:p>
        </w:tc>
        <w:tc>
          <w:tcPr>
            <w:tcW w:w="380" w:type="pct"/>
            <w:tcBorders>
              <w:top w:val="nil"/>
              <w:left w:val="nil"/>
              <w:bottom w:val="single" w:sz="4" w:space="0" w:color="auto"/>
              <w:right w:val="single" w:sz="4" w:space="0" w:color="auto"/>
            </w:tcBorders>
            <w:shd w:val="clear" w:color="000000" w:fill="FFD579"/>
            <w:vAlign w:val="center"/>
            <w:hideMark/>
          </w:tcPr>
          <w:p w14:paraId="01BB048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8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89"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8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48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48C" w14:textId="046C0657"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8D" w14:textId="79740DC3"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48E" w14:textId="79FCE8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8F" w14:textId="1E648D1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9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9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92" w14:textId="04F3706E"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Operacionalizimi i Fondit Social të Punësimit dhe pilotimi i përfshirjes së</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PAK në shërbime e punësimit</w:t>
            </w:r>
            <w:r w:rsidRPr="000E152E">
              <w:rPr>
                <w:rFonts w:ascii="Garamond" w:eastAsia="Times New Roman" w:hAnsi="Garamond"/>
                <w:b/>
                <w:bCs/>
                <w:color w:val="000000"/>
                <w:sz w:val="14"/>
                <w:szCs w:val="14"/>
                <w:lang w:eastAsia="sq-AL"/>
              </w:rPr>
              <w:t xml:space="preserve"> </w:t>
            </w:r>
            <w:r w:rsidRPr="000E152E">
              <w:rPr>
                <w:rFonts w:ascii="Garamond" w:eastAsia="Times New Roman" w:hAnsi="Garamond"/>
                <w:color w:val="000000"/>
                <w:sz w:val="14"/>
                <w:szCs w:val="14"/>
                <w:lang w:eastAsia="sq-AL"/>
              </w:rPr>
              <w:t>dhe programet të përshtatura për nxitjen e punësimit</w:t>
            </w:r>
          </w:p>
        </w:tc>
        <w:tc>
          <w:tcPr>
            <w:tcW w:w="380" w:type="pct"/>
            <w:tcBorders>
              <w:top w:val="nil"/>
              <w:left w:val="nil"/>
              <w:bottom w:val="single" w:sz="4" w:space="0" w:color="auto"/>
              <w:right w:val="single" w:sz="4" w:space="0" w:color="auto"/>
            </w:tcBorders>
            <w:shd w:val="clear" w:color="000000" w:fill="FFD579"/>
            <w:vAlign w:val="center"/>
            <w:hideMark/>
          </w:tcPr>
          <w:p w14:paraId="01BB049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9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9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9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49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98" w14:textId="4126F763"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99" w14:textId="44AE77F1"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49A" w14:textId="4186191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9B" w14:textId="0ED9E364"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A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9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9E" w14:textId="7D74D33A"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Vlerësimi i modelit të pilotuar (efektiviteti, efikasiteti</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mekanizmat e zbatimit etj.)</w:t>
            </w:r>
          </w:p>
        </w:tc>
        <w:tc>
          <w:tcPr>
            <w:tcW w:w="380" w:type="pct"/>
            <w:tcBorders>
              <w:top w:val="nil"/>
              <w:left w:val="nil"/>
              <w:bottom w:val="single" w:sz="4" w:space="0" w:color="auto"/>
              <w:right w:val="single" w:sz="4" w:space="0" w:color="auto"/>
            </w:tcBorders>
            <w:shd w:val="clear" w:color="000000" w:fill="FFD579"/>
            <w:vAlign w:val="center"/>
            <w:hideMark/>
          </w:tcPr>
          <w:p w14:paraId="01BB049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A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A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A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2027</w:t>
            </w:r>
          </w:p>
        </w:tc>
        <w:tc>
          <w:tcPr>
            <w:tcW w:w="395" w:type="pct"/>
            <w:tcBorders>
              <w:top w:val="nil"/>
              <w:left w:val="nil"/>
              <w:bottom w:val="single" w:sz="4" w:space="0" w:color="auto"/>
              <w:right w:val="single" w:sz="4" w:space="0" w:color="auto"/>
            </w:tcBorders>
            <w:shd w:val="clear" w:color="000000" w:fill="FFD579"/>
            <w:vAlign w:val="center"/>
            <w:hideMark/>
          </w:tcPr>
          <w:p w14:paraId="01BB04A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2027</w:t>
            </w:r>
          </w:p>
        </w:tc>
        <w:tc>
          <w:tcPr>
            <w:tcW w:w="500" w:type="pct"/>
            <w:tcBorders>
              <w:top w:val="nil"/>
              <w:left w:val="nil"/>
              <w:bottom w:val="single" w:sz="4" w:space="0" w:color="auto"/>
              <w:right w:val="single" w:sz="4" w:space="0" w:color="auto"/>
            </w:tcBorders>
            <w:shd w:val="clear" w:color="000000" w:fill="FFD579"/>
            <w:vAlign w:val="center"/>
            <w:hideMark/>
          </w:tcPr>
          <w:p w14:paraId="01BB04A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87" w:type="pct"/>
            <w:tcBorders>
              <w:top w:val="nil"/>
              <w:left w:val="nil"/>
              <w:bottom w:val="single" w:sz="4" w:space="0" w:color="auto"/>
              <w:right w:val="single" w:sz="4" w:space="0" w:color="auto"/>
            </w:tcBorders>
            <w:shd w:val="clear" w:color="000000" w:fill="FFD579"/>
            <w:vAlign w:val="center"/>
            <w:hideMark/>
          </w:tcPr>
          <w:p w14:paraId="01BB04A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30" w:type="pct"/>
            <w:tcBorders>
              <w:top w:val="nil"/>
              <w:left w:val="nil"/>
              <w:bottom w:val="single" w:sz="4" w:space="0" w:color="auto"/>
              <w:right w:val="single" w:sz="4" w:space="0" w:color="auto"/>
            </w:tcBorders>
            <w:shd w:val="clear" w:color="000000" w:fill="FFD579"/>
            <w:vAlign w:val="center"/>
            <w:hideMark/>
          </w:tcPr>
          <w:p w14:paraId="01BB04A6" w14:textId="7265C3F0"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A7" w14:textId="2D8CC52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B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A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A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Zgjerimi i modelit për përfshirjen e PAK në shërbimet e punësimit dhe masat e punësimit</w:t>
            </w:r>
          </w:p>
        </w:tc>
        <w:tc>
          <w:tcPr>
            <w:tcW w:w="380" w:type="pct"/>
            <w:tcBorders>
              <w:top w:val="nil"/>
              <w:left w:val="nil"/>
              <w:bottom w:val="single" w:sz="4" w:space="0" w:color="auto"/>
              <w:right w:val="single" w:sz="4" w:space="0" w:color="auto"/>
            </w:tcBorders>
            <w:shd w:val="clear" w:color="000000" w:fill="FFD579"/>
            <w:vAlign w:val="center"/>
            <w:hideMark/>
          </w:tcPr>
          <w:p w14:paraId="01BB04A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A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A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A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TM12028</w:t>
            </w:r>
          </w:p>
        </w:tc>
        <w:tc>
          <w:tcPr>
            <w:tcW w:w="395" w:type="pct"/>
            <w:tcBorders>
              <w:top w:val="nil"/>
              <w:left w:val="nil"/>
              <w:bottom w:val="single" w:sz="4" w:space="0" w:color="auto"/>
              <w:right w:val="single" w:sz="4" w:space="0" w:color="auto"/>
            </w:tcBorders>
            <w:shd w:val="clear" w:color="000000" w:fill="FFD579"/>
            <w:vAlign w:val="center"/>
            <w:hideMark/>
          </w:tcPr>
          <w:p w14:paraId="01BB04A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B0" w14:textId="0F53998A"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500,000,000 </w:t>
            </w:r>
          </w:p>
        </w:tc>
        <w:tc>
          <w:tcPr>
            <w:tcW w:w="487" w:type="pct"/>
            <w:tcBorders>
              <w:top w:val="nil"/>
              <w:left w:val="nil"/>
              <w:bottom w:val="single" w:sz="4" w:space="0" w:color="auto"/>
              <w:right w:val="single" w:sz="4" w:space="0" w:color="auto"/>
            </w:tcBorders>
            <w:shd w:val="clear" w:color="000000" w:fill="FFD579"/>
            <w:vAlign w:val="center"/>
            <w:hideMark/>
          </w:tcPr>
          <w:p w14:paraId="01BB04B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B2" w14:textId="531466E7"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360,000,000 </w:t>
            </w:r>
          </w:p>
        </w:tc>
        <w:tc>
          <w:tcPr>
            <w:tcW w:w="466" w:type="pct"/>
            <w:tcBorders>
              <w:top w:val="nil"/>
              <w:left w:val="nil"/>
              <w:bottom w:val="single" w:sz="4" w:space="0" w:color="auto"/>
              <w:right w:val="single" w:sz="4" w:space="0" w:color="auto"/>
            </w:tcBorders>
            <w:shd w:val="clear" w:color="000000" w:fill="FFD579"/>
            <w:vAlign w:val="center"/>
            <w:hideMark/>
          </w:tcPr>
          <w:p w14:paraId="01BB04B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140,000,000 </w:t>
            </w:r>
          </w:p>
        </w:tc>
      </w:tr>
      <w:tr w:rsidR="00DF095A" w:rsidRPr="000E152E" w14:paraId="01BB04C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B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B6" w14:textId="43BF21EB"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Forcimi i mekanizmit të konsultimit me të gjithë aktorët përfshirë OJF përfaqësuese të interesave të PAK për të diskutuar praktikat</w:t>
            </w:r>
            <w:r w:rsidR="000E152E" w:rsidRPr="000E152E">
              <w:rPr>
                <w:rFonts w:ascii="Garamond" w:eastAsia="Times New Roman" w:hAnsi="Garamond"/>
                <w:color w:val="000000"/>
                <w:sz w:val="14"/>
                <w:szCs w:val="14"/>
                <w:lang w:eastAsia="sq-AL"/>
              </w:rPr>
              <w:t xml:space="preserve"> </w:t>
            </w:r>
            <w:r w:rsidRPr="000E152E">
              <w:rPr>
                <w:rFonts w:ascii="Garamond" w:eastAsia="Times New Roman" w:hAnsi="Garamond"/>
                <w:color w:val="000000"/>
                <w:sz w:val="14"/>
                <w:szCs w:val="14"/>
                <w:lang w:eastAsia="sq-AL"/>
              </w:rPr>
              <w:t>e mira dhe nevojat për përmirësime</w:t>
            </w:r>
          </w:p>
        </w:tc>
        <w:tc>
          <w:tcPr>
            <w:tcW w:w="380" w:type="pct"/>
            <w:tcBorders>
              <w:top w:val="nil"/>
              <w:left w:val="nil"/>
              <w:bottom w:val="single" w:sz="4" w:space="0" w:color="auto"/>
              <w:right w:val="single" w:sz="4" w:space="0" w:color="auto"/>
            </w:tcBorders>
            <w:shd w:val="clear" w:color="000000" w:fill="FFD579"/>
            <w:vAlign w:val="center"/>
            <w:hideMark/>
          </w:tcPr>
          <w:p w14:paraId="01BB04B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4B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AKPA</w:t>
            </w:r>
          </w:p>
        </w:tc>
        <w:tc>
          <w:tcPr>
            <w:tcW w:w="327" w:type="pct"/>
            <w:tcBorders>
              <w:top w:val="nil"/>
              <w:left w:val="nil"/>
              <w:bottom w:val="single" w:sz="4" w:space="0" w:color="auto"/>
              <w:right w:val="single" w:sz="4" w:space="0" w:color="auto"/>
            </w:tcBorders>
            <w:shd w:val="clear" w:color="000000" w:fill="FFD579"/>
            <w:vAlign w:val="center"/>
            <w:hideMark/>
          </w:tcPr>
          <w:p w14:paraId="01BB04B9"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B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4B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BC" w14:textId="6C3BCB72"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B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B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4BF" w14:textId="009CE79A"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CC" w14:textId="77777777" w:rsidTr="00364541">
        <w:trPr>
          <w:trHeight w:val="180"/>
        </w:trPr>
        <w:tc>
          <w:tcPr>
            <w:tcW w:w="312" w:type="pct"/>
            <w:tcBorders>
              <w:top w:val="single" w:sz="4" w:space="0" w:color="auto"/>
              <w:left w:val="single" w:sz="4" w:space="0" w:color="auto"/>
              <w:bottom w:val="single" w:sz="4" w:space="0" w:color="auto"/>
              <w:right w:val="single" w:sz="4" w:space="0" w:color="auto"/>
            </w:tcBorders>
            <w:shd w:val="clear" w:color="000000" w:fill="A9D08E"/>
            <w:vAlign w:val="center"/>
            <w:hideMark/>
          </w:tcPr>
          <w:p w14:paraId="01BB04C1"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Objektivi specifik</w:t>
            </w:r>
          </w:p>
        </w:tc>
        <w:tc>
          <w:tcPr>
            <w:tcW w:w="1110" w:type="pct"/>
            <w:tcBorders>
              <w:top w:val="nil"/>
              <w:left w:val="nil"/>
              <w:bottom w:val="single" w:sz="4" w:space="0" w:color="auto"/>
              <w:right w:val="single" w:sz="4" w:space="0" w:color="auto"/>
            </w:tcBorders>
            <w:shd w:val="clear" w:color="000000" w:fill="A9D08E"/>
            <w:vAlign w:val="center"/>
            <w:hideMark/>
          </w:tcPr>
          <w:p w14:paraId="01BB04C2" w14:textId="77777777" w:rsidR="00DF095A" w:rsidRPr="000E152E" w:rsidRDefault="00DF095A" w:rsidP="00DF095A">
            <w:pPr>
              <w:spacing w:after="0" w:line="240" w:lineRule="auto"/>
              <w:rPr>
                <w:rFonts w:ascii="Garamond" w:eastAsia="Times New Roman" w:hAnsi="Garamond"/>
                <w:b/>
                <w:bCs/>
                <w:sz w:val="14"/>
                <w:szCs w:val="14"/>
                <w:lang w:eastAsia="sq-AL"/>
              </w:rPr>
            </w:pPr>
            <w:r w:rsidRPr="000E152E">
              <w:rPr>
                <w:rFonts w:ascii="Garamond" w:eastAsia="Times New Roman" w:hAnsi="Garamond"/>
                <w:b/>
                <w:bCs/>
                <w:sz w:val="14"/>
                <w:szCs w:val="14"/>
                <w:lang w:eastAsia="sq-AL"/>
              </w:rPr>
              <w:t xml:space="preserve"> OBJEKTIVI SPECIFIK 2.2: Sigurimi i punës së denjë për të gjithë dhe kudo</w:t>
            </w:r>
          </w:p>
        </w:tc>
        <w:tc>
          <w:tcPr>
            <w:tcW w:w="380" w:type="pct"/>
            <w:tcBorders>
              <w:top w:val="nil"/>
              <w:left w:val="nil"/>
              <w:bottom w:val="single" w:sz="4" w:space="0" w:color="auto"/>
              <w:right w:val="single" w:sz="4" w:space="0" w:color="auto"/>
            </w:tcBorders>
            <w:shd w:val="clear" w:color="000000" w:fill="A9D08E"/>
            <w:vAlign w:val="center"/>
            <w:hideMark/>
          </w:tcPr>
          <w:p w14:paraId="01BB04C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A9D08E"/>
            <w:vAlign w:val="center"/>
            <w:hideMark/>
          </w:tcPr>
          <w:p w14:paraId="01BB04C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A9D08E"/>
            <w:vAlign w:val="center"/>
            <w:hideMark/>
          </w:tcPr>
          <w:p w14:paraId="01BB04C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A9D08E"/>
            <w:vAlign w:val="center"/>
            <w:hideMark/>
          </w:tcPr>
          <w:p w14:paraId="01BB04C6"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A9D08E"/>
            <w:vAlign w:val="center"/>
            <w:hideMark/>
          </w:tcPr>
          <w:p w14:paraId="01BB04C7"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A9D08E"/>
            <w:vAlign w:val="center"/>
            <w:hideMark/>
          </w:tcPr>
          <w:p w14:paraId="01BB04C8"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 15,007,443,434.00 </w:t>
            </w:r>
          </w:p>
        </w:tc>
        <w:tc>
          <w:tcPr>
            <w:tcW w:w="487" w:type="pct"/>
            <w:tcBorders>
              <w:top w:val="nil"/>
              <w:left w:val="nil"/>
              <w:bottom w:val="single" w:sz="4" w:space="0" w:color="auto"/>
              <w:right w:val="single" w:sz="4" w:space="0" w:color="auto"/>
            </w:tcBorders>
            <w:shd w:val="clear" w:color="000000" w:fill="A9D08E"/>
            <w:vAlign w:val="center"/>
            <w:hideMark/>
          </w:tcPr>
          <w:p w14:paraId="01BB04C9"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10,587,653,431.99 </w:t>
            </w:r>
          </w:p>
        </w:tc>
        <w:tc>
          <w:tcPr>
            <w:tcW w:w="430" w:type="pct"/>
            <w:tcBorders>
              <w:top w:val="nil"/>
              <w:left w:val="nil"/>
              <w:bottom w:val="single" w:sz="4" w:space="0" w:color="auto"/>
              <w:right w:val="single" w:sz="4" w:space="0" w:color="auto"/>
            </w:tcBorders>
            <w:shd w:val="clear" w:color="000000" w:fill="A9D08E"/>
            <w:vAlign w:val="center"/>
            <w:hideMark/>
          </w:tcPr>
          <w:p w14:paraId="01BB04CA"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 23,800,000.00 </w:t>
            </w:r>
          </w:p>
        </w:tc>
        <w:tc>
          <w:tcPr>
            <w:tcW w:w="466" w:type="pct"/>
            <w:tcBorders>
              <w:top w:val="nil"/>
              <w:left w:val="nil"/>
              <w:bottom w:val="single" w:sz="4" w:space="0" w:color="auto"/>
              <w:right w:val="single" w:sz="4" w:space="0" w:color="auto"/>
            </w:tcBorders>
            <w:shd w:val="clear" w:color="000000" w:fill="A9D08E"/>
            <w:vAlign w:val="center"/>
            <w:hideMark/>
          </w:tcPr>
          <w:p w14:paraId="01BB04CB"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 4,395,990,002.01 </w:t>
            </w:r>
          </w:p>
        </w:tc>
      </w:tr>
      <w:tr w:rsidR="00DF095A" w:rsidRPr="000E152E" w14:paraId="01BB04D8" w14:textId="77777777" w:rsidTr="00364541">
        <w:trPr>
          <w:trHeight w:val="180"/>
        </w:trPr>
        <w:tc>
          <w:tcPr>
            <w:tcW w:w="312" w:type="pct"/>
            <w:tcBorders>
              <w:top w:val="nil"/>
              <w:left w:val="single" w:sz="4" w:space="0" w:color="auto"/>
              <w:bottom w:val="single" w:sz="4" w:space="0" w:color="auto"/>
              <w:right w:val="single" w:sz="4" w:space="0" w:color="auto"/>
            </w:tcBorders>
            <w:shd w:val="clear" w:color="000000" w:fill="9BC2E6"/>
            <w:vAlign w:val="center"/>
            <w:hideMark/>
          </w:tcPr>
          <w:p w14:paraId="01BB04CD"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4CE"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2.2.1. Fuqizimi dhe përmirësimi i efikasitetit të inspektimit në punë në të gjithë territorin e vendit</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4CF"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4D0"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4D1"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4D2"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4D3"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4D4"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1,705,143,434 </w:t>
            </w:r>
          </w:p>
        </w:tc>
        <w:tc>
          <w:tcPr>
            <w:tcW w:w="487" w:type="pct"/>
            <w:tcBorders>
              <w:top w:val="nil"/>
              <w:left w:val="nil"/>
              <w:bottom w:val="single" w:sz="4" w:space="0" w:color="auto"/>
              <w:right w:val="single" w:sz="4" w:space="0" w:color="auto"/>
            </w:tcBorders>
            <w:shd w:val="clear" w:color="000000" w:fill="9BC2E6"/>
            <w:vAlign w:val="center"/>
            <w:hideMark/>
          </w:tcPr>
          <w:p w14:paraId="01BB04D5"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1,516,000,000 </w:t>
            </w:r>
          </w:p>
        </w:tc>
        <w:tc>
          <w:tcPr>
            <w:tcW w:w="430" w:type="pct"/>
            <w:tcBorders>
              <w:top w:val="nil"/>
              <w:left w:val="nil"/>
              <w:bottom w:val="single" w:sz="4" w:space="0" w:color="auto"/>
              <w:right w:val="single" w:sz="4" w:space="0" w:color="auto"/>
            </w:tcBorders>
            <w:shd w:val="clear" w:color="000000" w:fill="9BC2E6"/>
            <w:vAlign w:val="center"/>
            <w:hideMark/>
          </w:tcPr>
          <w:p w14:paraId="01BB04D6"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14,000,000 </w:t>
            </w:r>
          </w:p>
        </w:tc>
        <w:tc>
          <w:tcPr>
            <w:tcW w:w="466" w:type="pct"/>
            <w:tcBorders>
              <w:top w:val="nil"/>
              <w:left w:val="nil"/>
              <w:bottom w:val="single" w:sz="4" w:space="0" w:color="auto"/>
              <w:right w:val="single" w:sz="4" w:space="0" w:color="auto"/>
            </w:tcBorders>
            <w:shd w:val="clear" w:color="000000" w:fill="9BC2E6"/>
            <w:vAlign w:val="center"/>
            <w:hideMark/>
          </w:tcPr>
          <w:p w14:paraId="01BB04D7"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175,143,434 </w:t>
            </w:r>
          </w:p>
        </w:tc>
      </w:tr>
      <w:tr w:rsidR="00DF095A" w:rsidRPr="000E152E" w14:paraId="01BB04E4"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4D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4D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Përmirësimi i mëtejshëm i infrastrukturës së inspektimit </w:t>
            </w:r>
          </w:p>
        </w:tc>
        <w:tc>
          <w:tcPr>
            <w:tcW w:w="380" w:type="pct"/>
            <w:tcBorders>
              <w:top w:val="nil"/>
              <w:left w:val="nil"/>
              <w:bottom w:val="single" w:sz="4" w:space="0" w:color="auto"/>
              <w:right w:val="single" w:sz="4" w:space="0" w:color="auto"/>
            </w:tcBorders>
            <w:shd w:val="clear" w:color="000000" w:fill="FFD579"/>
            <w:vAlign w:val="center"/>
            <w:hideMark/>
          </w:tcPr>
          <w:p w14:paraId="01BB04D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4D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4D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D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w:t>
            </w:r>
          </w:p>
        </w:tc>
        <w:tc>
          <w:tcPr>
            <w:tcW w:w="395" w:type="pct"/>
            <w:tcBorders>
              <w:top w:val="nil"/>
              <w:left w:val="nil"/>
              <w:bottom w:val="single" w:sz="4" w:space="0" w:color="auto"/>
              <w:right w:val="single" w:sz="4" w:space="0" w:color="auto"/>
            </w:tcBorders>
            <w:shd w:val="clear" w:color="000000" w:fill="FFD579"/>
            <w:vAlign w:val="center"/>
            <w:hideMark/>
          </w:tcPr>
          <w:p w14:paraId="01BB04D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4E0"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1,662,363,434 </w:t>
            </w:r>
          </w:p>
        </w:tc>
        <w:tc>
          <w:tcPr>
            <w:tcW w:w="487" w:type="pct"/>
            <w:tcBorders>
              <w:top w:val="nil"/>
              <w:left w:val="nil"/>
              <w:bottom w:val="single" w:sz="4" w:space="0" w:color="auto"/>
              <w:right w:val="single" w:sz="4" w:space="0" w:color="auto"/>
            </w:tcBorders>
            <w:shd w:val="clear" w:color="000000" w:fill="FFD579"/>
            <w:vAlign w:val="center"/>
            <w:hideMark/>
          </w:tcPr>
          <w:p w14:paraId="01BB04E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1,510,000,000 </w:t>
            </w:r>
          </w:p>
        </w:tc>
        <w:tc>
          <w:tcPr>
            <w:tcW w:w="430" w:type="pct"/>
            <w:tcBorders>
              <w:top w:val="nil"/>
              <w:left w:val="nil"/>
              <w:bottom w:val="single" w:sz="4" w:space="0" w:color="auto"/>
              <w:right w:val="single" w:sz="4" w:space="0" w:color="auto"/>
            </w:tcBorders>
            <w:shd w:val="clear" w:color="000000" w:fill="FFD579"/>
            <w:vAlign w:val="center"/>
            <w:hideMark/>
          </w:tcPr>
          <w:p w14:paraId="01BB04E2" w14:textId="6FEFDB96"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E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152,363,434 </w:t>
            </w:r>
          </w:p>
        </w:tc>
      </w:tr>
      <w:tr w:rsidR="00DF095A" w:rsidRPr="000E152E" w14:paraId="01BB04F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E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E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Fuqizimi i sistemit të menaxhimit të performancës dhe monitorimit të inspektorëve</w:t>
            </w:r>
          </w:p>
        </w:tc>
        <w:tc>
          <w:tcPr>
            <w:tcW w:w="380" w:type="pct"/>
            <w:tcBorders>
              <w:top w:val="nil"/>
              <w:left w:val="nil"/>
              <w:bottom w:val="single" w:sz="4" w:space="0" w:color="auto"/>
              <w:right w:val="single" w:sz="4" w:space="0" w:color="auto"/>
            </w:tcBorders>
            <w:shd w:val="clear" w:color="000000" w:fill="FFD579"/>
            <w:vAlign w:val="center"/>
            <w:hideMark/>
          </w:tcPr>
          <w:p w14:paraId="01BB04E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4E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4E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4E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4E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4EC" w14:textId="18FEE9BE"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4ED" w14:textId="3F370821"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4EE" w14:textId="4EBA8B0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4EF" w14:textId="20F119D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4F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F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F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Përditësimi i kornizës ligjore të inspektimit në punë</w:t>
            </w:r>
          </w:p>
        </w:tc>
        <w:tc>
          <w:tcPr>
            <w:tcW w:w="380" w:type="pct"/>
            <w:tcBorders>
              <w:top w:val="nil"/>
              <w:left w:val="nil"/>
              <w:bottom w:val="single" w:sz="4" w:space="0" w:color="auto"/>
              <w:right w:val="single" w:sz="4" w:space="0" w:color="auto"/>
            </w:tcBorders>
            <w:shd w:val="clear" w:color="000000" w:fill="FFD579"/>
            <w:vAlign w:val="center"/>
            <w:hideMark/>
          </w:tcPr>
          <w:p w14:paraId="01BB04F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4F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4F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 KKP</w:t>
            </w:r>
          </w:p>
        </w:tc>
        <w:tc>
          <w:tcPr>
            <w:tcW w:w="286" w:type="pct"/>
            <w:tcBorders>
              <w:top w:val="nil"/>
              <w:left w:val="nil"/>
              <w:bottom w:val="single" w:sz="4" w:space="0" w:color="auto"/>
              <w:right w:val="single" w:sz="4" w:space="0" w:color="auto"/>
            </w:tcBorders>
            <w:shd w:val="clear" w:color="000000" w:fill="FFD579"/>
            <w:vAlign w:val="center"/>
            <w:hideMark/>
          </w:tcPr>
          <w:p w14:paraId="01BB04F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2023</w:t>
            </w:r>
          </w:p>
        </w:tc>
        <w:tc>
          <w:tcPr>
            <w:tcW w:w="395" w:type="pct"/>
            <w:tcBorders>
              <w:top w:val="nil"/>
              <w:left w:val="nil"/>
              <w:bottom w:val="single" w:sz="4" w:space="0" w:color="auto"/>
              <w:right w:val="single" w:sz="4" w:space="0" w:color="auto"/>
            </w:tcBorders>
            <w:shd w:val="clear" w:color="000000" w:fill="FFD579"/>
            <w:vAlign w:val="center"/>
            <w:hideMark/>
          </w:tcPr>
          <w:p w14:paraId="01BB04F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4F8"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3,600,000 </w:t>
            </w:r>
          </w:p>
        </w:tc>
        <w:tc>
          <w:tcPr>
            <w:tcW w:w="487" w:type="pct"/>
            <w:tcBorders>
              <w:top w:val="nil"/>
              <w:left w:val="nil"/>
              <w:bottom w:val="single" w:sz="4" w:space="0" w:color="auto"/>
              <w:right w:val="single" w:sz="4" w:space="0" w:color="auto"/>
            </w:tcBorders>
            <w:shd w:val="clear" w:color="000000" w:fill="FFD579"/>
            <w:vAlign w:val="center"/>
            <w:hideMark/>
          </w:tcPr>
          <w:p w14:paraId="01BB04F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4F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4FB" w14:textId="465834E8"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3,600,000 </w:t>
            </w:r>
          </w:p>
        </w:tc>
      </w:tr>
      <w:tr w:rsidR="00DF095A" w:rsidRPr="000E152E" w14:paraId="01BB050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4F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4F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Zhvillimi i mëtejshëm i sistemeve digjitale të inspektimit të punës, përfshirë e-Inspection, dhe shkëmbimi i informacionit ndërmjet institucioneve të tjera</w:t>
            </w:r>
          </w:p>
        </w:tc>
        <w:tc>
          <w:tcPr>
            <w:tcW w:w="380" w:type="pct"/>
            <w:tcBorders>
              <w:top w:val="nil"/>
              <w:left w:val="nil"/>
              <w:bottom w:val="single" w:sz="4" w:space="0" w:color="auto"/>
              <w:right w:val="single" w:sz="4" w:space="0" w:color="auto"/>
            </w:tcBorders>
            <w:shd w:val="clear" w:color="000000" w:fill="FFD579"/>
            <w:vAlign w:val="center"/>
            <w:hideMark/>
          </w:tcPr>
          <w:p w14:paraId="01BB04F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50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50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Inspektorati Qendror</w:t>
            </w:r>
          </w:p>
        </w:tc>
        <w:tc>
          <w:tcPr>
            <w:tcW w:w="286" w:type="pct"/>
            <w:tcBorders>
              <w:top w:val="nil"/>
              <w:left w:val="nil"/>
              <w:bottom w:val="single" w:sz="4" w:space="0" w:color="auto"/>
              <w:right w:val="single" w:sz="4" w:space="0" w:color="auto"/>
            </w:tcBorders>
            <w:shd w:val="clear" w:color="000000" w:fill="FFD579"/>
            <w:vAlign w:val="center"/>
            <w:hideMark/>
          </w:tcPr>
          <w:p w14:paraId="01BB050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0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0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12,000,000 </w:t>
            </w:r>
          </w:p>
        </w:tc>
        <w:tc>
          <w:tcPr>
            <w:tcW w:w="487" w:type="pct"/>
            <w:tcBorders>
              <w:top w:val="nil"/>
              <w:left w:val="nil"/>
              <w:bottom w:val="single" w:sz="4" w:space="0" w:color="auto"/>
              <w:right w:val="single" w:sz="4" w:space="0" w:color="auto"/>
            </w:tcBorders>
            <w:shd w:val="clear" w:color="000000" w:fill="FFD579"/>
            <w:vAlign w:val="center"/>
            <w:hideMark/>
          </w:tcPr>
          <w:p w14:paraId="01BB050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6,000,000 </w:t>
            </w:r>
          </w:p>
        </w:tc>
        <w:tc>
          <w:tcPr>
            <w:tcW w:w="430" w:type="pct"/>
            <w:tcBorders>
              <w:top w:val="nil"/>
              <w:left w:val="nil"/>
              <w:bottom w:val="single" w:sz="4" w:space="0" w:color="auto"/>
              <w:right w:val="single" w:sz="4" w:space="0" w:color="auto"/>
            </w:tcBorders>
            <w:shd w:val="clear" w:color="000000" w:fill="FFD579"/>
            <w:vAlign w:val="center"/>
            <w:hideMark/>
          </w:tcPr>
          <w:p w14:paraId="01BB0506" w14:textId="3359C6B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507" w14:textId="48ABBE39" w:rsidR="00DF095A" w:rsidRPr="000E152E" w:rsidRDefault="000E152E"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6,000,000 </w:t>
            </w:r>
          </w:p>
        </w:tc>
      </w:tr>
      <w:tr w:rsidR="00DF095A" w:rsidRPr="000E152E" w14:paraId="01BB051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0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0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Planifikimi i inspektimeve mbi bazë risku dhe përputhshmërie me kërkesat e legjislacionit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50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50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50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Inspektorati Qendror</w:t>
            </w:r>
          </w:p>
        </w:tc>
        <w:tc>
          <w:tcPr>
            <w:tcW w:w="286" w:type="pct"/>
            <w:tcBorders>
              <w:top w:val="nil"/>
              <w:left w:val="nil"/>
              <w:bottom w:val="single" w:sz="4" w:space="0" w:color="auto"/>
              <w:right w:val="single" w:sz="4" w:space="0" w:color="auto"/>
            </w:tcBorders>
            <w:shd w:val="clear" w:color="000000" w:fill="FFD579"/>
            <w:vAlign w:val="center"/>
            <w:hideMark/>
          </w:tcPr>
          <w:p w14:paraId="01BB050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0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10"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17,100,000 </w:t>
            </w:r>
          </w:p>
        </w:tc>
        <w:tc>
          <w:tcPr>
            <w:tcW w:w="487" w:type="pct"/>
            <w:tcBorders>
              <w:top w:val="nil"/>
              <w:left w:val="nil"/>
              <w:bottom w:val="single" w:sz="4" w:space="0" w:color="auto"/>
              <w:right w:val="single" w:sz="4" w:space="0" w:color="auto"/>
            </w:tcBorders>
            <w:shd w:val="clear" w:color="000000" w:fill="FFD579"/>
            <w:vAlign w:val="center"/>
            <w:hideMark/>
          </w:tcPr>
          <w:p w14:paraId="01BB051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1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4,800,000 </w:t>
            </w:r>
          </w:p>
        </w:tc>
        <w:tc>
          <w:tcPr>
            <w:tcW w:w="466" w:type="pct"/>
            <w:tcBorders>
              <w:top w:val="nil"/>
              <w:left w:val="nil"/>
              <w:bottom w:val="single" w:sz="4" w:space="0" w:color="auto"/>
              <w:right w:val="single" w:sz="4" w:space="0" w:color="auto"/>
            </w:tcBorders>
            <w:shd w:val="clear" w:color="000000" w:fill="FFD579"/>
            <w:vAlign w:val="center"/>
            <w:hideMark/>
          </w:tcPr>
          <w:p w14:paraId="01BB051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12,300,000 </w:t>
            </w:r>
          </w:p>
        </w:tc>
      </w:tr>
      <w:tr w:rsidR="00DF095A" w:rsidRPr="000E152E" w14:paraId="01BB052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1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1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Përditësimi dhe publikimi i vazhdueshëm i listave të verifikimit dhe kryerja gjithnjë e më tepër e inspektimeve sipas këtyre listave</w:t>
            </w:r>
          </w:p>
        </w:tc>
        <w:tc>
          <w:tcPr>
            <w:tcW w:w="380" w:type="pct"/>
            <w:tcBorders>
              <w:top w:val="nil"/>
              <w:left w:val="nil"/>
              <w:bottom w:val="single" w:sz="4" w:space="0" w:color="auto"/>
              <w:right w:val="single" w:sz="4" w:space="0" w:color="auto"/>
            </w:tcBorders>
            <w:shd w:val="clear" w:color="000000" w:fill="FFD579"/>
            <w:vAlign w:val="center"/>
            <w:hideMark/>
          </w:tcPr>
          <w:p w14:paraId="01BB051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51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51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1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1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1C" w14:textId="3D0DD550"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1D" w14:textId="3455A7BF"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51E" w14:textId="0B7FAF94"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51F" w14:textId="7E6219CC"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2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2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2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Organizimi i aktiviteteve për ndërgjegjësuar punëdhënësit dhe punëmarrësit në lidhje me të drejtat dhe përgjegjësitë ndaj kërkesave ligjore të kushteve të punës duke fuqizuar sistemin informues dhe këshillues</w:t>
            </w:r>
          </w:p>
        </w:tc>
        <w:tc>
          <w:tcPr>
            <w:tcW w:w="380" w:type="pct"/>
            <w:tcBorders>
              <w:top w:val="nil"/>
              <w:left w:val="nil"/>
              <w:bottom w:val="single" w:sz="4" w:space="0" w:color="auto"/>
              <w:right w:val="single" w:sz="4" w:space="0" w:color="auto"/>
            </w:tcBorders>
            <w:shd w:val="clear" w:color="000000" w:fill="FFD579"/>
            <w:vAlign w:val="center"/>
            <w:hideMark/>
          </w:tcPr>
          <w:p w14:paraId="01BB052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4170</w:t>
            </w:r>
          </w:p>
        </w:tc>
        <w:tc>
          <w:tcPr>
            <w:tcW w:w="309" w:type="pct"/>
            <w:tcBorders>
              <w:top w:val="nil"/>
              <w:left w:val="nil"/>
              <w:bottom w:val="single" w:sz="4" w:space="0" w:color="auto"/>
              <w:right w:val="single" w:sz="4" w:space="0" w:color="auto"/>
            </w:tcBorders>
            <w:shd w:val="clear" w:color="000000" w:fill="FFD579"/>
            <w:vAlign w:val="center"/>
            <w:hideMark/>
          </w:tcPr>
          <w:p w14:paraId="01BB052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ISHPSHSH</w:t>
            </w:r>
          </w:p>
        </w:tc>
        <w:tc>
          <w:tcPr>
            <w:tcW w:w="327" w:type="pct"/>
            <w:tcBorders>
              <w:top w:val="nil"/>
              <w:left w:val="nil"/>
              <w:bottom w:val="single" w:sz="4" w:space="0" w:color="auto"/>
              <w:right w:val="single" w:sz="4" w:space="0" w:color="auto"/>
            </w:tcBorders>
            <w:shd w:val="clear" w:color="000000" w:fill="FFD579"/>
            <w:vAlign w:val="center"/>
            <w:hideMark/>
          </w:tcPr>
          <w:p w14:paraId="01BB052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2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2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28"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10,080,000 </w:t>
            </w:r>
          </w:p>
        </w:tc>
        <w:tc>
          <w:tcPr>
            <w:tcW w:w="487" w:type="pct"/>
            <w:tcBorders>
              <w:top w:val="nil"/>
              <w:left w:val="nil"/>
              <w:bottom w:val="single" w:sz="4" w:space="0" w:color="auto"/>
              <w:right w:val="single" w:sz="4" w:space="0" w:color="auto"/>
            </w:tcBorders>
            <w:shd w:val="clear" w:color="000000" w:fill="FFD579"/>
            <w:vAlign w:val="center"/>
            <w:hideMark/>
          </w:tcPr>
          <w:p w14:paraId="01BB052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2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9,200,000 </w:t>
            </w:r>
          </w:p>
        </w:tc>
        <w:tc>
          <w:tcPr>
            <w:tcW w:w="466" w:type="pct"/>
            <w:tcBorders>
              <w:top w:val="nil"/>
              <w:left w:val="nil"/>
              <w:bottom w:val="single" w:sz="4" w:space="0" w:color="auto"/>
              <w:right w:val="single" w:sz="4" w:space="0" w:color="auto"/>
            </w:tcBorders>
            <w:shd w:val="clear" w:color="000000" w:fill="FFD579"/>
            <w:vAlign w:val="center"/>
            <w:hideMark/>
          </w:tcPr>
          <w:p w14:paraId="01BB052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880,000 </w:t>
            </w:r>
          </w:p>
        </w:tc>
      </w:tr>
      <w:tr w:rsidR="00DF095A" w:rsidRPr="000E152E" w14:paraId="01BB0538" w14:textId="77777777" w:rsidTr="00364541">
        <w:trPr>
          <w:trHeight w:val="180"/>
        </w:trPr>
        <w:tc>
          <w:tcPr>
            <w:tcW w:w="312"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1BB052D"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52E"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2.2.2. Promovimi i dialogut social në tregun e punës</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52F"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530"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531"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532"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533"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534"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6,300,000 </w:t>
            </w:r>
          </w:p>
        </w:tc>
        <w:tc>
          <w:tcPr>
            <w:tcW w:w="487" w:type="pct"/>
            <w:tcBorders>
              <w:top w:val="nil"/>
              <w:left w:val="nil"/>
              <w:bottom w:val="single" w:sz="4" w:space="0" w:color="auto"/>
              <w:right w:val="single" w:sz="4" w:space="0" w:color="auto"/>
            </w:tcBorders>
            <w:shd w:val="clear" w:color="000000" w:fill="9BC2E6"/>
            <w:vAlign w:val="center"/>
            <w:hideMark/>
          </w:tcPr>
          <w:p w14:paraId="01BB0535"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0 </w:t>
            </w:r>
          </w:p>
        </w:tc>
        <w:tc>
          <w:tcPr>
            <w:tcW w:w="430" w:type="pct"/>
            <w:tcBorders>
              <w:top w:val="nil"/>
              <w:left w:val="nil"/>
              <w:bottom w:val="single" w:sz="4" w:space="0" w:color="auto"/>
              <w:right w:val="single" w:sz="4" w:space="0" w:color="auto"/>
            </w:tcBorders>
            <w:shd w:val="clear" w:color="000000" w:fill="9BC2E6"/>
            <w:vAlign w:val="center"/>
            <w:hideMark/>
          </w:tcPr>
          <w:p w14:paraId="01BB0536"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5,000,000 </w:t>
            </w:r>
          </w:p>
        </w:tc>
        <w:tc>
          <w:tcPr>
            <w:tcW w:w="466" w:type="pct"/>
            <w:tcBorders>
              <w:top w:val="nil"/>
              <w:left w:val="nil"/>
              <w:bottom w:val="single" w:sz="4" w:space="0" w:color="auto"/>
              <w:right w:val="single" w:sz="4" w:space="0" w:color="auto"/>
            </w:tcBorders>
            <w:shd w:val="clear" w:color="000000" w:fill="9BC2E6"/>
            <w:vAlign w:val="center"/>
            <w:hideMark/>
          </w:tcPr>
          <w:p w14:paraId="01BB0537"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1,300,000 </w:t>
            </w:r>
          </w:p>
        </w:tc>
      </w:tr>
      <w:tr w:rsidR="00DF095A" w:rsidRPr="000E152E" w14:paraId="01BB0544"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53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53A" w14:textId="181916B8" w:rsidR="00DF095A" w:rsidRPr="000E152E" w:rsidRDefault="00DF095A" w:rsidP="00B9759C">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Mbështetje e ndërveprimit tr</w:t>
            </w:r>
            <w:r w:rsidR="00B9759C">
              <w:rPr>
                <w:rFonts w:ascii="Garamond" w:eastAsia="Times New Roman" w:hAnsi="Garamond"/>
                <w:color w:val="000000"/>
                <w:sz w:val="14"/>
                <w:szCs w:val="14"/>
                <w:lang w:eastAsia="sq-AL"/>
              </w:rPr>
              <w:t>e</w:t>
            </w:r>
            <w:r w:rsidRPr="000E152E">
              <w:rPr>
                <w:rFonts w:ascii="Garamond" w:eastAsia="Times New Roman" w:hAnsi="Garamond"/>
                <w:color w:val="000000"/>
                <w:sz w:val="14"/>
                <w:szCs w:val="14"/>
                <w:lang w:eastAsia="sq-AL"/>
              </w:rPr>
              <w:t>palësh punëdhënës-punëmarrës-institucione që promovon dialog social efektiv dhe llogaridhënieje transparente</w:t>
            </w:r>
          </w:p>
        </w:tc>
        <w:tc>
          <w:tcPr>
            <w:tcW w:w="380" w:type="pct"/>
            <w:tcBorders>
              <w:top w:val="nil"/>
              <w:left w:val="nil"/>
              <w:bottom w:val="single" w:sz="4" w:space="0" w:color="auto"/>
              <w:right w:val="single" w:sz="4" w:space="0" w:color="auto"/>
            </w:tcBorders>
            <w:shd w:val="clear" w:color="000000" w:fill="FFD579"/>
            <w:vAlign w:val="center"/>
            <w:hideMark/>
          </w:tcPr>
          <w:p w14:paraId="01BB053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3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3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KKP</w:t>
            </w:r>
          </w:p>
        </w:tc>
        <w:tc>
          <w:tcPr>
            <w:tcW w:w="286" w:type="pct"/>
            <w:tcBorders>
              <w:top w:val="nil"/>
              <w:left w:val="nil"/>
              <w:bottom w:val="single" w:sz="4" w:space="0" w:color="auto"/>
              <w:right w:val="single" w:sz="4" w:space="0" w:color="auto"/>
            </w:tcBorders>
            <w:shd w:val="clear" w:color="000000" w:fill="FFD579"/>
            <w:vAlign w:val="center"/>
            <w:hideMark/>
          </w:tcPr>
          <w:p w14:paraId="01BB053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3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40" w14:textId="418EE8BD"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4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4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43" w14:textId="280AC4D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5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4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46" w14:textId="77777777"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Vlerësimi i nevojave dhe fuqizimi i dialogut social në nivel lokal</w:t>
            </w:r>
          </w:p>
        </w:tc>
        <w:tc>
          <w:tcPr>
            <w:tcW w:w="380" w:type="pct"/>
            <w:tcBorders>
              <w:top w:val="nil"/>
              <w:left w:val="nil"/>
              <w:bottom w:val="single" w:sz="4" w:space="0" w:color="auto"/>
              <w:right w:val="single" w:sz="4" w:space="0" w:color="auto"/>
            </w:tcBorders>
            <w:shd w:val="clear" w:color="000000" w:fill="FFD579"/>
            <w:vAlign w:val="center"/>
            <w:hideMark/>
          </w:tcPr>
          <w:p w14:paraId="01BB054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4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49"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NJQV</w:t>
            </w:r>
          </w:p>
        </w:tc>
        <w:tc>
          <w:tcPr>
            <w:tcW w:w="286" w:type="pct"/>
            <w:tcBorders>
              <w:top w:val="nil"/>
              <w:left w:val="nil"/>
              <w:bottom w:val="single" w:sz="4" w:space="0" w:color="auto"/>
              <w:right w:val="single" w:sz="4" w:space="0" w:color="auto"/>
            </w:tcBorders>
            <w:shd w:val="clear" w:color="000000" w:fill="FFD579"/>
            <w:vAlign w:val="center"/>
            <w:hideMark/>
          </w:tcPr>
          <w:p w14:paraId="01BB054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4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4C" w14:textId="77777777"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 xml:space="preserve">500,000 </w:t>
            </w:r>
          </w:p>
        </w:tc>
        <w:tc>
          <w:tcPr>
            <w:tcW w:w="487" w:type="pct"/>
            <w:tcBorders>
              <w:top w:val="nil"/>
              <w:left w:val="nil"/>
              <w:bottom w:val="single" w:sz="4" w:space="0" w:color="auto"/>
              <w:right w:val="single" w:sz="4" w:space="0" w:color="auto"/>
            </w:tcBorders>
            <w:shd w:val="clear" w:color="000000" w:fill="FFD579"/>
            <w:vAlign w:val="center"/>
            <w:hideMark/>
          </w:tcPr>
          <w:p w14:paraId="01BB054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4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4F" w14:textId="079C990E" w:rsidR="00DF095A" w:rsidRPr="000E152E" w:rsidRDefault="000E152E"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 xml:space="preserve"> </w:t>
            </w:r>
            <w:r w:rsidR="00DF095A" w:rsidRPr="000E152E">
              <w:rPr>
                <w:rFonts w:ascii="Garamond" w:eastAsia="Times New Roman" w:hAnsi="Garamond"/>
                <w:sz w:val="14"/>
                <w:szCs w:val="14"/>
                <w:lang w:eastAsia="sq-AL"/>
              </w:rPr>
              <w:t xml:space="preserve">500,000 </w:t>
            </w:r>
          </w:p>
        </w:tc>
      </w:tr>
      <w:tr w:rsidR="00DF095A" w:rsidRPr="000E152E" w14:paraId="01BB055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5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5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Aktivizimi i komisioneve teknike të Këshillit Kombëtar të Punës</w:t>
            </w:r>
          </w:p>
        </w:tc>
        <w:tc>
          <w:tcPr>
            <w:tcW w:w="380" w:type="pct"/>
            <w:tcBorders>
              <w:top w:val="nil"/>
              <w:left w:val="nil"/>
              <w:bottom w:val="single" w:sz="4" w:space="0" w:color="auto"/>
              <w:right w:val="single" w:sz="4" w:space="0" w:color="auto"/>
            </w:tcBorders>
            <w:shd w:val="clear" w:color="000000" w:fill="FFD579"/>
            <w:vAlign w:val="center"/>
            <w:hideMark/>
          </w:tcPr>
          <w:p w14:paraId="01BB055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5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5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KKP</w:t>
            </w:r>
          </w:p>
        </w:tc>
        <w:tc>
          <w:tcPr>
            <w:tcW w:w="286" w:type="pct"/>
            <w:tcBorders>
              <w:top w:val="nil"/>
              <w:left w:val="nil"/>
              <w:bottom w:val="single" w:sz="4" w:space="0" w:color="auto"/>
              <w:right w:val="single" w:sz="4" w:space="0" w:color="auto"/>
            </w:tcBorders>
            <w:shd w:val="clear" w:color="000000" w:fill="FFD579"/>
            <w:vAlign w:val="center"/>
            <w:hideMark/>
          </w:tcPr>
          <w:p w14:paraId="01BB055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5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58" w14:textId="1F9D80FA"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5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5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5B" w14:textId="085DDB4B" w:rsidR="00DF095A" w:rsidRPr="000E152E" w:rsidRDefault="00DF095A" w:rsidP="00DF095A">
            <w:pPr>
              <w:spacing w:after="0" w:line="240" w:lineRule="auto"/>
              <w:jc w:val="center"/>
              <w:rPr>
                <w:rFonts w:ascii="Garamond" w:eastAsia="Times New Roman" w:hAnsi="Garamond"/>
                <w:color w:val="FF0000"/>
                <w:sz w:val="14"/>
                <w:szCs w:val="14"/>
                <w:lang w:eastAsia="sq-AL"/>
              </w:rPr>
            </w:pPr>
            <w:r w:rsidRPr="000E152E">
              <w:rPr>
                <w:rFonts w:ascii="Garamond" w:eastAsia="Times New Roman" w:hAnsi="Garamond"/>
                <w:color w:val="FF0000"/>
                <w:sz w:val="14"/>
                <w:szCs w:val="14"/>
                <w:lang w:eastAsia="sq-AL"/>
              </w:rPr>
              <w:t>-</w:t>
            </w:r>
            <w:r w:rsidR="000E152E" w:rsidRPr="000E152E">
              <w:rPr>
                <w:rFonts w:ascii="Garamond" w:eastAsia="Times New Roman" w:hAnsi="Garamond"/>
                <w:color w:val="FF0000"/>
                <w:sz w:val="14"/>
                <w:szCs w:val="14"/>
                <w:lang w:eastAsia="sq-AL"/>
              </w:rPr>
              <w:t xml:space="preserve"> </w:t>
            </w:r>
          </w:p>
        </w:tc>
      </w:tr>
      <w:tr w:rsidR="00DF095A" w:rsidRPr="000E152E" w14:paraId="01BB056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5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5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Zhvillimi i sistemit për trajtimin e rasteve të konflikteve të kontratave kolektive dhe rregjistrimit të sindikatave</w:t>
            </w:r>
          </w:p>
        </w:tc>
        <w:tc>
          <w:tcPr>
            <w:tcW w:w="380" w:type="pct"/>
            <w:tcBorders>
              <w:top w:val="nil"/>
              <w:left w:val="nil"/>
              <w:bottom w:val="single" w:sz="4" w:space="0" w:color="auto"/>
              <w:right w:val="single" w:sz="4" w:space="0" w:color="auto"/>
            </w:tcBorders>
            <w:shd w:val="clear" w:color="000000" w:fill="FFD579"/>
            <w:vAlign w:val="center"/>
            <w:hideMark/>
          </w:tcPr>
          <w:p w14:paraId="01BB055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6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6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ISHPSH, partnerë socialë</w:t>
            </w:r>
          </w:p>
        </w:tc>
        <w:tc>
          <w:tcPr>
            <w:tcW w:w="286" w:type="pct"/>
            <w:tcBorders>
              <w:top w:val="nil"/>
              <w:left w:val="nil"/>
              <w:bottom w:val="single" w:sz="4" w:space="0" w:color="auto"/>
              <w:right w:val="single" w:sz="4" w:space="0" w:color="auto"/>
            </w:tcBorders>
            <w:shd w:val="clear" w:color="000000" w:fill="FFD579"/>
            <w:vAlign w:val="center"/>
            <w:hideMark/>
          </w:tcPr>
          <w:p w14:paraId="01BB056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6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2025</w:t>
            </w:r>
          </w:p>
        </w:tc>
        <w:tc>
          <w:tcPr>
            <w:tcW w:w="500" w:type="pct"/>
            <w:tcBorders>
              <w:top w:val="nil"/>
              <w:left w:val="nil"/>
              <w:bottom w:val="single" w:sz="4" w:space="0" w:color="auto"/>
              <w:right w:val="single" w:sz="4" w:space="0" w:color="auto"/>
            </w:tcBorders>
            <w:shd w:val="clear" w:color="000000" w:fill="FFD579"/>
            <w:vAlign w:val="center"/>
            <w:hideMark/>
          </w:tcPr>
          <w:p w14:paraId="01BB0564" w14:textId="77777777" w:rsidR="00DF095A" w:rsidRPr="000E152E" w:rsidRDefault="00DF095A" w:rsidP="00DF095A">
            <w:pPr>
              <w:spacing w:after="0" w:line="240" w:lineRule="auto"/>
              <w:rPr>
                <w:rFonts w:ascii="Garamond" w:eastAsia="Times New Roman" w:hAnsi="Garamond"/>
                <w:sz w:val="14"/>
                <w:szCs w:val="14"/>
                <w:lang w:eastAsia="sq-AL"/>
              </w:rPr>
            </w:pPr>
            <w:r w:rsidRPr="000E152E">
              <w:rPr>
                <w:rFonts w:ascii="Garamond" w:eastAsia="Times New Roman" w:hAnsi="Garamond"/>
                <w:sz w:val="14"/>
                <w:szCs w:val="14"/>
                <w:lang w:eastAsia="sq-AL"/>
              </w:rPr>
              <w:t xml:space="preserve">5,800,000 </w:t>
            </w:r>
          </w:p>
        </w:tc>
        <w:tc>
          <w:tcPr>
            <w:tcW w:w="487" w:type="pct"/>
            <w:tcBorders>
              <w:top w:val="nil"/>
              <w:left w:val="nil"/>
              <w:bottom w:val="single" w:sz="4" w:space="0" w:color="auto"/>
              <w:right w:val="single" w:sz="4" w:space="0" w:color="auto"/>
            </w:tcBorders>
            <w:shd w:val="clear" w:color="000000" w:fill="FFD579"/>
            <w:vAlign w:val="center"/>
            <w:hideMark/>
          </w:tcPr>
          <w:p w14:paraId="01BB056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6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5,000,000 </w:t>
            </w:r>
          </w:p>
        </w:tc>
        <w:tc>
          <w:tcPr>
            <w:tcW w:w="466" w:type="pct"/>
            <w:tcBorders>
              <w:top w:val="nil"/>
              <w:left w:val="nil"/>
              <w:bottom w:val="single" w:sz="4" w:space="0" w:color="auto"/>
              <w:right w:val="single" w:sz="4" w:space="0" w:color="auto"/>
            </w:tcBorders>
            <w:shd w:val="clear" w:color="000000" w:fill="FFD579"/>
            <w:vAlign w:val="center"/>
            <w:hideMark/>
          </w:tcPr>
          <w:p w14:paraId="01BB0567" w14:textId="77777777" w:rsidR="00DF095A" w:rsidRPr="000E152E" w:rsidRDefault="00DF095A" w:rsidP="00DF095A">
            <w:pPr>
              <w:spacing w:after="0" w:line="240" w:lineRule="auto"/>
              <w:jc w:val="center"/>
              <w:rPr>
                <w:rFonts w:ascii="Garamond" w:eastAsia="Times New Roman" w:hAnsi="Garamond"/>
                <w:sz w:val="14"/>
                <w:szCs w:val="14"/>
                <w:lang w:eastAsia="sq-AL"/>
              </w:rPr>
            </w:pPr>
            <w:r w:rsidRPr="000E152E">
              <w:rPr>
                <w:rFonts w:ascii="Garamond" w:eastAsia="Times New Roman" w:hAnsi="Garamond"/>
                <w:sz w:val="14"/>
                <w:szCs w:val="14"/>
                <w:lang w:eastAsia="sq-AL"/>
              </w:rPr>
              <w:t xml:space="preserve">800,000 </w:t>
            </w:r>
          </w:p>
        </w:tc>
      </w:tr>
      <w:tr w:rsidR="00DF095A" w:rsidRPr="000E152E" w14:paraId="01BB057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6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6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Mbështetja e dialogut gjithëpërfshirës social duke përfshirë organizatat e reja të punëmarrësve, punëdhënësve dhe shoqërisë civile</w:t>
            </w:r>
          </w:p>
        </w:tc>
        <w:tc>
          <w:tcPr>
            <w:tcW w:w="380" w:type="pct"/>
            <w:tcBorders>
              <w:top w:val="nil"/>
              <w:left w:val="nil"/>
              <w:bottom w:val="single" w:sz="4" w:space="0" w:color="auto"/>
              <w:right w:val="single" w:sz="4" w:space="0" w:color="auto"/>
            </w:tcBorders>
            <w:shd w:val="clear" w:color="000000" w:fill="FFD579"/>
            <w:vAlign w:val="center"/>
            <w:hideMark/>
          </w:tcPr>
          <w:p w14:paraId="01BB056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6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6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KKP, ISHPSHSH, AKPA</w:t>
            </w:r>
          </w:p>
        </w:tc>
        <w:tc>
          <w:tcPr>
            <w:tcW w:w="286" w:type="pct"/>
            <w:tcBorders>
              <w:top w:val="nil"/>
              <w:left w:val="nil"/>
              <w:bottom w:val="single" w:sz="4" w:space="0" w:color="auto"/>
              <w:right w:val="single" w:sz="4" w:space="0" w:color="auto"/>
            </w:tcBorders>
            <w:shd w:val="clear" w:color="000000" w:fill="FFD579"/>
            <w:vAlign w:val="center"/>
            <w:hideMark/>
          </w:tcPr>
          <w:p w14:paraId="01BB056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6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2024</w:t>
            </w:r>
          </w:p>
        </w:tc>
        <w:tc>
          <w:tcPr>
            <w:tcW w:w="500" w:type="pct"/>
            <w:tcBorders>
              <w:top w:val="nil"/>
              <w:left w:val="nil"/>
              <w:bottom w:val="single" w:sz="4" w:space="0" w:color="auto"/>
              <w:right w:val="single" w:sz="4" w:space="0" w:color="auto"/>
            </w:tcBorders>
            <w:shd w:val="clear" w:color="000000" w:fill="FFD579"/>
            <w:vAlign w:val="center"/>
            <w:hideMark/>
          </w:tcPr>
          <w:p w14:paraId="01BB0570" w14:textId="43B218AB"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7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7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73" w14:textId="3AD0A378"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80" w14:textId="77777777" w:rsidTr="00364541">
        <w:trPr>
          <w:trHeight w:val="180"/>
        </w:trPr>
        <w:tc>
          <w:tcPr>
            <w:tcW w:w="312"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01BB0575"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Masë prioritare</w:t>
            </w:r>
          </w:p>
        </w:tc>
        <w:tc>
          <w:tcPr>
            <w:tcW w:w="1110" w:type="pct"/>
            <w:tcBorders>
              <w:top w:val="nil"/>
              <w:left w:val="nil"/>
              <w:bottom w:val="nil"/>
              <w:right w:val="nil"/>
            </w:tcBorders>
            <w:shd w:val="clear" w:color="000000" w:fill="9BC2E6"/>
            <w:vAlign w:val="center"/>
            <w:hideMark/>
          </w:tcPr>
          <w:p w14:paraId="01BB0576" w14:textId="77777777" w:rsidR="00DF095A" w:rsidRPr="000E152E" w:rsidRDefault="00DF095A" w:rsidP="00DF095A">
            <w:pPr>
              <w:spacing w:after="0" w:line="240" w:lineRule="auto"/>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2.2.3. Përmirësim i politikave për punësim të denjë </w:t>
            </w:r>
          </w:p>
        </w:tc>
        <w:tc>
          <w:tcPr>
            <w:tcW w:w="380" w:type="pct"/>
            <w:tcBorders>
              <w:top w:val="nil"/>
              <w:left w:val="single" w:sz="4" w:space="0" w:color="auto"/>
              <w:bottom w:val="single" w:sz="4" w:space="0" w:color="auto"/>
              <w:right w:val="single" w:sz="4" w:space="0" w:color="auto"/>
            </w:tcBorders>
            <w:shd w:val="clear" w:color="000000" w:fill="9BC2E6"/>
            <w:vAlign w:val="center"/>
            <w:hideMark/>
          </w:tcPr>
          <w:p w14:paraId="01BB0577"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09" w:type="pct"/>
            <w:tcBorders>
              <w:top w:val="nil"/>
              <w:left w:val="nil"/>
              <w:bottom w:val="single" w:sz="4" w:space="0" w:color="auto"/>
              <w:right w:val="single" w:sz="4" w:space="0" w:color="auto"/>
            </w:tcBorders>
            <w:shd w:val="clear" w:color="000000" w:fill="9BC2E6"/>
            <w:vAlign w:val="center"/>
            <w:hideMark/>
          </w:tcPr>
          <w:p w14:paraId="01BB0578"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27" w:type="pct"/>
            <w:tcBorders>
              <w:top w:val="nil"/>
              <w:left w:val="nil"/>
              <w:bottom w:val="single" w:sz="4" w:space="0" w:color="auto"/>
              <w:right w:val="single" w:sz="4" w:space="0" w:color="auto"/>
            </w:tcBorders>
            <w:shd w:val="clear" w:color="000000" w:fill="9BC2E6"/>
            <w:vAlign w:val="center"/>
            <w:hideMark/>
          </w:tcPr>
          <w:p w14:paraId="01BB0579"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9BC2E6"/>
            <w:vAlign w:val="center"/>
            <w:hideMark/>
          </w:tcPr>
          <w:p w14:paraId="01BB057A"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395" w:type="pct"/>
            <w:tcBorders>
              <w:top w:val="nil"/>
              <w:left w:val="nil"/>
              <w:bottom w:val="single" w:sz="4" w:space="0" w:color="auto"/>
              <w:right w:val="single" w:sz="4" w:space="0" w:color="auto"/>
            </w:tcBorders>
            <w:shd w:val="clear" w:color="000000" w:fill="9BC2E6"/>
            <w:vAlign w:val="center"/>
            <w:hideMark/>
          </w:tcPr>
          <w:p w14:paraId="01BB057B" w14:textId="77777777" w:rsidR="00DF095A" w:rsidRPr="000E152E" w:rsidRDefault="00DF095A" w:rsidP="00DF095A">
            <w:pPr>
              <w:spacing w:after="0" w:line="240" w:lineRule="auto"/>
              <w:jc w:val="center"/>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w:t>
            </w:r>
          </w:p>
        </w:tc>
        <w:tc>
          <w:tcPr>
            <w:tcW w:w="500" w:type="pct"/>
            <w:tcBorders>
              <w:top w:val="nil"/>
              <w:left w:val="nil"/>
              <w:bottom w:val="single" w:sz="4" w:space="0" w:color="auto"/>
              <w:right w:val="single" w:sz="4" w:space="0" w:color="auto"/>
            </w:tcBorders>
            <w:shd w:val="clear" w:color="000000" w:fill="9BC2E6"/>
            <w:vAlign w:val="center"/>
            <w:hideMark/>
          </w:tcPr>
          <w:p w14:paraId="01BB057C"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13,296,000,000 </w:t>
            </w:r>
          </w:p>
        </w:tc>
        <w:tc>
          <w:tcPr>
            <w:tcW w:w="487" w:type="pct"/>
            <w:tcBorders>
              <w:top w:val="nil"/>
              <w:left w:val="nil"/>
              <w:bottom w:val="single" w:sz="4" w:space="0" w:color="auto"/>
              <w:right w:val="single" w:sz="4" w:space="0" w:color="auto"/>
            </w:tcBorders>
            <w:shd w:val="clear" w:color="000000" w:fill="9BC2E6"/>
            <w:vAlign w:val="center"/>
            <w:hideMark/>
          </w:tcPr>
          <w:p w14:paraId="01BB057D"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9,071,653,432 </w:t>
            </w:r>
          </w:p>
        </w:tc>
        <w:tc>
          <w:tcPr>
            <w:tcW w:w="430" w:type="pct"/>
            <w:tcBorders>
              <w:top w:val="nil"/>
              <w:left w:val="nil"/>
              <w:bottom w:val="single" w:sz="4" w:space="0" w:color="auto"/>
              <w:right w:val="single" w:sz="4" w:space="0" w:color="auto"/>
            </w:tcBorders>
            <w:shd w:val="clear" w:color="000000" w:fill="9BC2E6"/>
            <w:vAlign w:val="center"/>
            <w:hideMark/>
          </w:tcPr>
          <w:p w14:paraId="01BB057E"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4,800,000 </w:t>
            </w:r>
          </w:p>
        </w:tc>
        <w:tc>
          <w:tcPr>
            <w:tcW w:w="466" w:type="pct"/>
            <w:tcBorders>
              <w:top w:val="nil"/>
              <w:left w:val="nil"/>
              <w:bottom w:val="single" w:sz="4" w:space="0" w:color="auto"/>
              <w:right w:val="single" w:sz="4" w:space="0" w:color="auto"/>
            </w:tcBorders>
            <w:shd w:val="clear" w:color="000000" w:fill="9BC2E6"/>
            <w:vAlign w:val="center"/>
            <w:hideMark/>
          </w:tcPr>
          <w:p w14:paraId="01BB057F" w14:textId="77777777" w:rsidR="00DF095A" w:rsidRPr="000E152E" w:rsidRDefault="00DF095A" w:rsidP="00DF095A">
            <w:pPr>
              <w:spacing w:after="0" w:line="240" w:lineRule="auto"/>
              <w:jc w:val="right"/>
              <w:rPr>
                <w:rFonts w:ascii="Garamond" w:eastAsia="Times New Roman" w:hAnsi="Garamond"/>
                <w:b/>
                <w:bCs/>
                <w:color w:val="000000"/>
                <w:sz w:val="14"/>
                <w:szCs w:val="14"/>
                <w:lang w:eastAsia="sq-AL"/>
              </w:rPr>
            </w:pPr>
            <w:r w:rsidRPr="000E152E">
              <w:rPr>
                <w:rFonts w:ascii="Garamond" w:eastAsia="Times New Roman" w:hAnsi="Garamond"/>
                <w:b/>
                <w:bCs/>
                <w:color w:val="000000"/>
                <w:sz w:val="14"/>
                <w:szCs w:val="14"/>
                <w:lang w:eastAsia="sq-AL"/>
              </w:rPr>
              <w:t xml:space="preserve">4,219,546,568 </w:t>
            </w:r>
          </w:p>
        </w:tc>
      </w:tr>
      <w:tr w:rsidR="00DF095A" w:rsidRPr="000E152E" w14:paraId="01BB058C" w14:textId="77777777" w:rsidTr="00364541">
        <w:trPr>
          <w:trHeight w:val="180"/>
        </w:trPr>
        <w:tc>
          <w:tcPr>
            <w:tcW w:w="312" w:type="pct"/>
            <w:vMerge w:val="restart"/>
            <w:tcBorders>
              <w:top w:val="nil"/>
              <w:left w:val="single" w:sz="4" w:space="0" w:color="auto"/>
              <w:bottom w:val="nil"/>
              <w:right w:val="single" w:sz="4" w:space="0" w:color="auto"/>
            </w:tcBorders>
            <w:shd w:val="clear" w:color="000000" w:fill="FFD579"/>
            <w:vAlign w:val="center"/>
            <w:hideMark/>
          </w:tcPr>
          <w:p w14:paraId="01BB058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Ndërhyrjet </w:t>
            </w:r>
          </w:p>
        </w:tc>
        <w:tc>
          <w:tcPr>
            <w:tcW w:w="1110" w:type="pct"/>
            <w:tcBorders>
              <w:top w:val="single" w:sz="4" w:space="0" w:color="auto"/>
              <w:left w:val="nil"/>
              <w:bottom w:val="single" w:sz="4" w:space="0" w:color="auto"/>
              <w:right w:val="single" w:sz="4" w:space="0" w:color="auto"/>
            </w:tcBorders>
            <w:shd w:val="clear" w:color="000000" w:fill="FFD579"/>
            <w:vAlign w:val="center"/>
            <w:hideMark/>
          </w:tcPr>
          <w:p w14:paraId="01BB058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Analiza e ndërveprimeve dhe efekteve të politikave në tregun e punës si lidhur me çështjet e informalitetit, pagesës së papunësisë, pagës minimale dhe për çeshtjet e sigurisë dhe shëndetit në punë</w:t>
            </w:r>
          </w:p>
        </w:tc>
        <w:tc>
          <w:tcPr>
            <w:tcW w:w="380" w:type="pct"/>
            <w:tcBorders>
              <w:top w:val="nil"/>
              <w:left w:val="nil"/>
              <w:bottom w:val="single" w:sz="4" w:space="0" w:color="auto"/>
              <w:right w:val="single" w:sz="4" w:space="0" w:color="auto"/>
            </w:tcBorders>
            <w:shd w:val="clear" w:color="000000" w:fill="FFD579"/>
            <w:vAlign w:val="center"/>
            <w:hideMark/>
          </w:tcPr>
          <w:p w14:paraId="01BB058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10550</w:t>
            </w:r>
          </w:p>
        </w:tc>
        <w:tc>
          <w:tcPr>
            <w:tcW w:w="309" w:type="pct"/>
            <w:tcBorders>
              <w:top w:val="nil"/>
              <w:left w:val="nil"/>
              <w:bottom w:val="single" w:sz="4" w:space="0" w:color="auto"/>
              <w:right w:val="single" w:sz="4" w:space="0" w:color="auto"/>
            </w:tcBorders>
            <w:shd w:val="clear" w:color="000000" w:fill="FFD579"/>
            <w:vAlign w:val="center"/>
            <w:hideMark/>
          </w:tcPr>
          <w:p w14:paraId="01BB058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8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8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58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88"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13,275,000,000 </w:t>
            </w:r>
          </w:p>
        </w:tc>
        <w:tc>
          <w:tcPr>
            <w:tcW w:w="487" w:type="pct"/>
            <w:tcBorders>
              <w:top w:val="nil"/>
              <w:left w:val="nil"/>
              <w:bottom w:val="single" w:sz="4" w:space="0" w:color="auto"/>
              <w:right w:val="single" w:sz="4" w:space="0" w:color="auto"/>
            </w:tcBorders>
            <w:shd w:val="clear" w:color="000000" w:fill="FFD579"/>
            <w:vAlign w:val="center"/>
            <w:hideMark/>
          </w:tcPr>
          <w:p w14:paraId="01BB058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9,071,653,432 </w:t>
            </w:r>
          </w:p>
        </w:tc>
        <w:tc>
          <w:tcPr>
            <w:tcW w:w="430" w:type="pct"/>
            <w:tcBorders>
              <w:top w:val="nil"/>
              <w:left w:val="nil"/>
              <w:bottom w:val="single" w:sz="4" w:space="0" w:color="auto"/>
              <w:right w:val="single" w:sz="4" w:space="0" w:color="auto"/>
            </w:tcBorders>
            <w:shd w:val="clear" w:color="000000" w:fill="FFD579"/>
            <w:vAlign w:val="center"/>
            <w:hideMark/>
          </w:tcPr>
          <w:p w14:paraId="01BB058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8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4,203,346,568 </w:t>
            </w:r>
          </w:p>
        </w:tc>
      </w:tr>
      <w:tr w:rsidR="00DF095A" w:rsidRPr="000E152E" w14:paraId="01BB059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8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8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Përmirësimi i politikave për të mundësuar rritjen e mirëqenies dhe kushtet e jetesës së të gjithë punonjësve</w:t>
            </w:r>
          </w:p>
        </w:tc>
        <w:tc>
          <w:tcPr>
            <w:tcW w:w="380" w:type="pct"/>
            <w:tcBorders>
              <w:top w:val="nil"/>
              <w:left w:val="nil"/>
              <w:bottom w:val="single" w:sz="4" w:space="0" w:color="auto"/>
              <w:right w:val="single" w:sz="4" w:space="0" w:color="auto"/>
            </w:tcBorders>
            <w:shd w:val="clear" w:color="000000" w:fill="FFD579"/>
            <w:vAlign w:val="center"/>
            <w:hideMark/>
          </w:tcPr>
          <w:p w14:paraId="01BB058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9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9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9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2024</w:t>
            </w:r>
          </w:p>
        </w:tc>
        <w:tc>
          <w:tcPr>
            <w:tcW w:w="395" w:type="pct"/>
            <w:tcBorders>
              <w:top w:val="nil"/>
              <w:left w:val="nil"/>
              <w:bottom w:val="single" w:sz="4" w:space="0" w:color="auto"/>
              <w:right w:val="single" w:sz="4" w:space="0" w:color="auto"/>
            </w:tcBorders>
            <w:shd w:val="clear" w:color="000000" w:fill="FFD579"/>
            <w:vAlign w:val="center"/>
            <w:hideMark/>
          </w:tcPr>
          <w:p w14:paraId="01BB059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94"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21,000,000 </w:t>
            </w:r>
          </w:p>
        </w:tc>
        <w:tc>
          <w:tcPr>
            <w:tcW w:w="487" w:type="pct"/>
            <w:tcBorders>
              <w:top w:val="nil"/>
              <w:left w:val="nil"/>
              <w:bottom w:val="single" w:sz="4" w:space="0" w:color="auto"/>
              <w:right w:val="single" w:sz="4" w:space="0" w:color="auto"/>
            </w:tcBorders>
            <w:shd w:val="clear" w:color="000000" w:fill="FFD579"/>
            <w:vAlign w:val="center"/>
            <w:hideMark/>
          </w:tcPr>
          <w:p w14:paraId="01BB0595"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9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4,800,000 </w:t>
            </w:r>
          </w:p>
        </w:tc>
        <w:tc>
          <w:tcPr>
            <w:tcW w:w="466" w:type="pct"/>
            <w:tcBorders>
              <w:top w:val="nil"/>
              <w:left w:val="nil"/>
              <w:bottom w:val="single" w:sz="4" w:space="0" w:color="auto"/>
              <w:right w:val="single" w:sz="4" w:space="0" w:color="auto"/>
            </w:tcBorders>
            <w:shd w:val="clear" w:color="000000" w:fill="FFD579"/>
            <w:vAlign w:val="center"/>
            <w:hideMark/>
          </w:tcPr>
          <w:p w14:paraId="01BB059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16,200,000 </w:t>
            </w:r>
          </w:p>
        </w:tc>
      </w:tr>
      <w:tr w:rsidR="00DF095A" w:rsidRPr="000E152E" w14:paraId="01BB05A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9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9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Zbatimi i politikave të reja dhe vlerësimi i efekteve të tyre pas një periudhe të caktuar zbatimi</w:t>
            </w:r>
          </w:p>
        </w:tc>
        <w:tc>
          <w:tcPr>
            <w:tcW w:w="380" w:type="pct"/>
            <w:tcBorders>
              <w:top w:val="nil"/>
              <w:left w:val="nil"/>
              <w:bottom w:val="single" w:sz="4" w:space="0" w:color="auto"/>
              <w:right w:val="single" w:sz="4" w:space="0" w:color="auto"/>
            </w:tcBorders>
            <w:shd w:val="clear" w:color="000000" w:fill="FFD579"/>
            <w:vAlign w:val="center"/>
            <w:hideMark/>
          </w:tcPr>
          <w:p w14:paraId="01BB059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9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9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9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2025</w:t>
            </w:r>
          </w:p>
        </w:tc>
        <w:tc>
          <w:tcPr>
            <w:tcW w:w="395" w:type="pct"/>
            <w:tcBorders>
              <w:top w:val="nil"/>
              <w:left w:val="nil"/>
              <w:bottom w:val="single" w:sz="4" w:space="0" w:color="auto"/>
              <w:right w:val="single" w:sz="4" w:space="0" w:color="auto"/>
            </w:tcBorders>
            <w:shd w:val="clear" w:color="000000" w:fill="FFD579"/>
            <w:vAlign w:val="center"/>
            <w:hideMark/>
          </w:tcPr>
          <w:p w14:paraId="01BB059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A0" w14:textId="59A8EBEE"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A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A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A3" w14:textId="208F45B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B0"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A5"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A6"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Hartimi dhe zbatimi dhe zbatimi i një plani (dokumenti politik) për sigurinë dhe shëndetin në punë, në bashkërendim me institucionet përgjegjëse, në përputhje me legjislacionin për sigurinë dhe shëndetin në punë</w:t>
            </w:r>
          </w:p>
        </w:tc>
        <w:tc>
          <w:tcPr>
            <w:tcW w:w="380" w:type="pct"/>
            <w:tcBorders>
              <w:top w:val="nil"/>
              <w:left w:val="nil"/>
              <w:bottom w:val="single" w:sz="4" w:space="0" w:color="auto"/>
              <w:right w:val="single" w:sz="4" w:space="0" w:color="auto"/>
            </w:tcBorders>
            <w:shd w:val="clear" w:color="000000" w:fill="FFD579"/>
            <w:vAlign w:val="center"/>
            <w:hideMark/>
          </w:tcPr>
          <w:p w14:paraId="01BB05A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A8"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A9"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MSHMS, ISHPSHSH</w:t>
            </w:r>
          </w:p>
        </w:tc>
        <w:tc>
          <w:tcPr>
            <w:tcW w:w="286" w:type="pct"/>
            <w:tcBorders>
              <w:top w:val="nil"/>
              <w:left w:val="nil"/>
              <w:bottom w:val="single" w:sz="4" w:space="0" w:color="auto"/>
              <w:right w:val="single" w:sz="4" w:space="0" w:color="auto"/>
            </w:tcBorders>
            <w:shd w:val="clear" w:color="000000" w:fill="FFD579"/>
            <w:vAlign w:val="center"/>
            <w:hideMark/>
          </w:tcPr>
          <w:p w14:paraId="01BB05A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A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TM3 2030</w:t>
            </w:r>
          </w:p>
        </w:tc>
        <w:tc>
          <w:tcPr>
            <w:tcW w:w="500" w:type="pct"/>
            <w:tcBorders>
              <w:top w:val="nil"/>
              <w:left w:val="nil"/>
              <w:bottom w:val="single" w:sz="4" w:space="0" w:color="auto"/>
              <w:right w:val="single" w:sz="4" w:space="0" w:color="auto"/>
            </w:tcBorders>
            <w:shd w:val="clear" w:color="000000" w:fill="FFD579"/>
            <w:vAlign w:val="center"/>
            <w:hideMark/>
          </w:tcPr>
          <w:p w14:paraId="01BB05AC" w14:textId="40372862" w:rsidR="00DF095A" w:rsidRPr="000E152E" w:rsidRDefault="000E152E" w:rsidP="00A606AF">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AD"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A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AF" w14:textId="032611F0"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BC"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B1"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B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Rishikim i vazhdueshëm i legjislacionit të punës në përputhje me standartet e BE dhe konventat ndërkombëtare si dhe zbatimit të tij për të siguruar kushte optimale për punësim të denjë</w:t>
            </w:r>
          </w:p>
        </w:tc>
        <w:tc>
          <w:tcPr>
            <w:tcW w:w="380" w:type="pct"/>
            <w:tcBorders>
              <w:top w:val="nil"/>
              <w:left w:val="nil"/>
              <w:bottom w:val="single" w:sz="4" w:space="0" w:color="auto"/>
              <w:right w:val="single" w:sz="4" w:space="0" w:color="auto"/>
            </w:tcBorders>
            <w:shd w:val="clear" w:color="000000" w:fill="FFD579"/>
            <w:vAlign w:val="center"/>
            <w:hideMark/>
          </w:tcPr>
          <w:p w14:paraId="01BB05B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B4"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B5"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B6"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B7"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B8" w14:textId="77E2220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B9"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BA"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66" w:type="pct"/>
            <w:tcBorders>
              <w:top w:val="nil"/>
              <w:left w:val="nil"/>
              <w:bottom w:val="single" w:sz="4" w:space="0" w:color="auto"/>
              <w:right w:val="single" w:sz="4" w:space="0" w:color="auto"/>
            </w:tcBorders>
            <w:shd w:val="clear" w:color="000000" w:fill="FFD579"/>
            <w:vAlign w:val="center"/>
            <w:hideMark/>
          </w:tcPr>
          <w:p w14:paraId="01BB05BB" w14:textId="7C13614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C8"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BD"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BE"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Angazhimi i të gjithë aktorëve të dialogut social në reformat dhe hartimin e politikave që synojnë paga të denja dhe konkurruese përmes mekanizmave funksionues të tregut</w:t>
            </w:r>
          </w:p>
        </w:tc>
        <w:tc>
          <w:tcPr>
            <w:tcW w:w="380" w:type="pct"/>
            <w:tcBorders>
              <w:top w:val="nil"/>
              <w:left w:val="nil"/>
              <w:bottom w:val="single" w:sz="4" w:space="0" w:color="auto"/>
              <w:right w:val="single" w:sz="4" w:space="0" w:color="auto"/>
            </w:tcBorders>
            <w:shd w:val="clear" w:color="000000" w:fill="FFD579"/>
            <w:vAlign w:val="center"/>
            <w:hideMark/>
          </w:tcPr>
          <w:p w14:paraId="01BB05B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C0"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C1"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C2"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2023</w:t>
            </w:r>
          </w:p>
        </w:tc>
        <w:tc>
          <w:tcPr>
            <w:tcW w:w="395" w:type="pct"/>
            <w:tcBorders>
              <w:top w:val="nil"/>
              <w:left w:val="nil"/>
              <w:bottom w:val="single" w:sz="4" w:space="0" w:color="auto"/>
              <w:right w:val="single" w:sz="4" w:space="0" w:color="auto"/>
            </w:tcBorders>
            <w:shd w:val="clear" w:color="000000" w:fill="FFD579"/>
            <w:vAlign w:val="center"/>
            <w:hideMark/>
          </w:tcPr>
          <w:p w14:paraId="01BB05C3"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TM4 2030</w:t>
            </w:r>
          </w:p>
        </w:tc>
        <w:tc>
          <w:tcPr>
            <w:tcW w:w="500" w:type="pct"/>
            <w:tcBorders>
              <w:top w:val="nil"/>
              <w:left w:val="nil"/>
              <w:bottom w:val="single" w:sz="4" w:space="0" w:color="auto"/>
              <w:right w:val="single" w:sz="4" w:space="0" w:color="auto"/>
            </w:tcBorders>
            <w:shd w:val="clear" w:color="000000" w:fill="FFD579"/>
            <w:vAlign w:val="center"/>
            <w:hideMark/>
          </w:tcPr>
          <w:p w14:paraId="01BB05C4" w14:textId="70785A62"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C5" w14:textId="5F670AAE"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30" w:type="pct"/>
            <w:tcBorders>
              <w:top w:val="nil"/>
              <w:left w:val="nil"/>
              <w:bottom w:val="single" w:sz="4" w:space="0" w:color="auto"/>
              <w:right w:val="single" w:sz="4" w:space="0" w:color="auto"/>
            </w:tcBorders>
            <w:shd w:val="clear" w:color="000000" w:fill="FFD579"/>
            <w:vAlign w:val="center"/>
            <w:hideMark/>
          </w:tcPr>
          <w:p w14:paraId="01BB05C6" w14:textId="34BA1D12"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5C7" w14:textId="2C6F7A4E"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D4" w14:textId="77777777" w:rsidTr="00364541">
        <w:trPr>
          <w:trHeight w:val="180"/>
        </w:trPr>
        <w:tc>
          <w:tcPr>
            <w:tcW w:w="312" w:type="pct"/>
            <w:vMerge/>
            <w:tcBorders>
              <w:top w:val="nil"/>
              <w:left w:val="single" w:sz="4" w:space="0" w:color="auto"/>
              <w:bottom w:val="nil"/>
              <w:right w:val="single" w:sz="4" w:space="0" w:color="auto"/>
            </w:tcBorders>
            <w:vAlign w:val="center"/>
            <w:hideMark/>
          </w:tcPr>
          <w:p w14:paraId="01BB05C9" w14:textId="77777777" w:rsidR="00DF095A" w:rsidRPr="000E152E" w:rsidRDefault="00DF095A" w:rsidP="00DF095A">
            <w:pPr>
              <w:spacing w:after="0" w:line="240" w:lineRule="auto"/>
              <w:rPr>
                <w:rFonts w:ascii="Garamond" w:eastAsia="Times New Roman" w:hAnsi="Garamond"/>
                <w:color w:val="000000"/>
                <w:sz w:val="14"/>
                <w:szCs w:val="14"/>
                <w:lang w:eastAsia="sq-AL"/>
              </w:rPr>
            </w:pPr>
          </w:p>
        </w:tc>
        <w:tc>
          <w:tcPr>
            <w:tcW w:w="1110" w:type="pct"/>
            <w:tcBorders>
              <w:top w:val="nil"/>
              <w:left w:val="nil"/>
              <w:bottom w:val="single" w:sz="4" w:space="0" w:color="auto"/>
              <w:right w:val="single" w:sz="4" w:space="0" w:color="auto"/>
            </w:tcBorders>
            <w:shd w:val="clear" w:color="000000" w:fill="FFD579"/>
            <w:vAlign w:val="center"/>
            <w:hideMark/>
          </w:tcPr>
          <w:p w14:paraId="01BB05C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Organizimi i monitorimit, raportimit, rishikimit afatmesëm dhe përfundimtar të Strategjisë</w:t>
            </w:r>
          </w:p>
        </w:tc>
        <w:tc>
          <w:tcPr>
            <w:tcW w:w="380" w:type="pct"/>
            <w:tcBorders>
              <w:top w:val="nil"/>
              <w:left w:val="nil"/>
              <w:bottom w:val="single" w:sz="4" w:space="0" w:color="auto"/>
              <w:right w:val="single" w:sz="4" w:space="0" w:color="auto"/>
            </w:tcBorders>
            <w:shd w:val="clear" w:color="000000" w:fill="FFD579"/>
            <w:vAlign w:val="center"/>
            <w:hideMark/>
          </w:tcPr>
          <w:p w14:paraId="01BB05CB"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1110</w:t>
            </w:r>
          </w:p>
        </w:tc>
        <w:tc>
          <w:tcPr>
            <w:tcW w:w="309" w:type="pct"/>
            <w:tcBorders>
              <w:top w:val="nil"/>
              <w:left w:val="nil"/>
              <w:bottom w:val="single" w:sz="4" w:space="0" w:color="auto"/>
              <w:right w:val="single" w:sz="4" w:space="0" w:color="auto"/>
            </w:tcBorders>
            <w:shd w:val="clear" w:color="000000" w:fill="FFD579"/>
            <w:vAlign w:val="center"/>
            <w:hideMark/>
          </w:tcPr>
          <w:p w14:paraId="01BB05CC"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MFE</w:t>
            </w:r>
          </w:p>
        </w:tc>
        <w:tc>
          <w:tcPr>
            <w:tcW w:w="327" w:type="pct"/>
            <w:tcBorders>
              <w:top w:val="nil"/>
              <w:left w:val="nil"/>
              <w:bottom w:val="single" w:sz="4" w:space="0" w:color="auto"/>
              <w:right w:val="single" w:sz="4" w:space="0" w:color="auto"/>
            </w:tcBorders>
            <w:shd w:val="clear" w:color="000000" w:fill="FFD579"/>
            <w:vAlign w:val="center"/>
            <w:hideMark/>
          </w:tcPr>
          <w:p w14:paraId="01BB05CD"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286" w:type="pct"/>
            <w:tcBorders>
              <w:top w:val="nil"/>
              <w:left w:val="nil"/>
              <w:bottom w:val="single" w:sz="4" w:space="0" w:color="auto"/>
              <w:right w:val="single" w:sz="4" w:space="0" w:color="auto"/>
            </w:tcBorders>
            <w:shd w:val="clear" w:color="000000" w:fill="FFD579"/>
            <w:vAlign w:val="center"/>
            <w:hideMark/>
          </w:tcPr>
          <w:p w14:paraId="01BB05CE"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TM1 2026</w:t>
            </w:r>
          </w:p>
        </w:tc>
        <w:tc>
          <w:tcPr>
            <w:tcW w:w="395" w:type="pct"/>
            <w:tcBorders>
              <w:top w:val="nil"/>
              <w:left w:val="nil"/>
              <w:bottom w:val="single" w:sz="4" w:space="0" w:color="auto"/>
              <w:right w:val="single" w:sz="4" w:space="0" w:color="auto"/>
            </w:tcBorders>
            <w:shd w:val="clear" w:color="000000" w:fill="FFD579"/>
            <w:vAlign w:val="center"/>
            <w:hideMark/>
          </w:tcPr>
          <w:p w14:paraId="01BB05CF"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TM 4 2026</w:t>
            </w:r>
          </w:p>
        </w:tc>
        <w:tc>
          <w:tcPr>
            <w:tcW w:w="500" w:type="pct"/>
            <w:tcBorders>
              <w:top w:val="nil"/>
              <w:left w:val="nil"/>
              <w:bottom w:val="single" w:sz="4" w:space="0" w:color="auto"/>
              <w:right w:val="single" w:sz="4" w:space="0" w:color="auto"/>
            </w:tcBorders>
            <w:shd w:val="clear" w:color="000000" w:fill="FFD579"/>
            <w:vAlign w:val="center"/>
            <w:hideMark/>
          </w:tcPr>
          <w:p w14:paraId="01BB05D0" w14:textId="49A8CED8" w:rsidR="00DF095A" w:rsidRPr="000E152E" w:rsidRDefault="000E152E"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xml:space="preserve"> </w:t>
            </w:r>
            <w:r w:rsidR="00DF095A" w:rsidRPr="000E152E">
              <w:rPr>
                <w:rFonts w:ascii="Garamond" w:eastAsia="Times New Roman" w:hAnsi="Garamond"/>
                <w:color w:val="000000"/>
                <w:sz w:val="14"/>
                <w:szCs w:val="14"/>
                <w:lang w:eastAsia="sq-AL"/>
              </w:rPr>
              <w:t xml:space="preserve">- </w:t>
            </w:r>
          </w:p>
        </w:tc>
        <w:tc>
          <w:tcPr>
            <w:tcW w:w="487" w:type="pct"/>
            <w:tcBorders>
              <w:top w:val="nil"/>
              <w:left w:val="nil"/>
              <w:bottom w:val="single" w:sz="4" w:space="0" w:color="auto"/>
              <w:right w:val="single" w:sz="4" w:space="0" w:color="auto"/>
            </w:tcBorders>
            <w:shd w:val="clear" w:color="000000" w:fill="FFD579"/>
            <w:vAlign w:val="center"/>
            <w:hideMark/>
          </w:tcPr>
          <w:p w14:paraId="01BB05D1" w14:textId="77777777"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 </w:t>
            </w:r>
          </w:p>
        </w:tc>
        <w:tc>
          <w:tcPr>
            <w:tcW w:w="430" w:type="pct"/>
            <w:tcBorders>
              <w:top w:val="nil"/>
              <w:left w:val="nil"/>
              <w:bottom w:val="single" w:sz="4" w:space="0" w:color="auto"/>
              <w:right w:val="single" w:sz="4" w:space="0" w:color="auto"/>
            </w:tcBorders>
            <w:shd w:val="clear" w:color="000000" w:fill="FFD579"/>
            <w:vAlign w:val="center"/>
            <w:hideMark/>
          </w:tcPr>
          <w:p w14:paraId="01BB05D2" w14:textId="59A390CA"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c>
          <w:tcPr>
            <w:tcW w:w="466" w:type="pct"/>
            <w:tcBorders>
              <w:top w:val="nil"/>
              <w:left w:val="nil"/>
              <w:bottom w:val="single" w:sz="4" w:space="0" w:color="auto"/>
              <w:right w:val="single" w:sz="4" w:space="0" w:color="auto"/>
            </w:tcBorders>
            <w:shd w:val="clear" w:color="000000" w:fill="FFD579"/>
            <w:vAlign w:val="center"/>
            <w:hideMark/>
          </w:tcPr>
          <w:p w14:paraId="01BB05D3" w14:textId="772C004D" w:rsidR="00DF095A" w:rsidRPr="000E152E" w:rsidRDefault="00DF095A" w:rsidP="00DF095A">
            <w:pPr>
              <w:spacing w:after="0" w:line="240" w:lineRule="auto"/>
              <w:jc w:val="center"/>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w:t>
            </w:r>
            <w:r w:rsidR="000E152E" w:rsidRPr="000E152E">
              <w:rPr>
                <w:rFonts w:ascii="Garamond" w:eastAsia="Times New Roman" w:hAnsi="Garamond"/>
                <w:color w:val="000000"/>
                <w:sz w:val="14"/>
                <w:szCs w:val="14"/>
                <w:lang w:eastAsia="sq-AL"/>
              </w:rPr>
              <w:t xml:space="preserve"> </w:t>
            </w:r>
          </w:p>
        </w:tc>
      </w:tr>
      <w:tr w:rsidR="00DF095A" w:rsidRPr="000E152E" w14:paraId="01BB05E0" w14:textId="77777777" w:rsidTr="00364541">
        <w:trPr>
          <w:trHeight w:val="180"/>
        </w:trPr>
        <w:tc>
          <w:tcPr>
            <w:tcW w:w="312" w:type="pct"/>
            <w:tcBorders>
              <w:top w:val="nil"/>
              <w:left w:val="nil"/>
              <w:bottom w:val="nil"/>
              <w:right w:val="nil"/>
            </w:tcBorders>
            <w:shd w:val="clear" w:color="auto" w:fill="auto"/>
            <w:noWrap/>
            <w:vAlign w:val="bottom"/>
            <w:hideMark/>
          </w:tcPr>
          <w:p w14:paraId="01BB05D5"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1110" w:type="pct"/>
            <w:tcBorders>
              <w:top w:val="nil"/>
              <w:left w:val="nil"/>
              <w:bottom w:val="nil"/>
              <w:right w:val="nil"/>
            </w:tcBorders>
            <w:shd w:val="clear" w:color="auto" w:fill="auto"/>
            <w:noWrap/>
            <w:vAlign w:val="bottom"/>
            <w:hideMark/>
          </w:tcPr>
          <w:p w14:paraId="01BB05D6"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80" w:type="pct"/>
            <w:tcBorders>
              <w:top w:val="nil"/>
              <w:left w:val="nil"/>
              <w:bottom w:val="nil"/>
              <w:right w:val="nil"/>
            </w:tcBorders>
            <w:shd w:val="clear" w:color="auto" w:fill="auto"/>
            <w:noWrap/>
            <w:vAlign w:val="bottom"/>
            <w:hideMark/>
          </w:tcPr>
          <w:p w14:paraId="01BB05D7"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09" w:type="pct"/>
            <w:tcBorders>
              <w:top w:val="nil"/>
              <w:left w:val="nil"/>
              <w:bottom w:val="nil"/>
              <w:right w:val="nil"/>
            </w:tcBorders>
            <w:shd w:val="clear" w:color="auto" w:fill="auto"/>
            <w:noWrap/>
            <w:vAlign w:val="bottom"/>
            <w:hideMark/>
          </w:tcPr>
          <w:p w14:paraId="01BB05D8"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27" w:type="pct"/>
            <w:tcBorders>
              <w:top w:val="nil"/>
              <w:left w:val="nil"/>
              <w:bottom w:val="nil"/>
              <w:right w:val="nil"/>
            </w:tcBorders>
            <w:shd w:val="clear" w:color="auto" w:fill="auto"/>
            <w:noWrap/>
            <w:vAlign w:val="bottom"/>
            <w:hideMark/>
          </w:tcPr>
          <w:p w14:paraId="01BB05D9"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286" w:type="pct"/>
            <w:tcBorders>
              <w:top w:val="nil"/>
              <w:left w:val="nil"/>
              <w:bottom w:val="nil"/>
              <w:right w:val="nil"/>
            </w:tcBorders>
            <w:shd w:val="clear" w:color="auto" w:fill="auto"/>
            <w:noWrap/>
            <w:vAlign w:val="bottom"/>
            <w:hideMark/>
          </w:tcPr>
          <w:p w14:paraId="01BB05DA"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95" w:type="pct"/>
            <w:tcBorders>
              <w:top w:val="nil"/>
              <w:left w:val="nil"/>
              <w:bottom w:val="nil"/>
              <w:right w:val="nil"/>
            </w:tcBorders>
            <w:shd w:val="clear" w:color="auto" w:fill="auto"/>
            <w:noWrap/>
            <w:vAlign w:val="bottom"/>
            <w:hideMark/>
          </w:tcPr>
          <w:p w14:paraId="01BB05DB"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500" w:type="pct"/>
            <w:tcBorders>
              <w:top w:val="nil"/>
              <w:left w:val="nil"/>
              <w:bottom w:val="nil"/>
              <w:right w:val="nil"/>
            </w:tcBorders>
            <w:shd w:val="clear" w:color="auto" w:fill="auto"/>
            <w:noWrap/>
            <w:vAlign w:val="bottom"/>
            <w:hideMark/>
          </w:tcPr>
          <w:p w14:paraId="01BB05DC"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487" w:type="pct"/>
            <w:tcBorders>
              <w:top w:val="nil"/>
              <w:left w:val="nil"/>
              <w:bottom w:val="nil"/>
              <w:right w:val="nil"/>
            </w:tcBorders>
            <w:shd w:val="clear" w:color="auto" w:fill="auto"/>
            <w:noWrap/>
            <w:vAlign w:val="bottom"/>
            <w:hideMark/>
          </w:tcPr>
          <w:p w14:paraId="01BB05DD"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430" w:type="pct"/>
            <w:tcBorders>
              <w:top w:val="nil"/>
              <w:left w:val="nil"/>
              <w:bottom w:val="nil"/>
              <w:right w:val="nil"/>
            </w:tcBorders>
            <w:shd w:val="clear" w:color="auto" w:fill="auto"/>
            <w:noWrap/>
            <w:vAlign w:val="bottom"/>
            <w:hideMark/>
          </w:tcPr>
          <w:p w14:paraId="01BB05DE"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466" w:type="pct"/>
            <w:tcBorders>
              <w:top w:val="nil"/>
              <w:left w:val="nil"/>
              <w:bottom w:val="nil"/>
              <w:right w:val="nil"/>
            </w:tcBorders>
            <w:shd w:val="clear" w:color="auto" w:fill="auto"/>
            <w:noWrap/>
            <w:vAlign w:val="bottom"/>
            <w:hideMark/>
          </w:tcPr>
          <w:p w14:paraId="01BB05DF"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r>
      <w:tr w:rsidR="00DF095A" w:rsidRPr="000E152E" w14:paraId="01BB05EC" w14:textId="77777777" w:rsidTr="00364541">
        <w:trPr>
          <w:trHeight w:val="180"/>
        </w:trPr>
        <w:tc>
          <w:tcPr>
            <w:tcW w:w="312" w:type="pct"/>
            <w:tcBorders>
              <w:top w:val="nil"/>
              <w:left w:val="nil"/>
              <w:bottom w:val="nil"/>
              <w:right w:val="nil"/>
            </w:tcBorders>
            <w:shd w:val="clear" w:color="auto" w:fill="auto"/>
            <w:noWrap/>
            <w:vAlign w:val="bottom"/>
            <w:hideMark/>
          </w:tcPr>
          <w:p w14:paraId="01BB05E1"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1110" w:type="pct"/>
            <w:tcBorders>
              <w:top w:val="nil"/>
              <w:left w:val="nil"/>
              <w:bottom w:val="nil"/>
              <w:right w:val="nil"/>
            </w:tcBorders>
            <w:shd w:val="clear" w:color="000000" w:fill="FFD579"/>
            <w:vAlign w:val="center"/>
            <w:hideMark/>
          </w:tcPr>
          <w:p w14:paraId="01BB05E2"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GJITHSEJ SHTYLLA B</w:t>
            </w:r>
          </w:p>
        </w:tc>
        <w:tc>
          <w:tcPr>
            <w:tcW w:w="380" w:type="pct"/>
            <w:tcBorders>
              <w:top w:val="nil"/>
              <w:left w:val="nil"/>
              <w:bottom w:val="nil"/>
              <w:right w:val="nil"/>
            </w:tcBorders>
            <w:shd w:val="clear" w:color="auto" w:fill="auto"/>
            <w:noWrap/>
            <w:vAlign w:val="bottom"/>
            <w:hideMark/>
          </w:tcPr>
          <w:p w14:paraId="01BB05E3"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09" w:type="pct"/>
            <w:tcBorders>
              <w:top w:val="nil"/>
              <w:left w:val="nil"/>
              <w:bottom w:val="nil"/>
              <w:right w:val="nil"/>
            </w:tcBorders>
            <w:shd w:val="clear" w:color="auto" w:fill="auto"/>
            <w:noWrap/>
            <w:vAlign w:val="bottom"/>
            <w:hideMark/>
          </w:tcPr>
          <w:p w14:paraId="01BB05E4"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27" w:type="pct"/>
            <w:tcBorders>
              <w:top w:val="nil"/>
              <w:left w:val="nil"/>
              <w:bottom w:val="nil"/>
              <w:right w:val="nil"/>
            </w:tcBorders>
            <w:shd w:val="clear" w:color="auto" w:fill="auto"/>
            <w:noWrap/>
            <w:vAlign w:val="bottom"/>
            <w:hideMark/>
          </w:tcPr>
          <w:p w14:paraId="01BB05E5"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286" w:type="pct"/>
            <w:tcBorders>
              <w:top w:val="nil"/>
              <w:left w:val="nil"/>
              <w:bottom w:val="nil"/>
              <w:right w:val="nil"/>
            </w:tcBorders>
            <w:shd w:val="clear" w:color="auto" w:fill="auto"/>
            <w:noWrap/>
            <w:vAlign w:val="bottom"/>
            <w:hideMark/>
          </w:tcPr>
          <w:p w14:paraId="01BB05E6"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95" w:type="pct"/>
            <w:tcBorders>
              <w:top w:val="nil"/>
              <w:left w:val="nil"/>
              <w:bottom w:val="nil"/>
              <w:right w:val="nil"/>
            </w:tcBorders>
            <w:shd w:val="clear" w:color="auto" w:fill="auto"/>
            <w:noWrap/>
            <w:vAlign w:val="bottom"/>
            <w:hideMark/>
          </w:tcPr>
          <w:p w14:paraId="01BB05E7"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500" w:type="pct"/>
            <w:tcBorders>
              <w:top w:val="nil"/>
              <w:left w:val="nil"/>
              <w:bottom w:val="nil"/>
              <w:right w:val="nil"/>
            </w:tcBorders>
            <w:shd w:val="clear" w:color="000000" w:fill="9BC2E6"/>
            <w:noWrap/>
            <w:vAlign w:val="bottom"/>
            <w:hideMark/>
          </w:tcPr>
          <w:p w14:paraId="01BB05E8" w14:textId="5DF33728"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41,218,827,449</w:t>
            </w:r>
            <w:r w:rsidR="000E152E" w:rsidRPr="000E152E">
              <w:rPr>
                <w:rFonts w:ascii="Garamond" w:eastAsia="Times New Roman" w:hAnsi="Garamond" w:cs="Calibri"/>
                <w:b/>
                <w:bCs/>
                <w:color w:val="000000"/>
                <w:sz w:val="14"/>
                <w:szCs w:val="14"/>
                <w:lang w:eastAsia="sq-AL"/>
              </w:rPr>
              <w:t xml:space="preserve"> </w:t>
            </w:r>
          </w:p>
        </w:tc>
        <w:tc>
          <w:tcPr>
            <w:tcW w:w="487" w:type="pct"/>
            <w:tcBorders>
              <w:top w:val="nil"/>
              <w:left w:val="nil"/>
              <w:bottom w:val="nil"/>
              <w:right w:val="nil"/>
            </w:tcBorders>
            <w:shd w:val="clear" w:color="000000" w:fill="9BC2E6"/>
            <w:noWrap/>
            <w:vAlign w:val="bottom"/>
            <w:hideMark/>
          </w:tcPr>
          <w:p w14:paraId="01BB05E9" w14:textId="1DDEC3C9" w:rsidR="00DF095A" w:rsidRPr="000E152E" w:rsidRDefault="000E152E"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 xml:space="preserve"> </w:t>
            </w:r>
            <w:r w:rsidR="00DF095A" w:rsidRPr="000E152E">
              <w:rPr>
                <w:rFonts w:ascii="Garamond" w:eastAsia="Times New Roman" w:hAnsi="Garamond" w:cs="Calibri"/>
                <w:b/>
                <w:bCs/>
                <w:color w:val="000000"/>
                <w:sz w:val="14"/>
                <w:szCs w:val="14"/>
                <w:lang w:eastAsia="sq-AL"/>
              </w:rPr>
              <w:t>20,815,141,498</w:t>
            </w:r>
            <w:r w:rsidRPr="000E152E">
              <w:rPr>
                <w:rFonts w:ascii="Garamond" w:eastAsia="Times New Roman" w:hAnsi="Garamond" w:cs="Calibri"/>
                <w:b/>
                <w:bCs/>
                <w:color w:val="000000"/>
                <w:sz w:val="14"/>
                <w:szCs w:val="14"/>
                <w:lang w:eastAsia="sq-AL"/>
              </w:rPr>
              <w:t xml:space="preserve"> </w:t>
            </w:r>
          </w:p>
        </w:tc>
        <w:tc>
          <w:tcPr>
            <w:tcW w:w="430" w:type="pct"/>
            <w:tcBorders>
              <w:top w:val="nil"/>
              <w:left w:val="nil"/>
              <w:bottom w:val="nil"/>
              <w:right w:val="nil"/>
            </w:tcBorders>
            <w:shd w:val="clear" w:color="000000" w:fill="9BC2E6"/>
            <w:noWrap/>
            <w:vAlign w:val="bottom"/>
            <w:hideMark/>
          </w:tcPr>
          <w:p w14:paraId="01BB05EA" w14:textId="3B7341EA"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7,035,256,000</w:t>
            </w:r>
            <w:r w:rsidR="000E152E" w:rsidRPr="000E152E">
              <w:rPr>
                <w:rFonts w:ascii="Garamond" w:eastAsia="Times New Roman" w:hAnsi="Garamond" w:cs="Calibri"/>
                <w:b/>
                <w:bCs/>
                <w:color w:val="000000"/>
                <w:sz w:val="14"/>
                <w:szCs w:val="14"/>
                <w:lang w:eastAsia="sq-AL"/>
              </w:rPr>
              <w:t xml:space="preserve"> </w:t>
            </w:r>
          </w:p>
        </w:tc>
        <w:tc>
          <w:tcPr>
            <w:tcW w:w="466" w:type="pct"/>
            <w:tcBorders>
              <w:top w:val="nil"/>
              <w:left w:val="nil"/>
              <w:bottom w:val="nil"/>
              <w:right w:val="nil"/>
            </w:tcBorders>
            <w:shd w:val="clear" w:color="000000" w:fill="9BC2E6"/>
            <w:noWrap/>
            <w:vAlign w:val="bottom"/>
            <w:hideMark/>
          </w:tcPr>
          <w:p w14:paraId="01BB05EB" w14:textId="594E3E37"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13,368,429,951</w:t>
            </w:r>
            <w:r w:rsidR="000E152E" w:rsidRPr="000E152E">
              <w:rPr>
                <w:rFonts w:ascii="Garamond" w:eastAsia="Times New Roman" w:hAnsi="Garamond" w:cs="Calibri"/>
                <w:b/>
                <w:bCs/>
                <w:color w:val="000000"/>
                <w:sz w:val="14"/>
                <w:szCs w:val="14"/>
                <w:lang w:eastAsia="sq-AL"/>
              </w:rPr>
              <w:t xml:space="preserve"> </w:t>
            </w:r>
          </w:p>
        </w:tc>
      </w:tr>
      <w:tr w:rsidR="00DF095A" w:rsidRPr="000E152E" w14:paraId="01BB05F8" w14:textId="77777777" w:rsidTr="00364541">
        <w:trPr>
          <w:trHeight w:val="180"/>
        </w:trPr>
        <w:tc>
          <w:tcPr>
            <w:tcW w:w="312" w:type="pct"/>
            <w:tcBorders>
              <w:top w:val="nil"/>
              <w:left w:val="nil"/>
              <w:bottom w:val="nil"/>
              <w:right w:val="nil"/>
            </w:tcBorders>
            <w:shd w:val="clear" w:color="auto" w:fill="auto"/>
            <w:noWrap/>
            <w:vAlign w:val="bottom"/>
            <w:hideMark/>
          </w:tcPr>
          <w:p w14:paraId="01BB05ED"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1110" w:type="pct"/>
            <w:tcBorders>
              <w:top w:val="nil"/>
              <w:left w:val="nil"/>
              <w:bottom w:val="nil"/>
              <w:right w:val="nil"/>
            </w:tcBorders>
            <w:shd w:val="clear" w:color="auto" w:fill="auto"/>
            <w:noWrap/>
            <w:vAlign w:val="bottom"/>
            <w:hideMark/>
          </w:tcPr>
          <w:p w14:paraId="01BB05EE"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80" w:type="pct"/>
            <w:tcBorders>
              <w:top w:val="nil"/>
              <w:left w:val="nil"/>
              <w:bottom w:val="nil"/>
              <w:right w:val="nil"/>
            </w:tcBorders>
            <w:shd w:val="clear" w:color="auto" w:fill="auto"/>
            <w:noWrap/>
            <w:vAlign w:val="bottom"/>
            <w:hideMark/>
          </w:tcPr>
          <w:p w14:paraId="01BB05EF"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09" w:type="pct"/>
            <w:tcBorders>
              <w:top w:val="nil"/>
              <w:left w:val="nil"/>
              <w:bottom w:val="nil"/>
              <w:right w:val="nil"/>
            </w:tcBorders>
            <w:shd w:val="clear" w:color="auto" w:fill="auto"/>
            <w:noWrap/>
            <w:vAlign w:val="bottom"/>
            <w:hideMark/>
          </w:tcPr>
          <w:p w14:paraId="01BB05F0"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27" w:type="pct"/>
            <w:tcBorders>
              <w:top w:val="nil"/>
              <w:left w:val="nil"/>
              <w:bottom w:val="nil"/>
              <w:right w:val="nil"/>
            </w:tcBorders>
            <w:shd w:val="clear" w:color="auto" w:fill="auto"/>
            <w:noWrap/>
            <w:vAlign w:val="bottom"/>
            <w:hideMark/>
          </w:tcPr>
          <w:p w14:paraId="01BB05F1"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286" w:type="pct"/>
            <w:tcBorders>
              <w:top w:val="nil"/>
              <w:left w:val="nil"/>
              <w:bottom w:val="nil"/>
              <w:right w:val="nil"/>
            </w:tcBorders>
            <w:shd w:val="clear" w:color="auto" w:fill="auto"/>
            <w:noWrap/>
            <w:vAlign w:val="bottom"/>
            <w:hideMark/>
          </w:tcPr>
          <w:p w14:paraId="01BB05F2"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95" w:type="pct"/>
            <w:tcBorders>
              <w:top w:val="nil"/>
              <w:left w:val="nil"/>
              <w:bottom w:val="nil"/>
              <w:right w:val="nil"/>
            </w:tcBorders>
            <w:shd w:val="clear" w:color="auto" w:fill="auto"/>
            <w:noWrap/>
            <w:vAlign w:val="bottom"/>
            <w:hideMark/>
          </w:tcPr>
          <w:p w14:paraId="01BB05F3"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500" w:type="pct"/>
            <w:tcBorders>
              <w:top w:val="nil"/>
              <w:left w:val="nil"/>
              <w:bottom w:val="nil"/>
              <w:right w:val="nil"/>
            </w:tcBorders>
            <w:shd w:val="clear" w:color="auto" w:fill="auto"/>
            <w:noWrap/>
            <w:vAlign w:val="bottom"/>
            <w:hideMark/>
          </w:tcPr>
          <w:p w14:paraId="01BB05F4" w14:textId="77777777" w:rsidR="00DF095A" w:rsidRPr="000E152E" w:rsidRDefault="00DF095A" w:rsidP="00DF095A">
            <w:pPr>
              <w:spacing w:after="0" w:line="240" w:lineRule="auto"/>
              <w:jc w:val="right"/>
              <w:rPr>
                <w:rFonts w:ascii="Garamond" w:eastAsia="Times New Roman" w:hAnsi="Garamond" w:cs="Calibri"/>
                <w:color w:val="000000"/>
                <w:sz w:val="14"/>
                <w:szCs w:val="14"/>
                <w:lang w:eastAsia="sq-AL"/>
              </w:rPr>
            </w:pPr>
            <w:r w:rsidRPr="000E152E">
              <w:rPr>
                <w:rFonts w:ascii="Garamond" w:eastAsia="Times New Roman" w:hAnsi="Garamond" w:cs="Calibri"/>
                <w:color w:val="000000"/>
                <w:sz w:val="14"/>
                <w:szCs w:val="14"/>
                <w:lang w:eastAsia="sq-AL"/>
              </w:rPr>
              <w:t>55%</w:t>
            </w:r>
          </w:p>
        </w:tc>
        <w:tc>
          <w:tcPr>
            <w:tcW w:w="487" w:type="pct"/>
            <w:tcBorders>
              <w:top w:val="nil"/>
              <w:left w:val="nil"/>
              <w:bottom w:val="nil"/>
              <w:right w:val="nil"/>
            </w:tcBorders>
            <w:shd w:val="clear" w:color="auto" w:fill="auto"/>
            <w:noWrap/>
            <w:vAlign w:val="bottom"/>
            <w:hideMark/>
          </w:tcPr>
          <w:p w14:paraId="01BB05F5" w14:textId="77777777" w:rsidR="00DF095A" w:rsidRPr="000E152E" w:rsidRDefault="00DF095A" w:rsidP="00DF095A">
            <w:pPr>
              <w:spacing w:after="0" w:line="240" w:lineRule="auto"/>
              <w:jc w:val="right"/>
              <w:rPr>
                <w:rFonts w:ascii="Garamond" w:eastAsia="Times New Roman" w:hAnsi="Garamond" w:cs="Calibri"/>
                <w:color w:val="000000"/>
                <w:sz w:val="14"/>
                <w:szCs w:val="14"/>
                <w:lang w:eastAsia="sq-AL"/>
              </w:rPr>
            </w:pPr>
            <w:r w:rsidRPr="000E152E">
              <w:rPr>
                <w:rFonts w:ascii="Garamond" w:eastAsia="Times New Roman" w:hAnsi="Garamond" w:cs="Calibri"/>
                <w:color w:val="000000"/>
                <w:sz w:val="14"/>
                <w:szCs w:val="14"/>
                <w:lang w:eastAsia="sq-AL"/>
              </w:rPr>
              <w:t>41%</w:t>
            </w:r>
          </w:p>
        </w:tc>
        <w:tc>
          <w:tcPr>
            <w:tcW w:w="430" w:type="pct"/>
            <w:tcBorders>
              <w:top w:val="nil"/>
              <w:left w:val="nil"/>
              <w:bottom w:val="nil"/>
              <w:right w:val="nil"/>
            </w:tcBorders>
            <w:shd w:val="clear" w:color="auto" w:fill="auto"/>
            <w:noWrap/>
            <w:vAlign w:val="bottom"/>
            <w:hideMark/>
          </w:tcPr>
          <w:p w14:paraId="01BB05F6" w14:textId="77777777" w:rsidR="00DF095A" w:rsidRPr="000E152E" w:rsidRDefault="00DF095A" w:rsidP="00DF095A">
            <w:pPr>
              <w:spacing w:after="0" w:line="240" w:lineRule="auto"/>
              <w:jc w:val="right"/>
              <w:rPr>
                <w:rFonts w:ascii="Garamond" w:eastAsia="Times New Roman" w:hAnsi="Garamond" w:cs="Calibri"/>
                <w:color w:val="000000"/>
                <w:sz w:val="14"/>
                <w:szCs w:val="14"/>
                <w:lang w:eastAsia="sq-AL"/>
              </w:rPr>
            </w:pPr>
            <w:r w:rsidRPr="000E152E">
              <w:rPr>
                <w:rFonts w:ascii="Garamond" w:eastAsia="Times New Roman" w:hAnsi="Garamond" w:cs="Calibri"/>
                <w:color w:val="000000"/>
                <w:sz w:val="14"/>
                <w:szCs w:val="14"/>
                <w:lang w:eastAsia="sq-AL"/>
              </w:rPr>
              <w:t>95%</w:t>
            </w:r>
          </w:p>
        </w:tc>
        <w:tc>
          <w:tcPr>
            <w:tcW w:w="466" w:type="pct"/>
            <w:tcBorders>
              <w:top w:val="nil"/>
              <w:left w:val="nil"/>
              <w:bottom w:val="nil"/>
              <w:right w:val="nil"/>
            </w:tcBorders>
            <w:shd w:val="clear" w:color="auto" w:fill="auto"/>
            <w:noWrap/>
            <w:vAlign w:val="bottom"/>
            <w:hideMark/>
          </w:tcPr>
          <w:p w14:paraId="01BB05F7" w14:textId="77777777" w:rsidR="00DF095A" w:rsidRPr="000E152E" w:rsidRDefault="00DF095A" w:rsidP="00DF095A">
            <w:pPr>
              <w:spacing w:after="0" w:line="240" w:lineRule="auto"/>
              <w:jc w:val="right"/>
              <w:rPr>
                <w:rFonts w:ascii="Garamond" w:eastAsia="Times New Roman" w:hAnsi="Garamond" w:cs="Calibri"/>
                <w:color w:val="000000"/>
                <w:sz w:val="14"/>
                <w:szCs w:val="14"/>
                <w:lang w:eastAsia="sq-AL"/>
              </w:rPr>
            </w:pPr>
            <w:r w:rsidRPr="000E152E">
              <w:rPr>
                <w:rFonts w:ascii="Garamond" w:eastAsia="Times New Roman" w:hAnsi="Garamond" w:cs="Calibri"/>
                <w:color w:val="000000"/>
                <w:sz w:val="14"/>
                <w:szCs w:val="14"/>
                <w:lang w:eastAsia="sq-AL"/>
              </w:rPr>
              <w:t>78%</w:t>
            </w:r>
          </w:p>
        </w:tc>
      </w:tr>
      <w:tr w:rsidR="00DF095A" w:rsidRPr="000E152E" w14:paraId="01BB0604" w14:textId="77777777" w:rsidTr="00364541">
        <w:trPr>
          <w:trHeight w:val="180"/>
        </w:trPr>
        <w:tc>
          <w:tcPr>
            <w:tcW w:w="312" w:type="pct"/>
            <w:tcBorders>
              <w:top w:val="nil"/>
              <w:left w:val="nil"/>
              <w:bottom w:val="nil"/>
              <w:right w:val="nil"/>
            </w:tcBorders>
            <w:shd w:val="clear" w:color="auto" w:fill="auto"/>
            <w:noWrap/>
            <w:vAlign w:val="bottom"/>
            <w:hideMark/>
          </w:tcPr>
          <w:p w14:paraId="01BB05F9"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1110" w:type="pct"/>
            <w:tcBorders>
              <w:top w:val="nil"/>
              <w:left w:val="nil"/>
              <w:bottom w:val="nil"/>
              <w:right w:val="nil"/>
            </w:tcBorders>
            <w:shd w:val="clear" w:color="000000" w:fill="FFD579"/>
            <w:vAlign w:val="center"/>
            <w:hideMark/>
          </w:tcPr>
          <w:p w14:paraId="01BB05FA" w14:textId="77777777" w:rsidR="00DF095A" w:rsidRPr="000E152E" w:rsidRDefault="00DF095A" w:rsidP="00DF095A">
            <w:pPr>
              <w:spacing w:after="0" w:line="240" w:lineRule="auto"/>
              <w:rPr>
                <w:rFonts w:ascii="Garamond" w:eastAsia="Times New Roman" w:hAnsi="Garamond"/>
                <w:color w:val="000000"/>
                <w:sz w:val="14"/>
                <w:szCs w:val="14"/>
                <w:lang w:eastAsia="sq-AL"/>
              </w:rPr>
            </w:pPr>
            <w:r w:rsidRPr="000E152E">
              <w:rPr>
                <w:rFonts w:ascii="Garamond" w:eastAsia="Times New Roman" w:hAnsi="Garamond"/>
                <w:color w:val="000000"/>
                <w:sz w:val="14"/>
                <w:szCs w:val="14"/>
                <w:lang w:eastAsia="sq-AL"/>
              </w:rPr>
              <w:t>GJITHSEJ STRATEGJIA</w:t>
            </w:r>
          </w:p>
        </w:tc>
        <w:tc>
          <w:tcPr>
            <w:tcW w:w="380" w:type="pct"/>
            <w:tcBorders>
              <w:top w:val="nil"/>
              <w:left w:val="nil"/>
              <w:bottom w:val="nil"/>
              <w:right w:val="nil"/>
            </w:tcBorders>
            <w:shd w:val="clear" w:color="auto" w:fill="auto"/>
            <w:noWrap/>
            <w:vAlign w:val="bottom"/>
            <w:hideMark/>
          </w:tcPr>
          <w:p w14:paraId="01BB05FB"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09" w:type="pct"/>
            <w:tcBorders>
              <w:top w:val="nil"/>
              <w:left w:val="nil"/>
              <w:bottom w:val="nil"/>
              <w:right w:val="nil"/>
            </w:tcBorders>
            <w:shd w:val="clear" w:color="auto" w:fill="auto"/>
            <w:noWrap/>
            <w:vAlign w:val="bottom"/>
            <w:hideMark/>
          </w:tcPr>
          <w:p w14:paraId="01BB05FC"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27" w:type="pct"/>
            <w:tcBorders>
              <w:top w:val="nil"/>
              <w:left w:val="nil"/>
              <w:bottom w:val="nil"/>
              <w:right w:val="nil"/>
            </w:tcBorders>
            <w:shd w:val="clear" w:color="auto" w:fill="auto"/>
            <w:noWrap/>
            <w:vAlign w:val="bottom"/>
            <w:hideMark/>
          </w:tcPr>
          <w:p w14:paraId="01BB05FD"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286" w:type="pct"/>
            <w:tcBorders>
              <w:top w:val="nil"/>
              <w:left w:val="nil"/>
              <w:bottom w:val="nil"/>
              <w:right w:val="nil"/>
            </w:tcBorders>
            <w:shd w:val="clear" w:color="auto" w:fill="auto"/>
            <w:noWrap/>
            <w:vAlign w:val="bottom"/>
            <w:hideMark/>
          </w:tcPr>
          <w:p w14:paraId="01BB05FE"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395" w:type="pct"/>
            <w:tcBorders>
              <w:top w:val="nil"/>
              <w:left w:val="nil"/>
              <w:bottom w:val="nil"/>
              <w:right w:val="nil"/>
            </w:tcBorders>
            <w:shd w:val="clear" w:color="auto" w:fill="auto"/>
            <w:noWrap/>
            <w:vAlign w:val="bottom"/>
            <w:hideMark/>
          </w:tcPr>
          <w:p w14:paraId="01BB05FF" w14:textId="77777777" w:rsidR="00DF095A" w:rsidRPr="000E152E" w:rsidRDefault="00DF095A" w:rsidP="00DF095A">
            <w:pPr>
              <w:spacing w:after="0" w:line="240" w:lineRule="auto"/>
              <w:rPr>
                <w:rFonts w:ascii="Garamond" w:eastAsia="Times New Roman" w:hAnsi="Garamond" w:cs="Calibri"/>
                <w:color w:val="000000"/>
                <w:sz w:val="14"/>
                <w:szCs w:val="14"/>
                <w:lang w:eastAsia="sq-AL"/>
              </w:rPr>
            </w:pPr>
          </w:p>
        </w:tc>
        <w:tc>
          <w:tcPr>
            <w:tcW w:w="500" w:type="pct"/>
            <w:tcBorders>
              <w:top w:val="nil"/>
              <w:left w:val="nil"/>
              <w:bottom w:val="nil"/>
              <w:right w:val="nil"/>
            </w:tcBorders>
            <w:shd w:val="clear" w:color="000000" w:fill="92D050"/>
            <w:noWrap/>
            <w:vAlign w:val="bottom"/>
            <w:hideMark/>
          </w:tcPr>
          <w:p w14:paraId="01BB0600" w14:textId="3682DDD3"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75,513,866,666</w:t>
            </w:r>
            <w:r w:rsidR="000E152E" w:rsidRPr="000E152E">
              <w:rPr>
                <w:rFonts w:ascii="Garamond" w:eastAsia="Times New Roman" w:hAnsi="Garamond" w:cs="Calibri"/>
                <w:b/>
                <w:bCs/>
                <w:color w:val="000000"/>
                <w:sz w:val="14"/>
                <w:szCs w:val="14"/>
                <w:lang w:eastAsia="sq-AL"/>
              </w:rPr>
              <w:t xml:space="preserve"> </w:t>
            </w:r>
          </w:p>
        </w:tc>
        <w:tc>
          <w:tcPr>
            <w:tcW w:w="487" w:type="pct"/>
            <w:tcBorders>
              <w:top w:val="nil"/>
              <w:left w:val="nil"/>
              <w:bottom w:val="nil"/>
              <w:right w:val="nil"/>
            </w:tcBorders>
            <w:shd w:val="clear" w:color="000000" w:fill="92D050"/>
            <w:noWrap/>
            <w:vAlign w:val="bottom"/>
            <w:hideMark/>
          </w:tcPr>
          <w:p w14:paraId="01BB0601" w14:textId="61110FAB" w:rsidR="00DF095A" w:rsidRPr="000E152E" w:rsidRDefault="000E152E"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 xml:space="preserve"> </w:t>
            </w:r>
            <w:r w:rsidR="00DF095A" w:rsidRPr="000E152E">
              <w:rPr>
                <w:rFonts w:ascii="Garamond" w:eastAsia="Times New Roman" w:hAnsi="Garamond" w:cs="Calibri"/>
                <w:b/>
                <w:bCs/>
                <w:color w:val="000000"/>
                <w:sz w:val="14"/>
                <w:szCs w:val="14"/>
                <w:lang w:eastAsia="sq-AL"/>
              </w:rPr>
              <w:t>50,949,415,955</w:t>
            </w:r>
            <w:r w:rsidRPr="000E152E">
              <w:rPr>
                <w:rFonts w:ascii="Garamond" w:eastAsia="Times New Roman" w:hAnsi="Garamond" w:cs="Calibri"/>
                <w:b/>
                <w:bCs/>
                <w:color w:val="000000"/>
                <w:sz w:val="14"/>
                <w:szCs w:val="14"/>
                <w:lang w:eastAsia="sq-AL"/>
              </w:rPr>
              <w:t xml:space="preserve"> </w:t>
            </w:r>
          </w:p>
        </w:tc>
        <w:tc>
          <w:tcPr>
            <w:tcW w:w="430" w:type="pct"/>
            <w:tcBorders>
              <w:top w:val="nil"/>
              <w:left w:val="nil"/>
              <w:bottom w:val="nil"/>
              <w:right w:val="nil"/>
            </w:tcBorders>
            <w:shd w:val="clear" w:color="000000" w:fill="92D050"/>
            <w:noWrap/>
            <w:vAlign w:val="bottom"/>
            <w:hideMark/>
          </w:tcPr>
          <w:p w14:paraId="01BB0602" w14:textId="2F935447"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7,392,277,484</w:t>
            </w:r>
            <w:r w:rsidR="000E152E" w:rsidRPr="000E152E">
              <w:rPr>
                <w:rFonts w:ascii="Garamond" w:eastAsia="Times New Roman" w:hAnsi="Garamond" w:cs="Calibri"/>
                <w:b/>
                <w:bCs/>
                <w:color w:val="000000"/>
                <w:sz w:val="14"/>
                <w:szCs w:val="14"/>
                <w:lang w:eastAsia="sq-AL"/>
              </w:rPr>
              <w:t xml:space="preserve"> </w:t>
            </w:r>
          </w:p>
        </w:tc>
        <w:tc>
          <w:tcPr>
            <w:tcW w:w="466" w:type="pct"/>
            <w:tcBorders>
              <w:top w:val="nil"/>
              <w:left w:val="nil"/>
              <w:bottom w:val="nil"/>
              <w:right w:val="nil"/>
            </w:tcBorders>
            <w:shd w:val="clear" w:color="000000" w:fill="92D050"/>
            <w:noWrap/>
            <w:vAlign w:val="bottom"/>
            <w:hideMark/>
          </w:tcPr>
          <w:p w14:paraId="01BB0603" w14:textId="3B653018" w:rsidR="00DF095A" w:rsidRPr="000E152E" w:rsidRDefault="00DF095A" w:rsidP="00DF095A">
            <w:pPr>
              <w:spacing w:after="0" w:line="240" w:lineRule="auto"/>
              <w:rPr>
                <w:rFonts w:ascii="Garamond" w:eastAsia="Times New Roman" w:hAnsi="Garamond" w:cs="Calibri"/>
                <w:b/>
                <w:bCs/>
                <w:color w:val="000000"/>
                <w:sz w:val="14"/>
                <w:szCs w:val="14"/>
                <w:lang w:eastAsia="sq-AL"/>
              </w:rPr>
            </w:pPr>
            <w:r w:rsidRPr="000E152E">
              <w:rPr>
                <w:rFonts w:ascii="Garamond" w:eastAsia="Times New Roman" w:hAnsi="Garamond" w:cs="Calibri"/>
                <w:b/>
                <w:bCs/>
                <w:color w:val="000000"/>
                <w:sz w:val="14"/>
                <w:szCs w:val="14"/>
                <w:lang w:eastAsia="sq-AL"/>
              </w:rPr>
              <w:t>17,172,173,227</w:t>
            </w:r>
            <w:r w:rsidR="000E152E" w:rsidRPr="000E152E">
              <w:rPr>
                <w:rFonts w:ascii="Garamond" w:eastAsia="Times New Roman" w:hAnsi="Garamond" w:cs="Calibri"/>
                <w:b/>
                <w:bCs/>
                <w:color w:val="000000"/>
                <w:sz w:val="14"/>
                <w:szCs w:val="14"/>
                <w:lang w:eastAsia="sq-AL"/>
              </w:rPr>
              <w:t xml:space="preserve"> </w:t>
            </w:r>
          </w:p>
        </w:tc>
      </w:tr>
    </w:tbl>
    <w:p w14:paraId="01BB0605" w14:textId="77777777" w:rsidR="00DF095A" w:rsidRPr="000E152E" w:rsidRDefault="00DF095A" w:rsidP="00A96392">
      <w:pPr>
        <w:pStyle w:val="TEKSTIIII"/>
      </w:pPr>
    </w:p>
    <w:p w14:paraId="01BB0606" w14:textId="77777777" w:rsidR="00392FFB" w:rsidRPr="000E152E" w:rsidRDefault="00392FFB" w:rsidP="00A96392">
      <w:pPr>
        <w:pStyle w:val="TEKSTIIII"/>
      </w:pPr>
    </w:p>
    <w:p w14:paraId="01BB0607" w14:textId="77777777" w:rsidR="00392FFB" w:rsidRPr="000E152E" w:rsidRDefault="00392FFB" w:rsidP="00A96392">
      <w:pPr>
        <w:pStyle w:val="TEKSTIIII"/>
      </w:pPr>
    </w:p>
    <w:p w14:paraId="01BB0608" w14:textId="77777777" w:rsidR="00392FFB" w:rsidRPr="000E152E" w:rsidRDefault="00392FFB" w:rsidP="00A96392">
      <w:pPr>
        <w:pStyle w:val="TEKSTIIII"/>
      </w:pPr>
    </w:p>
    <w:p w14:paraId="01BB0609" w14:textId="77777777" w:rsidR="00392FFB" w:rsidRPr="000E152E" w:rsidRDefault="00392FFB" w:rsidP="00A96392">
      <w:pPr>
        <w:pStyle w:val="TEKSTIIII"/>
      </w:pPr>
    </w:p>
    <w:p w14:paraId="01BB060A" w14:textId="77777777" w:rsidR="00392FFB" w:rsidRPr="000E152E" w:rsidRDefault="00392FFB" w:rsidP="00A96392">
      <w:pPr>
        <w:pStyle w:val="TEKSTIIII"/>
      </w:pPr>
    </w:p>
    <w:p w14:paraId="01BB060B" w14:textId="77777777" w:rsidR="00392FFB" w:rsidRPr="000E152E" w:rsidRDefault="00392FFB" w:rsidP="00A96392">
      <w:pPr>
        <w:pStyle w:val="TEKSTIIII"/>
      </w:pPr>
    </w:p>
    <w:p w14:paraId="01BB060C" w14:textId="77777777" w:rsidR="00392FFB" w:rsidRPr="000E152E" w:rsidRDefault="00392FFB" w:rsidP="00A96392">
      <w:pPr>
        <w:pStyle w:val="TEKSTIIII"/>
      </w:pPr>
    </w:p>
    <w:p w14:paraId="01BB060D" w14:textId="77777777" w:rsidR="00392FFB" w:rsidRDefault="00392FFB" w:rsidP="00A96392">
      <w:pPr>
        <w:pStyle w:val="TEKSTIIII"/>
      </w:pPr>
    </w:p>
    <w:p w14:paraId="7D109ACF" w14:textId="77777777" w:rsidR="00B64D23" w:rsidRDefault="00B64D23" w:rsidP="00A96392">
      <w:pPr>
        <w:pStyle w:val="TEKSTIIII"/>
      </w:pPr>
    </w:p>
    <w:p w14:paraId="07D193FB" w14:textId="77777777" w:rsidR="00B64D23" w:rsidRPr="000E152E" w:rsidRDefault="00B64D23" w:rsidP="00A96392">
      <w:pPr>
        <w:pStyle w:val="TEKSTIIII"/>
      </w:pPr>
    </w:p>
    <w:p w14:paraId="01BB060E" w14:textId="77777777" w:rsidR="00392FFB" w:rsidRPr="000E152E" w:rsidRDefault="00392FFB" w:rsidP="00392FFB">
      <w:pPr>
        <w:spacing w:after="0" w:line="240" w:lineRule="auto"/>
        <w:rPr>
          <w:rFonts w:ascii="Garamond" w:hAnsi="Garamond"/>
          <w:b/>
          <w:sz w:val="20"/>
          <w:szCs w:val="16"/>
        </w:rPr>
      </w:pPr>
      <w:r w:rsidRPr="000E152E">
        <w:rPr>
          <w:rFonts w:ascii="Garamond" w:hAnsi="Garamond"/>
          <w:b/>
          <w:sz w:val="20"/>
          <w:szCs w:val="16"/>
        </w:rPr>
        <w:lastRenderedPageBreak/>
        <w:t>Treguesit e Performancës së Strategjisë Kombëtare të Punësimit dhe Aftësive 2023-2030</w:t>
      </w:r>
    </w:p>
    <w:tbl>
      <w:tblPr>
        <w:tblStyle w:val="TableGrid"/>
        <w:tblW w:w="15593" w:type="dxa"/>
        <w:tblInd w:w="-856" w:type="dxa"/>
        <w:tblLook w:val="04A0" w:firstRow="1" w:lastRow="0" w:firstColumn="1" w:lastColumn="0" w:noHBand="0" w:noVBand="1"/>
      </w:tblPr>
      <w:tblGrid>
        <w:gridCol w:w="966"/>
        <w:gridCol w:w="3004"/>
        <w:gridCol w:w="3288"/>
        <w:gridCol w:w="1775"/>
        <w:gridCol w:w="1489"/>
        <w:gridCol w:w="1488"/>
        <w:gridCol w:w="1788"/>
        <w:gridCol w:w="1795"/>
      </w:tblGrid>
      <w:tr w:rsidR="00392FFB" w:rsidRPr="000E152E" w14:paraId="01BB0617" w14:textId="77777777" w:rsidTr="00527F17">
        <w:trPr>
          <w:tblHeader/>
        </w:trPr>
        <w:tc>
          <w:tcPr>
            <w:tcW w:w="966" w:type="dxa"/>
            <w:shd w:val="clear" w:color="auto" w:fill="DBE5F1" w:themeFill="accent1" w:themeFillTint="33"/>
          </w:tcPr>
          <w:p w14:paraId="01BB060F" w14:textId="77777777" w:rsidR="00392FFB" w:rsidRPr="000E152E" w:rsidRDefault="00392FFB" w:rsidP="00527F17">
            <w:pPr>
              <w:rPr>
                <w:rFonts w:ascii="Garamond" w:hAnsi="Garamond" w:cstheme="minorHAnsi"/>
                <w:sz w:val="16"/>
                <w:szCs w:val="16"/>
              </w:rPr>
            </w:pPr>
          </w:p>
        </w:tc>
        <w:tc>
          <w:tcPr>
            <w:tcW w:w="3004" w:type="dxa"/>
            <w:shd w:val="clear" w:color="auto" w:fill="DBE5F1" w:themeFill="accent1" w:themeFillTint="33"/>
          </w:tcPr>
          <w:p w14:paraId="01BB0610" w14:textId="77777777" w:rsidR="00392FFB" w:rsidRPr="000E152E" w:rsidRDefault="00392FFB" w:rsidP="00527F17">
            <w:pPr>
              <w:tabs>
                <w:tab w:val="center" w:pos="1394"/>
              </w:tabs>
              <w:rPr>
                <w:rFonts w:ascii="Garamond" w:hAnsi="Garamond" w:cstheme="minorHAnsi"/>
                <w:sz w:val="16"/>
                <w:szCs w:val="16"/>
              </w:rPr>
            </w:pPr>
            <w:r w:rsidRPr="000E152E">
              <w:rPr>
                <w:rFonts w:ascii="Garamond" w:hAnsi="Garamond" w:cstheme="minorHAnsi"/>
                <w:b/>
                <w:sz w:val="16"/>
                <w:szCs w:val="16"/>
              </w:rPr>
              <w:t>Objektivat</w:t>
            </w:r>
            <w:r w:rsidRPr="000E152E">
              <w:rPr>
                <w:rFonts w:ascii="Garamond" w:hAnsi="Garamond" w:cstheme="minorHAnsi"/>
                <w:b/>
                <w:sz w:val="16"/>
                <w:szCs w:val="16"/>
              </w:rPr>
              <w:tab/>
            </w:r>
          </w:p>
        </w:tc>
        <w:tc>
          <w:tcPr>
            <w:tcW w:w="3288" w:type="dxa"/>
            <w:shd w:val="clear" w:color="auto" w:fill="DBE5F1" w:themeFill="accent1" w:themeFillTint="33"/>
          </w:tcPr>
          <w:p w14:paraId="01BB0611"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Treguesi</w:t>
            </w:r>
          </w:p>
        </w:tc>
        <w:tc>
          <w:tcPr>
            <w:tcW w:w="1775" w:type="dxa"/>
            <w:shd w:val="clear" w:color="auto" w:fill="DBE5F1" w:themeFill="accent1" w:themeFillTint="33"/>
          </w:tcPr>
          <w:p w14:paraId="01BB0612"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Vlera bazë</w:t>
            </w:r>
          </w:p>
        </w:tc>
        <w:tc>
          <w:tcPr>
            <w:tcW w:w="1489" w:type="dxa"/>
            <w:shd w:val="clear" w:color="auto" w:fill="DBE5F1" w:themeFill="accent1" w:themeFillTint="33"/>
          </w:tcPr>
          <w:p w14:paraId="01BB0613"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Synimi 2026</w:t>
            </w:r>
          </w:p>
        </w:tc>
        <w:tc>
          <w:tcPr>
            <w:tcW w:w="1488" w:type="dxa"/>
            <w:shd w:val="clear" w:color="auto" w:fill="DBE5F1" w:themeFill="accent1" w:themeFillTint="33"/>
          </w:tcPr>
          <w:p w14:paraId="01BB0614"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Synimi 2030</w:t>
            </w:r>
          </w:p>
        </w:tc>
        <w:tc>
          <w:tcPr>
            <w:tcW w:w="1788" w:type="dxa"/>
            <w:shd w:val="clear" w:color="auto" w:fill="DBE5F1" w:themeFill="accent1" w:themeFillTint="33"/>
          </w:tcPr>
          <w:p w14:paraId="01BB0615"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Burimet dhe mjetet e verifikimit</w:t>
            </w:r>
          </w:p>
        </w:tc>
        <w:tc>
          <w:tcPr>
            <w:tcW w:w="1795" w:type="dxa"/>
            <w:shd w:val="clear" w:color="auto" w:fill="DBE5F1" w:themeFill="accent1" w:themeFillTint="33"/>
          </w:tcPr>
          <w:p w14:paraId="01BB0616" w14:textId="77777777" w:rsidR="00392FFB" w:rsidRPr="000E152E" w:rsidRDefault="00392FFB" w:rsidP="00527F17">
            <w:pPr>
              <w:rPr>
                <w:rFonts w:ascii="Garamond" w:hAnsi="Garamond" w:cstheme="minorHAnsi"/>
                <w:sz w:val="16"/>
                <w:szCs w:val="16"/>
              </w:rPr>
            </w:pPr>
            <w:r w:rsidRPr="000E152E">
              <w:rPr>
                <w:rFonts w:ascii="Garamond" w:hAnsi="Garamond" w:cstheme="minorHAnsi"/>
                <w:b/>
                <w:sz w:val="16"/>
                <w:szCs w:val="16"/>
              </w:rPr>
              <w:t>Referenca në dok. të tjera</w:t>
            </w:r>
          </w:p>
        </w:tc>
      </w:tr>
      <w:tr w:rsidR="00392FFB" w:rsidRPr="000E152E" w14:paraId="01BB0627" w14:textId="77777777" w:rsidTr="00BF7037">
        <w:trPr>
          <w:trHeight w:val="50"/>
        </w:trPr>
        <w:tc>
          <w:tcPr>
            <w:tcW w:w="966" w:type="dxa"/>
            <w:vMerge w:val="restart"/>
            <w:shd w:val="clear" w:color="auto" w:fill="FDE9D9" w:themeFill="accent6" w:themeFillTint="33"/>
            <w:vAlign w:val="center"/>
          </w:tcPr>
          <w:p w14:paraId="01BB061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Qëllimi i politikës (Ndikimi)</w:t>
            </w:r>
          </w:p>
        </w:tc>
        <w:tc>
          <w:tcPr>
            <w:tcW w:w="3004" w:type="dxa"/>
            <w:vMerge w:val="restart"/>
            <w:shd w:val="clear" w:color="auto" w:fill="FDE9D9" w:themeFill="accent6" w:themeFillTint="33"/>
          </w:tcPr>
          <w:p w14:paraId="01BB061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Qëllimi i politikës 1: Zhvillimi i aftësive dhe lidhje më e mirë e kërkesës me ofertën në tregun e punës për punësim më të lartë</w:t>
            </w:r>
          </w:p>
        </w:tc>
        <w:tc>
          <w:tcPr>
            <w:tcW w:w="3288" w:type="dxa"/>
            <w:shd w:val="clear" w:color="auto" w:fill="FDE9D9" w:themeFill="accent6" w:themeFillTint="33"/>
          </w:tcPr>
          <w:p w14:paraId="01BB061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Shkalla e punësimit (15 - 64 vjeç), sipas gjinisë</w:t>
            </w:r>
          </w:p>
        </w:tc>
        <w:tc>
          <w:tcPr>
            <w:tcW w:w="1775" w:type="dxa"/>
            <w:shd w:val="clear" w:color="auto" w:fill="FDE9D9" w:themeFill="accent6" w:themeFillTint="33"/>
          </w:tcPr>
          <w:p w14:paraId="01BB061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60.9% (2021),</w:t>
            </w:r>
          </w:p>
          <w:p w14:paraId="01BB061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53.8% për gra,</w:t>
            </w:r>
          </w:p>
          <w:p w14:paraId="01BB061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68.2% për burra</w:t>
            </w:r>
          </w:p>
        </w:tc>
        <w:tc>
          <w:tcPr>
            <w:tcW w:w="1489" w:type="dxa"/>
            <w:shd w:val="clear" w:color="auto" w:fill="FDE9D9" w:themeFill="accent6" w:themeFillTint="33"/>
          </w:tcPr>
          <w:p w14:paraId="01BB061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67%</w:t>
            </w:r>
          </w:p>
          <w:p w14:paraId="01BB061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54.8% për gra,</w:t>
            </w:r>
          </w:p>
          <w:p w14:paraId="01BB062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69.2% për burra</w:t>
            </w:r>
          </w:p>
        </w:tc>
        <w:tc>
          <w:tcPr>
            <w:tcW w:w="1488" w:type="dxa"/>
            <w:shd w:val="clear" w:color="auto" w:fill="FDE9D9" w:themeFill="accent6" w:themeFillTint="33"/>
          </w:tcPr>
          <w:p w14:paraId="01BB062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70%</w:t>
            </w:r>
          </w:p>
          <w:p w14:paraId="01BB062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55.8% për gra,</w:t>
            </w:r>
          </w:p>
          <w:p w14:paraId="01BB062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70.2% për burra</w:t>
            </w:r>
          </w:p>
        </w:tc>
        <w:tc>
          <w:tcPr>
            <w:tcW w:w="1788" w:type="dxa"/>
            <w:shd w:val="clear" w:color="auto" w:fill="FDE9D9" w:themeFill="accent6" w:themeFillTint="33"/>
          </w:tcPr>
          <w:p w14:paraId="01BB062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FDE9D9" w:themeFill="accent6" w:themeFillTint="33"/>
          </w:tcPr>
          <w:p w14:paraId="01BB062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SKZHIE, Pasaporta e Ind. SKPA 2022</w:t>
            </w:r>
          </w:p>
          <w:p w14:paraId="01BB062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 SDG 8.5.2, BE JER</w:t>
            </w:r>
            <w:r w:rsidRPr="000E152E">
              <w:rPr>
                <w:rStyle w:val="FootnoteReference"/>
                <w:rFonts w:ascii="Garamond" w:hAnsi="Garamond" w:cstheme="minorHAnsi"/>
                <w:sz w:val="16"/>
                <w:szCs w:val="16"/>
              </w:rPr>
              <w:footnoteReference w:id="56"/>
            </w:r>
          </w:p>
        </w:tc>
      </w:tr>
      <w:tr w:rsidR="00392FFB" w:rsidRPr="000E152E" w14:paraId="01BB0631" w14:textId="77777777" w:rsidTr="00527F17">
        <w:tc>
          <w:tcPr>
            <w:tcW w:w="966" w:type="dxa"/>
            <w:vMerge/>
          </w:tcPr>
          <w:p w14:paraId="01BB0628" w14:textId="77777777" w:rsidR="00392FFB" w:rsidRPr="000E152E" w:rsidRDefault="00392FFB" w:rsidP="00527F17">
            <w:pPr>
              <w:rPr>
                <w:rFonts w:ascii="Garamond" w:hAnsi="Garamond" w:cstheme="minorHAnsi"/>
                <w:sz w:val="16"/>
                <w:szCs w:val="16"/>
              </w:rPr>
            </w:pPr>
          </w:p>
        </w:tc>
        <w:tc>
          <w:tcPr>
            <w:tcW w:w="3004" w:type="dxa"/>
            <w:vMerge/>
          </w:tcPr>
          <w:p w14:paraId="01BB0629" w14:textId="77777777" w:rsidR="00392FFB" w:rsidRPr="000E152E" w:rsidRDefault="00392FFB" w:rsidP="00527F17">
            <w:pPr>
              <w:rPr>
                <w:rFonts w:ascii="Garamond" w:hAnsi="Garamond" w:cstheme="minorHAnsi"/>
                <w:sz w:val="16"/>
                <w:szCs w:val="16"/>
              </w:rPr>
            </w:pPr>
          </w:p>
        </w:tc>
        <w:tc>
          <w:tcPr>
            <w:tcW w:w="3288" w:type="dxa"/>
            <w:shd w:val="clear" w:color="auto" w:fill="FDE9D9" w:themeFill="accent6" w:themeFillTint="33"/>
          </w:tcPr>
          <w:p w14:paraId="01BB062A" w14:textId="43E2BD7F" w:rsidR="00392FFB" w:rsidRPr="000E152E" w:rsidRDefault="00392FFB" w:rsidP="00527F17">
            <w:pPr>
              <w:rPr>
                <w:rFonts w:ascii="Garamond" w:hAnsi="Garamond" w:cstheme="minorHAnsi"/>
                <w:sz w:val="16"/>
                <w:szCs w:val="16"/>
              </w:rPr>
            </w:pPr>
            <w:r w:rsidRPr="000E152E">
              <w:rPr>
                <w:rFonts w:ascii="Garamond" w:hAnsi="Garamond" w:cstheme="minorHAnsi"/>
                <w:bCs/>
                <w:sz w:val="16"/>
                <w:szCs w:val="16"/>
              </w:rPr>
              <w:t>Përqindja e të rriturve</w:t>
            </w:r>
            <w:r w:rsidR="000E152E" w:rsidRPr="000E152E">
              <w:rPr>
                <w:rFonts w:ascii="Garamond" w:hAnsi="Garamond" w:cstheme="minorHAnsi"/>
                <w:bCs/>
                <w:sz w:val="16"/>
                <w:szCs w:val="16"/>
              </w:rPr>
              <w:t xml:space="preserve"> </w:t>
            </w:r>
            <w:r w:rsidRPr="000E152E">
              <w:rPr>
                <w:rFonts w:ascii="Garamond" w:hAnsi="Garamond" w:cstheme="minorHAnsi"/>
                <w:bCs/>
                <w:sz w:val="16"/>
                <w:szCs w:val="16"/>
              </w:rPr>
              <w:t xml:space="preserve">të moshës 25-64 vjeç, që marrin pjesë në procese të të nxënit gjatë gjithë jetës gjatë 12 muajve të fundit, </w:t>
            </w:r>
            <w:r w:rsidRPr="000E152E">
              <w:rPr>
                <w:rFonts w:ascii="Garamond" w:hAnsi="Garamond" w:cstheme="minorHAnsi"/>
                <w:sz w:val="16"/>
                <w:szCs w:val="16"/>
              </w:rPr>
              <w:t>të ndara sipas gjinisë</w:t>
            </w:r>
          </w:p>
        </w:tc>
        <w:tc>
          <w:tcPr>
            <w:tcW w:w="1775" w:type="dxa"/>
            <w:shd w:val="clear" w:color="auto" w:fill="FDE9D9" w:themeFill="accent6" w:themeFillTint="33"/>
          </w:tcPr>
          <w:p w14:paraId="01BB062B" w14:textId="77777777" w:rsidR="00392FFB" w:rsidRPr="000E152E" w:rsidRDefault="00392FFB" w:rsidP="00527F17">
            <w:pPr>
              <w:rPr>
                <w:rFonts w:ascii="Garamond" w:hAnsi="Garamond" w:cs="Calibri"/>
                <w:sz w:val="16"/>
                <w:szCs w:val="16"/>
              </w:rPr>
            </w:pPr>
            <w:r w:rsidRPr="000E152E">
              <w:rPr>
                <w:rFonts w:ascii="Garamond" w:hAnsi="Garamond"/>
                <w:sz w:val="16"/>
                <w:szCs w:val="16"/>
              </w:rPr>
              <w:t>9.2% (2017)</w:t>
            </w:r>
          </w:p>
        </w:tc>
        <w:tc>
          <w:tcPr>
            <w:tcW w:w="1489" w:type="dxa"/>
            <w:shd w:val="clear" w:color="auto" w:fill="FDE9D9" w:themeFill="accent6" w:themeFillTint="33"/>
          </w:tcPr>
          <w:p w14:paraId="01BB062C" w14:textId="77777777" w:rsidR="00392FFB" w:rsidRPr="000E152E" w:rsidRDefault="00392FFB" w:rsidP="00527F17">
            <w:pPr>
              <w:rPr>
                <w:rFonts w:ascii="Garamond" w:hAnsi="Garamond"/>
                <w:sz w:val="16"/>
                <w:szCs w:val="16"/>
              </w:rPr>
            </w:pPr>
            <w:r w:rsidRPr="000E152E">
              <w:rPr>
                <w:rFonts w:ascii="Garamond" w:hAnsi="Garamond"/>
                <w:sz w:val="16"/>
                <w:szCs w:val="16"/>
              </w:rPr>
              <w:t>15%</w:t>
            </w:r>
          </w:p>
        </w:tc>
        <w:tc>
          <w:tcPr>
            <w:tcW w:w="1488" w:type="dxa"/>
            <w:shd w:val="clear" w:color="auto" w:fill="FDE9D9" w:themeFill="accent6" w:themeFillTint="33"/>
          </w:tcPr>
          <w:p w14:paraId="01BB062D" w14:textId="77777777" w:rsidR="00392FFB" w:rsidRPr="000E152E" w:rsidRDefault="00392FFB" w:rsidP="00527F17">
            <w:pPr>
              <w:rPr>
                <w:rFonts w:ascii="Garamond" w:hAnsi="Garamond"/>
                <w:sz w:val="16"/>
                <w:szCs w:val="16"/>
              </w:rPr>
            </w:pPr>
            <w:r w:rsidRPr="000E152E">
              <w:rPr>
                <w:rFonts w:ascii="Garamond" w:hAnsi="Garamond"/>
                <w:sz w:val="16"/>
                <w:szCs w:val="16"/>
              </w:rPr>
              <w:t>25%</w:t>
            </w:r>
          </w:p>
        </w:tc>
        <w:tc>
          <w:tcPr>
            <w:tcW w:w="1788" w:type="dxa"/>
            <w:shd w:val="clear" w:color="auto" w:fill="FDE9D9" w:themeFill="accent6" w:themeFillTint="33"/>
          </w:tcPr>
          <w:p w14:paraId="01BB062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Arsimit të të Rriturve</w:t>
            </w:r>
          </w:p>
        </w:tc>
        <w:tc>
          <w:tcPr>
            <w:tcW w:w="1795" w:type="dxa"/>
            <w:shd w:val="clear" w:color="auto" w:fill="FDE9D9" w:themeFill="accent6" w:themeFillTint="33"/>
          </w:tcPr>
          <w:p w14:paraId="01BB062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BE JER, SDG 4.3.1</w:t>
            </w:r>
          </w:p>
          <w:p w14:paraId="01BB063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Pasaporta e Ind. SKPA 2022, 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63A" w14:textId="77777777" w:rsidTr="00527F17">
        <w:tc>
          <w:tcPr>
            <w:tcW w:w="966" w:type="dxa"/>
            <w:vMerge w:val="restart"/>
            <w:shd w:val="clear" w:color="auto" w:fill="E5DFEC" w:themeFill="accent4" w:themeFillTint="33"/>
            <w:vAlign w:val="center"/>
          </w:tcPr>
          <w:p w14:paraId="01BB063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u w:val="single"/>
              </w:rPr>
              <w:t>Objektivi specifik/ strategjik</w:t>
            </w:r>
          </w:p>
        </w:tc>
        <w:tc>
          <w:tcPr>
            <w:tcW w:w="3004" w:type="dxa"/>
            <w:shd w:val="clear" w:color="auto" w:fill="E5DFEC" w:themeFill="accent4" w:themeFillTint="33"/>
          </w:tcPr>
          <w:p w14:paraId="01BB063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u w:val="single"/>
              </w:rPr>
              <w:t>1.1:</w:t>
            </w:r>
            <w:r w:rsidRPr="000E152E">
              <w:rPr>
                <w:rFonts w:ascii="Garamond" w:hAnsi="Garamond" w:cstheme="minorHAnsi"/>
                <w:sz w:val="16"/>
                <w:szCs w:val="16"/>
              </w:rPr>
              <w:t xml:space="preserve"> Zvogëlimi i mospërputhjes së aftësive për të gjitha profesionet </w:t>
            </w:r>
          </w:p>
        </w:tc>
        <w:tc>
          <w:tcPr>
            <w:tcW w:w="3288" w:type="dxa"/>
            <w:shd w:val="clear" w:color="auto" w:fill="E5DFEC" w:themeFill="accent4" w:themeFillTint="33"/>
          </w:tcPr>
          <w:p w14:paraId="01BB063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 e bizneseve që identifikojnë si pengesë kryesore</w:t>
            </w:r>
            <w:r w:rsidRPr="000E152E" w:rsidDel="00350221">
              <w:rPr>
                <w:rFonts w:ascii="Garamond" w:hAnsi="Garamond" w:cstheme="minorHAnsi"/>
                <w:sz w:val="16"/>
                <w:szCs w:val="16"/>
              </w:rPr>
              <w:t xml:space="preserve"> </w:t>
            </w:r>
            <w:r w:rsidRPr="000E152E">
              <w:rPr>
                <w:rFonts w:ascii="Garamond" w:hAnsi="Garamond" w:cstheme="minorHAnsi"/>
                <w:sz w:val="16"/>
                <w:szCs w:val="16"/>
              </w:rPr>
              <w:t xml:space="preserve">arsimin e papërshtatshëm të fuqisë punëtore </w:t>
            </w:r>
          </w:p>
        </w:tc>
        <w:tc>
          <w:tcPr>
            <w:tcW w:w="1775" w:type="dxa"/>
            <w:shd w:val="clear" w:color="auto" w:fill="E5DFEC" w:themeFill="accent4" w:themeFillTint="33"/>
          </w:tcPr>
          <w:p w14:paraId="01BB0635"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24.8% (2019)</w:t>
            </w:r>
          </w:p>
        </w:tc>
        <w:tc>
          <w:tcPr>
            <w:tcW w:w="1489" w:type="dxa"/>
            <w:shd w:val="clear" w:color="auto" w:fill="E5DFEC" w:themeFill="accent4" w:themeFillTint="33"/>
          </w:tcPr>
          <w:p w14:paraId="01BB0636"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23%</w:t>
            </w:r>
          </w:p>
        </w:tc>
        <w:tc>
          <w:tcPr>
            <w:tcW w:w="1488" w:type="dxa"/>
            <w:shd w:val="clear" w:color="auto" w:fill="E5DFEC" w:themeFill="accent4" w:themeFillTint="33"/>
          </w:tcPr>
          <w:p w14:paraId="01BB0637"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 xml:space="preserve">21% </w:t>
            </w:r>
          </w:p>
        </w:tc>
        <w:tc>
          <w:tcPr>
            <w:tcW w:w="1788" w:type="dxa"/>
            <w:shd w:val="clear" w:color="auto" w:fill="E5DFEC" w:themeFill="accent4" w:themeFillTint="33"/>
          </w:tcPr>
          <w:p w14:paraId="01BB063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Banka Botërore/ Anketa e Ndërmarrjeve</w:t>
            </w:r>
            <w:r w:rsidRPr="000E152E" w:rsidDel="00350221">
              <w:rPr>
                <w:rFonts w:ascii="Garamond" w:hAnsi="Garamond" w:cstheme="minorHAnsi"/>
                <w:sz w:val="16"/>
                <w:szCs w:val="16"/>
              </w:rPr>
              <w:t xml:space="preserve"> </w:t>
            </w:r>
          </w:p>
        </w:tc>
        <w:tc>
          <w:tcPr>
            <w:tcW w:w="1795" w:type="dxa"/>
            <w:shd w:val="clear" w:color="auto" w:fill="E5DFEC" w:themeFill="accent4" w:themeFillTint="33"/>
          </w:tcPr>
          <w:p w14:paraId="01BB0639" w14:textId="77777777" w:rsidR="00392FFB" w:rsidRPr="000E152E" w:rsidRDefault="00392FFB" w:rsidP="00527F17">
            <w:pPr>
              <w:rPr>
                <w:rFonts w:ascii="Garamond" w:hAnsi="Garamond" w:cstheme="minorHAnsi"/>
                <w:sz w:val="16"/>
                <w:szCs w:val="16"/>
              </w:rPr>
            </w:pPr>
          </w:p>
        </w:tc>
      </w:tr>
      <w:tr w:rsidR="00392FFB" w:rsidRPr="000E152E" w14:paraId="01BB0644" w14:textId="77777777" w:rsidTr="00527F17">
        <w:tc>
          <w:tcPr>
            <w:tcW w:w="966" w:type="dxa"/>
            <w:vMerge/>
          </w:tcPr>
          <w:p w14:paraId="01BB063B" w14:textId="77777777" w:rsidR="00392FFB" w:rsidRPr="000E152E" w:rsidRDefault="00392FFB" w:rsidP="00527F17">
            <w:pPr>
              <w:rPr>
                <w:rFonts w:ascii="Garamond" w:hAnsi="Garamond" w:cstheme="minorHAnsi"/>
                <w:sz w:val="16"/>
                <w:szCs w:val="16"/>
              </w:rPr>
            </w:pPr>
          </w:p>
        </w:tc>
        <w:tc>
          <w:tcPr>
            <w:tcW w:w="3004" w:type="dxa"/>
            <w:shd w:val="clear" w:color="auto" w:fill="E5DFEC" w:themeFill="accent4" w:themeFillTint="33"/>
          </w:tcPr>
          <w:p w14:paraId="01BB063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u w:val="single"/>
              </w:rPr>
              <w:t>1.2.</w:t>
            </w:r>
            <w:r w:rsidRPr="000E152E">
              <w:rPr>
                <w:rFonts w:ascii="Garamond" w:hAnsi="Garamond" w:cstheme="minorHAnsi"/>
                <w:sz w:val="16"/>
                <w:szCs w:val="16"/>
              </w:rPr>
              <w:t xml:space="preserve"> Rritja e nivelit të aftësive të grave dhe burrave në moshë pune</w:t>
            </w:r>
          </w:p>
        </w:tc>
        <w:tc>
          <w:tcPr>
            <w:tcW w:w="3288" w:type="dxa"/>
            <w:shd w:val="clear" w:color="auto" w:fill="E5DFEC" w:themeFill="accent4" w:themeFillTint="33"/>
          </w:tcPr>
          <w:p w14:paraId="01BB063D" w14:textId="2CC9492C" w:rsidR="00392FFB" w:rsidRPr="000E152E" w:rsidRDefault="00392FFB" w:rsidP="00B9759C">
            <w:pPr>
              <w:jc w:val="both"/>
              <w:rPr>
                <w:rFonts w:ascii="Garamond" w:hAnsi="Garamond" w:cstheme="minorHAnsi"/>
                <w:bCs/>
                <w:sz w:val="16"/>
                <w:szCs w:val="16"/>
              </w:rPr>
            </w:pPr>
            <w:r w:rsidRPr="000E152E">
              <w:rPr>
                <w:rFonts w:ascii="Garamond" w:hAnsi="Garamond" w:cstheme="minorHAnsi"/>
                <w:bCs/>
                <w:sz w:val="16"/>
                <w:szCs w:val="16"/>
              </w:rPr>
              <w:t>Përqindja e popullsisë me aftësi bazë di</w:t>
            </w:r>
            <w:r w:rsidR="00B9759C">
              <w:rPr>
                <w:rFonts w:ascii="Garamond" w:hAnsi="Garamond" w:cstheme="minorHAnsi"/>
                <w:bCs/>
                <w:sz w:val="16"/>
                <w:szCs w:val="16"/>
              </w:rPr>
              <w:t>gj</w:t>
            </w:r>
            <w:r w:rsidRPr="000E152E">
              <w:rPr>
                <w:rFonts w:ascii="Garamond" w:hAnsi="Garamond" w:cstheme="minorHAnsi"/>
                <w:bCs/>
                <w:sz w:val="16"/>
                <w:szCs w:val="16"/>
              </w:rPr>
              <w:t xml:space="preserve">itale ose më të larta (mosha 16-74 vjeç), </w:t>
            </w:r>
            <w:r w:rsidRPr="000E152E">
              <w:rPr>
                <w:rFonts w:ascii="Garamond" w:hAnsi="Garamond" w:cstheme="minorHAnsi"/>
                <w:sz w:val="16"/>
                <w:szCs w:val="16"/>
              </w:rPr>
              <w:t>sipas gjinisë</w:t>
            </w:r>
          </w:p>
        </w:tc>
        <w:tc>
          <w:tcPr>
            <w:tcW w:w="1775" w:type="dxa"/>
            <w:shd w:val="clear" w:color="auto" w:fill="E5DFEC" w:themeFill="accent4" w:themeFillTint="33"/>
          </w:tcPr>
          <w:p w14:paraId="01BB063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24%</w:t>
            </w:r>
          </w:p>
        </w:tc>
        <w:tc>
          <w:tcPr>
            <w:tcW w:w="1489" w:type="dxa"/>
            <w:shd w:val="clear" w:color="auto" w:fill="E5DFEC" w:themeFill="accent4" w:themeFillTint="33"/>
          </w:tcPr>
          <w:p w14:paraId="01BB063F"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35%</w:t>
            </w:r>
          </w:p>
        </w:tc>
        <w:tc>
          <w:tcPr>
            <w:tcW w:w="1488" w:type="dxa"/>
            <w:shd w:val="clear" w:color="auto" w:fill="E5DFEC" w:themeFill="accent4" w:themeFillTint="33"/>
          </w:tcPr>
          <w:p w14:paraId="01BB0640" w14:textId="77777777" w:rsidR="00392FFB" w:rsidRPr="000E152E" w:rsidRDefault="00392FFB" w:rsidP="00527F17">
            <w:pPr>
              <w:rPr>
                <w:rFonts w:ascii="Garamond" w:hAnsi="Garamond"/>
                <w:sz w:val="16"/>
                <w:szCs w:val="16"/>
              </w:rPr>
            </w:pPr>
            <w:r w:rsidRPr="000E152E">
              <w:rPr>
                <w:rFonts w:ascii="Garamond" w:hAnsi="Garamond"/>
                <w:sz w:val="16"/>
                <w:szCs w:val="16"/>
              </w:rPr>
              <w:t>60%</w:t>
            </w:r>
          </w:p>
        </w:tc>
        <w:tc>
          <w:tcPr>
            <w:tcW w:w="1788" w:type="dxa"/>
            <w:shd w:val="clear" w:color="auto" w:fill="E5DFEC" w:themeFill="accent4" w:themeFillTint="33"/>
          </w:tcPr>
          <w:p w14:paraId="01BB064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EUROSTAT</w:t>
            </w:r>
          </w:p>
        </w:tc>
        <w:tc>
          <w:tcPr>
            <w:tcW w:w="1795" w:type="dxa"/>
            <w:shd w:val="clear" w:color="auto" w:fill="E5DFEC" w:themeFill="accent4" w:themeFillTint="33"/>
          </w:tcPr>
          <w:p w14:paraId="01BB064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BE JER,</w:t>
            </w:r>
          </w:p>
          <w:p w14:paraId="01BB064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SDG 4.4.1</w:t>
            </w:r>
          </w:p>
        </w:tc>
      </w:tr>
      <w:tr w:rsidR="00392FFB" w:rsidRPr="000E152E" w14:paraId="01BB0650" w14:textId="77777777" w:rsidTr="00527F17">
        <w:trPr>
          <w:trHeight w:val="645"/>
        </w:trPr>
        <w:tc>
          <w:tcPr>
            <w:tcW w:w="966" w:type="dxa"/>
            <w:vMerge/>
          </w:tcPr>
          <w:p w14:paraId="01BB0645" w14:textId="77777777" w:rsidR="00392FFB" w:rsidRPr="000E152E" w:rsidRDefault="00392FFB" w:rsidP="00527F17">
            <w:pPr>
              <w:rPr>
                <w:rFonts w:ascii="Garamond" w:hAnsi="Garamond" w:cstheme="minorHAnsi"/>
                <w:sz w:val="16"/>
                <w:szCs w:val="16"/>
              </w:rPr>
            </w:pPr>
          </w:p>
        </w:tc>
        <w:tc>
          <w:tcPr>
            <w:tcW w:w="3004" w:type="dxa"/>
            <w:vMerge w:val="restart"/>
            <w:shd w:val="clear" w:color="auto" w:fill="E5DFEC" w:themeFill="accent4" w:themeFillTint="33"/>
          </w:tcPr>
          <w:p w14:paraId="01BB064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u w:val="single"/>
              </w:rPr>
              <w:t>1.3:</w:t>
            </w:r>
            <w:r w:rsidRPr="000E152E">
              <w:rPr>
                <w:rFonts w:ascii="Garamond" w:hAnsi="Garamond" w:cstheme="minorHAnsi"/>
                <w:sz w:val="16"/>
                <w:szCs w:val="16"/>
              </w:rPr>
              <w:t xml:space="preserve"> Funksionimi më i mirë i tregut të punës për të gjithë</w:t>
            </w:r>
          </w:p>
          <w:p w14:paraId="01BB0647" w14:textId="77777777" w:rsidR="00392FFB" w:rsidRPr="000E152E" w:rsidRDefault="00392FFB" w:rsidP="00527F17">
            <w:pPr>
              <w:rPr>
                <w:rFonts w:ascii="Garamond" w:hAnsi="Garamond" w:cstheme="minorHAnsi"/>
                <w:sz w:val="16"/>
                <w:szCs w:val="16"/>
              </w:rPr>
            </w:pPr>
          </w:p>
        </w:tc>
        <w:tc>
          <w:tcPr>
            <w:tcW w:w="3288" w:type="dxa"/>
            <w:shd w:val="clear" w:color="auto" w:fill="E5DFEC" w:themeFill="accent4" w:themeFillTint="33"/>
          </w:tcPr>
          <w:p w14:paraId="01BB0648" w14:textId="6E9B461B"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 e punë</w:t>
            </w:r>
            <w:r w:rsidR="00D81709">
              <w:rPr>
                <w:rFonts w:ascii="Garamond" w:hAnsi="Garamond" w:cstheme="minorHAnsi"/>
                <w:sz w:val="16"/>
                <w:szCs w:val="16"/>
              </w:rPr>
              <w:t>dhënësve</w:t>
            </w:r>
            <w:r w:rsidRPr="000E152E">
              <w:rPr>
                <w:rFonts w:ascii="Garamond" w:hAnsi="Garamond" w:cstheme="minorHAnsi"/>
                <w:sz w:val="16"/>
                <w:szCs w:val="16"/>
              </w:rPr>
              <w:t xml:space="preserve"> nga sektori privat, që përdorin shërbimet publike të punësimit dhe të agjencive private të punësimit për të rekrutuar punonjësit e tyre</w:t>
            </w:r>
          </w:p>
        </w:tc>
        <w:tc>
          <w:tcPr>
            <w:tcW w:w="1775" w:type="dxa"/>
            <w:shd w:val="clear" w:color="auto" w:fill="E5DFEC" w:themeFill="accent4" w:themeFillTint="33"/>
          </w:tcPr>
          <w:p w14:paraId="01BB064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17% (2018)</w:t>
            </w:r>
          </w:p>
        </w:tc>
        <w:tc>
          <w:tcPr>
            <w:tcW w:w="1489" w:type="dxa"/>
            <w:shd w:val="clear" w:color="auto" w:fill="E5DFEC" w:themeFill="accent4" w:themeFillTint="33"/>
          </w:tcPr>
          <w:p w14:paraId="01BB064A"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22%</w:t>
            </w:r>
          </w:p>
        </w:tc>
        <w:tc>
          <w:tcPr>
            <w:tcW w:w="1488" w:type="dxa"/>
            <w:shd w:val="clear" w:color="auto" w:fill="E5DFEC" w:themeFill="accent4" w:themeFillTint="33"/>
          </w:tcPr>
          <w:p w14:paraId="01BB064B"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30%</w:t>
            </w:r>
          </w:p>
        </w:tc>
        <w:tc>
          <w:tcPr>
            <w:tcW w:w="1788" w:type="dxa"/>
            <w:shd w:val="clear" w:color="auto" w:fill="E5DFEC" w:themeFill="accent4" w:themeFillTint="33"/>
          </w:tcPr>
          <w:p w14:paraId="01BB064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Banka Botërore/ Anketa e aftësive drejt punësimit dhe produktivitetit</w:t>
            </w:r>
          </w:p>
        </w:tc>
        <w:tc>
          <w:tcPr>
            <w:tcW w:w="1795" w:type="dxa"/>
            <w:shd w:val="clear" w:color="auto" w:fill="E5DFEC" w:themeFill="accent4" w:themeFillTint="33"/>
          </w:tcPr>
          <w:p w14:paraId="01BB064D" w14:textId="77777777" w:rsidR="00392FFB" w:rsidRPr="000E152E" w:rsidRDefault="00392FFB" w:rsidP="00527F17">
            <w:pPr>
              <w:rPr>
                <w:rFonts w:ascii="Garamond" w:hAnsi="Garamond" w:cstheme="minorHAnsi"/>
                <w:sz w:val="16"/>
                <w:szCs w:val="16"/>
              </w:rPr>
            </w:pPr>
          </w:p>
          <w:p w14:paraId="01BB064E" w14:textId="77777777" w:rsidR="00392FFB" w:rsidRPr="000E152E" w:rsidRDefault="00392FFB" w:rsidP="00527F17">
            <w:pPr>
              <w:rPr>
                <w:rFonts w:ascii="Garamond" w:hAnsi="Garamond" w:cstheme="minorHAnsi"/>
                <w:sz w:val="16"/>
                <w:szCs w:val="16"/>
              </w:rPr>
            </w:pPr>
          </w:p>
          <w:p w14:paraId="01BB064F" w14:textId="77777777" w:rsidR="00392FFB" w:rsidRPr="000E152E" w:rsidRDefault="00392FFB" w:rsidP="00527F17">
            <w:pPr>
              <w:rPr>
                <w:rFonts w:ascii="Garamond" w:hAnsi="Garamond" w:cstheme="minorHAnsi"/>
                <w:sz w:val="16"/>
                <w:szCs w:val="16"/>
              </w:rPr>
            </w:pPr>
          </w:p>
        </w:tc>
      </w:tr>
      <w:tr w:rsidR="00392FFB" w:rsidRPr="000E152E" w14:paraId="01BB065A" w14:textId="77777777" w:rsidTr="00BF7037">
        <w:trPr>
          <w:trHeight w:val="50"/>
        </w:trPr>
        <w:tc>
          <w:tcPr>
            <w:tcW w:w="966" w:type="dxa"/>
            <w:vMerge/>
          </w:tcPr>
          <w:p w14:paraId="01BB0651" w14:textId="77777777" w:rsidR="00392FFB" w:rsidRPr="000E152E" w:rsidRDefault="00392FFB" w:rsidP="00527F17">
            <w:pPr>
              <w:rPr>
                <w:rFonts w:ascii="Garamond" w:hAnsi="Garamond" w:cstheme="minorHAnsi"/>
                <w:sz w:val="16"/>
                <w:szCs w:val="16"/>
              </w:rPr>
            </w:pPr>
          </w:p>
        </w:tc>
        <w:tc>
          <w:tcPr>
            <w:tcW w:w="3004" w:type="dxa"/>
            <w:vMerge/>
          </w:tcPr>
          <w:p w14:paraId="01BB0652" w14:textId="77777777" w:rsidR="00392FFB" w:rsidRPr="000E152E" w:rsidRDefault="00392FFB" w:rsidP="00527F17">
            <w:pPr>
              <w:rPr>
                <w:rFonts w:ascii="Garamond" w:hAnsi="Garamond" w:cstheme="minorHAnsi"/>
                <w:sz w:val="16"/>
                <w:szCs w:val="16"/>
                <w:u w:val="single"/>
              </w:rPr>
            </w:pPr>
          </w:p>
        </w:tc>
        <w:tc>
          <w:tcPr>
            <w:tcW w:w="3288" w:type="dxa"/>
            <w:shd w:val="clear" w:color="auto" w:fill="E5DFEC" w:themeFill="accent4" w:themeFillTint="33"/>
          </w:tcPr>
          <w:p w14:paraId="01BB065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 e punëkërkuesve të papunë të regjistruar në AKPA, të ndarë sipas gjinisë</w:t>
            </w:r>
          </w:p>
        </w:tc>
        <w:tc>
          <w:tcPr>
            <w:tcW w:w="1775" w:type="dxa"/>
            <w:shd w:val="clear" w:color="auto" w:fill="E5DFEC" w:themeFill="accent4" w:themeFillTint="33"/>
          </w:tcPr>
          <w:p w14:paraId="01BB065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54% (2021)</w:t>
            </w:r>
          </w:p>
        </w:tc>
        <w:tc>
          <w:tcPr>
            <w:tcW w:w="1489" w:type="dxa"/>
            <w:shd w:val="clear" w:color="auto" w:fill="E5DFEC" w:themeFill="accent4" w:themeFillTint="33"/>
          </w:tcPr>
          <w:p w14:paraId="01BB065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60%</w:t>
            </w:r>
          </w:p>
        </w:tc>
        <w:tc>
          <w:tcPr>
            <w:tcW w:w="1488" w:type="dxa"/>
            <w:shd w:val="clear" w:color="auto" w:fill="E5DFEC" w:themeFill="accent4" w:themeFillTint="33"/>
          </w:tcPr>
          <w:p w14:paraId="01BB0656" w14:textId="77777777" w:rsidR="00392FFB" w:rsidRPr="000E152E" w:rsidRDefault="00392FFB" w:rsidP="00527F17">
            <w:pPr>
              <w:rPr>
                <w:rFonts w:ascii="Garamond" w:hAnsi="Garamond"/>
                <w:sz w:val="16"/>
                <w:szCs w:val="16"/>
              </w:rPr>
            </w:pPr>
            <w:r w:rsidRPr="000E152E">
              <w:rPr>
                <w:rFonts w:ascii="Garamond" w:hAnsi="Garamond"/>
                <w:sz w:val="16"/>
                <w:szCs w:val="16"/>
              </w:rPr>
              <w:t>70%</w:t>
            </w:r>
          </w:p>
        </w:tc>
        <w:tc>
          <w:tcPr>
            <w:tcW w:w="1788" w:type="dxa"/>
            <w:shd w:val="clear" w:color="auto" w:fill="E5DFEC" w:themeFill="accent4" w:themeFillTint="33"/>
          </w:tcPr>
          <w:p w14:paraId="01BB065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LFS</w:t>
            </w:r>
          </w:p>
          <w:p w14:paraId="01BB065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shd w:val="clear" w:color="auto" w:fill="E5DFEC" w:themeFill="accent4" w:themeFillTint="33"/>
          </w:tcPr>
          <w:p w14:paraId="01BB065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w:t>
            </w:r>
          </w:p>
        </w:tc>
      </w:tr>
      <w:tr w:rsidR="00392FFB" w:rsidRPr="000E152E" w14:paraId="01BB0665" w14:textId="77777777" w:rsidTr="00B9759C">
        <w:trPr>
          <w:trHeight w:val="40"/>
        </w:trPr>
        <w:tc>
          <w:tcPr>
            <w:tcW w:w="966" w:type="dxa"/>
            <w:vMerge w:val="restart"/>
            <w:vAlign w:val="center"/>
          </w:tcPr>
          <w:p w14:paraId="01BB065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Masat prioritare</w:t>
            </w:r>
          </w:p>
        </w:tc>
        <w:tc>
          <w:tcPr>
            <w:tcW w:w="3004" w:type="dxa"/>
            <w:vMerge w:val="restart"/>
          </w:tcPr>
          <w:p w14:paraId="01BB065C" w14:textId="680CBB5C"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1.1.1:</w:t>
            </w:r>
            <w:r w:rsidR="000E152E" w:rsidRPr="000E152E">
              <w:rPr>
                <w:rFonts w:ascii="Garamond" w:hAnsi="Garamond" w:cstheme="minorHAnsi"/>
                <w:sz w:val="16"/>
                <w:szCs w:val="16"/>
              </w:rPr>
              <w:t xml:space="preserve"> </w:t>
            </w:r>
            <w:r w:rsidRPr="000E152E">
              <w:rPr>
                <w:rFonts w:ascii="Garamond" w:hAnsi="Garamond" w:cstheme="minorHAnsi"/>
                <w:sz w:val="16"/>
                <w:szCs w:val="16"/>
              </w:rPr>
              <w:t>Zhvillimi i sistemit të AFP-së më relavent, gjithëpërfshirës dhe të qeverisur bazuar në evidencë</w:t>
            </w:r>
          </w:p>
        </w:tc>
        <w:tc>
          <w:tcPr>
            <w:tcW w:w="3288" w:type="dxa"/>
          </w:tcPr>
          <w:p w14:paraId="01BB065D" w14:textId="77777777" w:rsidR="00392FFB" w:rsidRPr="000E152E" w:rsidRDefault="00392FFB" w:rsidP="00527F17">
            <w:pPr>
              <w:rPr>
                <w:rFonts w:ascii="Garamond" w:hAnsi="Garamond"/>
                <w:sz w:val="16"/>
                <w:szCs w:val="16"/>
              </w:rPr>
            </w:pPr>
            <w:r w:rsidRPr="000E152E">
              <w:rPr>
                <w:rFonts w:ascii="Garamond" w:hAnsi="Garamond"/>
                <w:sz w:val="16"/>
                <w:szCs w:val="16"/>
              </w:rPr>
              <w:t>Shkalla e punësimit të të diplomuarve të të AFP-së (përjashtuar ata që vazhdojnë arsimin e lartë), sipas gjinisë</w:t>
            </w:r>
          </w:p>
        </w:tc>
        <w:tc>
          <w:tcPr>
            <w:tcW w:w="1775" w:type="dxa"/>
          </w:tcPr>
          <w:p w14:paraId="01BB065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57.5% (2021)</w:t>
            </w:r>
          </w:p>
        </w:tc>
        <w:tc>
          <w:tcPr>
            <w:tcW w:w="1489" w:type="dxa"/>
          </w:tcPr>
          <w:p w14:paraId="01BB065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58%</w:t>
            </w:r>
          </w:p>
        </w:tc>
        <w:tc>
          <w:tcPr>
            <w:tcW w:w="1488" w:type="dxa"/>
          </w:tcPr>
          <w:p w14:paraId="01BB066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60%</w:t>
            </w:r>
          </w:p>
          <w:p w14:paraId="01BB0661" w14:textId="77777777" w:rsidR="00392FFB" w:rsidRPr="000E152E" w:rsidRDefault="00392FFB" w:rsidP="00527F17">
            <w:pPr>
              <w:rPr>
                <w:rFonts w:ascii="Garamond" w:hAnsi="Garamond" w:cstheme="minorHAnsi"/>
                <w:sz w:val="16"/>
                <w:szCs w:val="16"/>
              </w:rPr>
            </w:pPr>
          </w:p>
        </w:tc>
        <w:tc>
          <w:tcPr>
            <w:tcW w:w="1788" w:type="dxa"/>
          </w:tcPr>
          <w:p w14:paraId="01BB066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 studim gjurmues</w:t>
            </w:r>
          </w:p>
        </w:tc>
        <w:tc>
          <w:tcPr>
            <w:tcW w:w="1795" w:type="dxa"/>
          </w:tcPr>
          <w:p w14:paraId="01BB066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SKZHIE, IPA II</w:t>
            </w:r>
          </w:p>
          <w:p w14:paraId="01BB0664" w14:textId="20E19FEB" w:rsidR="00392FFB" w:rsidRPr="000E152E" w:rsidRDefault="00392FFB" w:rsidP="009E26EC">
            <w:pPr>
              <w:rPr>
                <w:rFonts w:ascii="Garamond" w:hAnsi="Garamond" w:cstheme="minorHAnsi"/>
                <w:sz w:val="16"/>
                <w:szCs w:val="16"/>
              </w:rPr>
            </w:pPr>
            <w:r w:rsidRPr="000E152E">
              <w:rPr>
                <w:rFonts w:ascii="Garamond" w:hAnsi="Garamond" w:cstheme="minorHAnsi"/>
                <w:bCs/>
                <w:sz w:val="16"/>
                <w:szCs w:val="16"/>
              </w:rPr>
              <w:t>Rek. i Këshillit t</w:t>
            </w:r>
            <w:r w:rsidR="009E26EC">
              <w:rPr>
                <w:rFonts w:ascii="Garamond" w:hAnsi="Garamond" w:cstheme="minorHAnsi"/>
                <w:bCs/>
                <w:sz w:val="16"/>
                <w:szCs w:val="16"/>
              </w:rPr>
              <w:t>ë</w:t>
            </w:r>
            <w:r w:rsidRPr="000E152E">
              <w:rPr>
                <w:rFonts w:ascii="Garamond" w:hAnsi="Garamond" w:cstheme="minorHAnsi"/>
                <w:bCs/>
                <w:sz w:val="16"/>
                <w:szCs w:val="16"/>
              </w:rPr>
              <w:t xml:space="preserve"> BE-s</w:t>
            </w:r>
            <w:r w:rsidR="009E26EC">
              <w:rPr>
                <w:rFonts w:ascii="Garamond" w:hAnsi="Garamond" w:cstheme="minorHAnsi"/>
                <w:bCs/>
                <w:sz w:val="16"/>
                <w:szCs w:val="16"/>
              </w:rPr>
              <w:t>ë</w:t>
            </w:r>
            <w:r w:rsidRPr="000E152E">
              <w:rPr>
                <w:rFonts w:ascii="Garamond" w:hAnsi="Garamond" w:cstheme="minorHAnsi"/>
                <w:bCs/>
                <w:sz w:val="16"/>
                <w:szCs w:val="16"/>
              </w:rPr>
              <w:t xml:space="preserve"> për AFP-në, </w:t>
            </w:r>
            <w:r w:rsidRPr="000E152E">
              <w:rPr>
                <w:rFonts w:ascii="Garamond" w:hAnsi="Garamond" w:cstheme="minorHAnsi"/>
                <w:sz w:val="16"/>
                <w:szCs w:val="16"/>
              </w:rPr>
              <w:t>Pasaporta e Ind. SKPA 2022, PP p</w:t>
            </w:r>
            <w:r w:rsidRPr="000E152E">
              <w:rPr>
                <w:rFonts w:ascii="Garamond" w:hAnsi="Garamond" w:cstheme="minorHAnsi"/>
                <w:bCs/>
                <w:sz w:val="16"/>
                <w:szCs w:val="16"/>
              </w:rPr>
              <w:t xml:space="preserve">ër </w:t>
            </w:r>
            <w:r w:rsidRPr="000E152E">
              <w:rPr>
                <w:rFonts w:ascii="Garamond" w:hAnsi="Garamond" w:cstheme="minorHAnsi"/>
                <w:sz w:val="16"/>
                <w:szCs w:val="16"/>
              </w:rPr>
              <w:t xml:space="preserve">Dek. e Osnb. </w:t>
            </w:r>
          </w:p>
        </w:tc>
      </w:tr>
      <w:tr w:rsidR="00392FFB" w:rsidRPr="000E152E" w14:paraId="01BB066F" w14:textId="77777777" w:rsidTr="00527F17">
        <w:tc>
          <w:tcPr>
            <w:tcW w:w="966" w:type="dxa"/>
            <w:vMerge/>
            <w:vAlign w:val="center"/>
          </w:tcPr>
          <w:p w14:paraId="01BB0666" w14:textId="77777777" w:rsidR="00392FFB" w:rsidRPr="000E152E" w:rsidRDefault="00392FFB" w:rsidP="00527F17">
            <w:pPr>
              <w:rPr>
                <w:rFonts w:ascii="Garamond" w:hAnsi="Garamond" w:cstheme="minorHAnsi"/>
                <w:sz w:val="16"/>
                <w:szCs w:val="16"/>
              </w:rPr>
            </w:pPr>
          </w:p>
        </w:tc>
        <w:tc>
          <w:tcPr>
            <w:tcW w:w="3004" w:type="dxa"/>
            <w:vMerge/>
          </w:tcPr>
          <w:p w14:paraId="01BB0667" w14:textId="77777777" w:rsidR="00392FFB" w:rsidRPr="000E152E" w:rsidRDefault="00392FFB" w:rsidP="00527F17">
            <w:pPr>
              <w:rPr>
                <w:rFonts w:ascii="Garamond" w:hAnsi="Garamond" w:cstheme="minorHAnsi"/>
                <w:sz w:val="16"/>
                <w:szCs w:val="16"/>
              </w:rPr>
            </w:pPr>
          </w:p>
        </w:tc>
        <w:tc>
          <w:tcPr>
            <w:tcW w:w="3288" w:type="dxa"/>
          </w:tcPr>
          <w:p w14:paraId="01BB066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 e nxënësve që ndjekin arsimin profesional (publik dhe privat), sipas gjinisë</w:t>
            </w:r>
          </w:p>
        </w:tc>
        <w:tc>
          <w:tcPr>
            <w:tcW w:w="1775" w:type="dxa"/>
          </w:tcPr>
          <w:p w14:paraId="01BB0669" w14:textId="77777777" w:rsidR="00392FFB" w:rsidRPr="000E152E" w:rsidRDefault="00392FFB" w:rsidP="00527F17">
            <w:pPr>
              <w:pStyle w:val="Header"/>
              <w:rPr>
                <w:rFonts w:ascii="Garamond" w:hAnsi="Garamond" w:cstheme="minorHAnsi"/>
                <w:bCs/>
                <w:sz w:val="16"/>
                <w:szCs w:val="16"/>
              </w:rPr>
            </w:pPr>
            <w:r w:rsidRPr="000E152E">
              <w:rPr>
                <w:rFonts w:ascii="Garamond" w:hAnsi="Garamond" w:cstheme="minorHAnsi"/>
                <w:bCs/>
                <w:sz w:val="16"/>
                <w:szCs w:val="16"/>
              </w:rPr>
              <w:t>17,7%</w:t>
            </w:r>
          </w:p>
          <w:p w14:paraId="01BB066A" w14:textId="77777777" w:rsidR="00392FFB" w:rsidRPr="000E152E" w:rsidRDefault="00392FFB" w:rsidP="00527F17">
            <w:pPr>
              <w:rPr>
                <w:rFonts w:ascii="Garamond" w:hAnsi="Garamond" w:cstheme="minorHAnsi"/>
                <w:sz w:val="16"/>
                <w:szCs w:val="16"/>
              </w:rPr>
            </w:pPr>
          </w:p>
        </w:tc>
        <w:tc>
          <w:tcPr>
            <w:tcW w:w="1489" w:type="dxa"/>
          </w:tcPr>
          <w:p w14:paraId="01BB066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20%</w:t>
            </w:r>
          </w:p>
        </w:tc>
        <w:tc>
          <w:tcPr>
            <w:tcW w:w="1488" w:type="dxa"/>
          </w:tcPr>
          <w:p w14:paraId="01BB066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30%</w:t>
            </w:r>
          </w:p>
        </w:tc>
        <w:tc>
          <w:tcPr>
            <w:tcW w:w="1788" w:type="dxa"/>
          </w:tcPr>
          <w:p w14:paraId="01BB066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w:t>
            </w:r>
          </w:p>
        </w:tc>
        <w:tc>
          <w:tcPr>
            <w:tcW w:w="1795" w:type="dxa"/>
          </w:tcPr>
          <w:p w14:paraId="01BB066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Pas. e Ind. SKPA 2022, 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679" w14:textId="77777777" w:rsidTr="00527F17">
        <w:tc>
          <w:tcPr>
            <w:tcW w:w="966" w:type="dxa"/>
            <w:vMerge/>
            <w:vAlign w:val="center"/>
          </w:tcPr>
          <w:p w14:paraId="01BB0670" w14:textId="77777777" w:rsidR="00392FFB" w:rsidRPr="000E152E" w:rsidRDefault="00392FFB" w:rsidP="00527F17">
            <w:pPr>
              <w:rPr>
                <w:rFonts w:ascii="Garamond" w:hAnsi="Garamond" w:cstheme="minorHAnsi"/>
                <w:sz w:val="16"/>
                <w:szCs w:val="16"/>
              </w:rPr>
            </w:pPr>
          </w:p>
        </w:tc>
        <w:tc>
          <w:tcPr>
            <w:tcW w:w="3004" w:type="dxa"/>
            <w:vMerge/>
          </w:tcPr>
          <w:p w14:paraId="01BB0671" w14:textId="77777777" w:rsidR="00392FFB" w:rsidRPr="000E152E" w:rsidRDefault="00392FFB" w:rsidP="00527F17">
            <w:pPr>
              <w:rPr>
                <w:rFonts w:ascii="Garamond" w:hAnsi="Garamond" w:cstheme="minorHAnsi"/>
                <w:sz w:val="16"/>
                <w:szCs w:val="16"/>
              </w:rPr>
            </w:pPr>
          </w:p>
        </w:tc>
        <w:tc>
          <w:tcPr>
            <w:tcW w:w="3288" w:type="dxa"/>
          </w:tcPr>
          <w:p w14:paraId="01BB0672" w14:textId="77777777" w:rsidR="00392FFB" w:rsidRPr="000E152E" w:rsidRDefault="00392FFB" w:rsidP="00527F17">
            <w:pPr>
              <w:rPr>
                <w:rFonts w:ascii="Garamond" w:hAnsi="Garamond"/>
                <w:sz w:val="16"/>
                <w:szCs w:val="16"/>
              </w:rPr>
            </w:pPr>
            <w:r w:rsidRPr="000E152E">
              <w:rPr>
                <w:rFonts w:ascii="Garamond" w:hAnsi="Garamond"/>
                <w:sz w:val="16"/>
                <w:szCs w:val="16"/>
              </w:rPr>
              <w:t xml:space="preserve">Përqindja e nxënëseve vajza në arsimin profesional (publik dhe privat) </w:t>
            </w:r>
          </w:p>
        </w:tc>
        <w:tc>
          <w:tcPr>
            <w:tcW w:w="1775" w:type="dxa"/>
          </w:tcPr>
          <w:p w14:paraId="01BB067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14.7% (2021)</w:t>
            </w:r>
          </w:p>
        </w:tc>
        <w:tc>
          <w:tcPr>
            <w:tcW w:w="1489" w:type="dxa"/>
          </w:tcPr>
          <w:p w14:paraId="01BB067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18%</w:t>
            </w:r>
          </w:p>
        </w:tc>
        <w:tc>
          <w:tcPr>
            <w:tcW w:w="1488" w:type="dxa"/>
          </w:tcPr>
          <w:p w14:paraId="01BB067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25%</w:t>
            </w:r>
          </w:p>
        </w:tc>
        <w:tc>
          <w:tcPr>
            <w:tcW w:w="1788" w:type="dxa"/>
          </w:tcPr>
          <w:p w14:paraId="01BB067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w:t>
            </w:r>
          </w:p>
        </w:tc>
        <w:tc>
          <w:tcPr>
            <w:tcW w:w="1795" w:type="dxa"/>
          </w:tcPr>
          <w:p w14:paraId="01BB0677" w14:textId="77777777" w:rsidR="00392FFB" w:rsidRPr="000E152E" w:rsidRDefault="00392FFB" w:rsidP="00527F17">
            <w:pPr>
              <w:rPr>
                <w:rFonts w:ascii="Garamond" w:hAnsi="Garamond" w:cstheme="minorHAnsi"/>
                <w:bCs/>
                <w:sz w:val="16"/>
                <w:szCs w:val="16"/>
              </w:rPr>
            </w:pPr>
            <w:r w:rsidRPr="000E152E">
              <w:rPr>
                <w:rFonts w:ascii="Garamond" w:hAnsi="Garamond" w:cstheme="minorHAnsi"/>
                <w:bCs/>
                <w:sz w:val="16"/>
                <w:szCs w:val="16"/>
              </w:rPr>
              <w:t>SKZHIE,</w:t>
            </w:r>
          </w:p>
          <w:p w14:paraId="01BB0678" w14:textId="77777777" w:rsidR="00392FFB" w:rsidRPr="000E152E" w:rsidRDefault="00392FFB" w:rsidP="00527F17">
            <w:pPr>
              <w:rPr>
                <w:rFonts w:ascii="Garamond" w:hAnsi="Garamond" w:cstheme="minorHAnsi"/>
                <w:bCs/>
                <w:sz w:val="16"/>
                <w:szCs w:val="16"/>
              </w:rPr>
            </w:pPr>
            <w:r w:rsidRPr="000E152E">
              <w:rPr>
                <w:rFonts w:ascii="Garamond" w:hAnsi="Garamond" w:cstheme="minorHAnsi"/>
                <w:bCs/>
                <w:sz w:val="16"/>
                <w:szCs w:val="16"/>
              </w:rPr>
              <w:t>SDG 4.5.1</w:t>
            </w:r>
          </w:p>
        </w:tc>
      </w:tr>
      <w:tr w:rsidR="00392FFB" w:rsidRPr="000E152E" w14:paraId="01BB068A" w14:textId="77777777" w:rsidTr="00527F17">
        <w:tc>
          <w:tcPr>
            <w:tcW w:w="966" w:type="dxa"/>
            <w:vMerge/>
            <w:vAlign w:val="center"/>
          </w:tcPr>
          <w:p w14:paraId="01BB067A" w14:textId="77777777" w:rsidR="00392FFB" w:rsidRPr="000E152E" w:rsidRDefault="00392FFB" w:rsidP="00527F17">
            <w:pPr>
              <w:rPr>
                <w:rFonts w:ascii="Garamond" w:hAnsi="Garamond" w:cstheme="minorHAnsi"/>
                <w:sz w:val="16"/>
                <w:szCs w:val="16"/>
              </w:rPr>
            </w:pPr>
          </w:p>
        </w:tc>
        <w:tc>
          <w:tcPr>
            <w:tcW w:w="3004" w:type="dxa"/>
            <w:vMerge/>
          </w:tcPr>
          <w:p w14:paraId="01BB067B" w14:textId="77777777" w:rsidR="00392FFB" w:rsidRPr="000E152E" w:rsidRDefault="00392FFB" w:rsidP="00527F17">
            <w:pPr>
              <w:rPr>
                <w:rFonts w:ascii="Garamond" w:hAnsi="Garamond" w:cstheme="minorHAnsi"/>
                <w:sz w:val="16"/>
                <w:szCs w:val="16"/>
              </w:rPr>
            </w:pPr>
          </w:p>
        </w:tc>
        <w:tc>
          <w:tcPr>
            <w:tcW w:w="3288" w:type="dxa"/>
          </w:tcPr>
          <w:p w14:paraId="01BB067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programeve të përditësuara të AFP-së (fillestare dhe të vazhduar)</w:t>
            </w:r>
            <w:r w:rsidRPr="000E152E">
              <w:rPr>
                <w:rStyle w:val="FootnoteReference"/>
                <w:rFonts w:ascii="Garamond" w:eastAsia="Arial" w:hAnsi="Garamond" w:cstheme="minorHAnsi"/>
                <w:sz w:val="16"/>
                <w:szCs w:val="16"/>
              </w:rPr>
              <w:footnoteReference w:id="57"/>
            </w:r>
          </w:p>
          <w:p w14:paraId="01BB067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w Numri i ofruesve të AFP-së, të pajisur për të ofruar programet e reja</w:t>
            </w:r>
          </w:p>
        </w:tc>
        <w:tc>
          <w:tcPr>
            <w:tcW w:w="1775" w:type="dxa"/>
          </w:tcPr>
          <w:p w14:paraId="01BB067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p w14:paraId="01BB067F" w14:textId="77777777" w:rsidR="00392FFB" w:rsidRPr="000E152E" w:rsidRDefault="00392FFB" w:rsidP="00527F17">
            <w:pPr>
              <w:rPr>
                <w:rFonts w:ascii="Garamond" w:hAnsi="Garamond" w:cstheme="minorHAnsi"/>
                <w:sz w:val="16"/>
                <w:szCs w:val="16"/>
              </w:rPr>
            </w:pPr>
          </w:p>
          <w:p w14:paraId="01BB0680" w14:textId="77777777" w:rsidR="00392FFB" w:rsidRPr="000E152E" w:rsidRDefault="00392FFB" w:rsidP="00527F17">
            <w:pPr>
              <w:rPr>
                <w:rFonts w:ascii="Garamond" w:hAnsi="Garamond" w:cstheme="minorHAnsi"/>
                <w:sz w:val="16"/>
                <w:szCs w:val="16"/>
              </w:rPr>
            </w:pPr>
          </w:p>
          <w:p w14:paraId="01BB068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8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4 (2024)</w:t>
            </w:r>
          </w:p>
          <w:p w14:paraId="01BB0683" w14:textId="77777777" w:rsidR="00392FFB" w:rsidRPr="000E152E" w:rsidRDefault="00392FFB" w:rsidP="00527F17">
            <w:pPr>
              <w:rPr>
                <w:rFonts w:ascii="Garamond" w:hAnsi="Garamond" w:cstheme="minorHAnsi"/>
                <w:sz w:val="16"/>
                <w:szCs w:val="16"/>
              </w:rPr>
            </w:pPr>
          </w:p>
          <w:p w14:paraId="01BB068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 (2024)</w:t>
            </w:r>
          </w:p>
        </w:tc>
        <w:tc>
          <w:tcPr>
            <w:tcW w:w="1488" w:type="dxa"/>
          </w:tcPr>
          <w:p w14:paraId="01BB068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8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AKAFPK/të dhënat administrative</w:t>
            </w:r>
          </w:p>
        </w:tc>
        <w:tc>
          <w:tcPr>
            <w:tcW w:w="1795" w:type="dxa"/>
          </w:tcPr>
          <w:p w14:paraId="01BB068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w:t>
            </w:r>
          </w:p>
          <w:p w14:paraId="01BB0688" w14:textId="77777777" w:rsidR="00392FFB" w:rsidRPr="000E152E" w:rsidRDefault="00392FFB" w:rsidP="00527F17">
            <w:pPr>
              <w:rPr>
                <w:rFonts w:ascii="Garamond" w:hAnsi="Garamond" w:cstheme="minorHAnsi"/>
                <w:sz w:val="16"/>
                <w:szCs w:val="16"/>
              </w:rPr>
            </w:pPr>
          </w:p>
          <w:p w14:paraId="01BB068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w:t>
            </w:r>
          </w:p>
        </w:tc>
      </w:tr>
      <w:tr w:rsidR="00392FFB" w:rsidRPr="000E152E" w14:paraId="01BB0693" w14:textId="77777777" w:rsidTr="00527F17">
        <w:tc>
          <w:tcPr>
            <w:tcW w:w="966" w:type="dxa"/>
            <w:vMerge/>
            <w:vAlign w:val="center"/>
          </w:tcPr>
          <w:p w14:paraId="01BB068B" w14:textId="77777777" w:rsidR="00392FFB" w:rsidRPr="000E152E" w:rsidRDefault="00392FFB" w:rsidP="00527F17">
            <w:pPr>
              <w:rPr>
                <w:rFonts w:ascii="Garamond" w:hAnsi="Garamond" w:cstheme="minorHAnsi"/>
                <w:sz w:val="16"/>
                <w:szCs w:val="16"/>
              </w:rPr>
            </w:pPr>
          </w:p>
        </w:tc>
        <w:tc>
          <w:tcPr>
            <w:tcW w:w="3004" w:type="dxa"/>
            <w:vMerge/>
          </w:tcPr>
          <w:p w14:paraId="01BB068C" w14:textId="77777777" w:rsidR="00392FFB" w:rsidRPr="000E152E" w:rsidRDefault="00392FFB" w:rsidP="00527F17">
            <w:pPr>
              <w:rPr>
                <w:rFonts w:ascii="Garamond" w:hAnsi="Garamond" w:cstheme="minorHAnsi"/>
                <w:sz w:val="16"/>
                <w:szCs w:val="16"/>
              </w:rPr>
            </w:pPr>
          </w:p>
        </w:tc>
        <w:tc>
          <w:tcPr>
            <w:tcW w:w="3288" w:type="dxa"/>
          </w:tcPr>
          <w:p w14:paraId="01BB068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kualifikimeve të reja profesionale të hartuara dhe numri i atyre ekzistuese të përditësuara me inputet e ofruara nga sektori privat</w:t>
            </w:r>
          </w:p>
        </w:tc>
        <w:tc>
          <w:tcPr>
            <w:tcW w:w="1775" w:type="dxa"/>
          </w:tcPr>
          <w:p w14:paraId="01BB068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8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9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9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AKAFPK/të dhënat administrative</w:t>
            </w:r>
          </w:p>
        </w:tc>
        <w:tc>
          <w:tcPr>
            <w:tcW w:w="1795" w:type="dxa"/>
          </w:tcPr>
          <w:p w14:paraId="01BB069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w:t>
            </w:r>
          </w:p>
        </w:tc>
      </w:tr>
      <w:tr w:rsidR="00392FFB" w:rsidRPr="000E152E" w14:paraId="01BB069C" w14:textId="77777777" w:rsidTr="00527F17">
        <w:tc>
          <w:tcPr>
            <w:tcW w:w="966" w:type="dxa"/>
            <w:vMerge/>
          </w:tcPr>
          <w:p w14:paraId="01BB0694" w14:textId="77777777" w:rsidR="00392FFB" w:rsidRPr="000E152E" w:rsidRDefault="00392FFB" w:rsidP="00527F17">
            <w:pPr>
              <w:rPr>
                <w:rFonts w:ascii="Garamond" w:hAnsi="Garamond" w:cstheme="minorHAnsi"/>
                <w:sz w:val="16"/>
                <w:szCs w:val="16"/>
              </w:rPr>
            </w:pPr>
          </w:p>
        </w:tc>
        <w:tc>
          <w:tcPr>
            <w:tcW w:w="3004" w:type="dxa"/>
          </w:tcPr>
          <w:p w14:paraId="01BB069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1.1.2. Forcimi i mekanizmave të garantimit dhe zhvillimit të cilësisë në sistemin e AFP-së</w:t>
            </w:r>
          </w:p>
        </w:tc>
        <w:tc>
          <w:tcPr>
            <w:tcW w:w="3288" w:type="dxa"/>
          </w:tcPr>
          <w:p w14:paraId="01BB0696" w14:textId="77777777" w:rsidR="00392FFB" w:rsidRPr="000E152E" w:rsidRDefault="00392FFB" w:rsidP="00527F17">
            <w:pPr>
              <w:rPr>
                <w:rFonts w:ascii="Garamond" w:hAnsi="Garamond" w:cstheme="minorHAnsi"/>
                <w:sz w:val="16"/>
                <w:szCs w:val="16"/>
              </w:rPr>
            </w:pPr>
            <w:r w:rsidRPr="000E152E">
              <w:rPr>
                <w:rFonts w:ascii="Garamond" w:eastAsia="Arial" w:hAnsi="Garamond" w:cstheme="minorHAnsi"/>
                <w:sz w:val="16"/>
                <w:szCs w:val="16"/>
              </w:rPr>
              <w:t>Numri (ose %) i ofruesve të AFP-së (publikë dhe privatë) të akredituar për të ofruar kualifikime profesionale të niveleve 2-5 të KSHK-së</w:t>
            </w:r>
          </w:p>
        </w:tc>
        <w:tc>
          <w:tcPr>
            <w:tcW w:w="1775" w:type="dxa"/>
          </w:tcPr>
          <w:p w14:paraId="01BB069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0</w:t>
            </w:r>
          </w:p>
        </w:tc>
        <w:tc>
          <w:tcPr>
            <w:tcW w:w="1489" w:type="dxa"/>
          </w:tcPr>
          <w:p w14:paraId="01BB069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25%</w:t>
            </w:r>
          </w:p>
        </w:tc>
        <w:tc>
          <w:tcPr>
            <w:tcW w:w="1488" w:type="dxa"/>
          </w:tcPr>
          <w:p w14:paraId="01BB069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9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AKAFPK/të dhënat administrative</w:t>
            </w:r>
          </w:p>
        </w:tc>
        <w:tc>
          <w:tcPr>
            <w:tcW w:w="1795" w:type="dxa"/>
          </w:tcPr>
          <w:p w14:paraId="01BB069B" w14:textId="77777777" w:rsidR="00392FFB" w:rsidRPr="000E152E" w:rsidRDefault="00392FFB" w:rsidP="00527F17">
            <w:pPr>
              <w:rPr>
                <w:rFonts w:ascii="Garamond" w:hAnsi="Garamond" w:cstheme="minorHAnsi"/>
                <w:b/>
                <w:bCs/>
                <w:sz w:val="16"/>
                <w:szCs w:val="16"/>
              </w:rPr>
            </w:pPr>
            <w:r w:rsidRPr="000E152E">
              <w:rPr>
                <w:rFonts w:ascii="Garamond" w:hAnsi="Garamond" w:cstheme="minorHAnsi"/>
                <w:sz w:val="16"/>
                <w:szCs w:val="16"/>
              </w:rPr>
              <w:t>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6A5" w14:textId="77777777" w:rsidTr="00527F17">
        <w:tc>
          <w:tcPr>
            <w:tcW w:w="966" w:type="dxa"/>
            <w:vMerge/>
          </w:tcPr>
          <w:p w14:paraId="01BB069D" w14:textId="77777777" w:rsidR="00392FFB" w:rsidRPr="000E152E" w:rsidRDefault="00392FFB" w:rsidP="00527F17">
            <w:pPr>
              <w:rPr>
                <w:rFonts w:ascii="Garamond" w:hAnsi="Garamond" w:cstheme="minorHAnsi"/>
                <w:sz w:val="16"/>
                <w:szCs w:val="16"/>
              </w:rPr>
            </w:pPr>
          </w:p>
        </w:tc>
        <w:tc>
          <w:tcPr>
            <w:tcW w:w="3004" w:type="dxa"/>
          </w:tcPr>
          <w:p w14:paraId="01BB069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1.1.3. Përfshirja e sektori privat në mënyrë sistemike dhe sistematike në qeverisjen, zhvillimin dhe ofrimin e AFP-së</w:t>
            </w:r>
          </w:p>
        </w:tc>
        <w:tc>
          <w:tcPr>
            <w:tcW w:w="3288" w:type="dxa"/>
          </w:tcPr>
          <w:p w14:paraId="01BB069F" w14:textId="77777777" w:rsidR="00392FFB" w:rsidRPr="000E152E" w:rsidRDefault="00392FFB" w:rsidP="00527F17">
            <w:pPr>
              <w:rPr>
                <w:rFonts w:ascii="Garamond" w:hAnsi="Garamond"/>
                <w:sz w:val="16"/>
                <w:szCs w:val="16"/>
              </w:rPr>
            </w:pPr>
            <w:r w:rsidRPr="000E152E">
              <w:rPr>
                <w:rFonts w:ascii="Garamond" w:hAnsi="Garamond"/>
                <w:sz w:val="16"/>
                <w:szCs w:val="16"/>
              </w:rPr>
              <w:t xml:space="preserve">Përqindja e nxënësve që ndjekin arsimin profesional (publik) që e zhvillojnë praktikën profesionale në biznes, sipas gjinisë </w:t>
            </w:r>
          </w:p>
        </w:tc>
        <w:tc>
          <w:tcPr>
            <w:tcW w:w="1775" w:type="dxa"/>
          </w:tcPr>
          <w:p w14:paraId="01BB06A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65%</w:t>
            </w:r>
          </w:p>
        </w:tc>
        <w:tc>
          <w:tcPr>
            <w:tcW w:w="1489" w:type="dxa"/>
          </w:tcPr>
          <w:p w14:paraId="01BB06A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80%</w:t>
            </w:r>
          </w:p>
        </w:tc>
        <w:tc>
          <w:tcPr>
            <w:tcW w:w="1488" w:type="dxa"/>
          </w:tcPr>
          <w:p w14:paraId="01BB06A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A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A4" w14:textId="59B30865" w:rsidR="00392FFB" w:rsidRPr="000E152E" w:rsidRDefault="00392FFB" w:rsidP="009E26EC">
            <w:pPr>
              <w:rPr>
                <w:rFonts w:ascii="Garamond" w:hAnsi="Garamond" w:cstheme="minorHAnsi"/>
                <w:sz w:val="16"/>
                <w:szCs w:val="16"/>
              </w:rPr>
            </w:pPr>
            <w:r w:rsidRPr="000E152E">
              <w:rPr>
                <w:rFonts w:ascii="Garamond" w:hAnsi="Garamond" w:cstheme="minorHAnsi"/>
                <w:bCs/>
                <w:sz w:val="16"/>
                <w:szCs w:val="16"/>
              </w:rPr>
              <w:t xml:space="preserve">Rek. i Këshillit </w:t>
            </w:r>
            <w:r w:rsidR="009E26EC" w:rsidRPr="000E152E">
              <w:rPr>
                <w:rFonts w:ascii="Garamond" w:hAnsi="Garamond" w:cstheme="minorHAnsi"/>
                <w:bCs/>
                <w:sz w:val="16"/>
                <w:szCs w:val="16"/>
              </w:rPr>
              <w:t>t</w:t>
            </w:r>
            <w:r w:rsidR="009E26EC">
              <w:rPr>
                <w:rFonts w:ascii="Garamond" w:hAnsi="Garamond" w:cstheme="minorHAnsi"/>
                <w:bCs/>
                <w:sz w:val="16"/>
                <w:szCs w:val="16"/>
              </w:rPr>
              <w:t>ë</w:t>
            </w:r>
            <w:r w:rsidRPr="000E152E">
              <w:rPr>
                <w:rFonts w:ascii="Garamond" w:hAnsi="Garamond" w:cstheme="minorHAnsi"/>
                <w:bCs/>
                <w:sz w:val="16"/>
                <w:szCs w:val="16"/>
              </w:rPr>
              <w:t xml:space="preserve"> BE-</w:t>
            </w:r>
            <w:r w:rsidR="009E26EC" w:rsidRPr="000E152E">
              <w:rPr>
                <w:rFonts w:ascii="Garamond" w:hAnsi="Garamond" w:cstheme="minorHAnsi"/>
                <w:bCs/>
                <w:sz w:val="16"/>
                <w:szCs w:val="16"/>
              </w:rPr>
              <w:t>s</w:t>
            </w:r>
            <w:r w:rsidR="009E26EC">
              <w:rPr>
                <w:rFonts w:ascii="Garamond" w:hAnsi="Garamond" w:cstheme="minorHAnsi"/>
                <w:bCs/>
                <w:sz w:val="16"/>
                <w:szCs w:val="16"/>
              </w:rPr>
              <w:t>ë</w:t>
            </w:r>
            <w:r w:rsidRPr="000E152E">
              <w:rPr>
                <w:rFonts w:ascii="Garamond" w:hAnsi="Garamond" w:cstheme="minorHAnsi"/>
                <w:bCs/>
                <w:sz w:val="16"/>
                <w:szCs w:val="16"/>
              </w:rPr>
              <w:t xml:space="preserve"> për AFP-në, </w:t>
            </w:r>
            <w:r w:rsidRPr="000E152E">
              <w:rPr>
                <w:rFonts w:ascii="Garamond" w:hAnsi="Garamond" w:cstheme="minorHAnsi"/>
                <w:sz w:val="16"/>
                <w:szCs w:val="16"/>
              </w:rPr>
              <w:t>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6AE" w14:textId="77777777" w:rsidTr="00527F17">
        <w:tc>
          <w:tcPr>
            <w:tcW w:w="966" w:type="dxa"/>
            <w:vMerge/>
          </w:tcPr>
          <w:p w14:paraId="01BB06A6" w14:textId="77777777" w:rsidR="00392FFB" w:rsidRPr="000E152E" w:rsidRDefault="00392FFB" w:rsidP="00527F17">
            <w:pPr>
              <w:rPr>
                <w:rFonts w:ascii="Garamond" w:hAnsi="Garamond" w:cstheme="minorHAnsi"/>
                <w:sz w:val="16"/>
                <w:szCs w:val="16"/>
              </w:rPr>
            </w:pPr>
          </w:p>
        </w:tc>
        <w:tc>
          <w:tcPr>
            <w:tcW w:w="3004" w:type="dxa"/>
            <w:vMerge w:val="restart"/>
          </w:tcPr>
          <w:p w14:paraId="01BB06A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1.2.1. Nxitja e mundësive gjithëpërfshirëse dhe përshtatja e ofertës për të nxënit gjatë gjithë jetës</w:t>
            </w:r>
          </w:p>
        </w:tc>
        <w:tc>
          <w:tcPr>
            <w:tcW w:w="3288" w:type="dxa"/>
          </w:tcPr>
          <w:p w14:paraId="01BB06A8" w14:textId="77777777" w:rsidR="00392FFB" w:rsidRPr="000E152E" w:rsidRDefault="00392FFB" w:rsidP="00527F17">
            <w:pPr>
              <w:rPr>
                <w:rFonts w:ascii="Garamond" w:hAnsi="Garamond"/>
                <w:sz w:val="16"/>
                <w:szCs w:val="16"/>
              </w:rPr>
            </w:pPr>
            <w:r w:rsidRPr="000E152E">
              <w:rPr>
                <w:rFonts w:ascii="Garamond" w:hAnsi="Garamond"/>
                <w:sz w:val="16"/>
                <w:szCs w:val="16"/>
              </w:rPr>
              <w:t>Numri i të rriturve të trajnuar në programe të ndryshme me fonde publike, sipas gjinisë</w:t>
            </w:r>
          </w:p>
        </w:tc>
        <w:tc>
          <w:tcPr>
            <w:tcW w:w="1775" w:type="dxa"/>
          </w:tcPr>
          <w:p w14:paraId="01BB06A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A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A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A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AD" w14:textId="77777777" w:rsidR="00392FFB" w:rsidRPr="000E152E" w:rsidRDefault="00392FFB" w:rsidP="00527F17">
            <w:pPr>
              <w:rPr>
                <w:rFonts w:ascii="Garamond" w:hAnsi="Garamond" w:cstheme="minorHAnsi"/>
                <w:sz w:val="16"/>
                <w:szCs w:val="16"/>
              </w:rPr>
            </w:pPr>
          </w:p>
        </w:tc>
      </w:tr>
      <w:tr w:rsidR="00392FFB" w:rsidRPr="000E152E" w14:paraId="01BB06B7" w14:textId="77777777" w:rsidTr="00527F17">
        <w:tc>
          <w:tcPr>
            <w:tcW w:w="966" w:type="dxa"/>
            <w:vMerge/>
          </w:tcPr>
          <w:p w14:paraId="01BB06AF" w14:textId="77777777" w:rsidR="00392FFB" w:rsidRPr="000E152E" w:rsidRDefault="00392FFB" w:rsidP="00527F17">
            <w:pPr>
              <w:rPr>
                <w:rFonts w:ascii="Garamond" w:hAnsi="Garamond" w:cstheme="minorHAnsi"/>
                <w:sz w:val="16"/>
                <w:szCs w:val="16"/>
              </w:rPr>
            </w:pPr>
          </w:p>
        </w:tc>
        <w:tc>
          <w:tcPr>
            <w:tcW w:w="3004" w:type="dxa"/>
            <w:vMerge/>
          </w:tcPr>
          <w:p w14:paraId="01BB06B0" w14:textId="77777777" w:rsidR="00392FFB" w:rsidRPr="000E152E" w:rsidRDefault="00392FFB" w:rsidP="00527F17">
            <w:pPr>
              <w:rPr>
                <w:rFonts w:ascii="Garamond" w:hAnsi="Garamond" w:cstheme="minorHAnsi"/>
                <w:sz w:val="16"/>
                <w:szCs w:val="16"/>
              </w:rPr>
            </w:pPr>
          </w:p>
        </w:tc>
        <w:tc>
          <w:tcPr>
            <w:tcW w:w="3288" w:type="dxa"/>
          </w:tcPr>
          <w:p w14:paraId="01BB06B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 xml:space="preserve">Përqindja e bizneseve që ofrojnë trajnime të brendshme dhe trajnime të jashtme </w:t>
            </w:r>
          </w:p>
        </w:tc>
        <w:tc>
          <w:tcPr>
            <w:tcW w:w="1775" w:type="dxa"/>
          </w:tcPr>
          <w:p w14:paraId="01BB06B2" w14:textId="77777777" w:rsidR="00392FFB" w:rsidRPr="000E152E" w:rsidRDefault="00392FFB" w:rsidP="00527F17">
            <w:pPr>
              <w:rPr>
                <w:rFonts w:ascii="Garamond" w:hAnsi="Garamond"/>
                <w:sz w:val="16"/>
                <w:szCs w:val="16"/>
              </w:rPr>
            </w:pPr>
            <w:r w:rsidRPr="000E152E">
              <w:rPr>
                <w:rFonts w:ascii="Garamond" w:hAnsi="Garamond"/>
                <w:sz w:val="16"/>
                <w:szCs w:val="16"/>
              </w:rPr>
              <w:t>15% bizneseve kanë ofruar trajnime të brendshme dhe 5% trajnime të jashtme (2018)</w:t>
            </w:r>
          </w:p>
        </w:tc>
        <w:tc>
          <w:tcPr>
            <w:tcW w:w="1489" w:type="dxa"/>
          </w:tcPr>
          <w:p w14:paraId="01BB06B3" w14:textId="77777777" w:rsidR="00392FFB" w:rsidRPr="000E152E" w:rsidRDefault="00392FFB" w:rsidP="00527F17">
            <w:pPr>
              <w:rPr>
                <w:rFonts w:ascii="Garamond" w:hAnsi="Garamond"/>
                <w:sz w:val="16"/>
                <w:szCs w:val="16"/>
              </w:rPr>
            </w:pPr>
            <w:r w:rsidRPr="000E152E">
              <w:rPr>
                <w:rFonts w:ascii="Garamond" w:hAnsi="Garamond"/>
                <w:sz w:val="16"/>
                <w:szCs w:val="16"/>
              </w:rPr>
              <w:t>18% bizneseve kanë ofruar trajnime të brendshme dhe 7% trajnime të jashtme (2018)</w:t>
            </w:r>
          </w:p>
        </w:tc>
        <w:tc>
          <w:tcPr>
            <w:tcW w:w="1488" w:type="dxa"/>
          </w:tcPr>
          <w:p w14:paraId="01BB06B4" w14:textId="77777777" w:rsidR="00392FFB" w:rsidRPr="000E152E" w:rsidRDefault="00392FFB" w:rsidP="00527F17">
            <w:pPr>
              <w:rPr>
                <w:rFonts w:ascii="Garamond" w:hAnsi="Garamond"/>
                <w:sz w:val="16"/>
                <w:szCs w:val="16"/>
              </w:rPr>
            </w:pPr>
            <w:r w:rsidRPr="000E152E">
              <w:rPr>
                <w:rFonts w:ascii="Garamond" w:hAnsi="Garamond"/>
                <w:sz w:val="16"/>
                <w:szCs w:val="16"/>
              </w:rPr>
              <w:t>20% bizneseve kanë ofruar trajnime të brendshme dhe 10% trajnime të jashtme (2018)</w:t>
            </w:r>
          </w:p>
        </w:tc>
        <w:tc>
          <w:tcPr>
            <w:tcW w:w="1788" w:type="dxa"/>
          </w:tcPr>
          <w:p w14:paraId="01BB06B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Banka Botërore/ Anketa e aftësive drejt punësimit</w:t>
            </w:r>
          </w:p>
        </w:tc>
        <w:tc>
          <w:tcPr>
            <w:tcW w:w="1795" w:type="dxa"/>
          </w:tcPr>
          <w:p w14:paraId="01BB06B6" w14:textId="77777777" w:rsidR="00392FFB" w:rsidRPr="000E152E" w:rsidRDefault="00392FFB" w:rsidP="00527F17">
            <w:pPr>
              <w:rPr>
                <w:rFonts w:ascii="Garamond" w:hAnsi="Garamond" w:cstheme="minorHAnsi"/>
                <w:sz w:val="16"/>
                <w:szCs w:val="16"/>
              </w:rPr>
            </w:pPr>
          </w:p>
        </w:tc>
      </w:tr>
      <w:tr w:rsidR="00392FFB" w:rsidRPr="000E152E" w14:paraId="01BB06C0" w14:textId="77777777" w:rsidTr="00527F17">
        <w:tc>
          <w:tcPr>
            <w:tcW w:w="966" w:type="dxa"/>
            <w:vMerge/>
          </w:tcPr>
          <w:p w14:paraId="01BB06B8" w14:textId="77777777" w:rsidR="00392FFB" w:rsidRPr="000E152E" w:rsidRDefault="00392FFB" w:rsidP="00527F17">
            <w:pPr>
              <w:rPr>
                <w:rFonts w:ascii="Garamond" w:hAnsi="Garamond" w:cstheme="minorHAnsi"/>
                <w:sz w:val="16"/>
                <w:szCs w:val="16"/>
              </w:rPr>
            </w:pPr>
          </w:p>
        </w:tc>
        <w:tc>
          <w:tcPr>
            <w:tcW w:w="3004" w:type="dxa"/>
          </w:tcPr>
          <w:p w14:paraId="01BB06B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1.2.2. Njohja e të nxënit të mëparshëm joformal dhe informal</w:t>
            </w:r>
          </w:p>
        </w:tc>
        <w:tc>
          <w:tcPr>
            <w:tcW w:w="3288" w:type="dxa"/>
          </w:tcPr>
          <w:p w14:paraId="01BB06BA" w14:textId="77777777" w:rsidR="00392FFB" w:rsidRPr="000E152E" w:rsidRDefault="00392FFB" w:rsidP="00527F17">
            <w:pPr>
              <w:rPr>
                <w:rFonts w:ascii="Garamond" w:hAnsi="Garamond" w:cstheme="minorHAnsi"/>
                <w:sz w:val="16"/>
                <w:szCs w:val="16"/>
              </w:rPr>
            </w:pPr>
            <w:r w:rsidRPr="000E152E">
              <w:rPr>
                <w:rFonts w:ascii="Garamond" w:eastAsia="Arial" w:hAnsi="Garamond"/>
                <w:sz w:val="16"/>
                <w:szCs w:val="16"/>
              </w:rPr>
              <w:t>Numri i personave të certifikuar n</w:t>
            </w:r>
            <w:r w:rsidRPr="000E152E">
              <w:rPr>
                <w:rFonts w:ascii="Garamond" w:hAnsi="Garamond"/>
                <w:sz w:val="16"/>
                <w:szCs w:val="16"/>
              </w:rPr>
              <w:t>ë</w:t>
            </w:r>
            <w:r w:rsidRPr="000E152E">
              <w:rPr>
                <w:rFonts w:ascii="Garamond" w:eastAsia="Arial" w:hAnsi="Garamond"/>
                <w:sz w:val="16"/>
                <w:szCs w:val="16"/>
              </w:rPr>
              <w:t>p</w:t>
            </w:r>
            <w:r w:rsidRPr="000E152E">
              <w:rPr>
                <w:rFonts w:ascii="Garamond" w:hAnsi="Garamond"/>
                <w:sz w:val="16"/>
                <w:szCs w:val="16"/>
              </w:rPr>
              <w:t>ë</w:t>
            </w:r>
            <w:r w:rsidRPr="000E152E">
              <w:rPr>
                <w:rFonts w:ascii="Garamond" w:eastAsia="Arial" w:hAnsi="Garamond"/>
                <w:sz w:val="16"/>
                <w:szCs w:val="16"/>
              </w:rPr>
              <w:t>rmjet procesit t</w:t>
            </w:r>
            <w:r w:rsidRPr="000E152E">
              <w:rPr>
                <w:rFonts w:ascii="Garamond" w:hAnsi="Garamond"/>
                <w:sz w:val="16"/>
                <w:szCs w:val="16"/>
              </w:rPr>
              <w:t>ë</w:t>
            </w:r>
            <w:r w:rsidRPr="000E152E">
              <w:rPr>
                <w:rFonts w:ascii="Garamond" w:eastAsia="Arial" w:hAnsi="Garamond"/>
                <w:sz w:val="16"/>
                <w:szCs w:val="16"/>
              </w:rPr>
              <w:t xml:space="preserve"> njohjes së të nxënit të mëparshëm, sipas gjinisë </w:t>
            </w:r>
          </w:p>
        </w:tc>
        <w:tc>
          <w:tcPr>
            <w:tcW w:w="1775" w:type="dxa"/>
          </w:tcPr>
          <w:p w14:paraId="01BB06BB" w14:textId="77777777" w:rsidR="00392FFB" w:rsidRPr="000E152E" w:rsidRDefault="00392FFB" w:rsidP="00527F17">
            <w:pPr>
              <w:rPr>
                <w:rFonts w:ascii="Garamond" w:hAnsi="Garamond"/>
                <w:sz w:val="16"/>
                <w:szCs w:val="16"/>
              </w:rPr>
            </w:pPr>
            <w:r w:rsidRPr="000E152E">
              <w:rPr>
                <w:rFonts w:ascii="Garamond" w:hAnsi="Garamond" w:cstheme="minorHAnsi"/>
                <w:sz w:val="16"/>
                <w:szCs w:val="16"/>
              </w:rPr>
              <w:t>0</w:t>
            </w:r>
          </w:p>
        </w:tc>
        <w:tc>
          <w:tcPr>
            <w:tcW w:w="1489" w:type="dxa"/>
          </w:tcPr>
          <w:p w14:paraId="01BB06BC" w14:textId="77777777" w:rsidR="00392FFB" w:rsidRPr="000E152E" w:rsidRDefault="00392FFB" w:rsidP="00527F17">
            <w:pPr>
              <w:rPr>
                <w:rFonts w:ascii="Garamond" w:hAnsi="Garamond"/>
                <w:sz w:val="16"/>
                <w:szCs w:val="16"/>
              </w:rPr>
            </w:pPr>
            <w:r w:rsidRPr="000E152E">
              <w:rPr>
                <w:rFonts w:ascii="Garamond" w:hAnsi="Garamond" w:cstheme="minorHAnsi"/>
                <w:sz w:val="16"/>
                <w:szCs w:val="16"/>
              </w:rPr>
              <w:t>TD</w:t>
            </w:r>
          </w:p>
        </w:tc>
        <w:tc>
          <w:tcPr>
            <w:tcW w:w="1488" w:type="dxa"/>
          </w:tcPr>
          <w:p w14:paraId="01BB06BD" w14:textId="77777777" w:rsidR="00392FFB" w:rsidRPr="000E152E" w:rsidRDefault="00392FFB" w:rsidP="00527F17">
            <w:pPr>
              <w:rPr>
                <w:rFonts w:ascii="Garamond" w:hAnsi="Garamond"/>
                <w:sz w:val="16"/>
                <w:szCs w:val="16"/>
              </w:rPr>
            </w:pPr>
            <w:r w:rsidRPr="000E152E">
              <w:rPr>
                <w:rFonts w:ascii="Garamond" w:hAnsi="Garamond" w:cstheme="minorHAnsi"/>
                <w:sz w:val="16"/>
                <w:szCs w:val="16"/>
              </w:rPr>
              <w:t>TD</w:t>
            </w:r>
          </w:p>
        </w:tc>
        <w:tc>
          <w:tcPr>
            <w:tcW w:w="1788" w:type="dxa"/>
          </w:tcPr>
          <w:p w14:paraId="01BB06B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AKAFPK/të dhënat administrative</w:t>
            </w:r>
          </w:p>
        </w:tc>
        <w:tc>
          <w:tcPr>
            <w:tcW w:w="1795" w:type="dxa"/>
          </w:tcPr>
          <w:p w14:paraId="01BB06BF" w14:textId="77777777" w:rsidR="00392FFB" w:rsidRPr="000E152E" w:rsidRDefault="00392FFB" w:rsidP="00527F17">
            <w:pPr>
              <w:rPr>
                <w:rFonts w:ascii="Garamond" w:hAnsi="Garamond" w:cstheme="minorHAnsi"/>
                <w:sz w:val="16"/>
                <w:szCs w:val="16"/>
              </w:rPr>
            </w:pPr>
          </w:p>
        </w:tc>
      </w:tr>
      <w:tr w:rsidR="00392FFB" w:rsidRPr="000E152E" w14:paraId="01BB06CB" w14:textId="77777777" w:rsidTr="00527F17">
        <w:tc>
          <w:tcPr>
            <w:tcW w:w="966" w:type="dxa"/>
            <w:vMerge/>
          </w:tcPr>
          <w:p w14:paraId="01BB06C1" w14:textId="77777777" w:rsidR="00392FFB" w:rsidRPr="000E152E" w:rsidRDefault="00392FFB" w:rsidP="00527F17">
            <w:pPr>
              <w:rPr>
                <w:rFonts w:ascii="Garamond" w:hAnsi="Garamond" w:cstheme="minorHAnsi"/>
                <w:sz w:val="16"/>
                <w:szCs w:val="16"/>
              </w:rPr>
            </w:pPr>
          </w:p>
        </w:tc>
        <w:tc>
          <w:tcPr>
            <w:tcW w:w="3004" w:type="dxa"/>
            <w:vMerge w:val="restart"/>
          </w:tcPr>
          <w:p w14:paraId="01BB06C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1.3.1. Digjitalizimi i shërbimeve të punësimit dhe AFP-së</w:t>
            </w:r>
          </w:p>
        </w:tc>
        <w:tc>
          <w:tcPr>
            <w:tcW w:w="3288" w:type="dxa"/>
          </w:tcPr>
          <w:p w14:paraId="01BB06C3" w14:textId="77777777" w:rsidR="00392FFB" w:rsidRPr="000E152E" w:rsidRDefault="00392FFB" w:rsidP="00527F17">
            <w:pPr>
              <w:rPr>
                <w:rFonts w:ascii="Garamond" w:hAnsi="Garamond"/>
                <w:sz w:val="16"/>
                <w:szCs w:val="16"/>
              </w:rPr>
            </w:pPr>
            <w:r w:rsidRPr="000E152E">
              <w:rPr>
                <w:rFonts w:ascii="Garamond" w:hAnsi="Garamond"/>
                <w:sz w:val="16"/>
                <w:szCs w:val="16"/>
              </w:rPr>
              <w:t>Numri i punëkërkuesve që përdorin shërbimet digjitale të punësimit</w:t>
            </w:r>
          </w:p>
        </w:tc>
        <w:tc>
          <w:tcPr>
            <w:tcW w:w="1775" w:type="dxa"/>
          </w:tcPr>
          <w:p w14:paraId="01BB06C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C5" w14:textId="77777777" w:rsidR="00392FFB" w:rsidRPr="000E152E" w:rsidRDefault="00392FFB" w:rsidP="00527F17">
            <w:pPr>
              <w:rPr>
                <w:rFonts w:ascii="Garamond" w:hAnsi="Garamond"/>
                <w:sz w:val="16"/>
                <w:szCs w:val="16"/>
              </w:rPr>
            </w:pPr>
            <w:r w:rsidRPr="000E152E">
              <w:rPr>
                <w:rFonts w:ascii="Garamond" w:hAnsi="Garamond"/>
                <w:sz w:val="16"/>
                <w:szCs w:val="16"/>
              </w:rPr>
              <w:t>10% e kat 2 dhe 3</w:t>
            </w:r>
          </w:p>
          <w:p w14:paraId="01BB06C6" w14:textId="77777777" w:rsidR="00392FFB" w:rsidRPr="000E152E" w:rsidRDefault="00392FFB" w:rsidP="00527F17">
            <w:pPr>
              <w:rPr>
                <w:rFonts w:ascii="Garamond" w:hAnsi="Garamond"/>
                <w:sz w:val="16"/>
                <w:szCs w:val="16"/>
              </w:rPr>
            </w:pPr>
            <w:r w:rsidRPr="000E152E">
              <w:rPr>
                <w:rFonts w:ascii="Garamond" w:hAnsi="Garamond"/>
                <w:sz w:val="16"/>
                <w:szCs w:val="16"/>
              </w:rPr>
              <w:t>40% e kat 1</w:t>
            </w:r>
          </w:p>
        </w:tc>
        <w:tc>
          <w:tcPr>
            <w:tcW w:w="1488" w:type="dxa"/>
          </w:tcPr>
          <w:p w14:paraId="01BB06C7" w14:textId="77777777" w:rsidR="00392FFB" w:rsidRPr="000E152E" w:rsidRDefault="00392FFB" w:rsidP="00527F17">
            <w:pPr>
              <w:rPr>
                <w:rFonts w:ascii="Garamond" w:hAnsi="Garamond"/>
                <w:sz w:val="16"/>
                <w:szCs w:val="16"/>
              </w:rPr>
            </w:pPr>
            <w:r w:rsidRPr="000E152E">
              <w:rPr>
                <w:rFonts w:ascii="Garamond" w:hAnsi="Garamond"/>
                <w:sz w:val="16"/>
                <w:szCs w:val="16"/>
              </w:rPr>
              <w:t>TD 20% e kat 2 dhe 3</w:t>
            </w:r>
          </w:p>
          <w:p w14:paraId="01BB06C8" w14:textId="77777777" w:rsidR="00392FFB" w:rsidRPr="000E152E" w:rsidRDefault="00392FFB" w:rsidP="00527F17">
            <w:pPr>
              <w:rPr>
                <w:rFonts w:ascii="Garamond" w:hAnsi="Garamond"/>
                <w:sz w:val="16"/>
                <w:szCs w:val="16"/>
              </w:rPr>
            </w:pPr>
            <w:r w:rsidRPr="000E152E">
              <w:rPr>
                <w:rFonts w:ascii="Garamond" w:hAnsi="Garamond"/>
                <w:sz w:val="16"/>
                <w:szCs w:val="16"/>
              </w:rPr>
              <w:t>70% e kat 1</w:t>
            </w:r>
          </w:p>
        </w:tc>
        <w:tc>
          <w:tcPr>
            <w:tcW w:w="1788" w:type="dxa"/>
          </w:tcPr>
          <w:p w14:paraId="01BB06C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CA" w14:textId="77777777" w:rsidR="00392FFB" w:rsidRPr="000E152E" w:rsidRDefault="00392FFB" w:rsidP="00527F17">
            <w:pPr>
              <w:rPr>
                <w:rFonts w:ascii="Garamond" w:hAnsi="Garamond" w:cstheme="minorHAnsi"/>
                <w:sz w:val="16"/>
                <w:szCs w:val="16"/>
              </w:rPr>
            </w:pPr>
          </w:p>
        </w:tc>
      </w:tr>
      <w:tr w:rsidR="00392FFB" w:rsidRPr="000E152E" w14:paraId="01BB06D5" w14:textId="77777777" w:rsidTr="00527F17">
        <w:tc>
          <w:tcPr>
            <w:tcW w:w="966" w:type="dxa"/>
            <w:vMerge/>
          </w:tcPr>
          <w:p w14:paraId="01BB06CC" w14:textId="77777777" w:rsidR="00392FFB" w:rsidRPr="000E152E" w:rsidRDefault="00392FFB" w:rsidP="00527F17">
            <w:pPr>
              <w:rPr>
                <w:rFonts w:ascii="Garamond" w:hAnsi="Garamond" w:cstheme="minorHAnsi"/>
                <w:sz w:val="16"/>
                <w:szCs w:val="16"/>
              </w:rPr>
            </w:pPr>
          </w:p>
        </w:tc>
        <w:tc>
          <w:tcPr>
            <w:tcW w:w="3004" w:type="dxa"/>
            <w:vMerge/>
          </w:tcPr>
          <w:p w14:paraId="01BB06CD" w14:textId="77777777" w:rsidR="00392FFB" w:rsidRPr="000E152E" w:rsidRDefault="00392FFB" w:rsidP="00527F17">
            <w:pPr>
              <w:rPr>
                <w:rFonts w:ascii="Garamond" w:hAnsi="Garamond" w:cstheme="minorHAnsi"/>
                <w:sz w:val="16"/>
                <w:szCs w:val="16"/>
              </w:rPr>
            </w:pPr>
          </w:p>
        </w:tc>
        <w:tc>
          <w:tcPr>
            <w:tcW w:w="3288" w:type="dxa"/>
          </w:tcPr>
          <w:p w14:paraId="01BB06CE" w14:textId="0770CA15"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studentëve dhe të rriturve që përdorin mësimin online të ofruar nga ofruesit e AFP-së</w:t>
            </w:r>
            <w:r w:rsidR="000E152E" w:rsidRPr="000E152E">
              <w:rPr>
                <w:rFonts w:ascii="Garamond" w:hAnsi="Garamond" w:cstheme="minorHAnsi"/>
                <w:sz w:val="16"/>
                <w:szCs w:val="16"/>
              </w:rPr>
              <w:t xml:space="preserve"> </w:t>
            </w:r>
            <w:r w:rsidRPr="000E152E">
              <w:rPr>
                <w:rFonts w:ascii="Garamond" w:hAnsi="Garamond" w:cstheme="minorHAnsi"/>
                <w:sz w:val="16"/>
                <w:szCs w:val="16"/>
              </w:rPr>
              <w:t xml:space="preserve">ose </w:t>
            </w:r>
          </w:p>
          <w:p w14:paraId="01BB06C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 xml:space="preserve">Numri i ofruesve të AFP-së që ofrojnë mësimin e kombinuar dhe mësimin online </w:t>
            </w:r>
          </w:p>
        </w:tc>
        <w:tc>
          <w:tcPr>
            <w:tcW w:w="1775" w:type="dxa"/>
          </w:tcPr>
          <w:p w14:paraId="01BB06D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D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D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D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D4" w14:textId="77777777" w:rsidR="00392FFB" w:rsidRPr="000E152E" w:rsidRDefault="00392FFB" w:rsidP="00527F17">
            <w:pPr>
              <w:rPr>
                <w:rFonts w:ascii="Garamond" w:hAnsi="Garamond" w:cstheme="minorHAnsi"/>
                <w:sz w:val="16"/>
                <w:szCs w:val="16"/>
              </w:rPr>
            </w:pPr>
          </w:p>
        </w:tc>
      </w:tr>
      <w:tr w:rsidR="00392FFB" w:rsidRPr="000E152E" w14:paraId="01BB06DE" w14:textId="77777777" w:rsidTr="00527F17">
        <w:tc>
          <w:tcPr>
            <w:tcW w:w="966" w:type="dxa"/>
            <w:vMerge/>
          </w:tcPr>
          <w:p w14:paraId="01BB06D6" w14:textId="77777777" w:rsidR="00392FFB" w:rsidRPr="000E152E" w:rsidRDefault="00392FFB" w:rsidP="00527F17">
            <w:pPr>
              <w:rPr>
                <w:rFonts w:ascii="Garamond" w:hAnsi="Garamond" w:cstheme="minorHAnsi"/>
                <w:sz w:val="16"/>
                <w:szCs w:val="16"/>
              </w:rPr>
            </w:pPr>
          </w:p>
        </w:tc>
        <w:tc>
          <w:tcPr>
            <w:tcW w:w="3004" w:type="dxa"/>
          </w:tcPr>
          <w:p w14:paraId="01BB06D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1.3.2. Krijimi i sistemit të inteligjencës së aftësive që japin sinjale të rregullta mbi zhvillimet e tregut të punës dhe të AFP-së</w:t>
            </w:r>
          </w:p>
        </w:tc>
        <w:tc>
          <w:tcPr>
            <w:tcW w:w="3288" w:type="dxa"/>
          </w:tcPr>
          <w:p w14:paraId="01BB06D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(ose lloji) i produkteve të prodhuara nga sistemi i inteligjencës së aftësive në baza të rregullta</w:t>
            </w:r>
          </w:p>
        </w:tc>
        <w:tc>
          <w:tcPr>
            <w:tcW w:w="1775" w:type="dxa"/>
          </w:tcPr>
          <w:p w14:paraId="01BB06D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6D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D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D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DD" w14:textId="77777777" w:rsidR="00392FFB" w:rsidRPr="000E152E" w:rsidRDefault="00392FFB" w:rsidP="00527F17">
            <w:pPr>
              <w:rPr>
                <w:rFonts w:ascii="Garamond" w:hAnsi="Garamond" w:cstheme="minorHAnsi"/>
                <w:sz w:val="16"/>
                <w:szCs w:val="16"/>
              </w:rPr>
            </w:pPr>
          </w:p>
        </w:tc>
      </w:tr>
      <w:tr w:rsidR="00392FFB" w:rsidRPr="000E152E" w14:paraId="01BB06E8" w14:textId="77777777" w:rsidTr="00527F17">
        <w:tc>
          <w:tcPr>
            <w:tcW w:w="966" w:type="dxa"/>
            <w:vMerge/>
          </w:tcPr>
          <w:p w14:paraId="01BB06DF" w14:textId="77777777" w:rsidR="00392FFB" w:rsidRPr="000E152E" w:rsidRDefault="00392FFB" w:rsidP="00527F17">
            <w:pPr>
              <w:rPr>
                <w:rFonts w:ascii="Garamond" w:hAnsi="Garamond" w:cstheme="minorHAnsi"/>
                <w:sz w:val="16"/>
                <w:szCs w:val="16"/>
              </w:rPr>
            </w:pPr>
          </w:p>
        </w:tc>
        <w:tc>
          <w:tcPr>
            <w:tcW w:w="3004" w:type="dxa"/>
            <w:vMerge w:val="restart"/>
          </w:tcPr>
          <w:p w14:paraId="01BB06E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1.3.3. Konsolidimi dhe zgjerimi i shërbimeve për punëdhënësit dhe punëkërkuesit, si dhe përshtatja e vazhdueshme e tyre bazuar në praktikat e monitorimit dhe vlerësimit</w:t>
            </w:r>
          </w:p>
        </w:tc>
        <w:tc>
          <w:tcPr>
            <w:tcW w:w="3288" w:type="dxa"/>
          </w:tcPr>
          <w:p w14:paraId="01BB06E1" w14:textId="310FC5D8" w:rsidR="00392FFB" w:rsidRPr="000E152E" w:rsidRDefault="00392FFB" w:rsidP="00527F17">
            <w:pPr>
              <w:rPr>
                <w:rFonts w:ascii="Garamond" w:hAnsi="Garamond"/>
                <w:sz w:val="16"/>
                <w:szCs w:val="16"/>
              </w:rPr>
            </w:pPr>
            <w:r w:rsidRPr="000E152E">
              <w:rPr>
                <w:rFonts w:ascii="Garamond" w:hAnsi="Garamond"/>
                <w:sz w:val="16"/>
                <w:szCs w:val="16"/>
              </w:rPr>
              <w:t>Numri i vendeve të lira të punës të regjistruara nga APKA</w:t>
            </w:r>
            <w:r w:rsidR="009E26EC">
              <w:rPr>
                <w:rFonts w:ascii="Garamond" w:hAnsi="Garamond"/>
                <w:sz w:val="16"/>
                <w:szCs w:val="16"/>
              </w:rPr>
              <w:t>-ja</w:t>
            </w:r>
          </w:p>
        </w:tc>
        <w:tc>
          <w:tcPr>
            <w:tcW w:w="1775" w:type="dxa"/>
          </w:tcPr>
          <w:p w14:paraId="01BB06E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25,000 (2021)</w:t>
            </w:r>
          </w:p>
          <w:p w14:paraId="01BB06E3" w14:textId="77777777" w:rsidR="00392FFB" w:rsidRPr="000E152E" w:rsidRDefault="00392FFB" w:rsidP="00527F17">
            <w:pPr>
              <w:rPr>
                <w:rFonts w:ascii="Garamond" w:hAnsi="Garamond" w:cstheme="minorHAnsi"/>
                <w:sz w:val="16"/>
                <w:szCs w:val="16"/>
              </w:rPr>
            </w:pPr>
          </w:p>
        </w:tc>
        <w:tc>
          <w:tcPr>
            <w:tcW w:w="1489" w:type="dxa"/>
          </w:tcPr>
          <w:p w14:paraId="01BB06E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E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E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E7" w14:textId="77777777" w:rsidR="00392FFB" w:rsidRPr="000E152E" w:rsidRDefault="00392FFB" w:rsidP="00527F17">
            <w:pPr>
              <w:rPr>
                <w:rFonts w:ascii="Garamond" w:hAnsi="Garamond" w:cstheme="minorHAnsi"/>
                <w:sz w:val="16"/>
                <w:szCs w:val="16"/>
              </w:rPr>
            </w:pPr>
          </w:p>
        </w:tc>
      </w:tr>
      <w:tr w:rsidR="00392FFB" w:rsidRPr="000E152E" w14:paraId="01BB06F6" w14:textId="77777777" w:rsidTr="00527F17">
        <w:tc>
          <w:tcPr>
            <w:tcW w:w="966" w:type="dxa"/>
            <w:vMerge/>
          </w:tcPr>
          <w:p w14:paraId="01BB06E9" w14:textId="77777777" w:rsidR="00392FFB" w:rsidRPr="000E152E" w:rsidRDefault="00392FFB" w:rsidP="00527F17">
            <w:pPr>
              <w:rPr>
                <w:rFonts w:ascii="Garamond" w:hAnsi="Garamond" w:cstheme="minorHAnsi"/>
                <w:sz w:val="16"/>
                <w:szCs w:val="16"/>
              </w:rPr>
            </w:pPr>
          </w:p>
        </w:tc>
        <w:tc>
          <w:tcPr>
            <w:tcW w:w="3004" w:type="dxa"/>
            <w:vMerge/>
          </w:tcPr>
          <w:p w14:paraId="01BB06EA" w14:textId="77777777" w:rsidR="00392FFB" w:rsidRPr="000E152E" w:rsidRDefault="00392FFB" w:rsidP="00527F17">
            <w:pPr>
              <w:rPr>
                <w:rFonts w:ascii="Garamond" w:hAnsi="Garamond" w:cstheme="minorHAnsi"/>
                <w:sz w:val="16"/>
                <w:szCs w:val="16"/>
              </w:rPr>
            </w:pPr>
          </w:p>
        </w:tc>
        <w:tc>
          <w:tcPr>
            <w:tcW w:w="3288" w:type="dxa"/>
          </w:tcPr>
          <w:p w14:paraId="01BB06EB" w14:textId="77777777" w:rsidR="00392FFB" w:rsidRPr="000E152E" w:rsidRDefault="00392FFB" w:rsidP="00527F17">
            <w:pPr>
              <w:rPr>
                <w:rFonts w:ascii="Garamond" w:hAnsi="Garamond"/>
                <w:sz w:val="16"/>
                <w:szCs w:val="16"/>
              </w:rPr>
            </w:pPr>
            <w:r w:rsidRPr="000E152E">
              <w:rPr>
                <w:rFonts w:ascii="Garamond" w:hAnsi="Garamond"/>
                <w:sz w:val="16"/>
                <w:szCs w:val="16"/>
              </w:rPr>
              <w:t>Numri i ndërmjetësimeve të lehtësuara në raport me numrin e vendeve të lira të punës të regjistruara ose</w:t>
            </w:r>
          </w:p>
          <w:p w14:paraId="01BB06EC" w14:textId="77777777" w:rsidR="00392FFB" w:rsidRPr="000E152E" w:rsidRDefault="00392FFB" w:rsidP="00527F17">
            <w:pPr>
              <w:rPr>
                <w:rFonts w:ascii="Garamond" w:hAnsi="Garamond"/>
                <w:sz w:val="16"/>
                <w:szCs w:val="16"/>
              </w:rPr>
            </w:pPr>
            <w:r w:rsidRPr="000E152E">
              <w:rPr>
                <w:rFonts w:ascii="Garamond" w:hAnsi="Garamond"/>
                <w:sz w:val="16"/>
                <w:szCs w:val="16"/>
              </w:rPr>
              <w:t xml:space="preserve">numri i ndërmjetësimeve të lehtësuara nga zyra e punës, </w:t>
            </w:r>
            <w:r w:rsidRPr="000E152E">
              <w:rPr>
                <w:rFonts w:ascii="Garamond" w:hAnsi="Garamond" w:cstheme="minorHAnsi"/>
                <w:sz w:val="16"/>
                <w:szCs w:val="16"/>
              </w:rPr>
              <w:t>të ndara sipas gjinisë</w:t>
            </w:r>
          </w:p>
        </w:tc>
        <w:tc>
          <w:tcPr>
            <w:tcW w:w="1775" w:type="dxa"/>
          </w:tcPr>
          <w:p w14:paraId="01BB06ED" w14:textId="77777777" w:rsidR="00392FFB" w:rsidRPr="000E152E" w:rsidRDefault="00392FFB" w:rsidP="00527F17">
            <w:pPr>
              <w:rPr>
                <w:rFonts w:ascii="Garamond" w:hAnsi="Garamond" w:cstheme="minorHAnsi"/>
                <w:sz w:val="16"/>
                <w:szCs w:val="16"/>
              </w:rPr>
            </w:pPr>
          </w:p>
          <w:p w14:paraId="01BB06EE" w14:textId="77777777" w:rsidR="00392FFB" w:rsidRPr="000E152E" w:rsidRDefault="00392FFB" w:rsidP="00527F17">
            <w:pPr>
              <w:rPr>
                <w:rFonts w:ascii="Garamond" w:hAnsi="Garamond" w:cstheme="minorHAnsi"/>
                <w:sz w:val="16"/>
                <w:szCs w:val="16"/>
              </w:rPr>
            </w:pPr>
          </w:p>
          <w:p w14:paraId="01BB06EF" w14:textId="77777777" w:rsidR="00392FFB" w:rsidRPr="000E152E" w:rsidRDefault="00392FFB" w:rsidP="00527F17">
            <w:pPr>
              <w:rPr>
                <w:rFonts w:ascii="Garamond" w:hAnsi="Garamond" w:cstheme="minorHAnsi"/>
                <w:sz w:val="16"/>
                <w:szCs w:val="16"/>
              </w:rPr>
            </w:pPr>
          </w:p>
          <w:p w14:paraId="01BB06F0" w14:textId="77777777" w:rsidR="00392FFB" w:rsidRPr="000E152E" w:rsidRDefault="00392FFB" w:rsidP="00527F17">
            <w:pPr>
              <w:rPr>
                <w:rFonts w:ascii="Garamond" w:hAnsi="Garamond" w:cstheme="minorHAnsi"/>
                <w:sz w:val="16"/>
                <w:szCs w:val="16"/>
              </w:rPr>
            </w:pPr>
          </w:p>
          <w:p w14:paraId="01BB06F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7,624 (2021)</w:t>
            </w:r>
          </w:p>
        </w:tc>
        <w:tc>
          <w:tcPr>
            <w:tcW w:w="1489" w:type="dxa"/>
          </w:tcPr>
          <w:p w14:paraId="01BB06F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F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F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F5" w14:textId="77777777" w:rsidR="00392FFB" w:rsidRPr="000E152E" w:rsidRDefault="00392FFB" w:rsidP="00527F17">
            <w:pPr>
              <w:rPr>
                <w:rFonts w:ascii="Garamond" w:hAnsi="Garamond" w:cstheme="minorHAnsi"/>
                <w:sz w:val="16"/>
                <w:szCs w:val="16"/>
              </w:rPr>
            </w:pPr>
          </w:p>
        </w:tc>
      </w:tr>
      <w:tr w:rsidR="00392FFB" w:rsidRPr="000E152E" w14:paraId="01BB06FF" w14:textId="77777777" w:rsidTr="00527F17">
        <w:tc>
          <w:tcPr>
            <w:tcW w:w="966" w:type="dxa"/>
            <w:vMerge/>
          </w:tcPr>
          <w:p w14:paraId="01BB06F7" w14:textId="77777777" w:rsidR="00392FFB" w:rsidRPr="000E152E" w:rsidRDefault="00392FFB" w:rsidP="00527F17">
            <w:pPr>
              <w:rPr>
                <w:rFonts w:ascii="Garamond" w:hAnsi="Garamond" w:cstheme="minorHAnsi"/>
                <w:sz w:val="16"/>
                <w:szCs w:val="16"/>
              </w:rPr>
            </w:pPr>
          </w:p>
        </w:tc>
        <w:tc>
          <w:tcPr>
            <w:tcW w:w="3004" w:type="dxa"/>
            <w:vMerge/>
          </w:tcPr>
          <w:p w14:paraId="01BB06F8" w14:textId="77777777" w:rsidR="00392FFB" w:rsidRPr="000E152E" w:rsidRDefault="00392FFB" w:rsidP="00527F17">
            <w:pPr>
              <w:rPr>
                <w:rFonts w:ascii="Garamond" w:hAnsi="Garamond" w:cstheme="minorHAnsi"/>
                <w:sz w:val="16"/>
                <w:szCs w:val="16"/>
              </w:rPr>
            </w:pPr>
          </w:p>
        </w:tc>
        <w:tc>
          <w:tcPr>
            <w:tcW w:w="3288" w:type="dxa"/>
          </w:tcPr>
          <w:p w14:paraId="01BB06F9" w14:textId="1B7D1AB5" w:rsidR="00392FFB" w:rsidRPr="000E152E" w:rsidRDefault="00392FFB" w:rsidP="00527F17">
            <w:pPr>
              <w:rPr>
                <w:rFonts w:ascii="Garamond" w:hAnsi="Garamond"/>
                <w:sz w:val="16"/>
                <w:szCs w:val="16"/>
              </w:rPr>
            </w:pPr>
            <w:r w:rsidRPr="000E152E">
              <w:rPr>
                <w:rFonts w:ascii="Garamond" w:hAnsi="Garamond"/>
                <w:sz w:val="16"/>
                <w:szCs w:val="16"/>
              </w:rPr>
              <w:t>Përqindja e punësimit të personave të përfshirë në masat e nxitjes së punësimit</w:t>
            </w:r>
            <w:r w:rsidR="000E152E" w:rsidRPr="000E152E">
              <w:rPr>
                <w:rFonts w:ascii="Garamond" w:hAnsi="Garamond"/>
                <w:sz w:val="16"/>
                <w:szCs w:val="16"/>
              </w:rPr>
              <w:t xml:space="preserve"> </w:t>
            </w:r>
          </w:p>
        </w:tc>
        <w:tc>
          <w:tcPr>
            <w:tcW w:w="1775" w:type="dxa"/>
          </w:tcPr>
          <w:p w14:paraId="01BB06FA" w14:textId="77777777" w:rsidR="00392FFB" w:rsidRPr="000E152E" w:rsidRDefault="00392FFB" w:rsidP="00527F17">
            <w:pPr>
              <w:rPr>
                <w:rFonts w:ascii="Garamond" w:hAnsi="Garamond" w:cstheme="minorHAnsi"/>
                <w:b/>
                <w:sz w:val="16"/>
                <w:szCs w:val="16"/>
              </w:rPr>
            </w:pPr>
            <w:r w:rsidRPr="000E152E">
              <w:rPr>
                <w:rFonts w:ascii="Garamond" w:hAnsi="Garamond" w:cstheme="minorHAnsi"/>
                <w:sz w:val="16"/>
                <w:szCs w:val="16"/>
              </w:rPr>
              <w:t>TD</w:t>
            </w:r>
          </w:p>
        </w:tc>
        <w:tc>
          <w:tcPr>
            <w:tcW w:w="1489" w:type="dxa"/>
          </w:tcPr>
          <w:p w14:paraId="01BB06F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6F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6F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6FE" w14:textId="77777777" w:rsidR="00392FFB" w:rsidRPr="000E152E" w:rsidRDefault="00392FFB" w:rsidP="00527F17">
            <w:pPr>
              <w:rPr>
                <w:rFonts w:ascii="Garamond" w:hAnsi="Garamond" w:cstheme="minorHAnsi"/>
                <w:sz w:val="16"/>
                <w:szCs w:val="16"/>
              </w:rPr>
            </w:pPr>
          </w:p>
        </w:tc>
      </w:tr>
      <w:tr w:rsidR="00392FFB" w:rsidRPr="000E152E" w14:paraId="01BB0708" w14:textId="77777777" w:rsidTr="00527F17">
        <w:trPr>
          <w:trHeight w:val="242"/>
        </w:trPr>
        <w:tc>
          <w:tcPr>
            <w:tcW w:w="966" w:type="dxa"/>
            <w:vMerge/>
          </w:tcPr>
          <w:p w14:paraId="01BB0700" w14:textId="77777777" w:rsidR="00392FFB" w:rsidRPr="000E152E" w:rsidRDefault="00392FFB" w:rsidP="00527F17">
            <w:pPr>
              <w:rPr>
                <w:rFonts w:ascii="Garamond" w:hAnsi="Garamond" w:cstheme="minorHAnsi"/>
                <w:sz w:val="16"/>
                <w:szCs w:val="16"/>
              </w:rPr>
            </w:pPr>
          </w:p>
        </w:tc>
        <w:tc>
          <w:tcPr>
            <w:tcW w:w="3004" w:type="dxa"/>
            <w:vMerge w:val="restart"/>
          </w:tcPr>
          <w:p w14:paraId="01BB070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1.3.4. Lehtësimi i lëvizshmërisë së fuqisë punëtore</w:t>
            </w:r>
          </w:p>
        </w:tc>
        <w:tc>
          <w:tcPr>
            <w:tcW w:w="3288" w:type="dxa"/>
          </w:tcPr>
          <w:p w14:paraId="01BB0702" w14:textId="77777777" w:rsidR="00392FFB" w:rsidRPr="000E152E" w:rsidRDefault="00392FFB" w:rsidP="00527F17">
            <w:pPr>
              <w:rPr>
                <w:rFonts w:ascii="Garamond" w:hAnsi="Garamond"/>
                <w:sz w:val="16"/>
                <w:szCs w:val="16"/>
              </w:rPr>
            </w:pPr>
            <w:r w:rsidRPr="000E152E">
              <w:rPr>
                <w:rFonts w:ascii="Garamond" w:hAnsi="Garamond"/>
                <w:sz w:val="16"/>
                <w:szCs w:val="16"/>
              </w:rPr>
              <w:t>Lidhja me platformën EURES është krijuar</w:t>
            </w:r>
          </w:p>
        </w:tc>
        <w:tc>
          <w:tcPr>
            <w:tcW w:w="1775" w:type="dxa"/>
          </w:tcPr>
          <w:p w14:paraId="01BB070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Jo</w:t>
            </w:r>
          </w:p>
        </w:tc>
        <w:tc>
          <w:tcPr>
            <w:tcW w:w="1489" w:type="dxa"/>
          </w:tcPr>
          <w:p w14:paraId="01BB070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Po</w:t>
            </w:r>
          </w:p>
        </w:tc>
        <w:tc>
          <w:tcPr>
            <w:tcW w:w="1488" w:type="dxa"/>
          </w:tcPr>
          <w:p w14:paraId="01BB070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Po</w:t>
            </w:r>
          </w:p>
        </w:tc>
        <w:tc>
          <w:tcPr>
            <w:tcW w:w="1788" w:type="dxa"/>
          </w:tcPr>
          <w:p w14:paraId="01BB070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07" w14:textId="5D3E7DCC"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 xml:space="preserve">Raporti BE-së për </w:t>
            </w:r>
            <w:r w:rsidR="00DE3FCD" w:rsidRPr="000E152E">
              <w:rPr>
                <w:rFonts w:ascii="Garamond" w:hAnsi="Garamond" w:cstheme="minorHAnsi"/>
                <w:sz w:val="16"/>
                <w:szCs w:val="16"/>
              </w:rPr>
              <w:t>Shqipërinë</w:t>
            </w:r>
            <w:r w:rsidRPr="000E152E">
              <w:rPr>
                <w:rFonts w:ascii="Garamond" w:hAnsi="Garamond" w:cstheme="minorHAnsi"/>
                <w:sz w:val="16"/>
                <w:szCs w:val="16"/>
              </w:rPr>
              <w:t xml:space="preserve"> 2022</w:t>
            </w:r>
          </w:p>
        </w:tc>
      </w:tr>
      <w:tr w:rsidR="00392FFB" w:rsidRPr="000E152E" w14:paraId="01BB0711" w14:textId="77777777" w:rsidTr="00527F17">
        <w:tc>
          <w:tcPr>
            <w:tcW w:w="966" w:type="dxa"/>
            <w:vMerge/>
          </w:tcPr>
          <w:p w14:paraId="01BB0709" w14:textId="77777777" w:rsidR="00392FFB" w:rsidRPr="000E152E" w:rsidRDefault="00392FFB" w:rsidP="00527F17">
            <w:pPr>
              <w:rPr>
                <w:rFonts w:ascii="Garamond" w:hAnsi="Garamond" w:cstheme="minorHAnsi"/>
                <w:sz w:val="16"/>
                <w:szCs w:val="16"/>
              </w:rPr>
            </w:pPr>
          </w:p>
        </w:tc>
        <w:tc>
          <w:tcPr>
            <w:tcW w:w="3004" w:type="dxa"/>
            <w:vMerge/>
          </w:tcPr>
          <w:p w14:paraId="01BB070A" w14:textId="77777777" w:rsidR="00392FFB" w:rsidRPr="000E152E" w:rsidRDefault="00392FFB" w:rsidP="00527F17">
            <w:pPr>
              <w:rPr>
                <w:rFonts w:ascii="Garamond" w:hAnsi="Garamond" w:cstheme="minorHAnsi"/>
                <w:sz w:val="16"/>
                <w:szCs w:val="16"/>
              </w:rPr>
            </w:pPr>
          </w:p>
        </w:tc>
        <w:tc>
          <w:tcPr>
            <w:tcW w:w="3288" w:type="dxa"/>
          </w:tcPr>
          <w:p w14:paraId="01BB070B" w14:textId="77777777" w:rsidR="00392FFB" w:rsidRPr="000E152E" w:rsidRDefault="00392FFB" w:rsidP="00527F17">
            <w:pPr>
              <w:rPr>
                <w:rFonts w:ascii="Garamond" w:hAnsi="Garamond"/>
                <w:sz w:val="16"/>
                <w:szCs w:val="16"/>
              </w:rPr>
            </w:pPr>
            <w:r w:rsidRPr="000E152E">
              <w:rPr>
                <w:rFonts w:ascii="Garamond" w:hAnsi="Garamond"/>
                <w:sz w:val="16"/>
                <w:szCs w:val="16"/>
              </w:rPr>
              <w:t>Përqindja e punëkërkuesve të ndërmjetësuar në qarqe të ndryshme nga vendbanimi i tyre</w:t>
            </w:r>
          </w:p>
        </w:tc>
        <w:tc>
          <w:tcPr>
            <w:tcW w:w="1775" w:type="dxa"/>
          </w:tcPr>
          <w:p w14:paraId="01BB070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70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70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70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10" w14:textId="77777777" w:rsidR="00392FFB" w:rsidRPr="000E152E" w:rsidRDefault="00392FFB" w:rsidP="00527F17">
            <w:pPr>
              <w:rPr>
                <w:rFonts w:ascii="Garamond" w:hAnsi="Garamond" w:cstheme="minorHAnsi"/>
                <w:sz w:val="16"/>
                <w:szCs w:val="16"/>
              </w:rPr>
            </w:pPr>
          </w:p>
        </w:tc>
      </w:tr>
      <w:tr w:rsidR="00392FFB" w:rsidRPr="000E152E" w14:paraId="01BB071B" w14:textId="77777777" w:rsidTr="00527F17">
        <w:tc>
          <w:tcPr>
            <w:tcW w:w="966" w:type="dxa"/>
            <w:vMerge w:val="restart"/>
            <w:shd w:val="clear" w:color="auto" w:fill="auto"/>
            <w:vAlign w:val="center"/>
          </w:tcPr>
          <w:p w14:paraId="01BB0712" w14:textId="77777777" w:rsidR="00392FFB" w:rsidRPr="000E152E" w:rsidRDefault="00392FFB" w:rsidP="00527F17">
            <w:pPr>
              <w:rPr>
                <w:rFonts w:ascii="Garamond" w:hAnsi="Garamond" w:cstheme="minorHAnsi"/>
                <w:sz w:val="16"/>
                <w:szCs w:val="16"/>
              </w:rPr>
            </w:pPr>
          </w:p>
          <w:p w14:paraId="01BB0713" w14:textId="77777777" w:rsidR="00392FFB" w:rsidRPr="000E152E" w:rsidRDefault="00392FFB" w:rsidP="00527F17">
            <w:pPr>
              <w:rPr>
                <w:rFonts w:ascii="Garamond" w:hAnsi="Garamond" w:cstheme="minorHAnsi"/>
                <w:sz w:val="16"/>
                <w:szCs w:val="16"/>
              </w:rPr>
            </w:pPr>
          </w:p>
        </w:tc>
        <w:tc>
          <w:tcPr>
            <w:tcW w:w="3004" w:type="dxa"/>
            <w:vMerge/>
            <w:shd w:val="clear" w:color="auto" w:fill="auto"/>
          </w:tcPr>
          <w:p w14:paraId="01BB0714" w14:textId="77777777" w:rsidR="00392FFB" w:rsidRPr="000E152E" w:rsidRDefault="00392FFB" w:rsidP="00527F17">
            <w:pPr>
              <w:rPr>
                <w:rFonts w:ascii="Garamond" w:hAnsi="Garamond" w:cstheme="minorHAnsi"/>
                <w:sz w:val="16"/>
                <w:szCs w:val="16"/>
              </w:rPr>
            </w:pPr>
          </w:p>
        </w:tc>
        <w:tc>
          <w:tcPr>
            <w:tcW w:w="3288" w:type="dxa"/>
            <w:shd w:val="clear" w:color="auto" w:fill="auto"/>
          </w:tcPr>
          <w:p w14:paraId="01BB0715"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Numri i protokolleve të koordinimit të miratuara</w:t>
            </w:r>
          </w:p>
        </w:tc>
        <w:tc>
          <w:tcPr>
            <w:tcW w:w="1775" w:type="dxa"/>
            <w:shd w:val="clear" w:color="auto" w:fill="auto"/>
          </w:tcPr>
          <w:p w14:paraId="01BB071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0</w:t>
            </w:r>
          </w:p>
        </w:tc>
        <w:tc>
          <w:tcPr>
            <w:tcW w:w="1489" w:type="dxa"/>
            <w:shd w:val="clear" w:color="auto" w:fill="auto"/>
          </w:tcPr>
          <w:p w14:paraId="01BB071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w:t>
            </w:r>
          </w:p>
        </w:tc>
        <w:tc>
          <w:tcPr>
            <w:tcW w:w="1488" w:type="dxa"/>
            <w:shd w:val="clear" w:color="auto" w:fill="auto"/>
          </w:tcPr>
          <w:p w14:paraId="01BB071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w:t>
            </w:r>
          </w:p>
        </w:tc>
        <w:tc>
          <w:tcPr>
            <w:tcW w:w="1788" w:type="dxa"/>
            <w:shd w:val="clear" w:color="auto" w:fill="auto"/>
          </w:tcPr>
          <w:p w14:paraId="01BB071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shd w:val="clear" w:color="auto" w:fill="auto"/>
          </w:tcPr>
          <w:p w14:paraId="01BB071A" w14:textId="77777777" w:rsidR="00392FFB" w:rsidRPr="000E152E" w:rsidRDefault="00392FFB" w:rsidP="00527F17">
            <w:pPr>
              <w:rPr>
                <w:rFonts w:ascii="Garamond" w:hAnsi="Garamond" w:cstheme="minorHAnsi"/>
                <w:sz w:val="16"/>
                <w:szCs w:val="16"/>
              </w:rPr>
            </w:pPr>
          </w:p>
        </w:tc>
      </w:tr>
      <w:tr w:rsidR="00392FFB" w:rsidRPr="000E152E" w14:paraId="01BB0724" w14:textId="77777777" w:rsidTr="00527F17">
        <w:tc>
          <w:tcPr>
            <w:tcW w:w="966" w:type="dxa"/>
            <w:vMerge/>
            <w:shd w:val="clear" w:color="auto" w:fill="FDE9D9" w:themeFill="accent6" w:themeFillTint="33"/>
            <w:vAlign w:val="center"/>
          </w:tcPr>
          <w:p w14:paraId="01BB071C" w14:textId="77777777" w:rsidR="00392FFB" w:rsidRPr="000E152E" w:rsidRDefault="00392FFB" w:rsidP="00527F17">
            <w:pPr>
              <w:rPr>
                <w:rFonts w:ascii="Garamond" w:hAnsi="Garamond" w:cstheme="minorHAnsi"/>
                <w:sz w:val="16"/>
                <w:szCs w:val="16"/>
              </w:rPr>
            </w:pPr>
          </w:p>
        </w:tc>
        <w:tc>
          <w:tcPr>
            <w:tcW w:w="3004" w:type="dxa"/>
            <w:vMerge/>
            <w:shd w:val="clear" w:color="auto" w:fill="FDE9D9" w:themeFill="accent6" w:themeFillTint="33"/>
          </w:tcPr>
          <w:p w14:paraId="01BB071D" w14:textId="77777777" w:rsidR="00392FFB" w:rsidRPr="000E152E" w:rsidRDefault="00392FFB" w:rsidP="00527F17">
            <w:pPr>
              <w:rPr>
                <w:rFonts w:ascii="Garamond" w:hAnsi="Garamond" w:cstheme="minorHAnsi"/>
                <w:sz w:val="16"/>
                <w:szCs w:val="16"/>
              </w:rPr>
            </w:pPr>
          </w:p>
        </w:tc>
        <w:tc>
          <w:tcPr>
            <w:tcW w:w="3288" w:type="dxa"/>
            <w:shd w:val="clear" w:color="auto" w:fill="auto"/>
          </w:tcPr>
          <w:p w14:paraId="01BB071E" w14:textId="77777777" w:rsidR="00392FFB" w:rsidRPr="000E152E" w:rsidRDefault="00392FFB" w:rsidP="00527F17">
            <w:pPr>
              <w:jc w:val="both"/>
              <w:rPr>
                <w:rFonts w:ascii="Garamond" w:hAnsi="Garamond" w:cstheme="minorHAnsi"/>
                <w:bCs/>
                <w:sz w:val="16"/>
                <w:szCs w:val="16"/>
              </w:rPr>
            </w:pPr>
            <w:r w:rsidRPr="000E152E">
              <w:rPr>
                <w:rFonts w:ascii="Garamond" w:hAnsi="Garamond" w:cstheme="minorHAnsi"/>
                <w:bCs/>
                <w:sz w:val="16"/>
                <w:szCs w:val="16"/>
              </w:rPr>
              <w:t>Numri i shtetasve shqiptarë të kthyer që kanë marrë informacion</w:t>
            </w:r>
          </w:p>
        </w:tc>
        <w:tc>
          <w:tcPr>
            <w:tcW w:w="1775" w:type="dxa"/>
            <w:shd w:val="clear" w:color="auto" w:fill="auto"/>
          </w:tcPr>
          <w:p w14:paraId="01BB071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377</w:t>
            </w:r>
          </w:p>
        </w:tc>
        <w:tc>
          <w:tcPr>
            <w:tcW w:w="1489" w:type="dxa"/>
            <w:shd w:val="clear" w:color="auto" w:fill="auto"/>
          </w:tcPr>
          <w:p w14:paraId="01BB072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500</w:t>
            </w:r>
          </w:p>
        </w:tc>
        <w:tc>
          <w:tcPr>
            <w:tcW w:w="1488" w:type="dxa"/>
            <w:shd w:val="clear" w:color="auto" w:fill="auto"/>
          </w:tcPr>
          <w:p w14:paraId="01BB0721" w14:textId="77777777" w:rsidR="00392FFB" w:rsidRPr="000E152E" w:rsidRDefault="00392FFB" w:rsidP="00527F17">
            <w:pPr>
              <w:rPr>
                <w:rFonts w:ascii="Garamond" w:hAnsi="Garamond" w:cstheme="minorHAnsi"/>
                <w:sz w:val="16"/>
                <w:szCs w:val="16"/>
              </w:rPr>
            </w:pPr>
          </w:p>
        </w:tc>
        <w:tc>
          <w:tcPr>
            <w:tcW w:w="1788" w:type="dxa"/>
            <w:shd w:val="clear" w:color="auto" w:fill="auto"/>
          </w:tcPr>
          <w:p w14:paraId="01BB072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shd w:val="clear" w:color="auto" w:fill="auto"/>
          </w:tcPr>
          <w:p w14:paraId="01BB0723" w14:textId="77777777" w:rsidR="00392FFB" w:rsidRPr="000E152E" w:rsidRDefault="00392FFB" w:rsidP="00527F17">
            <w:pPr>
              <w:rPr>
                <w:rFonts w:ascii="Garamond" w:hAnsi="Garamond" w:cstheme="minorHAnsi"/>
                <w:sz w:val="16"/>
                <w:szCs w:val="16"/>
              </w:rPr>
            </w:pPr>
          </w:p>
        </w:tc>
      </w:tr>
      <w:tr w:rsidR="00392FFB" w:rsidRPr="000E152E" w14:paraId="01BB072E" w14:textId="77777777" w:rsidTr="00527F17">
        <w:tc>
          <w:tcPr>
            <w:tcW w:w="966" w:type="dxa"/>
            <w:vMerge w:val="restart"/>
            <w:shd w:val="clear" w:color="auto" w:fill="FDE9D9" w:themeFill="accent6" w:themeFillTint="33"/>
            <w:vAlign w:val="center"/>
          </w:tcPr>
          <w:p w14:paraId="01BB072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Qëllimi i politikës /Ndikimi</w:t>
            </w:r>
          </w:p>
        </w:tc>
        <w:tc>
          <w:tcPr>
            <w:tcW w:w="3004" w:type="dxa"/>
            <w:vMerge w:val="restart"/>
            <w:shd w:val="clear" w:color="auto" w:fill="FDE9D9" w:themeFill="accent6" w:themeFillTint="33"/>
          </w:tcPr>
          <w:p w14:paraId="01BB072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Qëllimi i politikës 2: Mundësimi i punësimit të denjë për gra dhe burra nëpërmjet zbatimit të politikave gjithëpërfshirëse të tregut të punës</w:t>
            </w:r>
          </w:p>
        </w:tc>
        <w:tc>
          <w:tcPr>
            <w:tcW w:w="3288" w:type="dxa"/>
            <w:shd w:val="clear" w:color="auto" w:fill="FDE9D9" w:themeFill="accent6" w:themeFillTint="33"/>
          </w:tcPr>
          <w:p w14:paraId="01BB0727" w14:textId="6538499D" w:rsidR="00392FFB" w:rsidRPr="000E152E" w:rsidRDefault="00392FFB" w:rsidP="00527F17">
            <w:pPr>
              <w:jc w:val="both"/>
              <w:rPr>
                <w:rFonts w:ascii="Garamond" w:hAnsi="Garamond" w:cstheme="minorHAnsi"/>
                <w:bCs/>
                <w:sz w:val="16"/>
                <w:szCs w:val="16"/>
              </w:rPr>
            </w:pPr>
            <w:r w:rsidRPr="000E152E">
              <w:rPr>
                <w:rFonts w:ascii="Garamond" w:hAnsi="Garamond" w:cstheme="minorHAnsi"/>
                <w:bCs/>
                <w:sz w:val="16"/>
                <w:szCs w:val="16"/>
              </w:rPr>
              <w:t>Shkalla e papunësisë së të rinjve të grup</w:t>
            </w:r>
            <w:r w:rsidR="00BF7037">
              <w:rPr>
                <w:rFonts w:ascii="Garamond" w:hAnsi="Garamond" w:cstheme="minorHAnsi"/>
                <w:bCs/>
                <w:sz w:val="16"/>
                <w:szCs w:val="16"/>
              </w:rPr>
              <w:t>-</w:t>
            </w:r>
            <w:r w:rsidRPr="000E152E">
              <w:rPr>
                <w:rFonts w:ascii="Garamond" w:hAnsi="Garamond" w:cstheme="minorHAnsi"/>
                <w:bCs/>
                <w:sz w:val="16"/>
                <w:szCs w:val="16"/>
              </w:rPr>
              <w:t xml:space="preserve">moshës 15-24 vjeç, </w:t>
            </w:r>
            <w:r w:rsidRPr="000E152E">
              <w:rPr>
                <w:rFonts w:ascii="Garamond" w:hAnsi="Garamond" w:cstheme="minorHAnsi"/>
                <w:sz w:val="16"/>
                <w:szCs w:val="16"/>
              </w:rPr>
              <w:t>sipas gjinisë</w:t>
            </w:r>
          </w:p>
        </w:tc>
        <w:tc>
          <w:tcPr>
            <w:tcW w:w="1775" w:type="dxa"/>
            <w:shd w:val="clear" w:color="auto" w:fill="FDE9D9" w:themeFill="accent6" w:themeFillTint="33"/>
          </w:tcPr>
          <w:p w14:paraId="01BB072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26.5 (2021)</w:t>
            </w:r>
          </w:p>
          <w:p w14:paraId="01BB0729" w14:textId="77777777" w:rsidR="00392FFB" w:rsidRPr="000E152E" w:rsidRDefault="00392FFB" w:rsidP="00527F17">
            <w:pPr>
              <w:rPr>
                <w:rFonts w:ascii="Garamond" w:hAnsi="Garamond"/>
                <w:sz w:val="16"/>
                <w:szCs w:val="16"/>
              </w:rPr>
            </w:pPr>
            <w:r w:rsidRPr="000E152E">
              <w:rPr>
                <w:rFonts w:ascii="Garamond" w:hAnsi="Garamond"/>
                <w:sz w:val="16"/>
                <w:szCs w:val="16"/>
              </w:rPr>
              <w:t>29.2% për femra të reja 25.5% për meshkuj të rinj</w:t>
            </w:r>
          </w:p>
        </w:tc>
        <w:tc>
          <w:tcPr>
            <w:tcW w:w="1489" w:type="dxa"/>
            <w:shd w:val="clear" w:color="auto" w:fill="FDE9D9" w:themeFill="accent6" w:themeFillTint="33"/>
          </w:tcPr>
          <w:p w14:paraId="01BB072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23%</w:t>
            </w:r>
          </w:p>
        </w:tc>
        <w:tc>
          <w:tcPr>
            <w:tcW w:w="1488" w:type="dxa"/>
            <w:shd w:val="clear" w:color="auto" w:fill="FDE9D9" w:themeFill="accent6" w:themeFillTint="33"/>
          </w:tcPr>
          <w:p w14:paraId="01BB072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18.3%</w:t>
            </w:r>
          </w:p>
        </w:tc>
        <w:tc>
          <w:tcPr>
            <w:tcW w:w="1788" w:type="dxa"/>
            <w:shd w:val="clear" w:color="auto" w:fill="FDE9D9" w:themeFill="accent6" w:themeFillTint="33"/>
          </w:tcPr>
          <w:p w14:paraId="01BB072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FDE9D9" w:themeFill="accent6" w:themeFillTint="33"/>
          </w:tcPr>
          <w:p w14:paraId="01BB072D" w14:textId="3DEB04D3"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SKZHIE, IPA II, SDG</w:t>
            </w:r>
            <w:r w:rsidR="000E152E" w:rsidRPr="000E152E">
              <w:rPr>
                <w:rFonts w:ascii="Garamond" w:hAnsi="Garamond" w:cstheme="minorHAnsi"/>
                <w:sz w:val="16"/>
                <w:szCs w:val="16"/>
              </w:rPr>
              <w:t xml:space="preserve"> </w:t>
            </w:r>
            <w:r w:rsidRPr="000E152E">
              <w:rPr>
                <w:rFonts w:ascii="Garamond" w:hAnsi="Garamond" w:cstheme="minorHAnsi"/>
                <w:sz w:val="16"/>
                <w:szCs w:val="16"/>
              </w:rPr>
              <w:t>8.5.2; Pas. e Ind. SKPA 2022, 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738" w14:textId="77777777" w:rsidTr="00527F17">
        <w:tc>
          <w:tcPr>
            <w:tcW w:w="966" w:type="dxa"/>
            <w:vMerge/>
          </w:tcPr>
          <w:p w14:paraId="01BB072F" w14:textId="77777777" w:rsidR="00392FFB" w:rsidRPr="000E152E" w:rsidRDefault="00392FFB" w:rsidP="00527F17">
            <w:pPr>
              <w:rPr>
                <w:rFonts w:ascii="Garamond" w:hAnsi="Garamond" w:cstheme="minorHAnsi"/>
                <w:sz w:val="16"/>
                <w:szCs w:val="16"/>
              </w:rPr>
            </w:pPr>
          </w:p>
        </w:tc>
        <w:tc>
          <w:tcPr>
            <w:tcW w:w="3004" w:type="dxa"/>
            <w:vMerge/>
          </w:tcPr>
          <w:p w14:paraId="01BB0730" w14:textId="77777777" w:rsidR="00392FFB" w:rsidRPr="000E152E" w:rsidRDefault="00392FFB" w:rsidP="00527F17">
            <w:pPr>
              <w:rPr>
                <w:rFonts w:ascii="Garamond" w:hAnsi="Garamond" w:cstheme="minorHAnsi"/>
                <w:sz w:val="16"/>
                <w:szCs w:val="16"/>
              </w:rPr>
            </w:pPr>
          </w:p>
        </w:tc>
        <w:tc>
          <w:tcPr>
            <w:tcW w:w="3288" w:type="dxa"/>
            <w:shd w:val="clear" w:color="auto" w:fill="FDE9D9" w:themeFill="accent6" w:themeFillTint="33"/>
          </w:tcPr>
          <w:p w14:paraId="01BB0731" w14:textId="77777777" w:rsidR="00392FFB" w:rsidRPr="000E152E" w:rsidRDefault="00392FFB" w:rsidP="00527F17">
            <w:pPr>
              <w:jc w:val="both"/>
              <w:rPr>
                <w:rFonts w:ascii="Garamond" w:hAnsi="Garamond" w:cstheme="minorHAnsi"/>
                <w:bCs/>
                <w:sz w:val="16"/>
                <w:szCs w:val="16"/>
              </w:rPr>
            </w:pPr>
            <w:r w:rsidRPr="000E152E">
              <w:rPr>
                <w:rFonts w:ascii="Garamond" w:hAnsi="Garamond" w:cstheme="minorHAnsi"/>
                <w:bCs/>
                <w:sz w:val="16"/>
                <w:szCs w:val="16"/>
              </w:rPr>
              <w:t>Hendeku gjinor në punësim në %</w:t>
            </w:r>
          </w:p>
          <w:p w14:paraId="01BB0732" w14:textId="77777777" w:rsidR="00392FFB" w:rsidRPr="000E152E" w:rsidRDefault="00392FFB" w:rsidP="00527F17">
            <w:pPr>
              <w:jc w:val="both"/>
              <w:rPr>
                <w:rFonts w:ascii="Garamond" w:hAnsi="Garamond" w:cstheme="minorHAnsi"/>
                <w:bCs/>
                <w:sz w:val="16"/>
                <w:szCs w:val="16"/>
              </w:rPr>
            </w:pPr>
          </w:p>
        </w:tc>
        <w:tc>
          <w:tcPr>
            <w:tcW w:w="1775" w:type="dxa"/>
            <w:shd w:val="clear" w:color="auto" w:fill="FDE9D9" w:themeFill="accent6" w:themeFillTint="33"/>
          </w:tcPr>
          <w:p w14:paraId="01BB073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14.4%</w:t>
            </w:r>
          </w:p>
        </w:tc>
        <w:tc>
          <w:tcPr>
            <w:tcW w:w="1489" w:type="dxa"/>
            <w:shd w:val="clear" w:color="auto" w:fill="FDE9D9" w:themeFill="accent6" w:themeFillTint="33"/>
          </w:tcPr>
          <w:p w14:paraId="01BB073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13.2%</w:t>
            </w:r>
          </w:p>
        </w:tc>
        <w:tc>
          <w:tcPr>
            <w:tcW w:w="1488" w:type="dxa"/>
            <w:shd w:val="clear" w:color="auto" w:fill="FDE9D9" w:themeFill="accent6" w:themeFillTint="33"/>
          </w:tcPr>
          <w:p w14:paraId="01BB073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12%</w:t>
            </w:r>
          </w:p>
        </w:tc>
        <w:tc>
          <w:tcPr>
            <w:tcW w:w="1788" w:type="dxa"/>
            <w:shd w:val="clear" w:color="auto" w:fill="FDE9D9" w:themeFill="accent6" w:themeFillTint="33"/>
          </w:tcPr>
          <w:p w14:paraId="01BB073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FDE9D9" w:themeFill="accent6" w:themeFillTint="33"/>
          </w:tcPr>
          <w:p w14:paraId="01BB0737" w14:textId="77777777" w:rsidR="00392FFB" w:rsidRPr="000E152E" w:rsidRDefault="00392FFB" w:rsidP="00527F17">
            <w:pPr>
              <w:rPr>
                <w:rFonts w:ascii="Garamond" w:hAnsi="Garamond"/>
                <w:sz w:val="16"/>
                <w:szCs w:val="16"/>
              </w:rPr>
            </w:pPr>
            <w:r w:rsidRPr="000E152E">
              <w:rPr>
                <w:rFonts w:ascii="Garamond" w:hAnsi="Garamond"/>
                <w:sz w:val="16"/>
                <w:szCs w:val="16"/>
              </w:rPr>
              <w:t>SKZHIE</w:t>
            </w:r>
          </w:p>
        </w:tc>
      </w:tr>
      <w:tr w:rsidR="00392FFB" w:rsidRPr="000E152E" w14:paraId="01BB0744" w14:textId="77777777" w:rsidTr="00527F17">
        <w:tc>
          <w:tcPr>
            <w:tcW w:w="966" w:type="dxa"/>
            <w:vMerge/>
          </w:tcPr>
          <w:p w14:paraId="01BB0739" w14:textId="77777777" w:rsidR="00392FFB" w:rsidRPr="000E152E" w:rsidRDefault="00392FFB" w:rsidP="00527F17">
            <w:pPr>
              <w:rPr>
                <w:rFonts w:ascii="Garamond" w:hAnsi="Garamond" w:cstheme="minorHAnsi"/>
                <w:sz w:val="16"/>
                <w:szCs w:val="16"/>
              </w:rPr>
            </w:pPr>
          </w:p>
        </w:tc>
        <w:tc>
          <w:tcPr>
            <w:tcW w:w="3004" w:type="dxa"/>
            <w:vMerge/>
          </w:tcPr>
          <w:p w14:paraId="01BB073A" w14:textId="77777777" w:rsidR="00392FFB" w:rsidRPr="000E152E" w:rsidRDefault="00392FFB" w:rsidP="00527F17">
            <w:pPr>
              <w:rPr>
                <w:rFonts w:ascii="Garamond" w:hAnsi="Garamond" w:cstheme="minorHAnsi"/>
                <w:sz w:val="16"/>
                <w:szCs w:val="16"/>
              </w:rPr>
            </w:pPr>
          </w:p>
        </w:tc>
        <w:tc>
          <w:tcPr>
            <w:tcW w:w="3288" w:type="dxa"/>
            <w:shd w:val="clear" w:color="auto" w:fill="FDE9D9" w:themeFill="accent6" w:themeFillTint="33"/>
          </w:tcPr>
          <w:p w14:paraId="01BB073B" w14:textId="77777777" w:rsidR="00392FFB" w:rsidRPr="000E152E" w:rsidRDefault="00392FFB" w:rsidP="00527F17">
            <w:pPr>
              <w:jc w:val="both"/>
              <w:rPr>
                <w:rFonts w:ascii="Garamond" w:hAnsi="Garamond" w:cstheme="minorHAnsi"/>
                <w:sz w:val="16"/>
                <w:szCs w:val="16"/>
              </w:rPr>
            </w:pPr>
            <w:r w:rsidRPr="000E152E">
              <w:rPr>
                <w:rFonts w:ascii="Garamond" w:hAnsi="Garamond" w:cstheme="minorHAnsi"/>
                <w:bCs/>
                <w:sz w:val="16"/>
                <w:szCs w:val="16"/>
              </w:rPr>
              <w:t>Shkalla e papunësisë afatgjatë</w:t>
            </w:r>
            <w:r w:rsidRPr="000E152E">
              <w:rPr>
                <w:rFonts w:ascii="Garamond" w:hAnsi="Garamond" w:cstheme="minorHAnsi"/>
                <w:sz w:val="16"/>
                <w:szCs w:val="16"/>
              </w:rPr>
              <w:t>,</w:t>
            </w:r>
            <w:r w:rsidRPr="000E152E">
              <w:rPr>
                <w:rFonts w:ascii="Garamond" w:hAnsi="Garamond" w:cstheme="minorHAnsi"/>
                <w:bCs/>
                <w:sz w:val="16"/>
                <w:szCs w:val="16"/>
              </w:rPr>
              <w:t xml:space="preserve"> </w:t>
            </w:r>
            <w:r w:rsidRPr="000E152E">
              <w:rPr>
                <w:rFonts w:ascii="Garamond" w:hAnsi="Garamond" w:cstheme="minorHAnsi"/>
                <w:sz w:val="16"/>
                <w:szCs w:val="16"/>
              </w:rPr>
              <w:t>sipas gjinisë</w:t>
            </w:r>
          </w:p>
        </w:tc>
        <w:tc>
          <w:tcPr>
            <w:tcW w:w="1775" w:type="dxa"/>
            <w:shd w:val="clear" w:color="auto" w:fill="FDE9D9" w:themeFill="accent6" w:themeFillTint="33"/>
          </w:tcPr>
          <w:p w14:paraId="01BB073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63% (2021)</w:t>
            </w:r>
          </w:p>
          <w:p w14:paraId="01BB073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65.5% për gra,</w:t>
            </w:r>
          </w:p>
          <w:p w14:paraId="01BB073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60.9% për burra</w:t>
            </w:r>
          </w:p>
        </w:tc>
        <w:tc>
          <w:tcPr>
            <w:tcW w:w="1489" w:type="dxa"/>
            <w:shd w:val="clear" w:color="auto" w:fill="FDE9D9" w:themeFill="accent6" w:themeFillTint="33"/>
          </w:tcPr>
          <w:p w14:paraId="01BB073F" w14:textId="77777777" w:rsidR="00392FFB" w:rsidRPr="000E152E" w:rsidRDefault="00392FFB" w:rsidP="00527F17">
            <w:pPr>
              <w:rPr>
                <w:rFonts w:ascii="Garamond" w:hAnsi="Garamond"/>
                <w:sz w:val="16"/>
                <w:szCs w:val="16"/>
              </w:rPr>
            </w:pPr>
            <w:r w:rsidRPr="000E152E">
              <w:rPr>
                <w:rFonts w:ascii="Garamond" w:hAnsi="Garamond"/>
                <w:sz w:val="16"/>
                <w:szCs w:val="16"/>
              </w:rPr>
              <w:t>60%</w:t>
            </w:r>
          </w:p>
        </w:tc>
        <w:tc>
          <w:tcPr>
            <w:tcW w:w="1488" w:type="dxa"/>
            <w:shd w:val="clear" w:color="auto" w:fill="FDE9D9" w:themeFill="accent6" w:themeFillTint="33"/>
          </w:tcPr>
          <w:p w14:paraId="01BB0740" w14:textId="77777777" w:rsidR="00392FFB" w:rsidRPr="000E152E" w:rsidRDefault="00392FFB" w:rsidP="00527F17">
            <w:pPr>
              <w:rPr>
                <w:rFonts w:ascii="Garamond" w:hAnsi="Garamond"/>
                <w:sz w:val="16"/>
                <w:szCs w:val="16"/>
              </w:rPr>
            </w:pPr>
            <w:r w:rsidRPr="000E152E">
              <w:rPr>
                <w:rFonts w:ascii="Garamond" w:hAnsi="Garamond"/>
                <w:sz w:val="16"/>
                <w:szCs w:val="16"/>
              </w:rPr>
              <w:t>57%</w:t>
            </w:r>
          </w:p>
        </w:tc>
        <w:tc>
          <w:tcPr>
            <w:tcW w:w="1788" w:type="dxa"/>
            <w:shd w:val="clear" w:color="auto" w:fill="FDE9D9" w:themeFill="accent6" w:themeFillTint="33"/>
          </w:tcPr>
          <w:p w14:paraId="01BB074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FDE9D9" w:themeFill="accent6" w:themeFillTint="33"/>
          </w:tcPr>
          <w:p w14:paraId="01BB074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BE JER</w:t>
            </w:r>
          </w:p>
          <w:p w14:paraId="01BB074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Pasaporta e Ind. SKPA 2022</w:t>
            </w:r>
          </w:p>
        </w:tc>
      </w:tr>
      <w:tr w:rsidR="00392FFB" w:rsidRPr="000E152E" w14:paraId="01BB0754" w14:textId="77777777" w:rsidTr="00C772B9">
        <w:trPr>
          <w:trHeight w:val="56"/>
        </w:trPr>
        <w:tc>
          <w:tcPr>
            <w:tcW w:w="966" w:type="dxa"/>
            <w:vMerge w:val="restart"/>
            <w:shd w:val="clear" w:color="auto" w:fill="E5DFEC" w:themeFill="accent4" w:themeFillTint="33"/>
            <w:vAlign w:val="center"/>
          </w:tcPr>
          <w:p w14:paraId="01BB074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u w:val="single"/>
              </w:rPr>
              <w:t>Objektivi specifik/ strategjik</w:t>
            </w:r>
          </w:p>
        </w:tc>
        <w:tc>
          <w:tcPr>
            <w:tcW w:w="3004" w:type="dxa"/>
            <w:vMerge w:val="restart"/>
            <w:shd w:val="clear" w:color="auto" w:fill="E5DFEC" w:themeFill="accent4" w:themeFillTint="33"/>
          </w:tcPr>
          <w:p w14:paraId="01BB0746" w14:textId="77777777" w:rsidR="00392FFB" w:rsidRPr="000E152E" w:rsidRDefault="00392FFB" w:rsidP="00527F17">
            <w:pPr>
              <w:rPr>
                <w:rFonts w:ascii="Garamond" w:hAnsi="Garamond" w:cs="Calibri"/>
                <w:sz w:val="16"/>
                <w:szCs w:val="16"/>
              </w:rPr>
            </w:pPr>
            <w:r w:rsidRPr="000E152E">
              <w:rPr>
                <w:rFonts w:ascii="Garamond" w:hAnsi="Garamond" w:cstheme="minorHAnsi"/>
                <w:sz w:val="16"/>
                <w:szCs w:val="16"/>
              </w:rPr>
              <w:t>2.1: Ndërmjetësimi dhe lëvrimi i programe mbështetëse për punësim efektiv dhe gjithëpërfshirës</w:t>
            </w:r>
          </w:p>
        </w:tc>
        <w:tc>
          <w:tcPr>
            <w:tcW w:w="3288" w:type="dxa"/>
            <w:shd w:val="clear" w:color="auto" w:fill="E5DFEC" w:themeFill="accent4" w:themeFillTint="33"/>
          </w:tcPr>
          <w:p w14:paraId="01BB0749" w14:textId="54EFA996" w:rsidR="00392FFB" w:rsidRPr="000E152E" w:rsidRDefault="00392FFB" w:rsidP="00C772B9">
            <w:pPr>
              <w:jc w:val="both"/>
              <w:rPr>
                <w:rFonts w:ascii="Garamond" w:hAnsi="Garamond"/>
                <w:sz w:val="16"/>
                <w:szCs w:val="16"/>
              </w:rPr>
            </w:pPr>
            <w:r w:rsidRPr="000E152E">
              <w:rPr>
                <w:rFonts w:ascii="Garamond" w:hAnsi="Garamond" w:cstheme="minorHAnsi"/>
                <w:bCs/>
                <w:sz w:val="16"/>
                <w:szCs w:val="16"/>
              </w:rPr>
              <w:t>Të rinjtë as në punësim, as në arsim apo trajnim (norma NEET) (mosha 15-29)</w:t>
            </w:r>
          </w:p>
        </w:tc>
        <w:tc>
          <w:tcPr>
            <w:tcW w:w="1775" w:type="dxa"/>
            <w:shd w:val="clear" w:color="auto" w:fill="E5DFEC" w:themeFill="accent4" w:themeFillTint="33"/>
          </w:tcPr>
          <w:p w14:paraId="01BB074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26.1% (2021)</w:t>
            </w:r>
          </w:p>
          <w:p w14:paraId="01BB074B" w14:textId="77777777" w:rsidR="00392FFB" w:rsidRPr="000E152E" w:rsidRDefault="00392FFB" w:rsidP="00527F17">
            <w:pPr>
              <w:rPr>
                <w:rFonts w:ascii="Garamond" w:hAnsi="Garamond"/>
                <w:sz w:val="16"/>
                <w:szCs w:val="16"/>
              </w:rPr>
            </w:pPr>
          </w:p>
        </w:tc>
        <w:tc>
          <w:tcPr>
            <w:tcW w:w="1489" w:type="dxa"/>
            <w:shd w:val="clear" w:color="auto" w:fill="E5DFEC" w:themeFill="accent4" w:themeFillTint="33"/>
          </w:tcPr>
          <w:p w14:paraId="01BB074C" w14:textId="77777777" w:rsidR="00392FFB" w:rsidRPr="000E152E" w:rsidRDefault="00392FFB" w:rsidP="00527F17">
            <w:pPr>
              <w:rPr>
                <w:rFonts w:ascii="Garamond" w:hAnsi="Garamond"/>
                <w:sz w:val="16"/>
                <w:szCs w:val="16"/>
              </w:rPr>
            </w:pPr>
            <w:r w:rsidRPr="000E152E">
              <w:rPr>
                <w:rFonts w:ascii="Garamond" w:hAnsi="Garamond"/>
                <w:sz w:val="16"/>
                <w:szCs w:val="16"/>
              </w:rPr>
              <w:t>22%</w:t>
            </w:r>
          </w:p>
          <w:p w14:paraId="01BB074D" w14:textId="77777777" w:rsidR="00392FFB" w:rsidRPr="000E152E" w:rsidRDefault="00392FFB" w:rsidP="00527F17">
            <w:pPr>
              <w:rPr>
                <w:rFonts w:ascii="Garamond" w:hAnsi="Garamond"/>
                <w:sz w:val="16"/>
                <w:szCs w:val="16"/>
              </w:rPr>
            </w:pPr>
          </w:p>
        </w:tc>
        <w:tc>
          <w:tcPr>
            <w:tcW w:w="1488" w:type="dxa"/>
            <w:shd w:val="clear" w:color="auto" w:fill="E5DFEC" w:themeFill="accent4" w:themeFillTint="33"/>
          </w:tcPr>
          <w:p w14:paraId="01BB074E"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15%</w:t>
            </w:r>
          </w:p>
          <w:p w14:paraId="01BB074F" w14:textId="77777777" w:rsidR="00392FFB" w:rsidRPr="000E152E" w:rsidRDefault="00392FFB" w:rsidP="00527F17">
            <w:pPr>
              <w:rPr>
                <w:rFonts w:ascii="Garamond" w:hAnsi="Garamond"/>
                <w:sz w:val="16"/>
                <w:szCs w:val="16"/>
              </w:rPr>
            </w:pPr>
          </w:p>
        </w:tc>
        <w:tc>
          <w:tcPr>
            <w:tcW w:w="1788" w:type="dxa"/>
            <w:shd w:val="clear" w:color="auto" w:fill="E5DFEC" w:themeFill="accent4" w:themeFillTint="33"/>
          </w:tcPr>
          <w:p w14:paraId="01BB075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p w14:paraId="01BB0751" w14:textId="77777777" w:rsidR="00392FFB" w:rsidRPr="000E152E" w:rsidRDefault="00392FFB" w:rsidP="00527F17">
            <w:pPr>
              <w:rPr>
                <w:rFonts w:ascii="Garamond" w:hAnsi="Garamond" w:cstheme="minorHAnsi"/>
                <w:sz w:val="16"/>
                <w:szCs w:val="16"/>
              </w:rPr>
            </w:pPr>
          </w:p>
        </w:tc>
        <w:tc>
          <w:tcPr>
            <w:tcW w:w="1795" w:type="dxa"/>
            <w:shd w:val="clear" w:color="auto" w:fill="E5DFEC" w:themeFill="accent4" w:themeFillTint="33"/>
          </w:tcPr>
          <w:p w14:paraId="01BB075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BE JER, SDG 8.6.1</w:t>
            </w:r>
          </w:p>
          <w:p w14:paraId="01BB075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Pas. e Ind. SKPA 2022, PP p</w:t>
            </w:r>
            <w:r w:rsidRPr="000E152E">
              <w:rPr>
                <w:rFonts w:ascii="Garamond" w:hAnsi="Garamond" w:cstheme="minorHAnsi"/>
                <w:bCs/>
                <w:sz w:val="16"/>
                <w:szCs w:val="16"/>
              </w:rPr>
              <w:t xml:space="preserve">ër </w:t>
            </w:r>
            <w:r w:rsidRPr="000E152E">
              <w:rPr>
                <w:rFonts w:ascii="Garamond" w:hAnsi="Garamond" w:cstheme="minorHAnsi"/>
                <w:sz w:val="16"/>
                <w:szCs w:val="16"/>
              </w:rPr>
              <w:t>Dek. e Osnb.</w:t>
            </w:r>
          </w:p>
        </w:tc>
      </w:tr>
      <w:tr w:rsidR="00392FFB" w:rsidRPr="000E152E" w14:paraId="01BB0763" w14:textId="77777777" w:rsidTr="00527F17">
        <w:tc>
          <w:tcPr>
            <w:tcW w:w="966" w:type="dxa"/>
            <w:vMerge/>
            <w:shd w:val="clear" w:color="auto" w:fill="E5DFEC" w:themeFill="accent4" w:themeFillTint="33"/>
            <w:vAlign w:val="center"/>
          </w:tcPr>
          <w:p w14:paraId="01BB0755" w14:textId="77777777" w:rsidR="00392FFB" w:rsidRPr="000E152E" w:rsidRDefault="00392FFB" w:rsidP="00527F17">
            <w:pPr>
              <w:rPr>
                <w:rFonts w:ascii="Garamond" w:hAnsi="Garamond" w:cstheme="minorHAnsi"/>
                <w:sz w:val="16"/>
                <w:szCs w:val="16"/>
                <w:u w:val="single"/>
              </w:rPr>
            </w:pPr>
          </w:p>
        </w:tc>
        <w:tc>
          <w:tcPr>
            <w:tcW w:w="3004" w:type="dxa"/>
            <w:vMerge/>
            <w:shd w:val="clear" w:color="auto" w:fill="E5DFEC" w:themeFill="accent4" w:themeFillTint="33"/>
          </w:tcPr>
          <w:p w14:paraId="01BB0756" w14:textId="77777777" w:rsidR="00392FFB" w:rsidRPr="000E152E" w:rsidRDefault="00392FFB" w:rsidP="00527F17">
            <w:pPr>
              <w:rPr>
                <w:rFonts w:ascii="Garamond" w:hAnsi="Garamond" w:cstheme="minorHAnsi"/>
                <w:sz w:val="16"/>
                <w:szCs w:val="16"/>
              </w:rPr>
            </w:pPr>
          </w:p>
        </w:tc>
        <w:tc>
          <w:tcPr>
            <w:tcW w:w="3288" w:type="dxa"/>
            <w:shd w:val="clear" w:color="auto" w:fill="E5DFEC" w:themeFill="accent4" w:themeFillTint="33"/>
          </w:tcPr>
          <w:p w14:paraId="01BB0757" w14:textId="77777777" w:rsidR="00392FFB" w:rsidRPr="000E152E" w:rsidRDefault="00392FFB" w:rsidP="00527F17">
            <w:pPr>
              <w:jc w:val="both"/>
              <w:rPr>
                <w:rFonts w:ascii="Garamond" w:hAnsi="Garamond" w:cstheme="minorHAnsi"/>
                <w:bCs/>
                <w:sz w:val="16"/>
                <w:szCs w:val="16"/>
              </w:rPr>
            </w:pPr>
            <w:r w:rsidRPr="000E152E">
              <w:rPr>
                <w:rFonts w:ascii="Garamond" w:hAnsi="Garamond" w:cstheme="minorHAnsi"/>
                <w:sz w:val="16"/>
                <w:szCs w:val="16"/>
              </w:rPr>
              <w:t>Shkalla e inaktivitetit, sipas gjinisë</w:t>
            </w:r>
          </w:p>
        </w:tc>
        <w:tc>
          <w:tcPr>
            <w:tcW w:w="1775" w:type="dxa"/>
            <w:shd w:val="clear" w:color="auto" w:fill="E5DFEC" w:themeFill="accent4" w:themeFillTint="33"/>
          </w:tcPr>
          <w:p w14:paraId="01BB075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30.7% (2021)</w:t>
            </w:r>
          </w:p>
          <w:p w14:paraId="01BB075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38.6% për gra,</w:t>
            </w:r>
          </w:p>
          <w:p w14:paraId="01BB075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22.7% për burra</w:t>
            </w:r>
          </w:p>
        </w:tc>
        <w:tc>
          <w:tcPr>
            <w:tcW w:w="1489" w:type="dxa"/>
            <w:shd w:val="clear" w:color="auto" w:fill="E5DFEC" w:themeFill="accent4" w:themeFillTint="33"/>
          </w:tcPr>
          <w:p w14:paraId="01BB075B"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29%</w:t>
            </w:r>
          </w:p>
          <w:p w14:paraId="01BB075C"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36.5%</w:t>
            </w:r>
          </w:p>
          <w:p w14:paraId="01BB075D" w14:textId="77777777" w:rsidR="00392FFB" w:rsidRPr="000E152E" w:rsidRDefault="00392FFB" w:rsidP="00527F17">
            <w:pPr>
              <w:rPr>
                <w:rFonts w:ascii="Garamond" w:hAnsi="Garamond"/>
                <w:sz w:val="16"/>
                <w:szCs w:val="16"/>
              </w:rPr>
            </w:pPr>
            <w:r w:rsidRPr="000E152E">
              <w:rPr>
                <w:rFonts w:ascii="Garamond" w:hAnsi="Garamond"/>
                <w:sz w:val="16"/>
                <w:szCs w:val="16"/>
              </w:rPr>
              <w:t>21.5%</w:t>
            </w:r>
          </w:p>
        </w:tc>
        <w:tc>
          <w:tcPr>
            <w:tcW w:w="1488" w:type="dxa"/>
            <w:shd w:val="clear" w:color="auto" w:fill="E5DFEC" w:themeFill="accent4" w:themeFillTint="33"/>
          </w:tcPr>
          <w:p w14:paraId="01BB075E" w14:textId="77777777" w:rsidR="00392FFB" w:rsidRPr="000E152E" w:rsidRDefault="00392FFB" w:rsidP="00527F17">
            <w:pPr>
              <w:rPr>
                <w:rFonts w:ascii="Garamond" w:hAnsi="Garamond"/>
                <w:sz w:val="16"/>
                <w:szCs w:val="16"/>
              </w:rPr>
            </w:pPr>
            <w:r w:rsidRPr="000E152E">
              <w:rPr>
                <w:rFonts w:ascii="Garamond" w:hAnsi="Garamond"/>
                <w:sz w:val="16"/>
                <w:szCs w:val="16"/>
              </w:rPr>
              <w:t>27.5%</w:t>
            </w:r>
          </w:p>
          <w:p w14:paraId="01BB075F" w14:textId="77777777" w:rsidR="00392FFB" w:rsidRPr="000E152E" w:rsidRDefault="00392FFB" w:rsidP="00527F17">
            <w:pPr>
              <w:rPr>
                <w:rFonts w:ascii="Garamond" w:hAnsi="Garamond"/>
                <w:sz w:val="16"/>
                <w:szCs w:val="16"/>
              </w:rPr>
            </w:pPr>
            <w:r w:rsidRPr="000E152E">
              <w:rPr>
                <w:rFonts w:ascii="Garamond" w:hAnsi="Garamond"/>
                <w:sz w:val="16"/>
                <w:szCs w:val="16"/>
              </w:rPr>
              <w:t>34.5%</w:t>
            </w:r>
          </w:p>
          <w:p w14:paraId="01BB0760"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20.5%</w:t>
            </w:r>
          </w:p>
        </w:tc>
        <w:tc>
          <w:tcPr>
            <w:tcW w:w="1788" w:type="dxa"/>
            <w:shd w:val="clear" w:color="auto" w:fill="E5DFEC" w:themeFill="accent4" w:themeFillTint="33"/>
          </w:tcPr>
          <w:p w14:paraId="01BB076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E5DFEC" w:themeFill="accent4" w:themeFillTint="33"/>
          </w:tcPr>
          <w:p w14:paraId="01BB0762" w14:textId="77777777" w:rsidR="00392FFB" w:rsidRPr="000E152E" w:rsidRDefault="00392FFB" w:rsidP="00527F17">
            <w:pPr>
              <w:rPr>
                <w:rFonts w:ascii="Garamond" w:hAnsi="Garamond" w:cstheme="minorHAnsi"/>
                <w:sz w:val="16"/>
                <w:szCs w:val="16"/>
              </w:rPr>
            </w:pPr>
          </w:p>
        </w:tc>
      </w:tr>
      <w:tr w:rsidR="00392FFB" w:rsidRPr="000E152E" w14:paraId="01BB076C" w14:textId="77777777" w:rsidTr="00527F17">
        <w:tc>
          <w:tcPr>
            <w:tcW w:w="966" w:type="dxa"/>
            <w:vMerge/>
          </w:tcPr>
          <w:p w14:paraId="01BB0764" w14:textId="77777777" w:rsidR="00392FFB" w:rsidRPr="000E152E" w:rsidRDefault="00392FFB" w:rsidP="00527F17">
            <w:pPr>
              <w:rPr>
                <w:rFonts w:ascii="Garamond" w:hAnsi="Garamond" w:cstheme="minorHAnsi"/>
                <w:sz w:val="16"/>
                <w:szCs w:val="16"/>
              </w:rPr>
            </w:pPr>
          </w:p>
        </w:tc>
        <w:tc>
          <w:tcPr>
            <w:tcW w:w="3004" w:type="dxa"/>
            <w:shd w:val="clear" w:color="auto" w:fill="E5DFEC" w:themeFill="accent4" w:themeFillTint="33"/>
          </w:tcPr>
          <w:p w14:paraId="01BB076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2.2: Sigurimi i punës së denjë për të gjithë dhe kudo</w:t>
            </w:r>
          </w:p>
        </w:tc>
        <w:tc>
          <w:tcPr>
            <w:tcW w:w="3288" w:type="dxa"/>
            <w:shd w:val="clear" w:color="auto" w:fill="E5DFEC" w:themeFill="accent4" w:themeFillTint="33"/>
          </w:tcPr>
          <w:p w14:paraId="01BB076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Shkalla e punësimit informal në sektorin jo-bujqësor</w:t>
            </w:r>
          </w:p>
        </w:tc>
        <w:tc>
          <w:tcPr>
            <w:tcW w:w="1775" w:type="dxa"/>
            <w:shd w:val="clear" w:color="auto" w:fill="E5DFEC" w:themeFill="accent4" w:themeFillTint="33"/>
          </w:tcPr>
          <w:p w14:paraId="01BB076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29.4%</w:t>
            </w:r>
          </w:p>
        </w:tc>
        <w:tc>
          <w:tcPr>
            <w:tcW w:w="1489" w:type="dxa"/>
            <w:shd w:val="clear" w:color="auto" w:fill="E5DFEC" w:themeFill="accent4" w:themeFillTint="33"/>
          </w:tcPr>
          <w:p w14:paraId="01BB076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shd w:val="clear" w:color="auto" w:fill="E5DFEC" w:themeFill="accent4" w:themeFillTint="33"/>
          </w:tcPr>
          <w:p w14:paraId="01BB076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shd w:val="clear" w:color="auto" w:fill="E5DFEC" w:themeFill="accent4" w:themeFillTint="33"/>
          </w:tcPr>
          <w:p w14:paraId="01BB076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INSTAT/ Anketa e fuqisë punëtore</w:t>
            </w:r>
          </w:p>
        </w:tc>
        <w:tc>
          <w:tcPr>
            <w:tcW w:w="1795" w:type="dxa"/>
            <w:shd w:val="clear" w:color="auto" w:fill="E5DFEC" w:themeFill="accent4" w:themeFillTint="33"/>
          </w:tcPr>
          <w:p w14:paraId="01BB076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SDG 8.3.1</w:t>
            </w:r>
          </w:p>
        </w:tc>
      </w:tr>
      <w:tr w:rsidR="00392FFB" w:rsidRPr="000E152E" w14:paraId="01BB07A8" w14:textId="77777777" w:rsidTr="00527F17">
        <w:tc>
          <w:tcPr>
            <w:tcW w:w="966" w:type="dxa"/>
            <w:vMerge w:val="restart"/>
            <w:vAlign w:val="center"/>
          </w:tcPr>
          <w:p w14:paraId="01BB076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Masat prioritare</w:t>
            </w:r>
          </w:p>
        </w:tc>
        <w:tc>
          <w:tcPr>
            <w:tcW w:w="3004" w:type="dxa"/>
          </w:tcPr>
          <w:p w14:paraId="01BB076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 xml:space="preserve">2.1.1. Shërbime dhe programe nxitjeje të punësimit dhe aftësimit profesional, nëpërmjet </w:t>
            </w:r>
          </w:p>
          <w:p w14:paraId="01BB076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ekosistemit të tregut të punës</w:t>
            </w:r>
          </w:p>
        </w:tc>
        <w:tc>
          <w:tcPr>
            <w:tcW w:w="3288" w:type="dxa"/>
          </w:tcPr>
          <w:p w14:paraId="01BB077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w:t>
            </w:r>
            <w:r w:rsidRPr="000E152E" w:rsidDel="00632D1D">
              <w:rPr>
                <w:rFonts w:ascii="Garamond" w:hAnsi="Garamond" w:cstheme="minorHAnsi"/>
                <w:sz w:val="16"/>
                <w:szCs w:val="16"/>
              </w:rPr>
              <w:t xml:space="preserve"> </w:t>
            </w:r>
            <w:r w:rsidRPr="000E152E">
              <w:rPr>
                <w:rFonts w:ascii="Garamond" w:hAnsi="Garamond" w:cstheme="minorHAnsi"/>
                <w:sz w:val="16"/>
                <w:szCs w:val="16"/>
              </w:rPr>
              <w:t>e bashkive ku shërbimet për punëkërkuesit e nivelit të tretë ofrohen në partneritet me ofrues publikë, jopublikë dhe private të shërbimeve të punësimit</w:t>
            </w:r>
          </w:p>
          <w:p w14:paraId="01BB0771" w14:textId="77777777" w:rsidR="00392FFB" w:rsidRPr="000E152E" w:rsidRDefault="00392FFB" w:rsidP="00527F17">
            <w:pPr>
              <w:rPr>
                <w:rFonts w:ascii="Garamond" w:hAnsi="Garamond" w:cstheme="minorHAnsi"/>
                <w:sz w:val="16"/>
                <w:szCs w:val="16"/>
              </w:rPr>
            </w:pPr>
          </w:p>
          <w:p w14:paraId="01BB0772" w14:textId="0398BA83"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(ose përqindja e) i pjesëmarrësve n</w:t>
            </w:r>
            <w:r w:rsidR="00DE3FCD">
              <w:rPr>
                <w:rFonts w:ascii="Garamond" w:hAnsi="Garamond" w:cstheme="minorHAnsi"/>
                <w:sz w:val="16"/>
                <w:szCs w:val="16"/>
              </w:rPr>
              <w:t>ë</w:t>
            </w:r>
            <w:r w:rsidRPr="000E152E">
              <w:rPr>
                <w:rFonts w:ascii="Garamond" w:hAnsi="Garamond" w:cstheme="minorHAnsi"/>
                <w:sz w:val="16"/>
                <w:szCs w:val="16"/>
              </w:rPr>
              <w:t xml:space="preserve"> programet e nxitjes së punësimit</w:t>
            </w:r>
            <w:r w:rsidRPr="000E152E">
              <w:rPr>
                <w:rFonts w:ascii="Garamond" w:hAnsi="Garamond" w:cstheme="minorHAnsi"/>
                <w:b/>
                <w:sz w:val="16"/>
                <w:szCs w:val="16"/>
              </w:rPr>
              <w:t xml:space="preserve"> </w:t>
            </w:r>
            <w:r w:rsidRPr="000E152E">
              <w:rPr>
                <w:rFonts w:ascii="Garamond" w:hAnsi="Garamond" w:cstheme="minorHAnsi"/>
                <w:sz w:val="16"/>
                <w:szCs w:val="16"/>
              </w:rPr>
              <w:t>nga grupet e veçanta, të ndara në bazë të kategorive të ndryshme (nga niveli i tretë, përfitues i ndihmës sekonomike, grupet etnike</w:t>
            </w:r>
            <w:r w:rsidR="00DE3FCD">
              <w:rPr>
                <w:rFonts w:ascii="Garamond" w:hAnsi="Garamond" w:cstheme="minorHAnsi"/>
                <w:sz w:val="16"/>
                <w:szCs w:val="16"/>
              </w:rPr>
              <w:t xml:space="preserve"> etj.</w:t>
            </w:r>
            <w:r w:rsidRPr="000E152E">
              <w:rPr>
                <w:rFonts w:ascii="Garamond" w:hAnsi="Garamond" w:cstheme="minorHAnsi"/>
                <w:sz w:val="16"/>
                <w:szCs w:val="16"/>
              </w:rPr>
              <w:t>).</w:t>
            </w:r>
          </w:p>
          <w:p w14:paraId="01BB0773" w14:textId="77777777" w:rsidR="00392FFB" w:rsidRPr="000E152E" w:rsidRDefault="00392FFB" w:rsidP="00527F17">
            <w:pPr>
              <w:rPr>
                <w:rFonts w:ascii="Garamond" w:hAnsi="Garamond" w:cstheme="minorHAnsi"/>
                <w:sz w:val="16"/>
                <w:szCs w:val="16"/>
              </w:rPr>
            </w:pPr>
          </w:p>
          <w:p w14:paraId="01BB0774" w14:textId="77777777" w:rsidR="00392FFB" w:rsidRPr="000E152E" w:rsidRDefault="00392FFB" w:rsidP="00527F17">
            <w:pPr>
              <w:rPr>
                <w:rFonts w:ascii="Garamond" w:hAnsi="Garamond"/>
                <w:sz w:val="16"/>
                <w:szCs w:val="16"/>
              </w:rPr>
            </w:pPr>
            <w:r w:rsidRPr="000E152E">
              <w:rPr>
                <w:rFonts w:ascii="Garamond" w:hAnsi="Garamond"/>
                <w:sz w:val="16"/>
                <w:szCs w:val="16"/>
              </w:rPr>
              <w:t>Përqindja e ndërmjetësimit (për punësim) të realizuara për grupet e cenueshme</w:t>
            </w:r>
          </w:p>
        </w:tc>
        <w:tc>
          <w:tcPr>
            <w:tcW w:w="1775" w:type="dxa"/>
          </w:tcPr>
          <w:p w14:paraId="01BB0775" w14:textId="77777777" w:rsidR="00392FFB" w:rsidRPr="000E152E" w:rsidRDefault="00392FFB" w:rsidP="00527F17">
            <w:pPr>
              <w:spacing w:line="259" w:lineRule="auto"/>
              <w:rPr>
                <w:rFonts w:ascii="Garamond" w:hAnsi="Garamond"/>
                <w:sz w:val="16"/>
                <w:szCs w:val="16"/>
              </w:rPr>
            </w:pPr>
            <w:r w:rsidRPr="000E152E">
              <w:rPr>
                <w:rFonts w:ascii="Garamond" w:hAnsi="Garamond"/>
                <w:sz w:val="16"/>
                <w:szCs w:val="16"/>
              </w:rPr>
              <w:t>0%</w:t>
            </w:r>
          </w:p>
          <w:p w14:paraId="01BB0776" w14:textId="77777777" w:rsidR="00392FFB" w:rsidRPr="000E152E" w:rsidRDefault="00392FFB" w:rsidP="00527F17">
            <w:pPr>
              <w:rPr>
                <w:rFonts w:ascii="Garamond" w:hAnsi="Garamond" w:cstheme="minorHAnsi"/>
                <w:sz w:val="16"/>
                <w:szCs w:val="16"/>
              </w:rPr>
            </w:pPr>
          </w:p>
          <w:p w14:paraId="01BB0777" w14:textId="77777777" w:rsidR="00392FFB" w:rsidRPr="000E152E" w:rsidRDefault="00392FFB" w:rsidP="00527F17">
            <w:pPr>
              <w:rPr>
                <w:rFonts w:ascii="Garamond" w:hAnsi="Garamond" w:cstheme="minorHAnsi"/>
                <w:sz w:val="16"/>
                <w:szCs w:val="16"/>
              </w:rPr>
            </w:pPr>
          </w:p>
          <w:p w14:paraId="01BB0778" w14:textId="77777777" w:rsidR="00392FFB" w:rsidRPr="000E152E" w:rsidRDefault="00392FFB" w:rsidP="00527F17">
            <w:pPr>
              <w:rPr>
                <w:rFonts w:ascii="Garamond" w:hAnsi="Garamond" w:cstheme="minorHAnsi"/>
                <w:sz w:val="16"/>
                <w:szCs w:val="16"/>
              </w:rPr>
            </w:pPr>
          </w:p>
          <w:p w14:paraId="01BB0779" w14:textId="77777777" w:rsidR="00392FFB" w:rsidRPr="000E152E" w:rsidRDefault="00392FFB" w:rsidP="00527F17">
            <w:pPr>
              <w:rPr>
                <w:rFonts w:ascii="Garamond" w:hAnsi="Garamond" w:cstheme="minorHAnsi"/>
                <w:sz w:val="16"/>
                <w:szCs w:val="16"/>
              </w:rPr>
            </w:pPr>
          </w:p>
          <w:p w14:paraId="01BB077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p w14:paraId="01BB077B" w14:textId="77777777" w:rsidR="00392FFB" w:rsidRPr="000E152E" w:rsidRDefault="00392FFB" w:rsidP="00527F17">
            <w:pPr>
              <w:rPr>
                <w:rFonts w:ascii="Garamond" w:hAnsi="Garamond" w:cstheme="minorHAnsi"/>
                <w:sz w:val="16"/>
                <w:szCs w:val="16"/>
              </w:rPr>
            </w:pPr>
          </w:p>
          <w:p w14:paraId="01BB077C" w14:textId="77777777" w:rsidR="00392FFB" w:rsidRPr="000E152E" w:rsidRDefault="00392FFB" w:rsidP="00527F17">
            <w:pPr>
              <w:rPr>
                <w:rFonts w:ascii="Garamond" w:hAnsi="Garamond" w:cstheme="minorHAnsi"/>
                <w:sz w:val="16"/>
                <w:szCs w:val="16"/>
              </w:rPr>
            </w:pPr>
          </w:p>
          <w:p w14:paraId="01BB077D" w14:textId="77777777" w:rsidR="00392FFB" w:rsidRPr="000E152E" w:rsidRDefault="00392FFB" w:rsidP="00527F17">
            <w:pPr>
              <w:rPr>
                <w:rFonts w:ascii="Garamond" w:hAnsi="Garamond" w:cstheme="minorHAnsi"/>
                <w:sz w:val="16"/>
                <w:szCs w:val="16"/>
              </w:rPr>
            </w:pPr>
          </w:p>
          <w:p w14:paraId="01BB077E" w14:textId="77777777" w:rsidR="00392FFB" w:rsidRPr="000E152E" w:rsidRDefault="00392FFB" w:rsidP="00527F17">
            <w:pPr>
              <w:rPr>
                <w:rFonts w:ascii="Garamond" w:hAnsi="Garamond" w:cstheme="minorHAnsi"/>
                <w:sz w:val="16"/>
                <w:szCs w:val="16"/>
              </w:rPr>
            </w:pPr>
          </w:p>
          <w:p w14:paraId="01BB077F" w14:textId="77777777" w:rsidR="00392FFB" w:rsidRPr="000E152E" w:rsidRDefault="00392FFB" w:rsidP="00527F17">
            <w:pPr>
              <w:rPr>
                <w:rFonts w:ascii="Garamond" w:hAnsi="Garamond" w:cstheme="minorHAnsi"/>
                <w:sz w:val="16"/>
                <w:szCs w:val="16"/>
              </w:rPr>
            </w:pPr>
          </w:p>
          <w:p w14:paraId="01BB0780" w14:textId="77777777" w:rsidR="00392FFB" w:rsidRPr="000E152E" w:rsidRDefault="00392FFB" w:rsidP="00527F17">
            <w:pPr>
              <w:rPr>
                <w:rFonts w:ascii="Garamond" w:hAnsi="Garamond" w:cstheme="minorHAnsi"/>
                <w:sz w:val="16"/>
                <w:szCs w:val="16"/>
              </w:rPr>
            </w:pPr>
          </w:p>
          <w:p w14:paraId="01BB0781"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TD 6% (2022)</w:t>
            </w:r>
          </w:p>
        </w:tc>
        <w:tc>
          <w:tcPr>
            <w:tcW w:w="1489" w:type="dxa"/>
          </w:tcPr>
          <w:p w14:paraId="01BB0782" w14:textId="77777777" w:rsidR="00392FFB" w:rsidRPr="000E152E" w:rsidRDefault="00392FFB" w:rsidP="00527F17">
            <w:pPr>
              <w:rPr>
                <w:rFonts w:ascii="Garamond" w:hAnsi="Garamond"/>
                <w:sz w:val="16"/>
                <w:szCs w:val="16"/>
              </w:rPr>
            </w:pPr>
            <w:r w:rsidRPr="000E152E">
              <w:rPr>
                <w:rFonts w:ascii="Garamond" w:hAnsi="Garamond"/>
                <w:sz w:val="16"/>
                <w:szCs w:val="16"/>
              </w:rPr>
              <w:t>10%</w:t>
            </w:r>
          </w:p>
          <w:p w14:paraId="01BB0783" w14:textId="77777777" w:rsidR="00392FFB" w:rsidRPr="000E152E" w:rsidRDefault="00392FFB" w:rsidP="00527F17">
            <w:pPr>
              <w:rPr>
                <w:rFonts w:ascii="Garamond" w:hAnsi="Garamond" w:cstheme="minorHAnsi"/>
                <w:sz w:val="16"/>
                <w:szCs w:val="16"/>
              </w:rPr>
            </w:pPr>
          </w:p>
          <w:p w14:paraId="01BB0784" w14:textId="77777777" w:rsidR="00392FFB" w:rsidRPr="000E152E" w:rsidRDefault="00392FFB" w:rsidP="00527F17">
            <w:pPr>
              <w:rPr>
                <w:rFonts w:ascii="Garamond" w:hAnsi="Garamond" w:cstheme="minorHAnsi"/>
                <w:sz w:val="16"/>
                <w:szCs w:val="16"/>
              </w:rPr>
            </w:pPr>
          </w:p>
          <w:p w14:paraId="01BB0785" w14:textId="77777777" w:rsidR="00392FFB" w:rsidRPr="000E152E" w:rsidRDefault="00392FFB" w:rsidP="00527F17">
            <w:pPr>
              <w:rPr>
                <w:rFonts w:ascii="Garamond" w:hAnsi="Garamond" w:cstheme="minorHAnsi"/>
                <w:sz w:val="16"/>
                <w:szCs w:val="16"/>
              </w:rPr>
            </w:pPr>
          </w:p>
          <w:p w14:paraId="01BB0786" w14:textId="77777777" w:rsidR="00392FFB" w:rsidRPr="000E152E" w:rsidRDefault="00392FFB" w:rsidP="00527F17">
            <w:pPr>
              <w:rPr>
                <w:rFonts w:ascii="Garamond" w:hAnsi="Garamond" w:cstheme="minorHAnsi"/>
                <w:sz w:val="16"/>
                <w:szCs w:val="16"/>
              </w:rPr>
            </w:pPr>
          </w:p>
          <w:p w14:paraId="01BB078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p w14:paraId="01BB0788" w14:textId="77777777" w:rsidR="00392FFB" w:rsidRPr="000E152E" w:rsidRDefault="00392FFB" w:rsidP="00527F17">
            <w:pPr>
              <w:rPr>
                <w:rFonts w:ascii="Garamond" w:hAnsi="Garamond" w:cstheme="minorHAnsi"/>
                <w:sz w:val="16"/>
                <w:szCs w:val="16"/>
              </w:rPr>
            </w:pPr>
          </w:p>
          <w:p w14:paraId="01BB0789" w14:textId="77777777" w:rsidR="00392FFB" w:rsidRPr="000E152E" w:rsidRDefault="00392FFB" w:rsidP="00527F17">
            <w:pPr>
              <w:rPr>
                <w:rFonts w:ascii="Garamond" w:hAnsi="Garamond" w:cstheme="minorHAnsi"/>
                <w:sz w:val="16"/>
                <w:szCs w:val="16"/>
              </w:rPr>
            </w:pPr>
          </w:p>
          <w:p w14:paraId="01BB078A" w14:textId="77777777" w:rsidR="00392FFB" w:rsidRPr="000E152E" w:rsidRDefault="00392FFB" w:rsidP="00527F17">
            <w:pPr>
              <w:rPr>
                <w:rFonts w:ascii="Garamond" w:hAnsi="Garamond" w:cstheme="minorHAnsi"/>
                <w:sz w:val="16"/>
                <w:szCs w:val="16"/>
              </w:rPr>
            </w:pPr>
          </w:p>
          <w:p w14:paraId="01BB078B" w14:textId="77777777" w:rsidR="00392FFB" w:rsidRPr="000E152E" w:rsidRDefault="00392FFB" w:rsidP="00527F17">
            <w:pPr>
              <w:rPr>
                <w:rFonts w:ascii="Garamond" w:hAnsi="Garamond" w:cstheme="minorHAnsi"/>
                <w:sz w:val="16"/>
                <w:szCs w:val="16"/>
              </w:rPr>
            </w:pPr>
          </w:p>
          <w:p w14:paraId="01BB078C" w14:textId="77777777" w:rsidR="00392FFB" w:rsidRPr="000E152E" w:rsidRDefault="00392FFB" w:rsidP="00527F17">
            <w:pPr>
              <w:rPr>
                <w:rFonts w:ascii="Garamond" w:hAnsi="Garamond" w:cstheme="minorHAnsi"/>
                <w:sz w:val="16"/>
                <w:szCs w:val="16"/>
              </w:rPr>
            </w:pPr>
          </w:p>
          <w:p w14:paraId="01BB078D" w14:textId="77777777" w:rsidR="00392FFB" w:rsidRPr="000E152E" w:rsidRDefault="00392FFB" w:rsidP="00527F17">
            <w:pPr>
              <w:rPr>
                <w:rFonts w:ascii="Garamond" w:hAnsi="Garamond" w:cstheme="minorHAnsi"/>
                <w:sz w:val="16"/>
                <w:szCs w:val="16"/>
              </w:rPr>
            </w:pPr>
          </w:p>
          <w:p w14:paraId="01BB078E"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TD 12%</w:t>
            </w:r>
          </w:p>
        </w:tc>
        <w:tc>
          <w:tcPr>
            <w:tcW w:w="1488" w:type="dxa"/>
          </w:tcPr>
          <w:p w14:paraId="01BB078F" w14:textId="77777777" w:rsidR="00392FFB" w:rsidRPr="000E152E" w:rsidRDefault="00392FFB" w:rsidP="00527F17">
            <w:pPr>
              <w:rPr>
                <w:rFonts w:ascii="Garamond" w:hAnsi="Garamond"/>
                <w:sz w:val="16"/>
                <w:szCs w:val="16"/>
              </w:rPr>
            </w:pPr>
            <w:r w:rsidRPr="000E152E">
              <w:rPr>
                <w:rFonts w:ascii="Garamond" w:hAnsi="Garamond"/>
                <w:sz w:val="16"/>
                <w:szCs w:val="16"/>
              </w:rPr>
              <w:t>90%</w:t>
            </w:r>
          </w:p>
          <w:p w14:paraId="01BB0790" w14:textId="77777777" w:rsidR="00392FFB" w:rsidRPr="000E152E" w:rsidRDefault="00392FFB" w:rsidP="00527F17">
            <w:pPr>
              <w:rPr>
                <w:rFonts w:ascii="Garamond" w:hAnsi="Garamond"/>
                <w:sz w:val="16"/>
                <w:szCs w:val="16"/>
              </w:rPr>
            </w:pPr>
          </w:p>
          <w:p w14:paraId="01BB0791" w14:textId="77777777" w:rsidR="00392FFB" w:rsidRPr="000E152E" w:rsidRDefault="00392FFB" w:rsidP="00527F17">
            <w:pPr>
              <w:rPr>
                <w:rFonts w:ascii="Garamond" w:hAnsi="Garamond" w:cstheme="minorHAnsi"/>
                <w:sz w:val="16"/>
                <w:szCs w:val="16"/>
              </w:rPr>
            </w:pPr>
          </w:p>
          <w:p w14:paraId="01BB0792" w14:textId="77777777" w:rsidR="00392FFB" w:rsidRPr="000E152E" w:rsidRDefault="00392FFB" w:rsidP="00527F17">
            <w:pPr>
              <w:rPr>
                <w:rFonts w:ascii="Garamond" w:hAnsi="Garamond" w:cstheme="minorHAnsi"/>
                <w:sz w:val="16"/>
                <w:szCs w:val="16"/>
              </w:rPr>
            </w:pPr>
          </w:p>
          <w:p w14:paraId="01BB0793" w14:textId="77777777" w:rsidR="00392FFB" w:rsidRPr="000E152E" w:rsidRDefault="00392FFB" w:rsidP="00527F17">
            <w:pPr>
              <w:rPr>
                <w:rFonts w:ascii="Garamond" w:hAnsi="Garamond" w:cstheme="minorHAnsi"/>
                <w:sz w:val="16"/>
                <w:szCs w:val="16"/>
              </w:rPr>
            </w:pPr>
          </w:p>
          <w:p w14:paraId="01BB079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p w14:paraId="01BB0795" w14:textId="77777777" w:rsidR="00392FFB" w:rsidRPr="000E152E" w:rsidRDefault="00392FFB" w:rsidP="00527F17">
            <w:pPr>
              <w:rPr>
                <w:rFonts w:ascii="Garamond" w:hAnsi="Garamond" w:cstheme="minorHAnsi"/>
                <w:sz w:val="16"/>
                <w:szCs w:val="16"/>
              </w:rPr>
            </w:pPr>
          </w:p>
          <w:p w14:paraId="01BB0796" w14:textId="77777777" w:rsidR="00392FFB" w:rsidRPr="000E152E" w:rsidRDefault="00392FFB" w:rsidP="00527F17">
            <w:pPr>
              <w:rPr>
                <w:rFonts w:ascii="Garamond" w:hAnsi="Garamond" w:cstheme="minorHAnsi"/>
                <w:sz w:val="16"/>
                <w:szCs w:val="16"/>
              </w:rPr>
            </w:pPr>
          </w:p>
          <w:p w14:paraId="01BB0797" w14:textId="77777777" w:rsidR="00392FFB" w:rsidRPr="000E152E" w:rsidRDefault="00392FFB" w:rsidP="00527F17">
            <w:pPr>
              <w:rPr>
                <w:rFonts w:ascii="Garamond" w:hAnsi="Garamond" w:cstheme="minorHAnsi"/>
                <w:sz w:val="16"/>
                <w:szCs w:val="16"/>
              </w:rPr>
            </w:pPr>
          </w:p>
          <w:p w14:paraId="01BB0798" w14:textId="77777777" w:rsidR="00392FFB" w:rsidRPr="000E152E" w:rsidRDefault="00392FFB" w:rsidP="00527F17">
            <w:pPr>
              <w:rPr>
                <w:rFonts w:ascii="Garamond" w:hAnsi="Garamond" w:cstheme="minorHAnsi"/>
                <w:sz w:val="16"/>
                <w:szCs w:val="16"/>
              </w:rPr>
            </w:pPr>
          </w:p>
          <w:p w14:paraId="01BB0799" w14:textId="77777777" w:rsidR="00392FFB" w:rsidRPr="000E152E" w:rsidRDefault="00392FFB" w:rsidP="00527F17">
            <w:pPr>
              <w:rPr>
                <w:rFonts w:ascii="Garamond" w:hAnsi="Garamond" w:cstheme="minorHAnsi"/>
                <w:sz w:val="16"/>
                <w:szCs w:val="16"/>
              </w:rPr>
            </w:pPr>
          </w:p>
          <w:p w14:paraId="01BB079A" w14:textId="77777777" w:rsidR="00392FFB" w:rsidRPr="000E152E" w:rsidRDefault="00392FFB" w:rsidP="00527F17">
            <w:pPr>
              <w:rPr>
                <w:rFonts w:ascii="Garamond" w:hAnsi="Garamond" w:cstheme="minorHAnsi"/>
                <w:sz w:val="16"/>
                <w:szCs w:val="16"/>
              </w:rPr>
            </w:pPr>
          </w:p>
          <w:p w14:paraId="01BB079B"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TD 20%</w:t>
            </w:r>
          </w:p>
        </w:tc>
        <w:tc>
          <w:tcPr>
            <w:tcW w:w="1788" w:type="dxa"/>
          </w:tcPr>
          <w:p w14:paraId="01BB079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p w14:paraId="01BB079D" w14:textId="77777777" w:rsidR="00392FFB" w:rsidRPr="000E152E" w:rsidRDefault="00392FFB" w:rsidP="00527F17">
            <w:pPr>
              <w:rPr>
                <w:rFonts w:ascii="Garamond" w:hAnsi="Garamond" w:cstheme="minorHAnsi"/>
                <w:sz w:val="16"/>
                <w:szCs w:val="16"/>
              </w:rPr>
            </w:pPr>
          </w:p>
          <w:p w14:paraId="01BB079E" w14:textId="77777777" w:rsidR="00392FFB" w:rsidRPr="000E152E" w:rsidRDefault="00392FFB" w:rsidP="00527F17">
            <w:pPr>
              <w:rPr>
                <w:rFonts w:ascii="Garamond" w:hAnsi="Garamond" w:cstheme="minorHAnsi"/>
                <w:sz w:val="16"/>
                <w:szCs w:val="16"/>
              </w:rPr>
            </w:pPr>
          </w:p>
          <w:p w14:paraId="01BB079F" w14:textId="77777777" w:rsidR="00392FFB" w:rsidRPr="000E152E" w:rsidRDefault="00392FFB" w:rsidP="00527F17">
            <w:pPr>
              <w:rPr>
                <w:rFonts w:ascii="Garamond" w:hAnsi="Garamond" w:cstheme="minorHAnsi"/>
                <w:sz w:val="16"/>
                <w:szCs w:val="16"/>
              </w:rPr>
            </w:pPr>
          </w:p>
          <w:p w14:paraId="01BB07A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A1" w14:textId="77777777" w:rsidR="00392FFB" w:rsidRPr="000E152E" w:rsidRDefault="00392FFB" w:rsidP="00527F17">
            <w:pPr>
              <w:rPr>
                <w:rFonts w:ascii="Garamond" w:hAnsi="Garamond" w:cstheme="minorHAnsi"/>
                <w:sz w:val="16"/>
                <w:szCs w:val="16"/>
              </w:rPr>
            </w:pPr>
          </w:p>
          <w:p w14:paraId="01BB07A2" w14:textId="77777777" w:rsidR="00392FFB" w:rsidRPr="000E152E" w:rsidRDefault="00392FFB" w:rsidP="00527F17">
            <w:pPr>
              <w:rPr>
                <w:rFonts w:ascii="Garamond" w:hAnsi="Garamond" w:cstheme="minorHAnsi"/>
                <w:sz w:val="16"/>
                <w:szCs w:val="16"/>
              </w:rPr>
            </w:pPr>
          </w:p>
          <w:p w14:paraId="01BB07A3" w14:textId="77777777" w:rsidR="00392FFB" w:rsidRPr="000E152E" w:rsidRDefault="00392FFB" w:rsidP="00527F17">
            <w:pPr>
              <w:rPr>
                <w:rFonts w:ascii="Garamond" w:hAnsi="Garamond" w:cstheme="minorHAnsi"/>
                <w:sz w:val="16"/>
                <w:szCs w:val="16"/>
              </w:rPr>
            </w:pPr>
          </w:p>
          <w:p w14:paraId="01BB07A4" w14:textId="77777777" w:rsidR="00392FFB" w:rsidRPr="000E152E" w:rsidRDefault="00392FFB" w:rsidP="00527F17">
            <w:pPr>
              <w:rPr>
                <w:rFonts w:ascii="Garamond" w:hAnsi="Garamond" w:cstheme="minorHAnsi"/>
                <w:sz w:val="16"/>
                <w:szCs w:val="16"/>
              </w:rPr>
            </w:pPr>
          </w:p>
          <w:p w14:paraId="01BB07A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Pasaporta e Ind. SKPA 2022</w:t>
            </w:r>
          </w:p>
          <w:p w14:paraId="01BB07A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IPA II</w:t>
            </w:r>
          </w:p>
          <w:p w14:paraId="01BB07A7" w14:textId="77777777" w:rsidR="00392FFB" w:rsidRPr="000E152E" w:rsidRDefault="00392FFB" w:rsidP="00527F17">
            <w:pPr>
              <w:rPr>
                <w:rFonts w:ascii="Garamond" w:hAnsi="Garamond" w:cstheme="minorHAnsi"/>
                <w:sz w:val="16"/>
                <w:szCs w:val="16"/>
              </w:rPr>
            </w:pPr>
          </w:p>
        </w:tc>
      </w:tr>
      <w:tr w:rsidR="00392FFB" w:rsidRPr="000E152E" w14:paraId="01BB07B1" w14:textId="77777777" w:rsidTr="00527F17">
        <w:tc>
          <w:tcPr>
            <w:tcW w:w="966" w:type="dxa"/>
            <w:vMerge/>
          </w:tcPr>
          <w:p w14:paraId="01BB07A9" w14:textId="77777777" w:rsidR="00392FFB" w:rsidRPr="000E152E" w:rsidRDefault="00392FFB" w:rsidP="00527F17">
            <w:pPr>
              <w:rPr>
                <w:rFonts w:ascii="Garamond" w:hAnsi="Garamond" w:cstheme="minorHAnsi"/>
                <w:sz w:val="16"/>
                <w:szCs w:val="16"/>
              </w:rPr>
            </w:pPr>
          </w:p>
        </w:tc>
        <w:tc>
          <w:tcPr>
            <w:tcW w:w="3004" w:type="dxa"/>
          </w:tcPr>
          <w:p w14:paraId="01BB07A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2.1. 2. Tranzicion i mbështetur dhe gjithëpërfshirës nga shkolla në punë për të rinjtë (NEET) nëpërmjet zbatimit të skemës së Garancisë Rinore</w:t>
            </w:r>
          </w:p>
        </w:tc>
        <w:tc>
          <w:tcPr>
            <w:tcW w:w="3288" w:type="dxa"/>
          </w:tcPr>
          <w:p w14:paraId="01BB07A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të rinjve të moshës 15 – 29 vjeç të mbështetur përmes skemës së garancisë rinore, sipas gjinisë</w:t>
            </w:r>
          </w:p>
        </w:tc>
        <w:tc>
          <w:tcPr>
            <w:tcW w:w="1775" w:type="dxa"/>
          </w:tcPr>
          <w:p w14:paraId="01BB07A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7A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7A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7A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B0" w14:textId="77777777" w:rsidR="00392FFB" w:rsidRPr="000E152E" w:rsidRDefault="00392FFB" w:rsidP="00527F17">
            <w:pPr>
              <w:rPr>
                <w:rFonts w:ascii="Garamond" w:hAnsi="Garamond" w:cstheme="minorHAnsi"/>
                <w:sz w:val="16"/>
                <w:szCs w:val="16"/>
              </w:rPr>
            </w:pPr>
          </w:p>
        </w:tc>
      </w:tr>
      <w:tr w:rsidR="00392FFB" w:rsidRPr="000E152E" w14:paraId="01BB07BB" w14:textId="77777777" w:rsidTr="00527F17">
        <w:tc>
          <w:tcPr>
            <w:tcW w:w="966" w:type="dxa"/>
            <w:vMerge/>
          </w:tcPr>
          <w:p w14:paraId="01BB07B2" w14:textId="77777777" w:rsidR="00392FFB" w:rsidRPr="000E152E" w:rsidRDefault="00392FFB" w:rsidP="00527F17">
            <w:pPr>
              <w:rPr>
                <w:rFonts w:ascii="Garamond" w:hAnsi="Garamond" w:cstheme="minorHAnsi"/>
                <w:sz w:val="16"/>
                <w:szCs w:val="16"/>
              </w:rPr>
            </w:pPr>
          </w:p>
        </w:tc>
        <w:tc>
          <w:tcPr>
            <w:tcW w:w="3004" w:type="dxa"/>
          </w:tcPr>
          <w:p w14:paraId="01BB07B3" w14:textId="2E04C14B"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2.1.3. Rritja e përfshirjes së grave në tregun e punës</w:t>
            </w:r>
            <w:r w:rsidR="000E152E" w:rsidRPr="000E152E">
              <w:rPr>
                <w:rFonts w:ascii="Garamond" w:hAnsi="Garamond" w:cstheme="minorHAnsi"/>
                <w:sz w:val="16"/>
                <w:szCs w:val="16"/>
              </w:rPr>
              <w:t xml:space="preserve"> </w:t>
            </w:r>
          </w:p>
        </w:tc>
        <w:tc>
          <w:tcPr>
            <w:tcW w:w="3288" w:type="dxa"/>
          </w:tcPr>
          <w:p w14:paraId="01BB07B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(ose %) i grave përfituese nga skemat të ndryshme të nxitjes së punësimit (ose nga ekosistemi i AKPA-së)</w:t>
            </w:r>
          </w:p>
          <w:p w14:paraId="01BB07B5" w14:textId="77777777" w:rsidR="00392FFB" w:rsidRPr="000E152E" w:rsidRDefault="00392FFB" w:rsidP="00527F17">
            <w:pPr>
              <w:rPr>
                <w:rFonts w:ascii="Garamond" w:hAnsi="Garamond" w:cstheme="minorHAnsi"/>
                <w:sz w:val="16"/>
                <w:szCs w:val="16"/>
              </w:rPr>
            </w:pPr>
            <w:r w:rsidRPr="000E152E">
              <w:rPr>
                <w:rFonts w:ascii="Garamond" w:hAnsi="Garamond"/>
                <w:sz w:val="16"/>
                <w:szCs w:val="16"/>
              </w:rPr>
              <w:t>Numri (ose përqindja) i grave përfituese nga ndërmjetësimi (për punësim)</w:t>
            </w:r>
          </w:p>
        </w:tc>
        <w:tc>
          <w:tcPr>
            <w:tcW w:w="1775" w:type="dxa"/>
          </w:tcPr>
          <w:p w14:paraId="01BB07B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7B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7B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7B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BA" w14:textId="77777777" w:rsidR="00392FFB" w:rsidRPr="000E152E" w:rsidRDefault="00392FFB" w:rsidP="00527F17">
            <w:pPr>
              <w:rPr>
                <w:rFonts w:ascii="Garamond" w:hAnsi="Garamond" w:cstheme="minorHAnsi"/>
                <w:sz w:val="16"/>
                <w:szCs w:val="16"/>
              </w:rPr>
            </w:pPr>
          </w:p>
        </w:tc>
      </w:tr>
      <w:tr w:rsidR="00392FFB" w:rsidRPr="000E152E" w14:paraId="01BB07C4" w14:textId="77777777" w:rsidTr="00527F17">
        <w:tc>
          <w:tcPr>
            <w:tcW w:w="966" w:type="dxa"/>
            <w:vMerge/>
          </w:tcPr>
          <w:p w14:paraId="01BB07BC" w14:textId="77777777" w:rsidR="00392FFB" w:rsidRPr="000E152E" w:rsidRDefault="00392FFB" w:rsidP="00527F17">
            <w:pPr>
              <w:rPr>
                <w:rFonts w:ascii="Garamond" w:hAnsi="Garamond" w:cstheme="minorHAnsi"/>
                <w:sz w:val="16"/>
                <w:szCs w:val="16"/>
              </w:rPr>
            </w:pPr>
          </w:p>
        </w:tc>
        <w:tc>
          <w:tcPr>
            <w:tcW w:w="3004" w:type="dxa"/>
          </w:tcPr>
          <w:p w14:paraId="01BB07B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2.1.4 Integrimi në rritje i personave me aftësi të kufizuara në sistemin e zhvillimit të aftësive dhe në tregun e punës</w:t>
            </w:r>
          </w:p>
        </w:tc>
        <w:tc>
          <w:tcPr>
            <w:tcW w:w="3288" w:type="dxa"/>
          </w:tcPr>
          <w:p w14:paraId="01BB07BE"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personave me aftësi të kufizuar të mbështetur nëpërmjet shërbimeve të punësimit, arsimit, formimit profesional dhe programeve të nxitjes së punësimit</w:t>
            </w:r>
          </w:p>
        </w:tc>
        <w:tc>
          <w:tcPr>
            <w:tcW w:w="1775" w:type="dxa"/>
          </w:tcPr>
          <w:p w14:paraId="01BB07BF"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9" w:type="dxa"/>
          </w:tcPr>
          <w:p w14:paraId="01BB07C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7C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7C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AKPA/të dhënat administrative</w:t>
            </w:r>
          </w:p>
        </w:tc>
        <w:tc>
          <w:tcPr>
            <w:tcW w:w="1795" w:type="dxa"/>
          </w:tcPr>
          <w:p w14:paraId="01BB07C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SKZHIE</w:t>
            </w:r>
          </w:p>
        </w:tc>
      </w:tr>
      <w:tr w:rsidR="00392FFB" w:rsidRPr="000E152E" w14:paraId="01BB07CD" w14:textId="77777777" w:rsidTr="00527F17">
        <w:tc>
          <w:tcPr>
            <w:tcW w:w="966" w:type="dxa"/>
            <w:vMerge/>
          </w:tcPr>
          <w:p w14:paraId="01BB07C5" w14:textId="77777777" w:rsidR="00392FFB" w:rsidRPr="000E152E" w:rsidRDefault="00392FFB" w:rsidP="00527F17">
            <w:pPr>
              <w:rPr>
                <w:rFonts w:ascii="Garamond" w:hAnsi="Garamond" w:cstheme="minorHAnsi"/>
                <w:sz w:val="16"/>
                <w:szCs w:val="16"/>
              </w:rPr>
            </w:pPr>
          </w:p>
        </w:tc>
        <w:tc>
          <w:tcPr>
            <w:tcW w:w="3004" w:type="dxa"/>
            <w:vMerge w:val="restart"/>
          </w:tcPr>
          <w:p w14:paraId="01BB07C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2.2.1. Fuqizimi dhe përmirësimi i efikasitetit të inspektimit në punë në të gjithë territorin e vendit</w:t>
            </w:r>
          </w:p>
        </w:tc>
        <w:tc>
          <w:tcPr>
            <w:tcW w:w="3288" w:type="dxa"/>
          </w:tcPr>
          <w:p w14:paraId="01BB07C7"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 xml:space="preserve">Përqindja e subjekteve të inspektuara mbi bazë listash verifikimi të dedikuara </w:t>
            </w:r>
          </w:p>
        </w:tc>
        <w:tc>
          <w:tcPr>
            <w:tcW w:w="1775" w:type="dxa"/>
          </w:tcPr>
          <w:p w14:paraId="01BB07C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18%</w:t>
            </w:r>
          </w:p>
        </w:tc>
        <w:tc>
          <w:tcPr>
            <w:tcW w:w="1489" w:type="dxa"/>
          </w:tcPr>
          <w:p w14:paraId="01BB07C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50%</w:t>
            </w:r>
          </w:p>
        </w:tc>
        <w:tc>
          <w:tcPr>
            <w:tcW w:w="1488" w:type="dxa"/>
          </w:tcPr>
          <w:p w14:paraId="01BB07C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70%</w:t>
            </w:r>
          </w:p>
        </w:tc>
        <w:tc>
          <w:tcPr>
            <w:tcW w:w="1788" w:type="dxa"/>
          </w:tcPr>
          <w:p w14:paraId="01BB07C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ISHPSHSH/ të dhënat administrative</w:t>
            </w:r>
          </w:p>
        </w:tc>
        <w:tc>
          <w:tcPr>
            <w:tcW w:w="1795" w:type="dxa"/>
          </w:tcPr>
          <w:p w14:paraId="01BB07CC" w14:textId="77777777" w:rsidR="00392FFB" w:rsidRPr="000E152E" w:rsidRDefault="00392FFB" w:rsidP="00527F17">
            <w:pPr>
              <w:rPr>
                <w:rFonts w:ascii="Garamond" w:hAnsi="Garamond" w:cstheme="minorHAnsi"/>
                <w:sz w:val="16"/>
                <w:szCs w:val="16"/>
              </w:rPr>
            </w:pPr>
          </w:p>
        </w:tc>
      </w:tr>
      <w:tr w:rsidR="00392FFB" w:rsidRPr="000E152E" w14:paraId="01BB07D6" w14:textId="77777777" w:rsidTr="00527F17">
        <w:tc>
          <w:tcPr>
            <w:tcW w:w="966" w:type="dxa"/>
            <w:vMerge/>
          </w:tcPr>
          <w:p w14:paraId="01BB07CE" w14:textId="77777777" w:rsidR="00392FFB" w:rsidRPr="000E152E" w:rsidRDefault="00392FFB" w:rsidP="00527F17">
            <w:pPr>
              <w:rPr>
                <w:rFonts w:ascii="Garamond" w:hAnsi="Garamond" w:cstheme="minorHAnsi"/>
                <w:sz w:val="16"/>
                <w:szCs w:val="16"/>
              </w:rPr>
            </w:pPr>
          </w:p>
        </w:tc>
        <w:tc>
          <w:tcPr>
            <w:tcW w:w="3004" w:type="dxa"/>
            <w:vMerge/>
          </w:tcPr>
          <w:p w14:paraId="01BB07CF" w14:textId="77777777" w:rsidR="00392FFB" w:rsidRPr="000E152E" w:rsidRDefault="00392FFB" w:rsidP="00527F17">
            <w:pPr>
              <w:rPr>
                <w:rFonts w:ascii="Garamond" w:hAnsi="Garamond" w:cstheme="minorHAnsi"/>
                <w:sz w:val="16"/>
                <w:szCs w:val="16"/>
              </w:rPr>
            </w:pPr>
          </w:p>
        </w:tc>
        <w:tc>
          <w:tcPr>
            <w:tcW w:w="3288" w:type="dxa"/>
          </w:tcPr>
          <w:p w14:paraId="01BB07D0"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Përqindja e subjekteve që inspektohen për herë të parë mbi bazë risku</w:t>
            </w:r>
          </w:p>
        </w:tc>
        <w:tc>
          <w:tcPr>
            <w:tcW w:w="1775" w:type="dxa"/>
          </w:tcPr>
          <w:p w14:paraId="01BB07D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20%</w:t>
            </w:r>
          </w:p>
        </w:tc>
        <w:tc>
          <w:tcPr>
            <w:tcW w:w="1489" w:type="dxa"/>
          </w:tcPr>
          <w:p w14:paraId="01BB07D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25%</w:t>
            </w:r>
          </w:p>
        </w:tc>
        <w:tc>
          <w:tcPr>
            <w:tcW w:w="1488" w:type="dxa"/>
          </w:tcPr>
          <w:p w14:paraId="01BB07D3"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30%</w:t>
            </w:r>
          </w:p>
        </w:tc>
        <w:tc>
          <w:tcPr>
            <w:tcW w:w="1788" w:type="dxa"/>
          </w:tcPr>
          <w:p w14:paraId="01BB07D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ISHPSHSH/ të dhënat administrative</w:t>
            </w:r>
          </w:p>
        </w:tc>
        <w:tc>
          <w:tcPr>
            <w:tcW w:w="1795" w:type="dxa"/>
          </w:tcPr>
          <w:p w14:paraId="01BB07D5" w14:textId="77777777" w:rsidR="00392FFB" w:rsidRPr="000E152E" w:rsidRDefault="00392FFB" w:rsidP="00527F17">
            <w:pPr>
              <w:rPr>
                <w:rFonts w:ascii="Garamond" w:hAnsi="Garamond" w:cstheme="minorHAnsi"/>
                <w:sz w:val="16"/>
                <w:szCs w:val="16"/>
              </w:rPr>
            </w:pPr>
          </w:p>
        </w:tc>
      </w:tr>
      <w:tr w:rsidR="00392FFB" w:rsidRPr="000E152E" w14:paraId="01BB07DF" w14:textId="77777777" w:rsidTr="00527F17">
        <w:tc>
          <w:tcPr>
            <w:tcW w:w="966" w:type="dxa"/>
            <w:vMerge/>
          </w:tcPr>
          <w:p w14:paraId="01BB07D7" w14:textId="77777777" w:rsidR="00392FFB" w:rsidRPr="000E152E" w:rsidRDefault="00392FFB" w:rsidP="00527F17">
            <w:pPr>
              <w:rPr>
                <w:rFonts w:ascii="Garamond" w:hAnsi="Garamond" w:cstheme="minorHAnsi"/>
                <w:sz w:val="16"/>
                <w:szCs w:val="16"/>
              </w:rPr>
            </w:pPr>
          </w:p>
        </w:tc>
        <w:tc>
          <w:tcPr>
            <w:tcW w:w="3004" w:type="dxa"/>
          </w:tcPr>
          <w:p w14:paraId="01BB07D8"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2.2.2. Promovimi i dialogut social në tregun e punës</w:t>
            </w:r>
          </w:p>
        </w:tc>
        <w:tc>
          <w:tcPr>
            <w:tcW w:w="3288" w:type="dxa"/>
          </w:tcPr>
          <w:p w14:paraId="01BB07D9"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qarqeve, në të cilat funksionojnë komisionet lokale të dialogut social</w:t>
            </w:r>
          </w:p>
        </w:tc>
        <w:tc>
          <w:tcPr>
            <w:tcW w:w="1775" w:type="dxa"/>
          </w:tcPr>
          <w:p w14:paraId="01BB07DA"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0</w:t>
            </w:r>
          </w:p>
        </w:tc>
        <w:tc>
          <w:tcPr>
            <w:tcW w:w="1489" w:type="dxa"/>
          </w:tcPr>
          <w:p w14:paraId="01BB07DB"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8</w:t>
            </w:r>
          </w:p>
        </w:tc>
        <w:tc>
          <w:tcPr>
            <w:tcW w:w="1488" w:type="dxa"/>
          </w:tcPr>
          <w:p w14:paraId="01BB07DC"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12</w:t>
            </w:r>
          </w:p>
        </w:tc>
        <w:tc>
          <w:tcPr>
            <w:tcW w:w="1788" w:type="dxa"/>
          </w:tcPr>
          <w:p w14:paraId="01BB07DD"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MFE</w:t>
            </w:r>
          </w:p>
        </w:tc>
        <w:tc>
          <w:tcPr>
            <w:tcW w:w="1795" w:type="dxa"/>
          </w:tcPr>
          <w:p w14:paraId="01BB07DE" w14:textId="77777777" w:rsidR="00392FFB" w:rsidRPr="000E152E" w:rsidRDefault="00392FFB" w:rsidP="00527F17">
            <w:pPr>
              <w:rPr>
                <w:rFonts w:ascii="Garamond" w:hAnsi="Garamond" w:cstheme="minorHAnsi"/>
                <w:sz w:val="16"/>
                <w:szCs w:val="16"/>
              </w:rPr>
            </w:pPr>
          </w:p>
        </w:tc>
      </w:tr>
      <w:tr w:rsidR="00392FFB" w:rsidRPr="000E152E" w14:paraId="01BB07E8" w14:textId="77777777" w:rsidTr="00527F17">
        <w:tc>
          <w:tcPr>
            <w:tcW w:w="966" w:type="dxa"/>
            <w:vMerge/>
          </w:tcPr>
          <w:p w14:paraId="01BB07E0" w14:textId="77777777" w:rsidR="00392FFB" w:rsidRPr="000E152E" w:rsidRDefault="00392FFB" w:rsidP="00527F17">
            <w:pPr>
              <w:rPr>
                <w:rFonts w:ascii="Garamond" w:hAnsi="Garamond" w:cstheme="minorHAnsi"/>
                <w:sz w:val="16"/>
                <w:szCs w:val="16"/>
              </w:rPr>
            </w:pPr>
          </w:p>
        </w:tc>
        <w:tc>
          <w:tcPr>
            <w:tcW w:w="3004" w:type="dxa"/>
          </w:tcPr>
          <w:p w14:paraId="01BB07E1"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2.2.3. Përmirësim i politikave për punësim të denjë </w:t>
            </w:r>
          </w:p>
        </w:tc>
        <w:tc>
          <w:tcPr>
            <w:tcW w:w="3288" w:type="dxa"/>
          </w:tcPr>
          <w:p w14:paraId="01BB07E2"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Numri i politikave të ndryshuara dhe të zbatuara për punësim të denjë </w:t>
            </w:r>
          </w:p>
        </w:tc>
        <w:tc>
          <w:tcPr>
            <w:tcW w:w="1775" w:type="dxa"/>
          </w:tcPr>
          <w:p w14:paraId="01BB07E3" w14:textId="77777777" w:rsidR="00392FFB" w:rsidRPr="000E152E" w:rsidRDefault="00392FFB" w:rsidP="00527F17">
            <w:pPr>
              <w:rPr>
                <w:rFonts w:ascii="Garamond" w:hAnsi="Garamond" w:cstheme="minorHAnsi"/>
                <w:b/>
                <w:sz w:val="16"/>
                <w:szCs w:val="16"/>
              </w:rPr>
            </w:pPr>
            <w:r w:rsidRPr="000E152E">
              <w:rPr>
                <w:rFonts w:ascii="Garamond" w:hAnsi="Garamond" w:cstheme="minorHAnsi"/>
                <w:sz w:val="16"/>
                <w:szCs w:val="16"/>
              </w:rPr>
              <w:t>TD</w:t>
            </w:r>
          </w:p>
        </w:tc>
        <w:tc>
          <w:tcPr>
            <w:tcW w:w="1489" w:type="dxa"/>
          </w:tcPr>
          <w:p w14:paraId="01BB07E4"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488" w:type="dxa"/>
          </w:tcPr>
          <w:p w14:paraId="01BB07E5"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TD</w:t>
            </w:r>
          </w:p>
        </w:tc>
        <w:tc>
          <w:tcPr>
            <w:tcW w:w="1788" w:type="dxa"/>
          </w:tcPr>
          <w:p w14:paraId="01BB07E6" w14:textId="77777777" w:rsidR="00392FFB" w:rsidRPr="000E152E" w:rsidRDefault="00392FFB" w:rsidP="00527F17">
            <w:pPr>
              <w:rPr>
                <w:rFonts w:ascii="Garamond" w:hAnsi="Garamond" w:cstheme="minorHAnsi"/>
                <w:sz w:val="16"/>
                <w:szCs w:val="16"/>
              </w:rPr>
            </w:pPr>
            <w:r w:rsidRPr="000E152E">
              <w:rPr>
                <w:rFonts w:ascii="Garamond" w:hAnsi="Garamond" w:cstheme="minorHAnsi"/>
                <w:sz w:val="16"/>
                <w:szCs w:val="16"/>
              </w:rPr>
              <w:t>MFE</w:t>
            </w:r>
          </w:p>
        </w:tc>
        <w:tc>
          <w:tcPr>
            <w:tcW w:w="1795" w:type="dxa"/>
          </w:tcPr>
          <w:p w14:paraId="01BB07E7" w14:textId="77777777" w:rsidR="00392FFB" w:rsidRPr="000E152E" w:rsidRDefault="00392FFB" w:rsidP="00527F17">
            <w:pPr>
              <w:rPr>
                <w:rFonts w:ascii="Garamond" w:hAnsi="Garamond" w:cstheme="minorHAnsi"/>
                <w:sz w:val="16"/>
                <w:szCs w:val="16"/>
              </w:rPr>
            </w:pPr>
          </w:p>
        </w:tc>
      </w:tr>
    </w:tbl>
    <w:p w14:paraId="01BB07E9" w14:textId="77777777" w:rsidR="00514472" w:rsidRPr="000E152E" w:rsidRDefault="00514472" w:rsidP="00EC395E">
      <w:pPr>
        <w:pStyle w:val="TEKSTIIII"/>
        <w:ind w:firstLine="0"/>
        <w:sectPr w:rsidR="00514472" w:rsidRPr="000E152E" w:rsidSect="00FC285A">
          <w:pgSz w:w="16838" w:h="11906" w:orient="landscape" w:code="9"/>
          <w:pgMar w:top="1440" w:right="1440" w:bottom="1440" w:left="1622" w:header="709" w:footer="709" w:gutter="0"/>
          <w:cols w:space="708"/>
          <w:docGrid w:linePitch="360"/>
        </w:sectPr>
      </w:pPr>
    </w:p>
    <w:p w14:paraId="79DA61B9" w14:textId="77777777" w:rsidR="00615013" w:rsidRDefault="00615013" w:rsidP="00EC395E">
      <w:pPr>
        <w:pStyle w:val="TEKSTIIII"/>
        <w:ind w:firstLine="0"/>
        <w:rPr>
          <w:b/>
        </w:rPr>
      </w:pPr>
    </w:p>
    <w:p w14:paraId="01BB084A" w14:textId="77777777" w:rsidR="00AF5EFC" w:rsidRPr="00615013" w:rsidRDefault="00AF5EFC" w:rsidP="00441D8A">
      <w:pPr>
        <w:pStyle w:val="TEKSTIIII"/>
        <w:jc w:val="center"/>
      </w:pPr>
      <w:r w:rsidRPr="00615013">
        <w:t>GARANCIA RINORE</w:t>
      </w:r>
    </w:p>
    <w:p w14:paraId="01BB084B" w14:textId="77777777" w:rsidR="00527F17" w:rsidRPr="00615013" w:rsidRDefault="00527F17" w:rsidP="00527F17">
      <w:pPr>
        <w:pStyle w:val="TEKSTIIII"/>
        <w:jc w:val="center"/>
      </w:pPr>
      <w:r w:rsidRPr="00615013">
        <w:t>FINAL</w:t>
      </w:r>
    </w:p>
    <w:p w14:paraId="01BB084C" w14:textId="77777777" w:rsidR="00527F17" w:rsidRPr="000E152E" w:rsidRDefault="00527F17" w:rsidP="00527F17">
      <w:pPr>
        <w:pStyle w:val="TEKSTIIII"/>
        <w:jc w:val="center"/>
        <w:rPr>
          <w:b/>
        </w:rPr>
      </w:pPr>
      <w:r w:rsidRPr="000E152E">
        <w:rPr>
          <w:b/>
        </w:rPr>
        <w:t>Plani i Zbatimit</w:t>
      </w:r>
    </w:p>
    <w:p w14:paraId="01BB084D" w14:textId="46C7AA9E" w:rsidR="00527F17" w:rsidRPr="000E152E" w:rsidRDefault="00527F17" w:rsidP="00527F17">
      <w:pPr>
        <w:pStyle w:val="TEKSTIIII"/>
        <w:jc w:val="center"/>
        <w:rPr>
          <w:b/>
        </w:rPr>
      </w:pPr>
      <w:r w:rsidRPr="000E152E">
        <w:rPr>
          <w:b/>
        </w:rPr>
        <w:t>2023</w:t>
      </w:r>
      <w:r w:rsidR="001C1481" w:rsidRPr="000E152E">
        <w:rPr>
          <w:b/>
        </w:rPr>
        <w:t>–</w:t>
      </w:r>
      <w:r w:rsidRPr="000E152E">
        <w:rPr>
          <w:b/>
        </w:rPr>
        <w:t>2024</w:t>
      </w:r>
    </w:p>
    <w:p w14:paraId="01BB084E" w14:textId="77777777" w:rsidR="001C1481" w:rsidRPr="000E152E" w:rsidRDefault="001C1481" w:rsidP="00527F17">
      <w:pPr>
        <w:pStyle w:val="TEKSTIIII"/>
        <w:jc w:val="center"/>
        <w:rPr>
          <w:b/>
        </w:rPr>
      </w:pPr>
      <w:r w:rsidRPr="000E152E">
        <w:rPr>
          <w:noProof/>
          <w:lang w:val="en-US"/>
        </w:rPr>
        <w:drawing>
          <wp:inline distT="0" distB="0" distL="0" distR="0" wp14:anchorId="01BB0862" wp14:editId="266EA0B9">
            <wp:extent cx="4214191" cy="59059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18213" cy="5911618"/>
                    </a:xfrm>
                    <a:prstGeom prst="rect">
                      <a:avLst/>
                    </a:prstGeom>
                  </pic:spPr>
                </pic:pic>
              </a:graphicData>
            </a:graphic>
          </wp:inline>
        </w:drawing>
      </w:r>
    </w:p>
    <w:p w14:paraId="01BB084F" w14:textId="77777777" w:rsidR="001C1481" w:rsidRPr="000E152E" w:rsidRDefault="001C1481" w:rsidP="00783DD2">
      <w:pPr>
        <w:pStyle w:val="TEKSTIIII"/>
        <w:ind w:firstLine="0"/>
        <w:jc w:val="center"/>
      </w:pPr>
      <w:r w:rsidRPr="000E152E">
        <w:rPr>
          <w:noProof/>
          <w:lang w:val="en-US"/>
        </w:rPr>
        <w:lastRenderedPageBreak/>
        <w:drawing>
          <wp:inline distT="0" distB="0" distL="0" distR="0" wp14:anchorId="01BB0864" wp14:editId="01BB0865">
            <wp:extent cx="5731510" cy="7002145"/>
            <wp:effectExtent l="0" t="0" r="254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7002145"/>
                    </a:xfrm>
                    <a:prstGeom prst="rect">
                      <a:avLst/>
                    </a:prstGeom>
                  </pic:spPr>
                </pic:pic>
              </a:graphicData>
            </a:graphic>
          </wp:inline>
        </w:drawing>
      </w:r>
      <w:r w:rsidRPr="000E152E">
        <w:rPr>
          <w:noProof/>
          <w:lang w:val="en-US"/>
        </w:rPr>
        <w:lastRenderedPageBreak/>
        <w:drawing>
          <wp:inline distT="0" distB="0" distL="0" distR="0" wp14:anchorId="01BB0866" wp14:editId="01BB0867">
            <wp:extent cx="5547215" cy="5998191"/>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4.jpg"/>
                    <pic:cNvPicPr/>
                  </pic:nvPicPr>
                  <pic:blipFill rotWithShape="1">
                    <a:blip r:embed="rId25">
                      <a:extLst>
                        <a:ext uri="{28A0092B-C50C-407E-A947-70E740481C1C}">
                          <a14:useLocalDpi xmlns:a14="http://schemas.microsoft.com/office/drawing/2010/main" val="0"/>
                        </a:ext>
                      </a:extLst>
                    </a:blip>
                    <a:srcRect l="3215" t="2079" b="2079"/>
                    <a:stretch/>
                  </pic:blipFill>
                  <pic:spPr bwMode="auto">
                    <a:xfrm>
                      <a:off x="0" y="0"/>
                      <a:ext cx="5547263" cy="5998243"/>
                    </a:xfrm>
                    <a:prstGeom prst="rect">
                      <a:avLst/>
                    </a:prstGeom>
                    <a:ln>
                      <a:noFill/>
                    </a:ln>
                    <a:extLst>
                      <a:ext uri="{53640926-AAD7-44D8-BBD7-CCE9431645EC}">
                        <a14:shadowObscured xmlns:a14="http://schemas.microsoft.com/office/drawing/2010/main"/>
                      </a:ext>
                    </a:extLst>
                  </pic:spPr>
                </pic:pic>
              </a:graphicData>
            </a:graphic>
          </wp:inline>
        </w:drawing>
      </w:r>
      <w:r w:rsidRPr="000E152E">
        <w:rPr>
          <w:noProof/>
          <w:lang w:val="en-US"/>
        </w:rPr>
        <w:drawing>
          <wp:inline distT="0" distB="0" distL="0" distR="0" wp14:anchorId="01BB0868" wp14:editId="01BB0869">
            <wp:extent cx="5697940" cy="2545308"/>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5.jpg"/>
                    <pic:cNvPicPr/>
                  </pic:nvPicPr>
                  <pic:blipFill rotWithShape="1">
                    <a:blip r:embed="rId26" cstate="print">
                      <a:extLst>
                        <a:ext uri="{28A0092B-C50C-407E-A947-70E740481C1C}">
                          <a14:useLocalDpi xmlns:a14="http://schemas.microsoft.com/office/drawing/2010/main" val="0"/>
                        </a:ext>
                      </a:extLst>
                    </a:blip>
                    <a:srcRect b="6988"/>
                    <a:stretch/>
                  </pic:blipFill>
                  <pic:spPr bwMode="auto">
                    <a:xfrm>
                      <a:off x="0" y="0"/>
                      <a:ext cx="5697940" cy="2545308"/>
                    </a:xfrm>
                    <a:prstGeom prst="rect">
                      <a:avLst/>
                    </a:prstGeom>
                    <a:ln>
                      <a:noFill/>
                    </a:ln>
                    <a:extLst>
                      <a:ext uri="{53640926-AAD7-44D8-BBD7-CCE9431645EC}">
                        <a14:shadowObscured xmlns:a14="http://schemas.microsoft.com/office/drawing/2010/main"/>
                      </a:ext>
                    </a:extLst>
                  </pic:spPr>
                </pic:pic>
              </a:graphicData>
            </a:graphic>
          </wp:inline>
        </w:drawing>
      </w:r>
      <w:r w:rsidRPr="000E152E">
        <w:rPr>
          <w:noProof/>
          <w:lang w:val="en-US"/>
        </w:rPr>
        <w:lastRenderedPageBreak/>
        <w:drawing>
          <wp:inline distT="0" distB="0" distL="0" distR="0" wp14:anchorId="01BB086A" wp14:editId="01BB086B">
            <wp:extent cx="5732060" cy="8072651"/>
            <wp:effectExtent l="0" t="0" r="254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6.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071877"/>
                    </a:xfrm>
                    <a:prstGeom prst="rect">
                      <a:avLst/>
                    </a:prstGeom>
                  </pic:spPr>
                </pic:pic>
              </a:graphicData>
            </a:graphic>
          </wp:inline>
        </w:drawing>
      </w:r>
      <w:r w:rsidRPr="000E152E">
        <w:rPr>
          <w:noProof/>
          <w:lang w:val="en-US"/>
        </w:rPr>
        <w:lastRenderedPageBreak/>
        <w:drawing>
          <wp:inline distT="0" distB="0" distL="0" distR="0" wp14:anchorId="01BB086C" wp14:editId="01BB086D">
            <wp:extent cx="5731510" cy="5731510"/>
            <wp:effectExtent l="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7.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r w:rsidRPr="000E152E">
        <w:rPr>
          <w:noProof/>
          <w:lang w:val="en-US"/>
        </w:rPr>
        <w:lastRenderedPageBreak/>
        <w:drawing>
          <wp:inline distT="0" distB="0" distL="0" distR="0" wp14:anchorId="01BB086E" wp14:editId="01BB086F">
            <wp:extent cx="5731510" cy="5598160"/>
            <wp:effectExtent l="0" t="0" r="254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5598160"/>
                    </a:xfrm>
                    <a:prstGeom prst="rect">
                      <a:avLst/>
                    </a:prstGeom>
                  </pic:spPr>
                </pic:pic>
              </a:graphicData>
            </a:graphic>
          </wp:inline>
        </w:drawing>
      </w:r>
      <w:r w:rsidRPr="000E152E">
        <w:rPr>
          <w:noProof/>
          <w:lang w:val="en-US"/>
        </w:rPr>
        <w:lastRenderedPageBreak/>
        <w:drawing>
          <wp:inline distT="0" distB="0" distL="0" distR="0" wp14:anchorId="01BB0870" wp14:editId="01BB0871">
            <wp:extent cx="5730766" cy="7656394"/>
            <wp:effectExtent l="0" t="0" r="381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0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7657388"/>
                    </a:xfrm>
                    <a:prstGeom prst="rect">
                      <a:avLst/>
                    </a:prstGeom>
                  </pic:spPr>
                </pic:pic>
              </a:graphicData>
            </a:graphic>
          </wp:inline>
        </w:drawing>
      </w:r>
      <w:r w:rsidRPr="000E152E">
        <w:rPr>
          <w:noProof/>
          <w:lang w:val="en-US"/>
        </w:rPr>
        <w:lastRenderedPageBreak/>
        <w:drawing>
          <wp:inline distT="0" distB="0" distL="0" distR="0" wp14:anchorId="01BB0872" wp14:editId="01BB0873">
            <wp:extent cx="5731510" cy="800481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0.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004810"/>
                    </a:xfrm>
                    <a:prstGeom prst="rect">
                      <a:avLst/>
                    </a:prstGeom>
                  </pic:spPr>
                </pic:pic>
              </a:graphicData>
            </a:graphic>
          </wp:inline>
        </w:drawing>
      </w:r>
      <w:r w:rsidRPr="000E152E">
        <w:rPr>
          <w:noProof/>
          <w:lang w:val="en-US"/>
        </w:rPr>
        <w:lastRenderedPageBreak/>
        <w:drawing>
          <wp:inline distT="0" distB="0" distL="0" distR="0" wp14:anchorId="01BB0874" wp14:editId="01BB0875">
            <wp:extent cx="5732060" cy="8134066"/>
            <wp:effectExtent l="0" t="0" r="254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1.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8133286"/>
                    </a:xfrm>
                    <a:prstGeom prst="rect">
                      <a:avLst/>
                    </a:prstGeom>
                  </pic:spPr>
                </pic:pic>
              </a:graphicData>
            </a:graphic>
          </wp:inline>
        </w:drawing>
      </w:r>
      <w:r w:rsidRPr="000E152E">
        <w:rPr>
          <w:noProof/>
          <w:lang w:val="en-US"/>
        </w:rPr>
        <w:lastRenderedPageBreak/>
        <w:drawing>
          <wp:inline distT="0" distB="0" distL="0" distR="0" wp14:anchorId="01BB0876" wp14:editId="01BB0877">
            <wp:extent cx="5731510" cy="739203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7392035"/>
                    </a:xfrm>
                    <a:prstGeom prst="rect">
                      <a:avLst/>
                    </a:prstGeom>
                  </pic:spPr>
                </pic:pic>
              </a:graphicData>
            </a:graphic>
          </wp:inline>
        </w:drawing>
      </w:r>
      <w:r w:rsidRPr="000E152E">
        <w:rPr>
          <w:noProof/>
          <w:lang w:val="en-US"/>
        </w:rPr>
        <w:lastRenderedPageBreak/>
        <w:drawing>
          <wp:inline distT="0" distB="0" distL="0" distR="0" wp14:anchorId="01BB0878" wp14:editId="01BB0879">
            <wp:extent cx="5731510" cy="733488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7334885"/>
                    </a:xfrm>
                    <a:prstGeom prst="rect">
                      <a:avLst/>
                    </a:prstGeom>
                  </pic:spPr>
                </pic:pic>
              </a:graphicData>
            </a:graphic>
          </wp:inline>
        </w:drawing>
      </w:r>
      <w:r w:rsidRPr="000E152E">
        <w:rPr>
          <w:noProof/>
          <w:lang w:val="en-US"/>
        </w:rPr>
        <w:lastRenderedPageBreak/>
        <w:drawing>
          <wp:inline distT="0" distB="0" distL="0" distR="0" wp14:anchorId="01BB087A" wp14:editId="01BB087B">
            <wp:extent cx="5731510" cy="764476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7644765"/>
                    </a:xfrm>
                    <a:prstGeom prst="rect">
                      <a:avLst/>
                    </a:prstGeom>
                  </pic:spPr>
                </pic:pic>
              </a:graphicData>
            </a:graphic>
          </wp:inline>
        </w:drawing>
      </w:r>
      <w:r w:rsidRPr="000E152E">
        <w:rPr>
          <w:noProof/>
          <w:lang w:val="en-US"/>
        </w:rPr>
        <w:lastRenderedPageBreak/>
        <w:drawing>
          <wp:inline distT="0" distB="0" distL="0" distR="0" wp14:anchorId="01BB087C" wp14:editId="01BB087D">
            <wp:extent cx="5731510" cy="734123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7341235"/>
                    </a:xfrm>
                    <a:prstGeom prst="rect">
                      <a:avLst/>
                    </a:prstGeom>
                  </pic:spPr>
                </pic:pic>
              </a:graphicData>
            </a:graphic>
          </wp:inline>
        </w:drawing>
      </w:r>
      <w:r w:rsidRPr="000E152E">
        <w:rPr>
          <w:noProof/>
          <w:lang w:val="en-US"/>
        </w:rPr>
        <w:lastRenderedPageBreak/>
        <w:drawing>
          <wp:inline distT="0" distB="0" distL="0" distR="0" wp14:anchorId="01BB087E" wp14:editId="01BB087F">
            <wp:extent cx="5731510" cy="7312660"/>
            <wp:effectExtent l="0" t="0" r="254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7312660"/>
                    </a:xfrm>
                    <a:prstGeom prst="rect">
                      <a:avLst/>
                    </a:prstGeom>
                  </pic:spPr>
                </pic:pic>
              </a:graphicData>
            </a:graphic>
          </wp:inline>
        </w:drawing>
      </w:r>
      <w:r w:rsidRPr="000E152E">
        <w:rPr>
          <w:noProof/>
          <w:lang w:val="en-US"/>
        </w:rPr>
        <w:lastRenderedPageBreak/>
        <w:drawing>
          <wp:inline distT="0" distB="0" distL="0" distR="0" wp14:anchorId="01BB0880" wp14:editId="01BB0881">
            <wp:extent cx="5731510" cy="74168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7416800"/>
                    </a:xfrm>
                    <a:prstGeom prst="rect">
                      <a:avLst/>
                    </a:prstGeom>
                  </pic:spPr>
                </pic:pic>
              </a:graphicData>
            </a:graphic>
          </wp:inline>
        </w:drawing>
      </w:r>
      <w:r w:rsidRPr="000E152E">
        <w:rPr>
          <w:noProof/>
          <w:lang w:val="en-US"/>
        </w:rPr>
        <w:lastRenderedPageBreak/>
        <w:drawing>
          <wp:inline distT="0" distB="0" distL="0" distR="0" wp14:anchorId="01BB0882" wp14:editId="01BB0883">
            <wp:extent cx="5731510" cy="741616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7416165"/>
                    </a:xfrm>
                    <a:prstGeom prst="rect">
                      <a:avLst/>
                    </a:prstGeom>
                  </pic:spPr>
                </pic:pic>
              </a:graphicData>
            </a:graphic>
          </wp:inline>
        </w:drawing>
      </w:r>
      <w:r w:rsidRPr="000E152E">
        <w:rPr>
          <w:noProof/>
          <w:lang w:val="en-US"/>
        </w:rPr>
        <w:lastRenderedPageBreak/>
        <w:drawing>
          <wp:inline distT="0" distB="0" distL="0" distR="0" wp14:anchorId="01BB0884" wp14:editId="01BB0885">
            <wp:extent cx="5731510" cy="7636510"/>
            <wp:effectExtent l="0" t="0" r="254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19.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7636510"/>
                    </a:xfrm>
                    <a:prstGeom prst="rect">
                      <a:avLst/>
                    </a:prstGeom>
                  </pic:spPr>
                </pic:pic>
              </a:graphicData>
            </a:graphic>
          </wp:inline>
        </w:drawing>
      </w:r>
      <w:r w:rsidRPr="000E152E">
        <w:rPr>
          <w:noProof/>
          <w:lang w:val="en-US"/>
        </w:rPr>
        <w:lastRenderedPageBreak/>
        <w:drawing>
          <wp:inline distT="0" distB="0" distL="0" distR="0" wp14:anchorId="01BB0886" wp14:editId="01BB0887">
            <wp:extent cx="5731510" cy="737870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0.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7378700"/>
                    </a:xfrm>
                    <a:prstGeom prst="rect">
                      <a:avLst/>
                    </a:prstGeom>
                  </pic:spPr>
                </pic:pic>
              </a:graphicData>
            </a:graphic>
          </wp:inline>
        </w:drawing>
      </w:r>
      <w:r w:rsidRPr="000E152E">
        <w:rPr>
          <w:noProof/>
          <w:lang w:val="en-US"/>
        </w:rPr>
        <w:lastRenderedPageBreak/>
        <w:drawing>
          <wp:inline distT="0" distB="0" distL="0" distR="0" wp14:anchorId="01BB0888" wp14:editId="01BB0889">
            <wp:extent cx="5731510" cy="7442200"/>
            <wp:effectExtent l="0" t="0" r="254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7442200"/>
                    </a:xfrm>
                    <a:prstGeom prst="rect">
                      <a:avLst/>
                    </a:prstGeom>
                  </pic:spPr>
                </pic:pic>
              </a:graphicData>
            </a:graphic>
          </wp:inline>
        </w:drawing>
      </w:r>
      <w:r w:rsidRPr="000E152E">
        <w:rPr>
          <w:noProof/>
          <w:lang w:val="en-US"/>
        </w:rPr>
        <w:lastRenderedPageBreak/>
        <w:drawing>
          <wp:inline distT="0" distB="0" distL="0" distR="0" wp14:anchorId="01BB088A" wp14:editId="01BB088B">
            <wp:extent cx="5731510" cy="772350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7723505"/>
                    </a:xfrm>
                    <a:prstGeom prst="rect">
                      <a:avLst/>
                    </a:prstGeom>
                  </pic:spPr>
                </pic:pic>
              </a:graphicData>
            </a:graphic>
          </wp:inline>
        </w:drawing>
      </w:r>
      <w:r w:rsidRPr="000E152E">
        <w:rPr>
          <w:noProof/>
          <w:lang w:val="en-US"/>
        </w:rPr>
        <w:lastRenderedPageBreak/>
        <w:drawing>
          <wp:inline distT="0" distB="0" distL="0" distR="0" wp14:anchorId="01BB088C" wp14:editId="01BB088D">
            <wp:extent cx="5731510" cy="5631180"/>
            <wp:effectExtent l="0" t="0" r="254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3.jpg"/>
                    <pic:cNvPicPr/>
                  </pic:nvPicPr>
                  <pic:blipFill>
                    <a:blip r:embed="rId44">
                      <a:extLst>
                        <a:ext uri="{28A0092B-C50C-407E-A947-70E740481C1C}">
                          <a14:useLocalDpi xmlns:a14="http://schemas.microsoft.com/office/drawing/2010/main" val="0"/>
                        </a:ext>
                      </a:extLst>
                    </a:blip>
                    <a:stretch>
                      <a:fillRect/>
                    </a:stretch>
                  </pic:blipFill>
                  <pic:spPr>
                    <a:xfrm>
                      <a:off x="0" y="0"/>
                      <a:ext cx="5731510" cy="5631180"/>
                    </a:xfrm>
                    <a:prstGeom prst="rect">
                      <a:avLst/>
                    </a:prstGeom>
                  </pic:spPr>
                </pic:pic>
              </a:graphicData>
            </a:graphic>
          </wp:inline>
        </w:drawing>
      </w:r>
      <w:r w:rsidRPr="000E152E">
        <w:rPr>
          <w:noProof/>
          <w:lang w:val="en-US"/>
        </w:rPr>
        <w:lastRenderedPageBreak/>
        <w:drawing>
          <wp:inline distT="0" distB="0" distL="0" distR="0" wp14:anchorId="01BB088E" wp14:editId="01BB088F">
            <wp:extent cx="5731510" cy="779526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7795260"/>
                    </a:xfrm>
                    <a:prstGeom prst="rect">
                      <a:avLst/>
                    </a:prstGeom>
                  </pic:spPr>
                </pic:pic>
              </a:graphicData>
            </a:graphic>
          </wp:inline>
        </w:drawing>
      </w:r>
      <w:r w:rsidRPr="000E152E">
        <w:rPr>
          <w:noProof/>
          <w:lang w:val="en-US"/>
        </w:rPr>
        <w:lastRenderedPageBreak/>
        <w:drawing>
          <wp:inline distT="0" distB="0" distL="0" distR="0" wp14:anchorId="01BB0890" wp14:editId="01BB0891">
            <wp:extent cx="5731510" cy="764413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5.jpg"/>
                    <pic:cNvPicPr/>
                  </pic:nvPicPr>
                  <pic:blipFill>
                    <a:blip r:embed="rId46">
                      <a:extLst>
                        <a:ext uri="{28A0092B-C50C-407E-A947-70E740481C1C}">
                          <a14:useLocalDpi xmlns:a14="http://schemas.microsoft.com/office/drawing/2010/main" val="0"/>
                        </a:ext>
                      </a:extLst>
                    </a:blip>
                    <a:stretch>
                      <a:fillRect/>
                    </a:stretch>
                  </pic:blipFill>
                  <pic:spPr>
                    <a:xfrm>
                      <a:off x="0" y="0"/>
                      <a:ext cx="5731510" cy="7644130"/>
                    </a:xfrm>
                    <a:prstGeom prst="rect">
                      <a:avLst/>
                    </a:prstGeom>
                  </pic:spPr>
                </pic:pic>
              </a:graphicData>
            </a:graphic>
          </wp:inline>
        </w:drawing>
      </w:r>
      <w:r w:rsidRPr="000E152E">
        <w:rPr>
          <w:noProof/>
          <w:lang w:val="en-US"/>
        </w:rPr>
        <w:lastRenderedPageBreak/>
        <w:drawing>
          <wp:inline distT="0" distB="0" distL="0" distR="0" wp14:anchorId="01BB0892" wp14:editId="01BB0893">
            <wp:extent cx="5731510" cy="7644765"/>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6.jpg"/>
                    <pic:cNvPicPr/>
                  </pic:nvPicPr>
                  <pic:blipFill>
                    <a:blip r:embed="rId47">
                      <a:extLst>
                        <a:ext uri="{28A0092B-C50C-407E-A947-70E740481C1C}">
                          <a14:useLocalDpi xmlns:a14="http://schemas.microsoft.com/office/drawing/2010/main" val="0"/>
                        </a:ext>
                      </a:extLst>
                    </a:blip>
                    <a:stretch>
                      <a:fillRect/>
                    </a:stretch>
                  </pic:blipFill>
                  <pic:spPr>
                    <a:xfrm>
                      <a:off x="0" y="0"/>
                      <a:ext cx="5731510" cy="7644765"/>
                    </a:xfrm>
                    <a:prstGeom prst="rect">
                      <a:avLst/>
                    </a:prstGeom>
                  </pic:spPr>
                </pic:pic>
              </a:graphicData>
            </a:graphic>
          </wp:inline>
        </w:drawing>
      </w:r>
      <w:r w:rsidRPr="000E152E">
        <w:rPr>
          <w:noProof/>
          <w:lang w:val="en-US"/>
        </w:rPr>
        <w:lastRenderedPageBreak/>
        <w:drawing>
          <wp:inline distT="0" distB="0" distL="0" distR="0" wp14:anchorId="01BB0894" wp14:editId="01BB0895">
            <wp:extent cx="5731510" cy="7416800"/>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7416800"/>
                    </a:xfrm>
                    <a:prstGeom prst="rect">
                      <a:avLst/>
                    </a:prstGeom>
                  </pic:spPr>
                </pic:pic>
              </a:graphicData>
            </a:graphic>
          </wp:inline>
        </w:drawing>
      </w:r>
      <w:r w:rsidRPr="000E152E">
        <w:rPr>
          <w:noProof/>
          <w:lang w:val="en-US"/>
        </w:rPr>
        <w:lastRenderedPageBreak/>
        <w:drawing>
          <wp:inline distT="0" distB="0" distL="0" distR="0" wp14:anchorId="01BB0896" wp14:editId="01BB0897">
            <wp:extent cx="5731510" cy="764540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8.jpg"/>
                    <pic:cNvPicPr/>
                  </pic:nvPicPr>
                  <pic:blipFill>
                    <a:blip r:embed="rId49">
                      <a:extLst>
                        <a:ext uri="{28A0092B-C50C-407E-A947-70E740481C1C}">
                          <a14:useLocalDpi xmlns:a14="http://schemas.microsoft.com/office/drawing/2010/main" val="0"/>
                        </a:ext>
                      </a:extLst>
                    </a:blip>
                    <a:stretch>
                      <a:fillRect/>
                    </a:stretch>
                  </pic:blipFill>
                  <pic:spPr>
                    <a:xfrm>
                      <a:off x="0" y="0"/>
                      <a:ext cx="5731510" cy="7645400"/>
                    </a:xfrm>
                    <a:prstGeom prst="rect">
                      <a:avLst/>
                    </a:prstGeom>
                  </pic:spPr>
                </pic:pic>
              </a:graphicData>
            </a:graphic>
          </wp:inline>
        </w:drawing>
      </w:r>
      <w:r w:rsidRPr="000E152E">
        <w:rPr>
          <w:noProof/>
          <w:lang w:val="en-US"/>
        </w:rPr>
        <w:lastRenderedPageBreak/>
        <w:drawing>
          <wp:inline distT="0" distB="0" distL="0" distR="0" wp14:anchorId="01BB0898" wp14:editId="4B8AA80C">
            <wp:extent cx="5731510" cy="7347005"/>
            <wp:effectExtent l="0" t="0" r="254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29.jpg"/>
                    <pic:cNvPicPr/>
                  </pic:nvPicPr>
                  <pic:blipFill rotWithShape="1">
                    <a:blip r:embed="rId50">
                      <a:extLst>
                        <a:ext uri="{28A0092B-C50C-407E-A947-70E740481C1C}">
                          <a14:useLocalDpi xmlns:a14="http://schemas.microsoft.com/office/drawing/2010/main" val="0"/>
                        </a:ext>
                      </a:extLst>
                    </a:blip>
                    <a:srcRect b="4945"/>
                    <a:stretch/>
                  </pic:blipFill>
                  <pic:spPr bwMode="auto">
                    <a:xfrm>
                      <a:off x="0" y="0"/>
                      <a:ext cx="5731510" cy="7347005"/>
                    </a:xfrm>
                    <a:prstGeom prst="rect">
                      <a:avLst/>
                    </a:prstGeom>
                    <a:ln>
                      <a:noFill/>
                    </a:ln>
                    <a:extLst>
                      <a:ext uri="{53640926-AAD7-44D8-BBD7-CCE9431645EC}">
                        <a14:shadowObscured xmlns:a14="http://schemas.microsoft.com/office/drawing/2010/main"/>
                      </a:ext>
                    </a:extLst>
                  </pic:spPr>
                </pic:pic>
              </a:graphicData>
            </a:graphic>
          </wp:inline>
        </w:drawing>
      </w:r>
      <w:bookmarkStart w:id="59" w:name="_GoBack"/>
      <w:bookmarkEnd w:id="59"/>
      <w:r w:rsidRPr="000E152E">
        <w:rPr>
          <w:noProof/>
          <w:lang w:val="en-US"/>
        </w:rPr>
        <w:lastRenderedPageBreak/>
        <w:drawing>
          <wp:inline distT="0" distB="0" distL="0" distR="0" wp14:anchorId="01BB089A" wp14:editId="01BB089B">
            <wp:extent cx="5731510" cy="4411345"/>
            <wp:effectExtent l="0" t="0" r="254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0.jpg"/>
                    <pic:cNvPicPr/>
                  </pic:nvPicPr>
                  <pic:blipFill>
                    <a:blip r:embed="rId51">
                      <a:extLst>
                        <a:ext uri="{28A0092B-C50C-407E-A947-70E740481C1C}">
                          <a14:useLocalDpi xmlns:a14="http://schemas.microsoft.com/office/drawing/2010/main" val="0"/>
                        </a:ext>
                      </a:extLst>
                    </a:blip>
                    <a:stretch>
                      <a:fillRect/>
                    </a:stretch>
                  </pic:blipFill>
                  <pic:spPr>
                    <a:xfrm>
                      <a:off x="0" y="0"/>
                      <a:ext cx="5731510" cy="4411345"/>
                    </a:xfrm>
                    <a:prstGeom prst="rect">
                      <a:avLst/>
                    </a:prstGeom>
                  </pic:spPr>
                </pic:pic>
              </a:graphicData>
            </a:graphic>
          </wp:inline>
        </w:drawing>
      </w:r>
      <w:r w:rsidRPr="000E152E">
        <w:rPr>
          <w:noProof/>
          <w:lang w:val="en-US"/>
        </w:rPr>
        <w:lastRenderedPageBreak/>
        <w:drawing>
          <wp:inline distT="0" distB="0" distL="0" distR="0" wp14:anchorId="01BB089C" wp14:editId="01BB089D">
            <wp:extent cx="5731510" cy="6386830"/>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6386830"/>
                    </a:xfrm>
                    <a:prstGeom prst="rect">
                      <a:avLst/>
                    </a:prstGeom>
                  </pic:spPr>
                </pic:pic>
              </a:graphicData>
            </a:graphic>
          </wp:inline>
        </w:drawing>
      </w:r>
      <w:r w:rsidRPr="000E152E">
        <w:rPr>
          <w:noProof/>
          <w:lang w:val="en-US"/>
        </w:rPr>
        <w:lastRenderedPageBreak/>
        <w:drawing>
          <wp:inline distT="0" distB="0" distL="0" distR="0" wp14:anchorId="01BB089E" wp14:editId="01BB089F">
            <wp:extent cx="5731510" cy="6527800"/>
            <wp:effectExtent l="0" t="0" r="254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6527800"/>
                    </a:xfrm>
                    <a:prstGeom prst="rect">
                      <a:avLst/>
                    </a:prstGeom>
                  </pic:spPr>
                </pic:pic>
              </a:graphicData>
            </a:graphic>
          </wp:inline>
        </w:drawing>
      </w:r>
      <w:r w:rsidRPr="000E152E">
        <w:rPr>
          <w:noProof/>
          <w:lang w:val="en-US"/>
        </w:rPr>
        <w:lastRenderedPageBreak/>
        <w:drawing>
          <wp:inline distT="0" distB="0" distL="0" distR="0" wp14:anchorId="01BB08A0" wp14:editId="01BB08A1">
            <wp:extent cx="5731510" cy="6642100"/>
            <wp:effectExtent l="0" t="0" r="254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6642100"/>
                    </a:xfrm>
                    <a:prstGeom prst="rect">
                      <a:avLst/>
                    </a:prstGeom>
                  </pic:spPr>
                </pic:pic>
              </a:graphicData>
            </a:graphic>
          </wp:inline>
        </w:drawing>
      </w:r>
      <w:r w:rsidRPr="000E152E">
        <w:rPr>
          <w:noProof/>
          <w:lang w:val="en-US"/>
        </w:rPr>
        <w:lastRenderedPageBreak/>
        <w:drawing>
          <wp:inline distT="0" distB="0" distL="0" distR="0" wp14:anchorId="01BB08A2" wp14:editId="01BB08A3">
            <wp:extent cx="5731510" cy="6285865"/>
            <wp:effectExtent l="0" t="0" r="254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4.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6285865"/>
                    </a:xfrm>
                    <a:prstGeom prst="rect">
                      <a:avLst/>
                    </a:prstGeom>
                  </pic:spPr>
                </pic:pic>
              </a:graphicData>
            </a:graphic>
          </wp:inline>
        </w:drawing>
      </w:r>
      <w:r w:rsidRPr="000E152E">
        <w:rPr>
          <w:noProof/>
          <w:lang w:val="en-US"/>
        </w:rPr>
        <w:lastRenderedPageBreak/>
        <w:drawing>
          <wp:inline distT="0" distB="0" distL="0" distR="0" wp14:anchorId="01BB08A4" wp14:editId="01BB08A5">
            <wp:extent cx="5731510" cy="7616190"/>
            <wp:effectExtent l="0" t="0" r="254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7616190"/>
                    </a:xfrm>
                    <a:prstGeom prst="rect">
                      <a:avLst/>
                    </a:prstGeom>
                  </pic:spPr>
                </pic:pic>
              </a:graphicData>
            </a:graphic>
          </wp:inline>
        </w:drawing>
      </w:r>
      <w:r w:rsidRPr="000E152E">
        <w:rPr>
          <w:noProof/>
          <w:lang w:val="en-US"/>
        </w:rPr>
        <w:lastRenderedPageBreak/>
        <w:drawing>
          <wp:inline distT="0" distB="0" distL="0" distR="0" wp14:anchorId="01BB08A6" wp14:editId="01BB08A7">
            <wp:extent cx="5731510" cy="743267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6.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7432675"/>
                    </a:xfrm>
                    <a:prstGeom prst="rect">
                      <a:avLst/>
                    </a:prstGeom>
                  </pic:spPr>
                </pic:pic>
              </a:graphicData>
            </a:graphic>
          </wp:inline>
        </w:drawing>
      </w:r>
      <w:r w:rsidRPr="000E152E">
        <w:rPr>
          <w:noProof/>
          <w:lang w:val="en-US"/>
        </w:rPr>
        <w:lastRenderedPageBreak/>
        <w:drawing>
          <wp:inline distT="0" distB="0" distL="0" distR="0" wp14:anchorId="01BB08A8" wp14:editId="01BB08A9">
            <wp:extent cx="5731510" cy="762127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7.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7621270"/>
                    </a:xfrm>
                    <a:prstGeom prst="rect">
                      <a:avLst/>
                    </a:prstGeom>
                  </pic:spPr>
                </pic:pic>
              </a:graphicData>
            </a:graphic>
          </wp:inline>
        </w:drawing>
      </w:r>
      <w:r w:rsidRPr="000E152E">
        <w:rPr>
          <w:noProof/>
          <w:lang w:val="en-US"/>
        </w:rPr>
        <w:lastRenderedPageBreak/>
        <w:drawing>
          <wp:inline distT="0" distB="0" distL="0" distR="0" wp14:anchorId="01BB08AA" wp14:editId="01BB08AB">
            <wp:extent cx="5731510" cy="7336155"/>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8.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7336155"/>
                    </a:xfrm>
                    <a:prstGeom prst="rect">
                      <a:avLst/>
                    </a:prstGeom>
                  </pic:spPr>
                </pic:pic>
              </a:graphicData>
            </a:graphic>
          </wp:inline>
        </w:drawing>
      </w:r>
      <w:r w:rsidRPr="000E152E">
        <w:rPr>
          <w:noProof/>
          <w:lang w:val="en-US"/>
        </w:rPr>
        <w:lastRenderedPageBreak/>
        <w:drawing>
          <wp:inline distT="0" distB="0" distL="0" distR="0" wp14:anchorId="01BB08AC" wp14:editId="01BB08AD">
            <wp:extent cx="5731510" cy="7592060"/>
            <wp:effectExtent l="0" t="0" r="254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39.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7592060"/>
                    </a:xfrm>
                    <a:prstGeom prst="rect">
                      <a:avLst/>
                    </a:prstGeom>
                  </pic:spPr>
                </pic:pic>
              </a:graphicData>
            </a:graphic>
          </wp:inline>
        </w:drawing>
      </w:r>
      <w:r w:rsidRPr="000E152E">
        <w:rPr>
          <w:noProof/>
          <w:lang w:val="en-US"/>
        </w:rPr>
        <w:lastRenderedPageBreak/>
        <w:drawing>
          <wp:inline distT="0" distB="0" distL="0" distR="0" wp14:anchorId="01BB08AE" wp14:editId="01BB08AF">
            <wp:extent cx="5731510" cy="7411720"/>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0.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7411720"/>
                    </a:xfrm>
                    <a:prstGeom prst="rect">
                      <a:avLst/>
                    </a:prstGeom>
                  </pic:spPr>
                </pic:pic>
              </a:graphicData>
            </a:graphic>
          </wp:inline>
        </w:drawing>
      </w:r>
      <w:r w:rsidRPr="000E152E">
        <w:rPr>
          <w:noProof/>
          <w:lang w:val="en-US"/>
        </w:rPr>
        <w:lastRenderedPageBreak/>
        <w:drawing>
          <wp:inline distT="0" distB="0" distL="0" distR="0" wp14:anchorId="01BB08B0" wp14:editId="01BB08B1">
            <wp:extent cx="5731510" cy="4829810"/>
            <wp:effectExtent l="0" t="0" r="254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4829810"/>
                    </a:xfrm>
                    <a:prstGeom prst="rect">
                      <a:avLst/>
                    </a:prstGeom>
                  </pic:spPr>
                </pic:pic>
              </a:graphicData>
            </a:graphic>
          </wp:inline>
        </w:drawing>
      </w:r>
      <w:r w:rsidRPr="000E152E">
        <w:rPr>
          <w:noProof/>
          <w:lang w:val="en-US"/>
        </w:rPr>
        <w:lastRenderedPageBreak/>
        <w:drawing>
          <wp:inline distT="0" distB="0" distL="0" distR="0" wp14:anchorId="01BB08B2" wp14:editId="01BB08B3">
            <wp:extent cx="5731510" cy="6993255"/>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2.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1510" cy="6993255"/>
                    </a:xfrm>
                    <a:prstGeom prst="rect">
                      <a:avLst/>
                    </a:prstGeom>
                  </pic:spPr>
                </pic:pic>
              </a:graphicData>
            </a:graphic>
          </wp:inline>
        </w:drawing>
      </w:r>
      <w:r w:rsidRPr="000E152E">
        <w:rPr>
          <w:noProof/>
          <w:lang w:val="en-US"/>
        </w:rPr>
        <w:lastRenderedPageBreak/>
        <w:drawing>
          <wp:inline distT="0" distB="0" distL="0" distR="0" wp14:anchorId="01BB08B4" wp14:editId="01BB08B5">
            <wp:extent cx="5731510" cy="7442835"/>
            <wp:effectExtent l="0" t="0" r="254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3.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7442835"/>
                    </a:xfrm>
                    <a:prstGeom prst="rect">
                      <a:avLst/>
                    </a:prstGeom>
                  </pic:spPr>
                </pic:pic>
              </a:graphicData>
            </a:graphic>
          </wp:inline>
        </w:drawing>
      </w:r>
      <w:r w:rsidRPr="000E152E">
        <w:rPr>
          <w:noProof/>
          <w:lang w:val="en-US"/>
        </w:rPr>
        <w:lastRenderedPageBreak/>
        <w:drawing>
          <wp:inline distT="0" distB="0" distL="0" distR="0" wp14:anchorId="01BB08B6" wp14:editId="01BB08B7">
            <wp:extent cx="5731510" cy="7277100"/>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4.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7277100"/>
                    </a:xfrm>
                    <a:prstGeom prst="rect">
                      <a:avLst/>
                    </a:prstGeom>
                  </pic:spPr>
                </pic:pic>
              </a:graphicData>
            </a:graphic>
          </wp:inline>
        </w:drawing>
      </w:r>
      <w:r w:rsidRPr="000E152E">
        <w:rPr>
          <w:noProof/>
          <w:lang w:val="en-US"/>
        </w:rPr>
        <w:lastRenderedPageBreak/>
        <w:drawing>
          <wp:inline distT="0" distB="0" distL="0" distR="0" wp14:anchorId="01BB08B8" wp14:editId="01BB08B9">
            <wp:extent cx="5731510" cy="7378700"/>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5.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7378700"/>
                    </a:xfrm>
                    <a:prstGeom prst="rect">
                      <a:avLst/>
                    </a:prstGeom>
                  </pic:spPr>
                </pic:pic>
              </a:graphicData>
            </a:graphic>
          </wp:inline>
        </w:drawing>
      </w:r>
      <w:r w:rsidRPr="000E152E">
        <w:rPr>
          <w:noProof/>
          <w:lang w:val="en-US"/>
        </w:rPr>
        <w:lastRenderedPageBreak/>
        <w:drawing>
          <wp:inline distT="0" distB="0" distL="0" distR="0" wp14:anchorId="01BB08BA" wp14:editId="01BB08BB">
            <wp:extent cx="5731510" cy="7740650"/>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6.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7740650"/>
                    </a:xfrm>
                    <a:prstGeom prst="rect">
                      <a:avLst/>
                    </a:prstGeom>
                  </pic:spPr>
                </pic:pic>
              </a:graphicData>
            </a:graphic>
          </wp:inline>
        </w:drawing>
      </w:r>
      <w:r w:rsidRPr="000E152E">
        <w:rPr>
          <w:noProof/>
          <w:lang w:val="en-US"/>
        </w:rPr>
        <w:lastRenderedPageBreak/>
        <w:drawing>
          <wp:inline distT="0" distB="0" distL="0" distR="0" wp14:anchorId="01BB08BC" wp14:editId="01BB08BD">
            <wp:extent cx="5731510" cy="7660005"/>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7.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7660005"/>
                    </a:xfrm>
                    <a:prstGeom prst="rect">
                      <a:avLst/>
                    </a:prstGeom>
                  </pic:spPr>
                </pic:pic>
              </a:graphicData>
            </a:graphic>
          </wp:inline>
        </w:drawing>
      </w:r>
      <w:r w:rsidRPr="000E152E">
        <w:rPr>
          <w:noProof/>
          <w:lang w:val="en-US"/>
        </w:rPr>
        <w:lastRenderedPageBreak/>
        <w:drawing>
          <wp:inline distT="0" distB="0" distL="0" distR="0" wp14:anchorId="01BB08BE" wp14:editId="01BB08BF">
            <wp:extent cx="5731510" cy="3287395"/>
            <wp:effectExtent l="0" t="0" r="254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8.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3287395"/>
                    </a:xfrm>
                    <a:prstGeom prst="rect">
                      <a:avLst/>
                    </a:prstGeom>
                  </pic:spPr>
                </pic:pic>
              </a:graphicData>
            </a:graphic>
          </wp:inline>
        </w:drawing>
      </w:r>
      <w:r w:rsidRPr="000E152E">
        <w:rPr>
          <w:noProof/>
          <w:lang w:val="en-US"/>
        </w:rPr>
        <w:lastRenderedPageBreak/>
        <w:drawing>
          <wp:inline distT="0" distB="0" distL="0" distR="0" wp14:anchorId="01BB08C0" wp14:editId="01BB08C1">
            <wp:extent cx="5731510" cy="6968490"/>
            <wp:effectExtent l="0" t="0" r="254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49.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6968490"/>
                    </a:xfrm>
                    <a:prstGeom prst="rect">
                      <a:avLst/>
                    </a:prstGeom>
                  </pic:spPr>
                </pic:pic>
              </a:graphicData>
            </a:graphic>
          </wp:inline>
        </w:drawing>
      </w:r>
      <w:r w:rsidRPr="000E152E">
        <w:rPr>
          <w:noProof/>
          <w:lang w:val="en-US"/>
        </w:rPr>
        <w:lastRenderedPageBreak/>
        <w:drawing>
          <wp:inline distT="0" distB="0" distL="0" distR="0" wp14:anchorId="01BB08C2" wp14:editId="01BB08C3">
            <wp:extent cx="5731510" cy="739394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0.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7393940"/>
                    </a:xfrm>
                    <a:prstGeom prst="rect">
                      <a:avLst/>
                    </a:prstGeom>
                  </pic:spPr>
                </pic:pic>
              </a:graphicData>
            </a:graphic>
          </wp:inline>
        </w:drawing>
      </w:r>
      <w:r w:rsidRPr="000E152E">
        <w:rPr>
          <w:noProof/>
          <w:lang w:val="en-US"/>
        </w:rPr>
        <w:lastRenderedPageBreak/>
        <w:drawing>
          <wp:inline distT="0" distB="0" distL="0" distR="0" wp14:anchorId="01BB08C4" wp14:editId="01BB08C5">
            <wp:extent cx="5731510" cy="7760335"/>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1.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1510" cy="7760335"/>
                    </a:xfrm>
                    <a:prstGeom prst="rect">
                      <a:avLst/>
                    </a:prstGeom>
                  </pic:spPr>
                </pic:pic>
              </a:graphicData>
            </a:graphic>
          </wp:inline>
        </w:drawing>
      </w:r>
      <w:r w:rsidRPr="000E152E">
        <w:rPr>
          <w:noProof/>
          <w:lang w:val="en-US"/>
        </w:rPr>
        <w:lastRenderedPageBreak/>
        <w:drawing>
          <wp:inline distT="0" distB="0" distL="0" distR="0" wp14:anchorId="01BB08C6" wp14:editId="01BB08C7">
            <wp:extent cx="5731510" cy="7498080"/>
            <wp:effectExtent l="0" t="0" r="254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2.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1510" cy="7498080"/>
                    </a:xfrm>
                    <a:prstGeom prst="rect">
                      <a:avLst/>
                    </a:prstGeom>
                  </pic:spPr>
                </pic:pic>
              </a:graphicData>
            </a:graphic>
          </wp:inline>
        </w:drawing>
      </w:r>
      <w:r w:rsidRPr="000E152E">
        <w:rPr>
          <w:noProof/>
          <w:lang w:val="en-US"/>
        </w:rPr>
        <w:lastRenderedPageBreak/>
        <w:drawing>
          <wp:inline distT="0" distB="0" distL="0" distR="0" wp14:anchorId="01BB08C8" wp14:editId="01BB08C9">
            <wp:extent cx="5731510" cy="7429500"/>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3.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1510" cy="7429500"/>
                    </a:xfrm>
                    <a:prstGeom prst="rect">
                      <a:avLst/>
                    </a:prstGeom>
                  </pic:spPr>
                </pic:pic>
              </a:graphicData>
            </a:graphic>
          </wp:inline>
        </w:drawing>
      </w:r>
      <w:r w:rsidRPr="000E152E">
        <w:rPr>
          <w:noProof/>
          <w:lang w:val="en-US"/>
        </w:rPr>
        <w:lastRenderedPageBreak/>
        <w:drawing>
          <wp:inline distT="0" distB="0" distL="0" distR="0" wp14:anchorId="01BB08CA" wp14:editId="01BB08CB">
            <wp:extent cx="5731510" cy="3156585"/>
            <wp:effectExtent l="0" t="0" r="254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4.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3156585"/>
                    </a:xfrm>
                    <a:prstGeom prst="rect">
                      <a:avLst/>
                    </a:prstGeom>
                  </pic:spPr>
                </pic:pic>
              </a:graphicData>
            </a:graphic>
          </wp:inline>
        </w:drawing>
      </w:r>
      <w:r w:rsidRPr="000E152E">
        <w:rPr>
          <w:noProof/>
          <w:lang w:val="en-US"/>
        </w:rPr>
        <w:lastRenderedPageBreak/>
        <w:drawing>
          <wp:inline distT="0" distB="0" distL="0" distR="0" wp14:anchorId="01BB08CC" wp14:editId="01BB08CD">
            <wp:extent cx="7491544" cy="4765837"/>
            <wp:effectExtent l="0" t="8890" r="5715"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5.jpg"/>
                    <pic:cNvPicPr/>
                  </pic:nvPicPr>
                  <pic:blipFill>
                    <a:blip r:embed="rId76" cstate="print">
                      <a:extLst>
                        <a:ext uri="{28A0092B-C50C-407E-A947-70E740481C1C}">
                          <a14:useLocalDpi xmlns:a14="http://schemas.microsoft.com/office/drawing/2010/main" val="0"/>
                        </a:ext>
                      </a:extLst>
                    </a:blip>
                    <a:stretch>
                      <a:fillRect/>
                    </a:stretch>
                  </pic:blipFill>
                  <pic:spPr>
                    <a:xfrm rot="16200000">
                      <a:off x="0" y="0"/>
                      <a:ext cx="7489907" cy="4764795"/>
                    </a:xfrm>
                    <a:prstGeom prst="rect">
                      <a:avLst/>
                    </a:prstGeom>
                  </pic:spPr>
                </pic:pic>
              </a:graphicData>
            </a:graphic>
          </wp:inline>
        </w:drawing>
      </w:r>
      <w:r w:rsidRPr="000E152E">
        <w:rPr>
          <w:noProof/>
          <w:lang w:val="en-US"/>
        </w:rPr>
        <w:lastRenderedPageBreak/>
        <w:drawing>
          <wp:inline distT="0" distB="0" distL="0" distR="0" wp14:anchorId="01BB08CE" wp14:editId="01BB08CF">
            <wp:extent cx="5731510" cy="7828915"/>
            <wp:effectExtent l="0" t="0" r="254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6.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7828915"/>
                    </a:xfrm>
                    <a:prstGeom prst="rect">
                      <a:avLst/>
                    </a:prstGeom>
                  </pic:spPr>
                </pic:pic>
              </a:graphicData>
            </a:graphic>
          </wp:inline>
        </w:drawing>
      </w:r>
      <w:r w:rsidRPr="000E152E">
        <w:rPr>
          <w:noProof/>
          <w:lang w:val="en-US"/>
        </w:rPr>
        <w:lastRenderedPageBreak/>
        <w:drawing>
          <wp:inline distT="0" distB="0" distL="0" distR="0" wp14:anchorId="01BB08D0" wp14:editId="01BB08D1">
            <wp:extent cx="5731510" cy="8049260"/>
            <wp:effectExtent l="0" t="0" r="254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7.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8049260"/>
                    </a:xfrm>
                    <a:prstGeom prst="rect">
                      <a:avLst/>
                    </a:prstGeom>
                  </pic:spPr>
                </pic:pic>
              </a:graphicData>
            </a:graphic>
          </wp:inline>
        </w:drawing>
      </w:r>
      <w:r w:rsidRPr="000E152E">
        <w:rPr>
          <w:noProof/>
          <w:lang w:val="en-US"/>
        </w:rPr>
        <w:lastRenderedPageBreak/>
        <w:drawing>
          <wp:inline distT="0" distB="0" distL="0" distR="0" wp14:anchorId="01BB08D2" wp14:editId="01BB08D3">
            <wp:extent cx="5964725" cy="3444949"/>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8.jpg"/>
                    <pic:cNvPicPr/>
                  </pic:nvPicPr>
                  <pic:blipFill>
                    <a:blip r:embed="rId79">
                      <a:extLst>
                        <a:ext uri="{28A0092B-C50C-407E-A947-70E740481C1C}">
                          <a14:useLocalDpi xmlns:a14="http://schemas.microsoft.com/office/drawing/2010/main" val="0"/>
                        </a:ext>
                      </a:extLst>
                    </a:blip>
                    <a:stretch>
                      <a:fillRect/>
                    </a:stretch>
                  </pic:blipFill>
                  <pic:spPr>
                    <a:xfrm>
                      <a:off x="0" y="0"/>
                      <a:ext cx="5965309" cy="3445286"/>
                    </a:xfrm>
                    <a:prstGeom prst="rect">
                      <a:avLst/>
                    </a:prstGeom>
                  </pic:spPr>
                </pic:pic>
              </a:graphicData>
            </a:graphic>
          </wp:inline>
        </w:drawing>
      </w:r>
      <w:r w:rsidRPr="000E152E">
        <w:rPr>
          <w:noProof/>
          <w:lang w:val="en-US"/>
        </w:rPr>
        <w:lastRenderedPageBreak/>
        <w:drawing>
          <wp:inline distT="0" distB="0" distL="0" distR="0" wp14:anchorId="01BB08D4" wp14:editId="01BB08D5">
            <wp:extent cx="5731510" cy="8202295"/>
            <wp:effectExtent l="0" t="0" r="254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59.jpg"/>
                    <pic:cNvPicPr/>
                  </pic:nvPicPr>
                  <pic:blipFill>
                    <a:blip r:embed="rId80">
                      <a:extLst>
                        <a:ext uri="{28A0092B-C50C-407E-A947-70E740481C1C}">
                          <a14:useLocalDpi xmlns:a14="http://schemas.microsoft.com/office/drawing/2010/main" val="0"/>
                        </a:ext>
                      </a:extLst>
                    </a:blip>
                    <a:stretch>
                      <a:fillRect/>
                    </a:stretch>
                  </pic:blipFill>
                  <pic:spPr>
                    <a:xfrm>
                      <a:off x="0" y="0"/>
                      <a:ext cx="5731510" cy="8202295"/>
                    </a:xfrm>
                    <a:prstGeom prst="rect">
                      <a:avLst/>
                    </a:prstGeom>
                  </pic:spPr>
                </pic:pic>
              </a:graphicData>
            </a:graphic>
          </wp:inline>
        </w:drawing>
      </w:r>
      <w:r w:rsidRPr="000E152E">
        <w:rPr>
          <w:noProof/>
          <w:lang w:val="en-US"/>
        </w:rPr>
        <w:lastRenderedPageBreak/>
        <w:drawing>
          <wp:inline distT="0" distB="0" distL="0" distR="0" wp14:anchorId="01BB08D6" wp14:editId="01BB08D7">
            <wp:extent cx="5731510" cy="8589010"/>
            <wp:effectExtent l="0" t="0" r="254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0.jpg"/>
                    <pic:cNvPicPr/>
                  </pic:nvPicPr>
                  <pic:blipFill>
                    <a:blip r:embed="rId81">
                      <a:extLst>
                        <a:ext uri="{28A0092B-C50C-407E-A947-70E740481C1C}">
                          <a14:useLocalDpi xmlns:a14="http://schemas.microsoft.com/office/drawing/2010/main" val="0"/>
                        </a:ext>
                      </a:extLst>
                    </a:blip>
                    <a:stretch>
                      <a:fillRect/>
                    </a:stretch>
                  </pic:blipFill>
                  <pic:spPr>
                    <a:xfrm>
                      <a:off x="0" y="0"/>
                      <a:ext cx="5731510" cy="8589010"/>
                    </a:xfrm>
                    <a:prstGeom prst="rect">
                      <a:avLst/>
                    </a:prstGeom>
                  </pic:spPr>
                </pic:pic>
              </a:graphicData>
            </a:graphic>
          </wp:inline>
        </w:drawing>
      </w:r>
      <w:r w:rsidRPr="000E152E">
        <w:rPr>
          <w:noProof/>
          <w:lang w:val="en-US"/>
        </w:rPr>
        <w:lastRenderedPageBreak/>
        <w:drawing>
          <wp:inline distT="0" distB="0" distL="0" distR="0" wp14:anchorId="01BB08D8" wp14:editId="01BB08D9">
            <wp:extent cx="5731510" cy="7726680"/>
            <wp:effectExtent l="0" t="0" r="254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1.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1510" cy="7726680"/>
                    </a:xfrm>
                    <a:prstGeom prst="rect">
                      <a:avLst/>
                    </a:prstGeom>
                  </pic:spPr>
                </pic:pic>
              </a:graphicData>
            </a:graphic>
          </wp:inline>
        </w:drawing>
      </w:r>
      <w:r w:rsidRPr="000E152E">
        <w:rPr>
          <w:noProof/>
          <w:lang w:val="en-US"/>
        </w:rPr>
        <w:lastRenderedPageBreak/>
        <w:drawing>
          <wp:inline distT="0" distB="0" distL="0" distR="0" wp14:anchorId="01BB08DA" wp14:editId="01BB08DB">
            <wp:extent cx="5731510" cy="7450455"/>
            <wp:effectExtent l="0" t="0" r="254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2.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1510" cy="7450455"/>
                    </a:xfrm>
                    <a:prstGeom prst="rect">
                      <a:avLst/>
                    </a:prstGeom>
                  </pic:spPr>
                </pic:pic>
              </a:graphicData>
            </a:graphic>
          </wp:inline>
        </w:drawing>
      </w:r>
      <w:r w:rsidRPr="000E152E">
        <w:rPr>
          <w:noProof/>
          <w:lang w:val="en-US"/>
        </w:rPr>
        <w:lastRenderedPageBreak/>
        <w:drawing>
          <wp:inline distT="0" distB="0" distL="0" distR="0" wp14:anchorId="01BB08DC" wp14:editId="01BB08DD">
            <wp:extent cx="5731510" cy="7909560"/>
            <wp:effectExtent l="0" t="0" r="254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3.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31510" cy="7909560"/>
                    </a:xfrm>
                    <a:prstGeom prst="rect">
                      <a:avLst/>
                    </a:prstGeom>
                  </pic:spPr>
                </pic:pic>
              </a:graphicData>
            </a:graphic>
          </wp:inline>
        </w:drawing>
      </w:r>
      <w:r w:rsidRPr="000E152E">
        <w:rPr>
          <w:noProof/>
          <w:lang w:val="en-US"/>
        </w:rPr>
        <w:lastRenderedPageBreak/>
        <w:drawing>
          <wp:inline distT="0" distB="0" distL="0" distR="0" wp14:anchorId="01BB08DE" wp14:editId="01BB08DF">
            <wp:extent cx="5731510" cy="8121015"/>
            <wp:effectExtent l="0" t="0" r="254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4.jpg"/>
                    <pic:cNvPicPr/>
                  </pic:nvPicPr>
                  <pic:blipFill>
                    <a:blip r:embed="rId85">
                      <a:extLst>
                        <a:ext uri="{28A0092B-C50C-407E-A947-70E740481C1C}">
                          <a14:useLocalDpi xmlns:a14="http://schemas.microsoft.com/office/drawing/2010/main" val="0"/>
                        </a:ext>
                      </a:extLst>
                    </a:blip>
                    <a:stretch>
                      <a:fillRect/>
                    </a:stretch>
                  </pic:blipFill>
                  <pic:spPr>
                    <a:xfrm>
                      <a:off x="0" y="0"/>
                      <a:ext cx="5731510" cy="8121015"/>
                    </a:xfrm>
                    <a:prstGeom prst="rect">
                      <a:avLst/>
                    </a:prstGeom>
                  </pic:spPr>
                </pic:pic>
              </a:graphicData>
            </a:graphic>
          </wp:inline>
        </w:drawing>
      </w:r>
      <w:r w:rsidRPr="000E152E">
        <w:rPr>
          <w:noProof/>
          <w:lang w:val="en-US"/>
        </w:rPr>
        <w:lastRenderedPageBreak/>
        <w:drawing>
          <wp:inline distT="0" distB="0" distL="0" distR="0" wp14:anchorId="01BB08E0" wp14:editId="01BB08E1">
            <wp:extent cx="5731510" cy="7640955"/>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5.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1510" cy="7640955"/>
                    </a:xfrm>
                    <a:prstGeom prst="rect">
                      <a:avLst/>
                    </a:prstGeom>
                  </pic:spPr>
                </pic:pic>
              </a:graphicData>
            </a:graphic>
          </wp:inline>
        </w:drawing>
      </w:r>
      <w:r w:rsidRPr="000E152E">
        <w:rPr>
          <w:noProof/>
          <w:lang w:val="en-US"/>
        </w:rPr>
        <w:lastRenderedPageBreak/>
        <w:drawing>
          <wp:inline distT="0" distB="0" distL="0" distR="0" wp14:anchorId="01BB08E2" wp14:editId="01BB08E3">
            <wp:extent cx="5731510" cy="8219440"/>
            <wp:effectExtent l="0" t="0" r="254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6.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1510" cy="8219440"/>
                    </a:xfrm>
                    <a:prstGeom prst="rect">
                      <a:avLst/>
                    </a:prstGeom>
                  </pic:spPr>
                </pic:pic>
              </a:graphicData>
            </a:graphic>
          </wp:inline>
        </w:drawing>
      </w:r>
      <w:r w:rsidRPr="000E152E">
        <w:rPr>
          <w:noProof/>
          <w:lang w:val="en-US"/>
        </w:rPr>
        <w:lastRenderedPageBreak/>
        <w:drawing>
          <wp:inline distT="0" distB="0" distL="0" distR="0" wp14:anchorId="01BB08E4" wp14:editId="01BB08E5">
            <wp:extent cx="5731510" cy="7809865"/>
            <wp:effectExtent l="0" t="0" r="2540"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7.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1510" cy="7809865"/>
                    </a:xfrm>
                    <a:prstGeom prst="rect">
                      <a:avLst/>
                    </a:prstGeom>
                  </pic:spPr>
                </pic:pic>
              </a:graphicData>
            </a:graphic>
          </wp:inline>
        </w:drawing>
      </w:r>
      <w:r w:rsidRPr="000E152E">
        <w:rPr>
          <w:noProof/>
          <w:lang w:val="en-US"/>
        </w:rPr>
        <w:lastRenderedPageBreak/>
        <w:drawing>
          <wp:inline distT="0" distB="0" distL="0" distR="0" wp14:anchorId="01BB08E6" wp14:editId="01BB08E7">
            <wp:extent cx="5731510" cy="7814310"/>
            <wp:effectExtent l="0" t="0" r="254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8.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1510" cy="7814310"/>
                    </a:xfrm>
                    <a:prstGeom prst="rect">
                      <a:avLst/>
                    </a:prstGeom>
                  </pic:spPr>
                </pic:pic>
              </a:graphicData>
            </a:graphic>
          </wp:inline>
        </w:drawing>
      </w:r>
      <w:r w:rsidRPr="000E152E">
        <w:rPr>
          <w:noProof/>
          <w:lang w:val="en-US"/>
        </w:rPr>
        <w:lastRenderedPageBreak/>
        <w:drawing>
          <wp:inline distT="0" distB="0" distL="0" distR="0" wp14:anchorId="01BB08E8" wp14:editId="01BB08E9">
            <wp:extent cx="5731510" cy="6754495"/>
            <wp:effectExtent l="0" t="0" r="2540" b="825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 - Plani i Zbatimit te Garancise Rinore 2023-2024_Page_69.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1510" cy="6754495"/>
                    </a:xfrm>
                    <a:prstGeom prst="rect">
                      <a:avLst/>
                    </a:prstGeom>
                  </pic:spPr>
                </pic:pic>
              </a:graphicData>
            </a:graphic>
          </wp:inline>
        </w:drawing>
      </w:r>
    </w:p>
    <w:p w14:paraId="01BB0850" w14:textId="77777777" w:rsidR="00527F17" w:rsidRPr="000E152E" w:rsidRDefault="00527F17" w:rsidP="00441D8A">
      <w:pPr>
        <w:pStyle w:val="TEKSTIIII"/>
        <w:jc w:val="center"/>
        <w:rPr>
          <w:b/>
        </w:rPr>
      </w:pPr>
    </w:p>
    <w:p w14:paraId="01BB0851" w14:textId="77777777" w:rsidR="00AF5EFC" w:rsidRPr="000E152E" w:rsidRDefault="00AF5EFC" w:rsidP="00AF5EFC">
      <w:pPr>
        <w:pStyle w:val="TEKSTIIII"/>
      </w:pPr>
    </w:p>
    <w:sectPr w:rsidR="00AF5EFC" w:rsidRPr="000E152E" w:rsidSect="00514472">
      <w:pgSz w:w="11906" w:h="16838" w:code="9"/>
      <w:pgMar w:top="1440" w:right="1440" w:bottom="1622"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2E75B" w14:textId="77777777" w:rsidR="00C27CE9" w:rsidRDefault="00C27CE9" w:rsidP="003A3E1B">
      <w:pPr>
        <w:spacing w:after="0" w:line="240" w:lineRule="auto"/>
      </w:pPr>
      <w:r>
        <w:separator/>
      </w:r>
    </w:p>
  </w:endnote>
  <w:endnote w:type="continuationSeparator" w:id="0">
    <w:p w14:paraId="66CF179A" w14:textId="77777777" w:rsidR="00C27CE9" w:rsidRDefault="00C27CE9" w:rsidP="003A3E1B">
      <w:pPr>
        <w:spacing w:after="0" w:line="240" w:lineRule="auto"/>
      </w:pPr>
      <w:r>
        <w:continuationSeparator/>
      </w:r>
    </w:p>
  </w:endnote>
  <w:endnote w:type="continuationNotice" w:id="1">
    <w:p w14:paraId="1777B974" w14:textId="77777777" w:rsidR="00C27CE9" w:rsidRDefault="00C27C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3694286"/>
      <w:docPartObj>
        <w:docPartGallery w:val="Page Numbers (Bottom of Page)"/>
        <w:docPartUnique/>
      </w:docPartObj>
    </w:sdtPr>
    <w:sdtEndPr>
      <w:rPr>
        <w:rFonts w:ascii="Times New Roman" w:hAnsi="Times New Roman"/>
        <w:noProof/>
        <w:sz w:val="24"/>
      </w:rPr>
    </w:sdtEndPr>
    <w:sdtContent>
      <w:p w14:paraId="01BB08EE" w14:textId="77777777" w:rsidR="00C27CE9" w:rsidRPr="005E06BB" w:rsidRDefault="00C27CE9">
        <w:pPr>
          <w:pStyle w:val="Footer"/>
          <w:jc w:val="right"/>
          <w:rPr>
            <w:rFonts w:ascii="Times New Roman" w:hAnsi="Times New Roman"/>
            <w:sz w:val="24"/>
          </w:rPr>
        </w:pPr>
        <w:r w:rsidRPr="005E06BB">
          <w:rPr>
            <w:rFonts w:ascii="Times New Roman" w:hAnsi="Times New Roman"/>
            <w:sz w:val="24"/>
          </w:rPr>
          <w:fldChar w:fldCharType="begin"/>
        </w:r>
        <w:r w:rsidRPr="005E06BB">
          <w:rPr>
            <w:rFonts w:ascii="Times New Roman" w:hAnsi="Times New Roman"/>
            <w:sz w:val="24"/>
          </w:rPr>
          <w:instrText xml:space="preserve"> PAGE   \* MERGEFORMAT </w:instrText>
        </w:r>
        <w:r w:rsidRPr="005E06BB">
          <w:rPr>
            <w:rFonts w:ascii="Times New Roman" w:hAnsi="Times New Roman"/>
            <w:sz w:val="24"/>
          </w:rPr>
          <w:fldChar w:fldCharType="separate"/>
        </w:r>
        <w:r w:rsidR="005922D4">
          <w:rPr>
            <w:rFonts w:ascii="Times New Roman" w:hAnsi="Times New Roman"/>
            <w:noProof/>
            <w:sz w:val="24"/>
          </w:rPr>
          <w:t>94</w:t>
        </w:r>
        <w:r w:rsidRPr="005E06BB">
          <w:rPr>
            <w:rFonts w:ascii="Times New Roman" w:hAnsi="Times New Roman"/>
            <w:noProof/>
            <w:sz w:val="24"/>
          </w:rPr>
          <w:fldChar w:fldCharType="end"/>
        </w:r>
      </w:p>
    </w:sdtContent>
  </w:sdt>
  <w:p w14:paraId="01BB08EF" w14:textId="77777777" w:rsidR="00C27CE9" w:rsidRDefault="00C27C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BCBB5C" w14:textId="77777777" w:rsidR="00C27CE9" w:rsidRDefault="00C27CE9" w:rsidP="003A3E1B">
      <w:pPr>
        <w:spacing w:after="0" w:line="240" w:lineRule="auto"/>
      </w:pPr>
      <w:r>
        <w:separator/>
      </w:r>
    </w:p>
  </w:footnote>
  <w:footnote w:type="continuationSeparator" w:id="0">
    <w:p w14:paraId="4BA632E0" w14:textId="77777777" w:rsidR="00C27CE9" w:rsidRDefault="00C27CE9" w:rsidP="003A3E1B">
      <w:pPr>
        <w:spacing w:after="0" w:line="240" w:lineRule="auto"/>
      </w:pPr>
      <w:r>
        <w:continuationSeparator/>
      </w:r>
    </w:p>
  </w:footnote>
  <w:footnote w:type="continuationNotice" w:id="1">
    <w:p w14:paraId="431BE918" w14:textId="77777777" w:rsidR="00C27CE9" w:rsidRDefault="00C27CE9">
      <w:pPr>
        <w:spacing w:after="0" w:line="240" w:lineRule="auto"/>
      </w:pPr>
    </w:p>
  </w:footnote>
  <w:footnote w:id="2">
    <w:p w14:paraId="01BB08F0" w14:textId="168C9C98" w:rsidR="00C27CE9" w:rsidRPr="00CB1B2B" w:rsidRDefault="00C27CE9" w:rsidP="00FE43F1">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Raporti i fundit i Dhomës Amerikane të Tregtisë mbi Indeksin e Biznesit në Shqipëri 2020 tregon se 63.8 për</w:t>
      </w:r>
      <w:r>
        <w:rPr>
          <w:rFonts w:ascii="Garamond" w:hAnsi="Garamond" w:cstheme="majorHAnsi"/>
          <w:lang w:val="sq-AL"/>
        </w:rPr>
        <w:t xml:space="preserve"> </w:t>
      </w:r>
      <w:r w:rsidRPr="00CB1B2B">
        <w:rPr>
          <w:rFonts w:ascii="Garamond" w:hAnsi="Garamond" w:cstheme="majorHAnsi"/>
          <w:lang w:val="sq-AL"/>
        </w:rPr>
        <w:t>qind e të intervistuarve treguan se e kishin shumë të vështirë ose të vështirë gjetjen e stafit të kualifikuar për punë (</w:t>
      </w:r>
      <w:hyperlink r:id="rId1" w:history="1">
        <w:r w:rsidRPr="00CB1B2B">
          <w:rPr>
            <w:rStyle w:val="Hyperlink"/>
            <w:rFonts w:ascii="Garamond" w:hAnsi="Garamond" w:cstheme="majorHAnsi"/>
            <w:lang w:val="sq-AL"/>
          </w:rPr>
          <w:t>https://amcham.com.al/amcham-publikon-indeksin-e-biznesit-per-periudhen-2020-2021/</w:t>
        </w:r>
      </w:hyperlink>
      <w:r w:rsidRPr="00CB1B2B">
        <w:rPr>
          <w:rFonts w:ascii="Garamond" w:hAnsi="Garamond" w:cstheme="majorHAnsi"/>
          <w:lang w:val="sq-AL"/>
        </w:rPr>
        <w:t xml:space="preserve">) </w:t>
      </w:r>
    </w:p>
  </w:footnote>
  <w:footnote w:id="3">
    <w:p w14:paraId="01BB08F1" w14:textId="4726A38E" w:rsidR="00C27CE9" w:rsidRPr="00CB1B2B" w:rsidRDefault="00C27CE9" w:rsidP="00681568">
      <w:pPr>
        <w:pStyle w:val="FootnoteText"/>
        <w:spacing w:before="0" w:after="0" w:line="240" w:lineRule="auto"/>
        <w:rPr>
          <w:rFonts w:ascii="Garamond" w:hAnsi="Garamond" w:cstheme="majorHAnsi"/>
          <w:szCs w:val="18"/>
          <w:lang w:val="sq-AL"/>
        </w:rPr>
      </w:pPr>
      <w:r w:rsidRPr="00CB1B2B">
        <w:rPr>
          <w:rStyle w:val="FootnoteReference"/>
          <w:rFonts w:ascii="Garamond" w:hAnsi="Garamond" w:cstheme="majorHAnsi"/>
          <w:szCs w:val="18"/>
          <w:lang w:val="sq-AL"/>
        </w:rPr>
        <w:footnoteRef/>
      </w:r>
      <w:r w:rsidRPr="00CB1B2B">
        <w:rPr>
          <w:rFonts w:ascii="Garamond" w:hAnsi="Garamond" w:cstheme="majorHAnsi"/>
          <w:szCs w:val="18"/>
          <w:lang w:val="sq-AL"/>
        </w:rPr>
        <w:t xml:space="preserve"> Në vendet e Ballkanit Perëndimor mesatarja ishte 31 për</w:t>
      </w:r>
      <w:r>
        <w:rPr>
          <w:rFonts w:ascii="Garamond" w:hAnsi="Garamond" w:cstheme="majorHAnsi"/>
          <w:szCs w:val="18"/>
          <w:lang w:val="sq-AL"/>
        </w:rPr>
        <w:t xml:space="preserve"> </w:t>
      </w:r>
      <w:r w:rsidRPr="00CB1B2B">
        <w:rPr>
          <w:rFonts w:ascii="Garamond" w:hAnsi="Garamond" w:cstheme="majorHAnsi"/>
          <w:szCs w:val="18"/>
          <w:lang w:val="sq-AL"/>
        </w:rPr>
        <w:t>qind.</w:t>
      </w:r>
    </w:p>
  </w:footnote>
  <w:footnote w:id="4">
    <w:p w14:paraId="01BB08F2" w14:textId="77777777" w:rsidR="00C27CE9" w:rsidRPr="00CB1B2B" w:rsidRDefault="00C27CE9" w:rsidP="00111339">
      <w:pPr>
        <w:spacing w:after="0" w:line="240" w:lineRule="auto"/>
        <w:jc w:val="both"/>
        <w:rPr>
          <w:rFonts w:ascii="Garamond" w:hAnsi="Garamond" w:cstheme="majorHAnsi"/>
          <w:sz w:val="20"/>
          <w:szCs w:val="18"/>
        </w:rPr>
      </w:pPr>
      <w:r w:rsidRPr="00CB1B2B">
        <w:rPr>
          <w:rStyle w:val="FootnoteReference"/>
          <w:rFonts w:ascii="Garamond" w:hAnsi="Garamond" w:cstheme="majorHAnsi"/>
          <w:sz w:val="20"/>
          <w:szCs w:val="18"/>
        </w:rPr>
        <w:footnoteRef/>
      </w:r>
      <w:r w:rsidRPr="00CB1B2B">
        <w:rPr>
          <w:rFonts w:ascii="Garamond" w:hAnsi="Garamond" w:cstheme="majorHAnsi"/>
          <w:sz w:val="20"/>
          <w:szCs w:val="18"/>
        </w:rPr>
        <w:t xml:space="preserve"> Mospërputhja e aftësive mund të përkufizohet si një përshkrim i boshllëqeve dhe disbalancave të aftësive në tregun e punës, për shkak të nivelit të kualifikimit ose aftësive (ETF 2022). </w:t>
      </w:r>
    </w:p>
  </w:footnote>
  <w:footnote w:id="5">
    <w:p w14:paraId="01BB08F3" w14:textId="114BE6CE" w:rsidR="00C27CE9" w:rsidRPr="00CB1B2B" w:rsidRDefault="00C27CE9" w:rsidP="00111339">
      <w:pPr>
        <w:spacing w:after="0" w:line="240" w:lineRule="auto"/>
        <w:jc w:val="both"/>
        <w:rPr>
          <w:rFonts w:ascii="Garamond" w:hAnsi="Garamond" w:cstheme="majorHAnsi"/>
          <w:sz w:val="20"/>
          <w:szCs w:val="18"/>
        </w:rPr>
      </w:pPr>
      <w:r w:rsidRPr="00CB1B2B">
        <w:rPr>
          <w:rStyle w:val="FootnoteReference"/>
          <w:rFonts w:ascii="Garamond" w:hAnsi="Garamond" w:cstheme="majorHAnsi"/>
          <w:sz w:val="20"/>
          <w:szCs w:val="18"/>
        </w:rPr>
        <w:footnoteRef/>
      </w:r>
      <w:r w:rsidRPr="00CB1B2B">
        <w:rPr>
          <w:rFonts w:ascii="Garamond" w:hAnsi="Garamond" w:cstheme="majorHAnsi"/>
          <w:sz w:val="20"/>
          <w:szCs w:val="18"/>
        </w:rPr>
        <w:t xml:space="preserve"> Shkalla e papunësisë së të rinjve është 27.1 për</w:t>
      </w:r>
      <w:r>
        <w:rPr>
          <w:rFonts w:ascii="Garamond" w:hAnsi="Garamond" w:cstheme="majorHAnsi"/>
          <w:sz w:val="20"/>
          <w:szCs w:val="18"/>
        </w:rPr>
        <w:t xml:space="preserve"> </w:t>
      </w:r>
      <w:r w:rsidRPr="00CB1B2B">
        <w:rPr>
          <w:rFonts w:ascii="Garamond" w:hAnsi="Garamond" w:cstheme="majorHAnsi"/>
          <w:sz w:val="20"/>
          <w:szCs w:val="18"/>
        </w:rPr>
        <w:t>qind që është më shumë se dyfishi i shkallës së përgjithshme të papunësisë (11.5 për</w:t>
      </w:r>
      <w:r>
        <w:rPr>
          <w:rFonts w:ascii="Garamond" w:hAnsi="Garamond" w:cstheme="majorHAnsi"/>
          <w:sz w:val="20"/>
          <w:szCs w:val="18"/>
        </w:rPr>
        <w:t xml:space="preserve"> </w:t>
      </w:r>
      <w:r w:rsidRPr="00CB1B2B">
        <w:rPr>
          <w:rFonts w:ascii="Garamond" w:hAnsi="Garamond" w:cstheme="majorHAnsi"/>
          <w:sz w:val="20"/>
          <w:szCs w:val="18"/>
        </w:rPr>
        <w:t xml:space="preserve">qind </w:t>
      </w:r>
      <w:r>
        <w:rPr>
          <w:rFonts w:ascii="Garamond" w:hAnsi="Garamond" w:cstheme="majorHAnsi"/>
          <w:sz w:val="20"/>
          <w:szCs w:val="18"/>
        </w:rPr>
        <w:t>m</w:t>
      </w:r>
      <w:r w:rsidRPr="00CB1B2B">
        <w:rPr>
          <w:rFonts w:ascii="Garamond" w:hAnsi="Garamond" w:cstheme="majorHAnsi"/>
          <w:sz w:val="20"/>
          <w:szCs w:val="18"/>
        </w:rPr>
        <w:t>ë 2021). Shkalla e papunësisë dhe shkalla e papun</w:t>
      </w:r>
      <w:r w:rsidRPr="00CB1B2B">
        <w:rPr>
          <w:rFonts w:ascii="Garamond" w:hAnsi="Garamond" w:cstheme="majorHAnsi"/>
          <w:bCs/>
          <w:sz w:val="20"/>
          <w:szCs w:val="18"/>
        </w:rPr>
        <w:t>ë</w:t>
      </w:r>
      <w:r w:rsidRPr="00CB1B2B">
        <w:rPr>
          <w:rFonts w:ascii="Garamond" w:hAnsi="Garamond" w:cstheme="majorHAnsi"/>
          <w:sz w:val="20"/>
          <w:szCs w:val="18"/>
        </w:rPr>
        <w:t>sis</w:t>
      </w:r>
      <w:r w:rsidRPr="00CB1B2B">
        <w:rPr>
          <w:rFonts w:ascii="Garamond" w:hAnsi="Garamond" w:cstheme="majorHAnsi"/>
          <w:bCs/>
          <w:sz w:val="20"/>
          <w:szCs w:val="18"/>
        </w:rPr>
        <w:t>ë</w:t>
      </w:r>
      <w:r w:rsidRPr="00CB1B2B">
        <w:rPr>
          <w:rFonts w:ascii="Garamond" w:hAnsi="Garamond" w:cstheme="majorHAnsi"/>
          <w:sz w:val="20"/>
          <w:szCs w:val="18"/>
        </w:rPr>
        <w:t xml:space="preserve"> afatgjat</w:t>
      </w:r>
      <w:r w:rsidRPr="00CB1B2B">
        <w:rPr>
          <w:rFonts w:ascii="Garamond" w:hAnsi="Garamond" w:cstheme="majorHAnsi"/>
          <w:bCs/>
          <w:sz w:val="20"/>
          <w:szCs w:val="18"/>
        </w:rPr>
        <w:t>ë</w:t>
      </w:r>
      <w:r w:rsidRPr="00CB1B2B">
        <w:rPr>
          <w:rFonts w:ascii="Garamond" w:hAnsi="Garamond" w:cstheme="majorHAnsi"/>
          <w:sz w:val="20"/>
          <w:szCs w:val="18"/>
        </w:rPr>
        <w:t xml:space="preserve"> e të diplomuarve nga arsimi i lartë (10.5 për</w:t>
      </w:r>
      <w:r>
        <w:rPr>
          <w:rFonts w:ascii="Garamond" w:hAnsi="Garamond" w:cstheme="majorHAnsi"/>
          <w:sz w:val="20"/>
          <w:szCs w:val="18"/>
        </w:rPr>
        <w:t xml:space="preserve"> </w:t>
      </w:r>
      <w:r w:rsidRPr="00CB1B2B">
        <w:rPr>
          <w:rFonts w:ascii="Garamond" w:hAnsi="Garamond" w:cstheme="majorHAnsi"/>
          <w:sz w:val="20"/>
          <w:szCs w:val="18"/>
        </w:rPr>
        <w:t>qind dhe 6.9 për</w:t>
      </w:r>
      <w:r>
        <w:rPr>
          <w:rFonts w:ascii="Garamond" w:hAnsi="Garamond" w:cstheme="majorHAnsi"/>
          <w:sz w:val="20"/>
          <w:szCs w:val="18"/>
        </w:rPr>
        <w:t xml:space="preserve"> </w:t>
      </w:r>
      <w:r w:rsidRPr="00CB1B2B">
        <w:rPr>
          <w:rFonts w:ascii="Garamond" w:hAnsi="Garamond" w:cstheme="majorHAnsi"/>
          <w:sz w:val="20"/>
          <w:szCs w:val="18"/>
        </w:rPr>
        <w:t>qind) është thuajse e barabartë me shkallën e papunësisë së personave me arsim bazë (10.6 për</w:t>
      </w:r>
      <w:r>
        <w:rPr>
          <w:rFonts w:ascii="Garamond" w:hAnsi="Garamond" w:cstheme="majorHAnsi"/>
          <w:sz w:val="20"/>
          <w:szCs w:val="18"/>
        </w:rPr>
        <w:t xml:space="preserve"> </w:t>
      </w:r>
      <w:r w:rsidRPr="00CB1B2B">
        <w:rPr>
          <w:rFonts w:ascii="Garamond" w:hAnsi="Garamond" w:cstheme="majorHAnsi"/>
          <w:sz w:val="20"/>
          <w:szCs w:val="18"/>
        </w:rPr>
        <w:t>qind dhe 6.4 për</w:t>
      </w:r>
      <w:r>
        <w:rPr>
          <w:rFonts w:ascii="Garamond" w:hAnsi="Garamond" w:cstheme="majorHAnsi"/>
          <w:sz w:val="20"/>
          <w:szCs w:val="18"/>
        </w:rPr>
        <w:t xml:space="preserve"> </w:t>
      </w:r>
      <w:r w:rsidRPr="00CB1B2B">
        <w:rPr>
          <w:rFonts w:ascii="Garamond" w:hAnsi="Garamond" w:cstheme="majorHAnsi"/>
          <w:sz w:val="20"/>
          <w:szCs w:val="18"/>
        </w:rPr>
        <w:t xml:space="preserve">qind). Fakti që shkalla e papunësisë së të rinjve me arsim të lartë, është më e lartë se te të rinjtë me arsim të mesëm reflekton një mospërputhje të rezultateve të arsimit të lartë me kërkesat e tregut të punës. </w:t>
      </w:r>
    </w:p>
  </w:footnote>
  <w:footnote w:id="6">
    <w:p w14:paraId="01BB08F4" w14:textId="009A7E53" w:rsidR="00C27CE9" w:rsidRPr="00CB1B2B" w:rsidRDefault="00C27CE9" w:rsidP="00111339">
      <w:pPr>
        <w:spacing w:after="0" w:line="240" w:lineRule="auto"/>
        <w:jc w:val="both"/>
        <w:rPr>
          <w:rFonts w:ascii="Garamond" w:hAnsi="Garamond" w:cstheme="majorHAnsi"/>
          <w:color w:val="000000" w:themeColor="text1"/>
          <w:sz w:val="20"/>
          <w:szCs w:val="18"/>
        </w:rPr>
      </w:pPr>
      <w:r w:rsidRPr="00CB1B2B">
        <w:rPr>
          <w:rStyle w:val="FootnoteReference"/>
          <w:rFonts w:ascii="Garamond" w:hAnsi="Garamond" w:cstheme="majorHAnsi"/>
          <w:sz w:val="20"/>
          <w:szCs w:val="18"/>
        </w:rPr>
        <w:footnoteRef/>
      </w:r>
      <w:r w:rsidRPr="00CB1B2B">
        <w:rPr>
          <w:rFonts w:ascii="Garamond" w:hAnsi="Garamond" w:cstheme="majorHAnsi"/>
          <w:sz w:val="20"/>
          <w:szCs w:val="18"/>
        </w:rPr>
        <w:t xml:space="preserve"> Në vitin 2021, të rinjtë e moshës 15</w:t>
      </w:r>
      <w:r>
        <w:rPr>
          <w:rFonts w:ascii="Garamond" w:hAnsi="Garamond" w:cstheme="majorHAnsi"/>
          <w:sz w:val="20"/>
          <w:szCs w:val="18"/>
        </w:rPr>
        <w:t>–</w:t>
      </w:r>
      <w:r w:rsidRPr="00CB1B2B">
        <w:rPr>
          <w:rFonts w:ascii="Garamond" w:hAnsi="Garamond" w:cstheme="majorHAnsi"/>
          <w:sz w:val="20"/>
          <w:szCs w:val="18"/>
        </w:rPr>
        <w:t>29 vjeç të kategorisë NEET përbëjnë 26.1 për</w:t>
      </w:r>
      <w:r>
        <w:rPr>
          <w:rFonts w:ascii="Garamond" w:hAnsi="Garamond" w:cstheme="majorHAnsi"/>
          <w:sz w:val="20"/>
          <w:szCs w:val="18"/>
        </w:rPr>
        <w:t xml:space="preserve"> </w:t>
      </w:r>
      <w:r w:rsidRPr="00CB1B2B">
        <w:rPr>
          <w:rFonts w:ascii="Garamond" w:hAnsi="Garamond" w:cstheme="majorHAnsi"/>
          <w:sz w:val="20"/>
          <w:szCs w:val="18"/>
        </w:rPr>
        <w:t>qind të të gjithë popullsisë rinore. Në këtë grup, 37.3 për</w:t>
      </w:r>
      <w:r>
        <w:rPr>
          <w:rFonts w:ascii="Garamond" w:hAnsi="Garamond" w:cstheme="majorHAnsi"/>
          <w:sz w:val="20"/>
          <w:szCs w:val="18"/>
        </w:rPr>
        <w:t xml:space="preserve"> </w:t>
      </w:r>
      <w:r w:rsidRPr="00CB1B2B">
        <w:rPr>
          <w:rFonts w:ascii="Garamond" w:hAnsi="Garamond" w:cstheme="majorHAnsi"/>
          <w:sz w:val="20"/>
          <w:szCs w:val="18"/>
        </w:rPr>
        <w:t>qind janë të papunë. Pjesa tjetër është jashtë forcës së punës, ose sepse janë punëtorë të dekurajuar (15.4 për</w:t>
      </w:r>
      <w:r>
        <w:rPr>
          <w:rFonts w:ascii="Garamond" w:hAnsi="Garamond" w:cstheme="majorHAnsi"/>
          <w:sz w:val="20"/>
          <w:szCs w:val="18"/>
        </w:rPr>
        <w:t xml:space="preserve"> </w:t>
      </w:r>
      <w:r w:rsidRPr="00CB1B2B">
        <w:rPr>
          <w:rFonts w:ascii="Garamond" w:hAnsi="Garamond" w:cstheme="majorHAnsi"/>
          <w:sz w:val="20"/>
          <w:szCs w:val="18"/>
        </w:rPr>
        <w:t>qind), ose ngaqë përmbushin përgjegjësitë shtëpiake dhe familjare (17.5 për</w:t>
      </w:r>
      <w:r>
        <w:rPr>
          <w:rFonts w:ascii="Garamond" w:hAnsi="Garamond" w:cstheme="majorHAnsi"/>
          <w:sz w:val="20"/>
          <w:szCs w:val="18"/>
        </w:rPr>
        <w:t xml:space="preserve"> </w:t>
      </w:r>
      <w:r w:rsidRPr="00CB1B2B">
        <w:rPr>
          <w:rFonts w:ascii="Garamond" w:hAnsi="Garamond" w:cstheme="majorHAnsi"/>
          <w:sz w:val="20"/>
          <w:szCs w:val="18"/>
        </w:rPr>
        <w:t>qind), ose për arsye të tjera (29.8 për</w:t>
      </w:r>
      <w:r>
        <w:rPr>
          <w:rFonts w:ascii="Garamond" w:hAnsi="Garamond" w:cstheme="majorHAnsi"/>
          <w:sz w:val="20"/>
          <w:szCs w:val="18"/>
        </w:rPr>
        <w:t xml:space="preserve"> </w:t>
      </w:r>
      <w:r w:rsidRPr="00CB1B2B">
        <w:rPr>
          <w:rFonts w:ascii="Garamond" w:hAnsi="Garamond" w:cstheme="majorHAnsi"/>
          <w:sz w:val="20"/>
          <w:szCs w:val="18"/>
        </w:rPr>
        <w:t>qind).</w:t>
      </w:r>
    </w:p>
  </w:footnote>
  <w:footnote w:id="7">
    <w:p w14:paraId="01BB08F5" w14:textId="4AC66E8D" w:rsidR="00C27CE9" w:rsidRPr="00CB1B2B" w:rsidRDefault="00C27CE9" w:rsidP="00111339">
      <w:pPr>
        <w:pStyle w:val="FootnoteText"/>
        <w:spacing w:before="0" w:after="0" w:line="240" w:lineRule="auto"/>
        <w:rPr>
          <w:rFonts w:ascii="Garamond" w:hAnsi="Garamond" w:cstheme="majorHAnsi"/>
          <w:szCs w:val="18"/>
          <w:lang w:val="sq-AL"/>
        </w:rPr>
      </w:pPr>
      <w:r w:rsidRPr="00CB1B2B">
        <w:rPr>
          <w:rStyle w:val="FootnoteReference"/>
          <w:rFonts w:ascii="Garamond" w:hAnsi="Garamond" w:cstheme="majorHAnsi"/>
          <w:szCs w:val="18"/>
          <w:lang w:val="sq-AL"/>
        </w:rPr>
        <w:footnoteRef/>
      </w:r>
      <w:r w:rsidRPr="00CB1B2B">
        <w:rPr>
          <w:rFonts w:ascii="Garamond" w:hAnsi="Garamond" w:cstheme="majorHAnsi"/>
          <w:szCs w:val="18"/>
          <w:lang w:val="sq-AL"/>
        </w:rPr>
        <w:t xml:space="preserve"> Rreth 51 për</w:t>
      </w:r>
      <w:r>
        <w:rPr>
          <w:rFonts w:ascii="Garamond" w:hAnsi="Garamond" w:cstheme="majorHAnsi"/>
          <w:szCs w:val="18"/>
          <w:lang w:val="sq-AL"/>
        </w:rPr>
        <w:t xml:space="preserve"> </w:t>
      </w:r>
      <w:r w:rsidRPr="00CB1B2B">
        <w:rPr>
          <w:rFonts w:ascii="Garamond" w:hAnsi="Garamond" w:cstheme="majorHAnsi"/>
          <w:szCs w:val="18"/>
          <w:lang w:val="sq-AL"/>
        </w:rPr>
        <w:t>qind e ndërmarrjeve që u përpoqën të punësonin punëtorë në tre vitet e fundit kanë hasur vështirësi në rekrutim, sepse aplikantëve për punë u mungonin aftësitë dhe përvoja e punës ose nuk kishte numër të mjaftueshëm aplikimesh. Këto ndërmarrje kanë theksuar se aplikantëve për punë u mungonin aftësitë teknike dhe specifike për punë dhe aftësitë të buta të nevojshme për të qenë efektivë në punë, veçanërisht për profesionet me aftësi më të larta. Ndërmarrjet në sektorët e ndërtimit, industrisë dhe turizmit janë shumë më të kufizuara, kur punësojnë individë të profesioneve me aftësi të ulëta-mesatare, ndërsa ndërmarrjet në agropërpunim dhe industri janë më të kufizuara në punësimin e punëtorëve me kualifikim më të lartë. Siç perceptohet nga punëdhënësit, problemet e aftësive prekin kryesisht të rinjtë dhe ata që hyjnë për herë të parë në tregun e punës, duke theksuar cilësinë dhe rëndësinë e arsimit dhe të sistemit të AFP-së.</w:t>
      </w:r>
    </w:p>
  </w:footnote>
  <w:footnote w:id="8">
    <w:p w14:paraId="01BB08F6" w14:textId="77777777" w:rsidR="00C27CE9" w:rsidRPr="00CB1B2B" w:rsidRDefault="00C27CE9" w:rsidP="00111339">
      <w:pPr>
        <w:pStyle w:val="FootnoteText"/>
        <w:spacing w:before="0" w:after="0" w:line="240" w:lineRule="auto"/>
        <w:rPr>
          <w:rFonts w:ascii="Garamond" w:hAnsi="Garamond" w:cstheme="majorHAnsi"/>
          <w:szCs w:val="18"/>
          <w:lang w:val="sq-AL"/>
        </w:rPr>
      </w:pPr>
      <w:r w:rsidRPr="00CB1B2B">
        <w:rPr>
          <w:rStyle w:val="FootnoteReference"/>
          <w:rFonts w:ascii="Garamond" w:hAnsi="Garamond" w:cstheme="majorHAnsi"/>
          <w:szCs w:val="18"/>
          <w:lang w:val="sq-AL"/>
        </w:rPr>
        <w:footnoteRef/>
      </w:r>
      <w:r w:rsidRPr="00CB1B2B">
        <w:rPr>
          <w:rFonts w:ascii="Garamond" w:hAnsi="Garamond" w:cstheme="majorHAnsi"/>
          <w:szCs w:val="18"/>
          <w:lang w:val="sq-AL"/>
        </w:rPr>
        <w:t xml:space="preserve"> Mungesa e aftësive zakonisht matet në terma të vendeve të lira të paplotësuara dhe të vështira për t'u plotësuar.</w:t>
      </w:r>
    </w:p>
  </w:footnote>
  <w:footnote w:id="9">
    <w:p w14:paraId="01BB08F7" w14:textId="77777777" w:rsidR="00C27CE9" w:rsidRPr="00CB1B2B" w:rsidRDefault="00C27CE9" w:rsidP="00111339">
      <w:pPr>
        <w:pStyle w:val="FootnoteText"/>
        <w:spacing w:before="0" w:after="0" w:line="240" w:lineRule="auto"/>
        <w:rPr>
          <w:rFonts w:ascii="Garamond" w:hAnsi="Garamond" w:cstheme="majorHAnsi"/>
          <w:szCs w:val="18"/>
          <w:lang w:val="sq-AL"/>
        </w:rPr>
      </w:pPr>
      <w:r w:rsidRPr="00CB1B2B">
        <w:rPr>
          <w:rStyle w:val="FootnoteReference"/>
          <w:rFonts w:ascii="Garamond" w:hAnsi="Garamond" w:cstheme="majorHAnsi"/>
          <w:szCs w:val="18"/>
          <w:lang w:val="sq-AL"/>
        </w:rPr>
        <w:footnoteRef/>
      </w:r>
      <w:r w:rsidRPr="00CB1B2B">
        <w:rPr>
          <w:rFonts w:ascii="Garamond" w:hAnsi="Garamond" w:cstheme="majorHAnsi"/>
          <w:szCs w:val="18"/>
          <w:lang w:val="sq-AL"/>
        </w:rPr>
        <w:t xml:space="preserve"> European Training Foundation (2022): Skills Mismatch Measurement in ETF Partner Countries.</w:t>
      </w:r>
    </w:p>
  </w:footnote>
  <w:footnote w:id="10">
    <w:p w14:paraId="01BB08F8" w14:textId="77777777" w:rsidR="00C27CE9" w:rsidRPr="00CB1B2B" w:rsidRDefault="00C27CE9" w:rsidP="00111339">
      <w:pPr>
        <w:spacing w:after="0" w:line="240" w:lineRule="auto"/>
        <w:jc w:val="both"/>
        <w:rPr>
          <w:rFonts w:ascii="Garamond" w:hAnsi="Garamond" w:cstheme="majorHAnsi"/>
          <w:sz w:val="20"/>
          <w:szCs w:val="18"/>
        </w:rPr>
      </w:pPr>
      <w:r w:rsidRPr="00CB1B2B">
        <w:rPr>
          <w:rStyle w:val="FootnoteReference"/>
          <w:rFonts w:ascii="Garamond" w:hAnsi="Garamond" w:cstheme="majorHAnsi"/>
          <w:sz w:val="20"/>
          <w:szCs w:val="18"/>
        </w:rPr>
        <w:footnoteRef/>
      </w:r>
      <w:r w:rsidRPr="00CB1B2B">
        <w:rPr>
          <w:rFonts w:ascii="Garamond" w:hAnsi="Garamond" w:cstheme="majorHAnsi"/>
          <w:sz w:val="20"/>
          <w:szCs w:val="18"/>
        </w:rPr>
        <w:t xml:space="preserve"> Mospërputhja e fushës së studimeve me profesionin.</w:t>
      </w:r>
    </w:p>
  </w:footnote>
  <w:footnote w:id="11">
    <w:p w14:paraId="01BB08F9" w14:textId="68DC6D82"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INSTAT (2018): Anketa për arsimin e të rriturve</w:t>
      </w:r>
      <w:r>
        <w:rPr>
          <w:rFonts w:ascii="Garamond" w:hAnsi="Garamond" w:cstheme="majorHAnsi"/>
          <w:lang w:val="sq-AL"/>
        </w:rPr>
        <w:t>.</w:t>
      </w:r>
    </w:p>
  </w:footnote>
  <w:footnote w:id="12">
    <w:p w14:paraId="01BB08FA" w14:textId="416FAD15"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AFP 2020 raporton se më pak se 1 për</w:t>
      </w:r>
      <w:r>
        <w:rPr>
          <w:rFonts w:ascii="Garamond" w:hAnsi="Garamond" w:cstheme="majorHAnsi"/>
          <w:lang w:val="sq-AL"/>
        </w:rPr>
        <w:t xml:space="preserve"> </w:t>
      </w:r>
      <w:r w:rsidRPr="00CB1B2B">
        <w:rPr>
          <w:rFonts w:ascii="Garamond" w:hAnsi="Garamond" w:cstheme="majorHAnsi"/>
          <w:lang w:val="sq-AL"/>
        </w:rPr>
        <w:t xml:space="preserve">qind e të rriturve të moshës 25-64 vjeç u angazhuan në një lloj aktiviteti </w:t>
      </w:r>
      <w:r w:rsidRPr="00CB1B2B">
        <w:rPr>
          <w:rFonts w:ascii="Garamond" w:hAnsi="Garamond" w:cstheme="majorHAnsi"/>
          <w:color w:val="000000" w:themeColor="text1"/>
          <w:lang w:val="sq-AL"/>
        </w:rPr>
        <w:t>të të nxënit gjatë gjithë jetës</w:t>
      </w:r>
      <w:r w:rsidRPr="00CB1B2B">
        <w:rPr>
          <w:rFonts w:ascii="Garamond" w:hAnsi="Garamond" w:cstheme="majorHAnsi"/>
          <w:lang w:val="sq-AL"/>
        </w:rPr>
        <w:t xml:space="preserve"> në katër javët e fundit (përpara se të mblidheshin rezultatet e anketës) sipas INSTAT-it</w:t>
      </w:r>
      <w:r w:rsidRPr="00CB1B2B">
        <w:rPr>
          <w:rFonts w:ascii="Garamond" w:eastAsia="Arial" w:hAnsi="Garamond" w:cstheme="majorHAnsi"/>
          <w:lang w:val="sq-AL"/>
        </w:rPr>
        <w:t>.</w:t>
      </w:r>
    </w:p>
  </w:footnote>
  <w:footnote w:id="13">
    <w:p w14:paraId="01BB08FB" w14:textId="77777777"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Banka Botërore (2018): Kërkesa për Aftësi në Shqipëri: Një Analizë e Anketës së Aftësive Drejt Punësimit dhe Produktivitetit</w:t>
      </w:r>
    </w:p>
  </w:footnote>
  <w:footnote w:id="14">
    <w:p w14:paraId="01BB08FC" w14:textId="77777777"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Punëdhënësit kërkojnë kombinim të aftësive njohëse, socio-emocionale dhe teknike. Aftësitë njohëse përfshijnë shkrim-leximin dhe llogaritjen, por gjithashtu mund të përfshijnë kompetenca si mendimin kritik dhe zgjidhjen e problemeve. Aftësitë socio-emocionale përfshijnë aftësinë e dikujt për të ndërvepruar me të tjerët (aftësi ndërpersonale), vendosmërinë dhe fokusin në kryerjen e një pune. Ndërsa aftësive teknike përfshijnë aftësitë për të kryer detyra teknike që janë specifike për një profesion. </w:t>
      </w:r>
    </w:p>
  </w:footnote>
  <w:footnote w:id="15">
    <w:p w14:paraId="01BB08FE" w14:textId="709C90E6"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w:t>
      </w:r>
      <w:hyperlink r:id="rId2" w:history="1">
        <w:r w:rsidRPr="00CB1B2B">
          <w:rPr>
            <w:rStyle w:val="Hyperlink"/>
            <w:rFonts w:ascii="Garamond" w:hAnsi="Garamond" w:cstheme="majorHAnsi"/>
            <w:lang w:val="sq-AL"/>
          </w:rPr>
          <w:t>https://europa.eu/europass/en/document-library/eqf-referencing-report-albania</w:t>
        </w:r>
      </w:hyperlink>
    </w:p>
  </w:footnote>
  <w:footnote w:id="16">
    <w:p w14:paraId="01BB08FF" w14:textId="440E4B49" w:rsidR="00C27CE9" w:rsidRPr="00CB1B2B" w:rsidRDefault="00C27CE9" w:rsidP="00681568">
      <w:pPr>
        <w:pStyle w:val="FootnoteText"/>
        <w:spacing w:before="0" w:after="0" w:line="240" w:lineRule="auto"/>
        <w:rPr>
          <w:rFonts w:asciiTheme="majorHAnsi" w:hAnsiTheme="majorHAnsi" w:cstheme="majorHAnsi"/>
          <w:sz w:val="18"/>
          <w:szCs w:val="18"/>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Në vitin shkollor 2021</w:t>
      </w:r>
      <w:r>
        <w:rPr>
          <w:rFonts w:ascii="Garamond" w:hAnsi="Garamond" w:cstheme="majorHAnsi"/>
          <w:lang w:val="sq-AL"/>
        </w:rPr>
        <w:t>–</w:t>
      </w:r>
      <w:r w:rsidRPr="00CB1B2B">
        <w:rPr>
          <w:rFonts w:ascii="Garamond" w:hAnsi="Garamond" w:cstheme="majorHAnsi"/>
          <w:lang w:val="sq-AL"/>
        </w:rPr>
        <w:t>2022, numri total i të regjistruarve në sistemin e arsimit të mesëm të lartë në Shqipëri ishte 103,467 nxënës, nga të cilët 85,188 (82,3 për</w:t>
      </w:r>
      <w:r>
        <w:rPr>
          <w:rFonts w:ascii="Garamond" w:hAnsi="Garamond" w:cstheme="majorHAnsi"/>
          <w:lang w:val="sq-AL"/>
        </w:rPr>
        <w:t xml:space="preserve"> </w:t>
      </w:r>
      <w:r w:rsidRPr="00CB1B2B">
        <w:rPr>
          <w:rFonts w:ascii="Garamond" w:hAnsi="Garamond" w:cstheme="majorHAnsi"/>
          <w:lang w:val="sq-AL"/>
        </w:rPr>
        <w:t>qind) ishin të regjistruar në arsimin e përgjithshëm (gjimnaz) dhe 18,279 (17.7 për</w:t>
      </w:r>
      <w:r>
        <w:rPr>
          <w:rFonts w:ascii="Garamond" w:hAnsi="Garamond" w:cstheme="majorHAnsi"/>
          <w:lang w:val="sq-AL"/>
        </w:rPr>
        <w:t xml:space="preserve"> </w:t>
      </w:r>
      <w:r w:rsidRPr="00CB1B2B">
        <w:rPr>
          <w:rFonts w:ascii="Garamond" w:hAnsi="Garamond" w:cstheme="majorHAnsi"/>
          <w:lang w:val="sq-AL"/>
        </w:rPr>
        <w:t>qind) në arsimin profesional.</w:t>
      </w:r>
    </w:p>
  </w:footnote>
  <w:footnote w:id="17">
    <w:p w14:paraId="01BB0900" w14:textId="77777777" w:rsidR="00C27CE9" w:rsidRPr="00CB1B2B" w:rsidRDefault="00C27CE9" w:rsidP="00681568">
      <w:pPr>
        <w:pStyle w:val="FootnoteText"/>
        <w:spacing w:before="0" w:after="0" w:line="240" w:lineRule="auto"/>
        <w:rPr>
          <w:rFonts w:ascii="Garamond" w:hAnsi="Garamond"/>
          <w:lang w:val="sq-AL"/>
        </w:rPr>
      </w:pPr>
      <w:r w:rsidRPr="00CB1B2B">
        <w:rPr>
          <w:rStyle w:val="FootnoteReference"/>
          <w:rFonts w:ascii="Garamond" w:hAnsi="Garamond"/>
          <w:lang w:val="sq-AL"/>
        </w:rPr>
        <w:footnoteRef/>
      </w:r>
      <w:r w:rsidRPr="00CB1B2B">
        <w:rPr>
          <w:rFonts w:ascii="Garamond" w:hAnsi="Garamond"/>
          <w:lang w:val="sq-AL"/>
        </w:rPr>
        <w:t xml:space="preserve"> </w:t>
      </w:r>
      <w:hyperlink r:id="rId3" w:history="1">
        <w:r w:rsidRPr="00CB1B2B">
          <w:rPr>
            <w:rFonts w:ascii="Garamond" w:hAnsi="Garamond" w:cstheme="majorHAnsi"/>
            <w:lang w:val="sq-AL"/>
          </w:rPr>
          <w:t>https://www.cedefop.europa.eu/files/osnabrueck_declaration_eu2020.pdf</w:t>
        </w:r>
      </w:hyperlink>
      <w:r w:rsidRPr="00CB1B2B">
        <w:rPr>
          <w:rFonts w:ascii="Garamond" w:hAnsi="Garamond"/>
          <w:lang w:val="sq-AL"/>
        </w:rPr>
        <w:t xml:space="preserve"> </w:t>
      </w:r>
    </w:p>
  </w:footnote>
  <w:footnote w:id="18">
    <w:p w14:paraId="01BB0901" w14:textId="1F8B6984" w:rsidR="00C27CE9" w:rsidRPr="00CB1B2B" w:rsidRDefault="00C27CE9" w:rsidP="0068156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Disa nga objektivat e rëndësishëm të vendosur në nivel BE-je janë: deri në vitin 2025 të rritet shkalla e të diplomuarve të punësuar nga AFP</w:t>
      </w:r>
      <w:r>
        <w:rPr>
          <w:rFonts w:ascii="Garamond" w:hAnsi="Garamond" w:cstheme="majorHAnsi"/>
          <w:lang w:val="sq-AL"/>
        </w:rPr>
        <w:t>-ja</w:t>
      </w:r>
      <w:r w:rsidRPr="00CB1B2B">
        <w:rPr>
          <w:rFonts w:ascii="Garamond" w:hAnsi="Garamond" w:cstheme="majorHAnsi"/>
          <w:lang w:val="sq-AL"/>
        </w:rPr>
        <w:t xml:space="preserve"> në 82 për</w:t>
      </w:r>
      <w:r>
        <w:rPr>
          <w:rFonts w:ascii="Garamond" w:hAnsi="Garamond" w:cstheme="majorHAnsi"/>
          <w:lang w:val="sq-AL"/>
        </w:rPr>
        <w:t xml:space="preserve"> </w:t>
      </w:r>
      <w:r w:rsidRPr="00CB1B2B">
        <w:rPr>
          <w:rFonts w:ascii="Garamond" w:hAnsi="Garamond" w:cstheme="majorHAnsi"/>
          <w:lang w:val="sq-AL"/>
        </w:rPr>
        <w:t>qind; të rritet për</w:t>
      </w:r>
      <w:r>
        <w:rPr>
          <w:rFonts w:ascii="Garamond" w:hAnsi="Garamond" w:cstheme="majorHAnsi"/>
          <w:lang w:val="sq-AL"/>
        </w:rPr>
        <w:t xml:space="preserve"> </w:t>
      </w:r>
      <w:r w:rsidRPr="00CB1B2B">
        <w:rPr>
          <w:rFonts w:ascii="Garamond" w:hAnsi="Garamond" w:cstheme="majorHAnsi"/>
          <w:lang w:val="sq-AL"/>
        </w:rPr>
        <w:t>qind e të sapodiplomuarve nga AFP</w:t>
      </w:r>
      <w:r>
        <w:rPr>
          <w:rFonts w:ascii="Garamond" w:hAnsi="Garamond" w:cstheme="majorHAnsi"/>
          <w:lang w:val="sq-AL"/>
        </w:rPr>
        <w:t>-ja</w:t>
      </w:r>
      <w:r w:rsidRPr="00CB1B2B">
        <w:rPr>
          <w:rFonts w:ascii="Garamond" w:hAnsi="Garamond" w:cstheme="majorHAnsi"/>
          <w:lang w:val="sq-AL"/>
        </w:rPr>
        <w:t xml:space="preserve"> që përfitojnë nga ekspozimi në të nxënit me bazë punën në 60 për</w:t>
      </w:r>
      <w:r>
        <w:rPr>
          <w:rFonts w:ascii="Garamond" w:hAnsi="Garamond" w:cstheme="majorHAnsi"/>
          <w:lang w:val="sq-AL"/>
        </w:rPr>
        <w:t xml:space="preserve"> </w:t>
      </w:r>
      <w:r w:rsidRPr="00CB1B2B">
        <w:rPr>
          <w:rFonts w:ascii="Garamond" w:hAnsi="Garamond" w:cstheme="majorHAnsi"/>
          <w:lang w:val="sq-AL"/>
        </w:rPr>
        <w:t>qind; deri në vitin 2030 të rritet pjesëmarrja e të rriturve të moshës 25</w:t>
      </w:r>
      <w:r>
        <w:rPr>
          <w:rFonts w:ascii="Garamond" w:hAnsi="Garamond" w:cstheme="majorHAnsi"/>
          <w:lang w:val="sq-AL"/>
        </w:rPr>
        <w:t>–</w:t>
      </w:r>
      <w:r w:rsidRPr="00CB1B2B">
        <w:rPr>
          <w:rFonts w:ascii="Garamond" w:hAnsi="Garamond" w:cstheme="majorHAnsi"/>
          <w:lang w:val="sq-AL"/>
        </w:rPr>
        <w:t>64 vjeç në mësim gjatë 12 muajve të fundit në 60 për</w:t>
      </w:r>
      <w:r>
        <w:rPr>
          <w:rFonts w:ascii="Garamond" w:hAnsi="Garamond" w:cstheme="majorHAnsi"/>
          <w:lang w:val="sq-AL"/>
        </w:rPr>
        <w:t xml:space="preserve"> </w:t>
      </w:r>
      <w:r w:rsidRPr="00CB1B2B">
        <w:rPr>
          <w:rFonts w:ascii="Garamond" w:hAnsi="Garamond" w:cstheme="majorHAnsi"/>
          <w:lang w:val="sq-AL"/>
        </w:rPr>
        <w:t>qind, nga 44 për</w:t>
      </w:r>
      <w:r>
        <w:rPr>
          <w:rFonts w:ascii="Garamond" w:hAnsi="Garamond" w:cstheme="majorHAnsi"/>
          <w:lang w:val="sq-AL"/>
        </w:rPr>
        <w:t xml:space="preserve"> </w:t>
      </w:r>
      <w:r w:rsidRPr="00CB1B2B">
        <w:rPr>
          <w:rFonts w:ascii="Garamond" w:hAnsi="Garamond" w:cstheme="majorHAnsi"/>
          <w:lang w:val="sq-AL"/>
        </w:rPr>
        <w:t>qind në vitin 2019, si dhe të rritet përqindja e të rriturve të moshës 16</w:t>
      </w:r>
      <w:r>
        <w:rPr>
          <w:rFonts w:ascii="Garamond" w:hAnsi="Garamond" w:cstheme="majorHAnsi"/>
          <w:lang w:val="sq-AL"/>
        </w:rPr>
        <w:t>–</w:t>
      </w:r>
      <w:r w:rsidRPr="00CB1B2B">
        <w:rPr>
          <w:rFonts w:ascii="Garamond" w:hAnsi="Garamond" w:cstheme="majorHAnsi"/>
          <w:lang w:val="sq-AL"/>
        </w:rPr>
        <w:t>74 vjeç që kanë të paktën aftësi bazë di</w:t>
      </w:r>
      <w:r>
        <w:rPr>
          <w:rFonts w:ascii="Garamond" w:hAnsi="Garamond" w:cstheme="majorHAnsi"/>
          <w:lang w:val="sq-AL"/>
        </w:rPr>
        <w:t>gj</w:t>
      </w:r>
      <w:r w:rsidRPr="00CB1B2B">
        <w:rPr>
          <w:rFonts w:ascii="Garamond" w:hAnsi="Garamond" w:cstheme="majorHAnsi"/>
          <w:lang w:val="sq-AL"/>
        </w:rPr>
        <w:t>itale në 80 për</w:t>
      </w:r>
      <w:r>
        <w:rPr>
          <w:rFonts w:ascii="Garamond" w:hAnsi="Garamond" w:cstheme="majorHAnsi"/>
          <w:lang w:val="sq-AL"/>
        </w:rPr>
        <w:t xml:space="preserve"> </w:t>
      </w:r>
      <w:r w:rsidRPr="00CB1B2B">
        <w:rPr>
          <w:rFonts w:ascii="Garamond" w:hAnsi="Garamond" w:cstheme="majorHAnsi"/>
          <w:lang w:val="sq-AL"/>
        </w:rPr>
        <w:t>qind nga 54 për</w:t>
      </w:r>
      <w:r>
        <w:rPr>
          <w:rFonts w:ascii="Garamond" w:hAnsi="Garamond" w:cstheme="majorHAnsi"/>
          <w:lang w:val="sq-AL"/>
        </w:rPr>
        <w:t xml:space="preserve"> </w:t>
      </w:r>
      <w:r w:rsidRPr="00CB1B2B">
        <w:rPr>
          <w:rFonts w:ascii="Garamond" w:hAnsi="Garamond" w:cstheme="majorHAnsi"/>
          <w:lang w:val="sq-AL"/>
        </w:rPr>
        <w:t>qind në vitin 2021.</w:t>
      </w:r>
    </w:p>
  </w:footnote>
  <w:footnote w:id="19">
    <w:p w14:paraId="01BB0912" w14:textId="7A717CB1" w:rsidR="00C27CE9" w:rsidRPr="00CB1B2B" w:rsidRDefault="00C27CE9" w:rsidP="00620B96">
      <w:pPr>
        <w:pStyle w:val="FootnoteText"/>
        <w:spacing w:before="0" w:after="0" w:line="240" w:lineRule="auto"/>
        <w:rPr>
          <w:rFonts w:ascii="Garamond" w:hAnsi="Garamond"/>
          <w:lang w:val="sq-AL"/>
        </w:rPr>
      </w:pPr>
      <w:r w:rsidRPr="00CB1B2B">
        <w:rPr>
          <w:rStyle w:val="FootnoteReference"/>
          <w:rFonts w:ascii="Garamond" w:hAnsi="Garamond"/>
          <w:lang w:val="sq-AL"/>
        </w:rPr>
        <w:footnoteRef/>
      </w:r>
      <w:r w:rsidRPr="00CB1B2B">
        <w:rPr>
          <w:rFonts w:ascii="Garamond" w:hAnsi="Garamond"/>
          <w:lang w:val="sq-AL"/>
        </w:rPr>
        <w:t xml:space="preserve"> </w:t>
      </w:r>
      <w:r w:rsidRPr="00CB1B2B">
        <w:rPr>
          <w:rFonts w:ascii="Garamond" w:hAnsi="Garamond" w:cstheme="majorHAnsi"/>
          <w:sz w:val="18"/>
          <w:szCs w:val="18"/>
          <w:lang w:val="sq-AL"/>
        </w:rPr>
        <w:t>Banka Botërore (2018): Kërkesa për Aftësi në Shqipëri: Një Analizë e Anketës së Aftësive Drejt Punësimit dhe Produktivitetit</w:t>
      </w:r>
    </w:p>
  </w:footnote>
  <w:footnote w:id="20">
    <w:p w14:paraId="01BB0913" w14:textId="4B14F6D6" w:rsidR="00C27CE9" w:rsidRPr="00CB1B2B" w:rsidRDefault="00C27CE9" w:rsidP="00620B96">
      <w:pPr>
        <w:pStyle w:val="FootnoteText"/>
        <w:spacing w:before="0" w:after="0" w:line="240" w:lineRule="auto"/>
        <w:rPr>
          <w:rFonts w:ascii="Garamond" w:hAnsi="Garamond"/>
          <w:lang w:val="sq-AL"/>
        </w:rPr>
      </w:pPr>
      <w:r w:rsidRPr="00CB1B2B">
        <w:rPr>
          <w:rStyle w:val="FootnoteReference"/>
          <w:rFonts w:ascii="Garamond" w:hAnsi="Garamond"/>
          <w:lang w:val="sq-AL"/>
        </w:rPr>
        <w:footnoteRef/>
      </w:r>
      <w:r w:rsidRPr="00CB1B2B">
        <w:rPr>
          <w:rFonts w:ascii="Garamond" w:hAnsi="Garamond"/>
          <w:lang w:val="sq-AL"/>
        </w:rPr>
        <w:t xml:space="preserve"> </w:t>
      </w:r>
      <w:r w:rsidRPr="00CB1B2B">
        <w:rPr>
          <w:rFonts w:ascii="Garamond" w:hAnsi="Garamond" w:cstheme="majorHAnsi"/>
          <w:sz w:val="18"/>
          <w:szCs w:val="18"/>
          <w:lang w:val="sq-AL"/>
        </w:rPr>
        <w:t>Po aty</w:t>
      </w:r>
      <w:r>
        <w:rPr>
          <w:rFonts w:ascii="Garamond" w:hAnsi="Garamond" w:cstheme="majorHAnsi"/>
          <w:sz w:val="18"/>
          <w:szCs w:val="18"/>
          <w:lang w:val="sq-AL"/>
        </w:rPr>
        <w:t>.</w:t>
      </w:r>
    </w:p>
  </w:footnote>
  <w:footnote w:id="21">
    <w:p w14:paraId="01BB0914" w14:textId="7E4E520B" w:rsidR="00C27CE9" w:rsidRPr="00CB1B2B" w:rsidRDefault="00C27CE9" w:rsidP="00620B96">
      <w:pPr>
        <w:spacing w:after="0" w:line="240" w:lineRule="auto"/>
        <w:rPr>
          <w:rFonts w:ascii="Garamond" w:hAnsi="Garamond" w:cstheme="majorHAnsi"/>
          <w:sz w:val="18"/>
          <w:szCs w:val="18"/>
        </w:rPr>
      </w:pPr>
      <w:r w:rsidRPr="00CB1B2B">
        <w:rPr>
          <w:rStyle w:val="FootnoteReference"/>
          <w:rFonts w:ascii="Garamond" w:hAnsi="Garamond" w:cstheme="majorHAnsi"/>
          <w:sz w:val="18"/>
          <w:szCs w:val="18"/>
        </w:rPr>
        <w:footnoteRef/>
      </w:r>
      <w:r w:rsidRPr="00CB1B2B">
        <w:rPr>
          <w:rFonts w:ascii="Garamond" w:hAnsi="Garamond" w:cstheme="majorHAnsi"/>
          <w:sz w:val="18"/>
          <w:szCs w:val="18"/>
        </w:rPr>
        <w:t xml:space="preserve"> Po aty</w:t>
      </w:r>
      <w:r>
        <w:rPr>
          <w:rFonts w:ascii="Garamond" w:hAnsi="Garamond" w:cstheme="majorHAnsi"/>
          <w:sz w:val="18"/>
          <w:szCs w:val="18"/>
        </w:rPr>
        <w:t>.</w:t>
      </w:r>
    </w:p>
  </w:footnote>
  <w:footnote w:id="22">
    <w:p w14:paraId="01BB0915" w14:textId="1DAE7C30" w:rsidR="00C27CE9" w:rsidRPr="00CB1B2B" w:rsidRDefault="00C27CE9" w:rsidP="00620B96">
      <w:pPr>
        <w:pStyle w:val="FootnoteText"/>
        <w:spacing w:before="0" w:after="0" w:line="240" w:lineRule="auto"/>
        <w:rPr>
          <w:rFonts w:ascii="Garamond" w:hAnsi="Garamond"/>
          <w:lang w:val="sq-AL"/>
        </w:rPr>
      </w:pPr>
      <w:r w:rsidRPr="00CB1B2B">
        <w:rPr>
          <w:rStyle w:val="FootnoteReference"/>
          <w:rFonts w:ascii="Garamond" w:hAnsi="Garamond"/>
          <w:lang w:val="sq-AL"/>
        </w:rPr>
        <w:footnoteRef/>
      </w:r>
      <w:r w:rsidRPr="00CB1B2B">
        <w:rPr>
          <w:rFonts w:ascii="Garamond" w:hAnsi="Garamond"/>
          <w:lang w:val="sq-AL"/>
        </w:rPr>
        <w:t xml:space="preserve"> </w:t>
      </w:r>
      <w:r w:rsidRPr="00CB1B2B">
        <w:rPr>
          <w:rFonts w:ascii="Garamond" w:hAnsi="Garamond" w:cstheme="majorHAnsi"/>
          <w:sz w:val="18"/>
          <w:szCs w:val="18"/>
          <w:lang w:val="sq-AL"/>
        </w:rPr>
        <w:t>Po aty</w:t>
      </w:r>
      <w:r>
        <w:rPr>
          <w:rFonts w:ascii="Garamond" w:hAnsi="Garamond" w:cstheme="majorHAnsi"/>
          <w:sz w:val="18"/>
          <w:szCs w:val="18"/>
          <w:lang w:val="sq-AL"/>
        </w:rPr>
        <w:t>.</w:t>
      </w:r>
    </w:p>
  </w:footnote>
  <w:footnote w:id="23">
    <w:p w14:paraId="01BB0916" w14:textId="77777777" w:rsidR="00C27CE9" w:rsidRPr="00CB1B2B" w:rsidRDefault="00C27CE9" w:rsidP="00620B96">
      <w:pPr>
        <w:pStyle w:val="FootnoteText"/>
        <w:spacing w:before="0" w:after="0" w:line="240" w:lineRule="auto"/>
        <w:rPr>
          <w:lang w:val="sq-AL"/>
        </w:rPr>
      </w:pPr>
      <w:r w:rsidRPr="00CB1B2B">
        <w:rPr>
          <w:rStyle w:val="FootnoteReference"/>
          <w:rFonts w:ascii="Garamond" w:hAnsi="Garamond"/>
          <w:lang w:val="sq-AL"/>
        </w:rPr>
        <w:footnoteRef/>
      </w:r>
      <w:r w:rsidRPr="00CB1B2B">
        <w:rPr>
          <w:rFonts w:ascii="Garamond" w:hAnsi="Garamond"/>
          <w:lang w:val="sq-AL"/>
        </w:rPr>
        <w:t xml:space="preserve"> </w:t>
      </w:r>
      <w:r w:rsidRPr="00CB1B2B">
        <w:rPr>
          <w:rFonts w:ascii="Garamond" w:hAnsi="Garamond" w:cstheme="majorHAnsi"/>
          <w:sz w:val="18"/>
          <w:szCs w:val="18"/>
          <w:lang w:val="sq-AL"/>
        </w:rPr>
        <w:t>Këshilli Kombëtar i Investimeve (2022): Vrojtim mbi Disponueshmërinë dhe Cilësinë e Fuqisë Punëtore</w:t>
      </w:r>
    </w:p>
  </w:footnote>
  <w:footnote w:id="24">
    <w:p w14:paraId="01BB0917" w14:textId="77777777" w:rsidR="00C27CE9" w:rsidRPr="00CB1B2B" w:rsidRDefault="00C27CE9" w:rsidP="004A139C">
      <w:pPr>
        <w:pStyle w:val="TEKSTIIII"/>
        <w:ind w:firstLine="0"/>
        <w:rPr>
          <w:sz w:val="20"/>
          <w:szCs w:val="20"/>
        </w:rPr>
      </w:pPr>
      <w:r w:rsidRPr="00CB1B2B">
        <w:rPr>
          <w:rStyle w:val="FootnoteReference"/>
          <w:rFonts w:asciiTheme="majorHAnsi" w:hAnsiTheme="majorHAnsi" w:cstheme="majorHAnsi"/>
          <w:sz w:val="20"/>
          <w:szCs w:val="20"/>
        </w:rPr>
        <w:footnoteRef/>
      </w:r>
      <w:r w:rsidRPr="00CB1B2B">
        <w:rPr>
          <w:sz w:val="20"/>
          <w:szCs w:val="20"/>
        </w:rPr>
        <w:t xml:space="preserve"> Këto dy dokumente politikash theksojnë rëndësinë e zbatimit të qasjes së aktivizimit të papunësuarve, mënyrave të ofrimit të shërbimeve të individualizuara, menaxhimit të rasteve dhe disponueshmërisë së një spektri të gjerë programesh aktive të tregut të punës për të lehtësuar integrimin në tregun e punës. Gjithashtu, disponueshmëria e një sistemi të fuqishëm monitorimi dhe vlerësimi ofron mundësinë e përshtatjes së shërbimeve dhe ofrimit të PATP-ve me nevojat e punëkërkuesve dhe ndërmarrjeve.</w:t>
      </w:r>
    </w:p>
  </w:footnote>
  <w:footnote w:id="25">
    <w:p w14:paraId="01BB0918" w14:textId="669A487E" w:rsidR="00C27CE9" w:rsidRPr="00CB1B2B" w:rsidRDefault="00C27CE9" w:rsidP="004A139C">
      <w:pPr>
        <w:pStyle w:val="TEKSTIIII"/>
        <w:ind w:firstLine="0"/>
      </w:pPr>
      <w:r w:rsidRPr="00CB1B2B">
        <w:rPr>
          <w:rStyle w:val="FootnoteReference"/>
          <w:rFonts w:asciiTheme="majorHAnsi" w:hAnsiTheme="majorHAnsi" w:cstheme="majorHAnsi"/>
          <w:sz w:val="20"/>
          <w:szCs w:val="20"/>
        </w:rPr>
        <w:footnoteRef/>
      </w:r>
      <w:r w:rsidRPr="00CB1B2B">
        <w:rPr>
          <w:sz w:val="20"/>
          <w:szCs w:val="20"/>
        </w:rPr>
        <w:t xml:space="preserve"> Disa nga objektivat e rëndësishëm të vendosura në nivel BE-je janë: deri në vitin 2030 të ulet shkalla e të rinjve NEET të moshës 15-29 vjeç në 9 për</w:t>
      </w:r>
      <w:r>
        <w:rPr>
          <w:sz w:val="20"/>
          <w:szCs w:val="20"/>
        </w:rPr>
        <w:t xml:space="preserve"> </w:t>
      </w:r>
      <w:r w:rsidRPr="00CB1B2B">
        <w:rPr>
          <w:sz w:val="20"/>
          <w:szCs w:val="20"/>
        </w:rPr>
        <w:t>qind nga 13.1 për</w:t>
      </w:r>
      <w:r>
        <w:rPr>
          <w:sz w:val="20"/>
          <w:szCs w:val="20"/>
        </w:rPr>
        <w:t xml:space="preserve"> </w:t>
      </w:r>
      <w:r w:rsidRPr="00CB1B2B">
        <w:rPr>
          <w:sz w:val="20"/>
          <w:szCs w:val="20"/>
        </w:rPr>
        <w:t>qind në vitin 2021; të rritet për</w:t>
      </w:r>
      <w:r>
        <w:rPr>
          <w:sz w:val="20"/>
          <w:szCs w:val="20"/>
        </w:rPr>
        <w:t xml:space="preserve"> </w:t>
      </w:r>
      <w:r w:rsidRPr="00CB1B2B">
        <w:rPr>
          <w:sz w:val="20"/>
          <w:szCs w:val="20"/>
        </w:rPr>
        <w:t>qind e popullsisë së moshës 20 deri në 64 vjeç të punësuar në 78 për</w:t>
      </w:r>
      <w:r>
        <w:rPr>
          <w:sz w:val="20"/>
          <w:szCs w:val="20"/>
        </w:rPr>
        <w:t xml:space="preserve"> </w:t>
      </w:r>
      <w:r w:rsidRPr="00CB1B2B">
        <w:rPr>
          <w:sz w:val="20"/>
          <w:szCs w:val="20"/>
        </w:rPr>
        <w:t>qind nga 73.1 për</w:t>
      </w:r>
      <w:r>
        <w:rPr>
          <w:sz w:val="20"/>
          <w:szCs w:val="20"/>
        </w:rPr>
        <w:t xml:space="preserve"> </w:t>
      </w:r>
      <w:r w:rsidRPr="00CB1B2B">
        <w:rPr>
          <w:sz w:val="20"/>
          <w:szCs w:val="20"/>
        </w:rPr>
        <w:t>qind në vitin 2021; të rritet për</w:t>
      </w:r>
      <w:r>
        <w:rPr>
          <w:sz w:val="20"/>
          <w:szCs w:val="20"/>
        </w:rPr>
        <w:t xml:space="preserve"> </w:t>
      </w:r>
      <w:r w:rsidRPr="00CB1B2B">
        <w:rPr>
          <w:sz w:val="20"/>
          <w:szCs w:val="20"/>
        </w:rPr>
        <w:t>qind e të gjithë të rriturve që marrin pjesë në mësim çdo vit në 60 për</w:t>
      </w:r>
      <w:r>
        <w:rPr>
          <w:sz w:val="20"/>
          <w:szCs w:val="20"/>
        </w:rPr>
        <w:t xml:space="preserve"> </w:t>
      </w:r>
      <w:r w:rsidRPr="00CB1B2B">
        <w:rPr>
          <w:sz w:val="20"/>
          <w:szCs w:val="20"/>
        </w:rPr>
        <w:t>qind nga 44 për</w:t>
      </w:r>
      <w:r>
        <w:rPr>
          <w:sz w:val="20"/>
          <w:szCs w:val="20"/>
        </w:rPr>
        <w:t xml:space="preserve"> </w:t>
      </w:r>
      <w:r w:rsidRPr="00CB1B2B">
        <w:rPr>
          <w:sz w:val="20"/>
          <w:szCs w:val="20"/>
        </w:rPr>
        <w:t>qind në vitin 2019.</w:t>
      </w:r>
      <w:r w:rsidRPr="00CB1B2B">
        <w:rPr>
          <w:sz w:val="22"/>
        </w:rPr>
        <w:t xml:space="preserve"> </w:t>
      </w:r>
    </w:p>
  </w:footnote>
  <w:footnote w:id="26">
    <w:p w14:paraId="01BB0919" w14:textId="2ACE4B93" w:rsidR="00C27CE9" w:rsidRPr="00CB1B2B" w:rsidRDefault="00C27CE9" w:rsidP="004A139C">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Norma mesatare për vendet e Ballkanit Perëndimor ishte 73 për</w:t>
      </w:r>
      <w:r>
        <w:rPr>
          <w:rFonts w:ascii="Garamond" w:hAnsi="Garamond" w:cstheme="majorHAnsi"/>
          <w:lang w:val="sq-AL"/>
        </w:rPr>
        <w:t xml:space="preserve"> </w:t>
      </w:r>
      <w:r w:rsidRPr="00CB1B2B">
        <w:rPr>
          <w:rFonts w:ascii="Garamond" w:hAnsi="Garamond" w:cstheme="majorHAnsi"/>
          <w:lang w:val="sq-AL"/>
        </w:rPr>
        <w:t>qind.</w:t>
      </w:r>
    </w:p>
  </w:footnote>
  <w:footnote w:id="27">
    <w:p w14:paraId="01BB091A" w14:textId="4B057109" w:rsidR="00C27CE9" w:rsidRPr="00CB1B2B" w:rsidRDefault="00C27CE9" w:rsidP="004A139C">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Rreth 32 për</w:t>
      </w:r>
      <w:r>
        <w:rPr>
          <w:rFonts w:ascii="Garamond" w:hAnsi="Garamond" w:cstheme="majorHAnsi"/>
          <w:lang w:val="sq-AL"/>
        </w:rPr>
        <w:t xml:space="preserve"> </w:t>
      </w:r>
      <w:r w:rsidRPr="00CB1B2B">
        <w:rPr>
          <w:rFonts w:ascii="Garamond" w:hAnsi="Garamond" w:cstheme="majorHAnsi"/>
          <w:lang w:val="sq-AL"/>
        </w:rPr>
        <w:t>qind e të punësuarve ishin të vetëpunësuar (punëdhënës ose të vetëpunësuar pa asnjë të punësuar) dhe 20.1 për</w:t>
      </w:r>
      <w:r>
        <w:rPr>
          <w:rFonts w:ascii="Garamond" w:hAnsi="Garamond" w:cstheme="majorHAnsi"/>
          <w:lang w:val="sq-AL"/>
        </w:rPr>
        <w:t xml:space="preserve"> </w:t>
      </w:r>
      <w:r w:rsidRPr="00CB1B2B">
        <w:rPr>
          <w:rFonts w:ascii="Garamond" w:hAnsi="Garamond" w:cstheme="majorHAnsi"/>
          <w:lang w:val="sq-AL"/>
        </w:rPr>
        <w:t>qind janë punëtorë të pa ndonjë pagë të caktuar në biznesin familjar në vitin 2021 sipas AFP-së. Nga këndvështrimi gjinor, rezulton se gratë kanë 1.5 herë më shumë gjasa se burrat të jenë punësuar në biznesin familjar. Vlerësimet e marra nga AFP tregojnë se 27.3 për</w:t>
      </w:r>
      <w:r>
        <w:rPr>
          <w:rFonts w:ascii="Garamond" w:hAnsi="Garamond" w:cstheme="majorHAnsi"/>
          <w:lang w:val="sq-AL"/>
        </w:rPr>
        <w:t xml:space="preserve"> </w:t>
      </w:r>
      <w:r w:rsidRPr="00CB1B2B">
        <w:rPr>
          <w:rFonts w:ascii="Garamond" w:hAnsi="Garamond" w:cstheme="majorHAnsi"/>
          <w:lang w:val="sq-AL"/>
        </w:rPr>
        <w:t>qind e grave të punësuara dhe 14.4 për</w:t>
      </w:r>
      <w:r>
        <w:rPr>
          <w:rFonts w:ascii="Garamond" w:hAnsi="Garamond" w:cstheme="majorHAnsi"/>
          <w:lang w:val="sq-AL"/>
        </w:rPr>
        <w:t xml:space="preserve"> </w:t>
      </w:r>
      <w:r w:rsidRPr="00CB1B2B">
        <w:rPr>
          <w:rFonts w:ascii="Garamond" w:hAnsi="Garamond" w:cstheme="majorHAnsi"/>
          <w:lang w:val="sq-AL"/>
        </w:rPr>
        <w:t>qind e burrave të punësuar janë të punësuar në biznesin familjar.</w:t>
      </w:r>
    </w:p>
  </w:footnote>
  <w:footnote w:id="28">
    <w:p w14:paraId="01BB091B" w14:textId="77777777" w:rsidR="00C27CE9" w:rsidRPr="00CB1B2B" w:rsidRDefault="00C27CE9" w:rsidP="004A139C">
      <w:pPr>
        <w:spacing w:after="0" w:line="240" w:lineRule="auto"/>
        <w:jc w:val="both"/>
        <w:rPr>
          <w:rFonts w:ascii="Garamond" w:hAnsi="Garamond" w:cstheme="majorHAnsi"/>
          <w:sz w:val="20"/>
          <w:szCs w:val="20"/>
        </w:rPr>
      </w:pPr>
      <w:r w:rsidRPr="00CB1B2B">
        <w:rPr>
          <w:rStyle w:val="FootnoteReference"/>
          <w:rFonts w:ascii="Garamond" w:hAnsi="Garamond" w:cstheme="majorHAnsi"/>
          <w:sz w:val="20"/>
          <w:szCs w:val="20"/>
        </w:rPr>
        <w:footnoteRef/>
      </w:r>
      <w:r w:rsidRPr="00CB1B2B">
        <w:rPr>
          <w:rFonts w:ascii="Garamond" w:hAnsi="Garamond" w:cstheme="majorHAnsi"/>
          <w:sz w:val="20"/>
          <w:szCs w:val="20"/>
        </w:rPr>
        <w:t xml:space="preserve"> Punësimi informal përfshin punonjësit në sektorët jobujqësorë, për të cilët marrëdhëniet ekonomike me punëdhënësin nuk mbulohen ose mbulohen pjesërisht nga marrëveshjet formale, si: punonjësit që nuk përfitojnë pushim vjetor me pagesë apo pushim mjekësor me pagesë në rast sëmundjeje, apo punonjësit që përfitojnë pushim vjetor të paguar dhe pushim mjekësor të paguar, por punëdhënësit e tyre nuk paguajnë kontribute për sigurimet shoqërore për ta.</w:t>
      </w:r>
    </w:p>
  </w:footnote>
  <w:footnote w:id="29">
    <w:p w14:paraId="01BB091C" w14:textId="77777777" w:rsidR="00C27CE9" w:rsidRPr="00CB1B2B" w:rsidRDefault="00C27CE9" w:rsidP="004A139C">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Ku një pjesë e pagës raportohet në autoritetet tatimore dhe një pjesë tjetër paguhet me para në dorë dhe, si rrjedhojë, nuk raportohet.</w:t>
      </w:r>
    </w:p>
  </w:footnote>
  <w:footnote w:id="30">
    <w:p w14:paraId="01BB091D" w14:textId="77DA1530" w:rsidR="00C27CE9" w:rsidRPr="00CB1B2B" w:rsidRDefault="00C27CE9" w:rsidP="004A139C">
      <w:pPr>
        <w:spacing w:after="0" w:line="240" w:lineRule="auto"/>
        <w:jc w:val="both"/>
        <w:rPr>
          <w:rFonts w:ascii="Garamond" w:hAnsi="Garamond" w:cstheme="majorHAnsi"/>
          <w:sz w:val="20"/>
          <w:szCs w:val="20"/>
        </w:rPr>
      </w:pPr>
      <w:r w:rsidRPr="00CB1B2B">
        <w:rPr>
          <w:rStyle w:val="FootnoteReference"/>
          <w:rFonts w:ascii="Garamond" w:hAnsi="Garamond" w:cstheme="majorHAnsi"/>
          <w:sz w:val="20"/>
          <w:szCs w:val="20"/>
        </w:rPr>
        <w:footnoteRef/>
      </w:r>
      <w:r w:rsidRPr="00CB1B2B">
        <w:rPr>
          <w:rFonts w:ascii="Garamond" w:hAnsi="Garamond" w:cstheme="majorHAnsi"/>
          <w:sz w:val="20"/>
          <w:szCs w:val="20"/>
        </w:rPr>
        <w:t xml:space="preserve"> Këshilli i Bashkëpunimit Rajonal (2022): Performanca e Ekonomive të Ballkanit Perëndimor në lidhje me Shtyllën E</w:t>
      </w:r>
      <w:r>
        <w:rPr>
          <w:rFonts w:ascii="Garamond" w:hAnsi="Garamond" w:cstheme="majorHAnsi"/>
          <w:sz w:val="20"/>
          <w:szCs w:val="20"/>
        </w:rPr>
        <w:t>v</w:t>
      </w:r>
      <w:r w:rsidRPr="00CB1B2B">
        <w:rPr>
          <w:rFonts w:ascii="Garamond" w:hAnsi="Garamond" w:cstheme="majorHAnsi"/>
          <w:sz w:val="20"/>
          <w:szCs w:val="20"/>
        </w:rPr>
        <w:t>ropiane të të Drejtave Sociale. Vlerësimi i Shqipërisë 2021</w:t>
      </w:r>
    </w:p>
  </w:footnote>
  <w:footnote w:id="31">
    <w:p w14:paraId="01BB091E" w14:textId="77777777" w:rsidR="00C27CE9" w:rsidRPr="00CB1B2B" w:rsidRDefault="00C27CE9" w:rsidP="004A139C">
      <w:pPr>
        <w:spacing w:after="0" w:line="240" w:lineRule="auto"/>
        <w:jc w:val="both"/>
        <w:rPr>
          <w:rFonts w:ascii="Garamond" w:hAnsi="Garamond" w:cstheme="majorHAnsi"/>
          <w:sz w:val="20"/>
          <w:szCs w:val="18"/>
        </w:rPr>
      </w:pPr>
      <w:r w:rsidRPr="00CB1B2B">
        <w:rPr>
          <w:rStyle w:val="FootnoteReference"/>
          <w:rFonts w:ascii="Garamond" w:hAnsi="Garamond" w:cstheme="majorHAnsi"/>
          <w:sz w:val="20"/>
          <w:szCs w:val="20"/>
        </w:rPr>
        <w:footnoteRef/>
      </w:r>
      <w:r w:rsidRPr="00CB1B2B">
        <w:rPr>
          <w:rFonts w:ascii="Garamond" w:hAnsi="Garamond" w:cstheme="majorHAnsi"/>
          <w:sz w:val="20"/>
          <w:szCs w:val="20"/>
        </w:rPr>
        <w:t xml:space="preserve"> Po aty. Megjithëse monitorimi dhe raportimi për aksidentet në punë janë përmirësuar, statistikat e raportuara duhet të përdoren ende me kujdes për shkak të niveleve të ulëta të raportimit</w:t>
      </w:r>
    </w:p>
  </w:footnote>
  <w:footnote w:id="32">
    <w:p w14:paraId="01BB091F" w14:textId="046BC29C" w:rsidR="00C27CE9" w:rsidRPr="00CB1B2B" w:rsidRDefault="00C27CE9" w:rsidP="00620B96">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Ndërsa përqindja e subjekteve që nuk ofrojnë masa mbrojtëse adekuate për grupe të veçanta ka shkuar në 30 për</w:t>
      </w:r>
      <w:r>
        <w:rPr>
          <w:rFonts w:ascii="Garamond" w:hAnsi="Garamond" w:cstheme="majorHAnsi"/>
          <w:lang w:val="sq-AL"/>
        </w:rPr>
        <w:t xml:space="preserve"> </w:t>
      </w:r>
      <w:r w:rsidRPr="00CB1B2B">
        <w:rPr>
          <w:rFonts w:ascii="Garamond" w:hAnsi="Garamond" w:cstheme="majorHAnsi"/>
          <w:lang w:val="sq-AL"/>
        </w:rPr>
        <w:t xml:space="preserve">qind. </w:t>
      </w:r>
    </w:p>
  </w:footnote>
  <w:footnote w:id="33">
    <w:p w14:paraId="01BB0920" w14:textId="4EC34378" w:rsidR="00C27CE9" w:rsidRPr="00CB1B2B" w:rsidRDefault="00C27CE9" w:rsidP="00620B96">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IP gjithashtu ka identifikuar se rreth 52 për</w:t>
      </w:r>
      <w:r>
        <w:rPr>
          <w:rFonts w:ascii="Garamond" w:hAnsi="Garamond" w:cstheme="majorHAnsi"/>
          <w:lang w:val="sq-AL"/>
        </w:rPr>
        <w:t xml:space="preserve"> </w:t>
      </w:r>
      <w:r w:rsidRPr="00CB1B2B">
        <w:rPr>
          <w:rFonts w:ascii="Garamond" w:hAnsi="Garamond" w:cstheme="majorHAnsi"/>
          <w:lang w:val="sq-AL"/>
        </w:rPr>
        <w:t>qind e subjekteve të inspektuara janë pa Këshillin e SSHP, rreth 72 për</w:t>
      </w:r>
      <w:r>
        <w:rPr>
          <w:rFonts w:ascii="Garamond" w:hAnsi="Garamond" w:cstheme="majorHAnsi"/>
          <w:lang w:val="sq-AL"/>
        </w:rPr>
        <w:t xml:space="preserve"> </w:t>
      </w:r>
      <w:r w:rsidRPr="00CB1B2B">
        <w:rPr>
          <w:rFonts w:ascii="Garamond" w:hAnsi="Garamond" w:cstheme="majorHAnsi"/>
          <w:lang w:val="sq-AL"/>
        </w:rPr>
        <w:t>qind pa përfaqësues të Këshillit të SSHP dhe 70 për</w:t>
      </w:r>
      <w:r>
        <w:rPr>
          <w:rFonts w:ascii="Garamond" w:hAnsi="Garamond" w:cstheme="majorHAnsi"/>
          <w:lang w:val="sq-AL"/>
        </w:rPr>
        <w:t xml:space="preserve"> </w:t>
      </w:r>
      <w:r w:rsidRPr="00CB1B2B">
        <w:rPr>
          <w:rFonts w:ascii="Garamond" w:hAnsi="Garamond" w:cstheme="majorHAnsi"/>
          <w:lang w:val="sq-AL"/>
        </w:rPr>
        <w:t>qind pa koordinator të SSHP</w:t>
      </w:r>
      <w:r>
        <w:rPr>
          <w:rFonts w:ascii="Garamond" w:hAnsi="Garamond" w:cstheme="majorHAnsi"/>
          <w:lang w:val="sq-AL"/>
        </w:rPr>
        <w:t>-së</w:t>
      </w:r>
      <w:r w:rsidRPr="00CB1B2B">
        <w:rPr>
          <w:rFonts w:ascii="Garamond" w:hAnsi="Garamond" w:cstheme="majorHAnsi"/>
          <w:lang w:val="sq-AL"/>
        </w:rPr>
        <w:t>.</w:t>
      </w:r>
    </w:p>
  </w:footnote>
  <w:footnote w:id="34">
    <w:p w14:paraId="01BB0921" w14:textId="747B5038" w:rsidR="00C27CE9" w:rsidRPr="00CB1B2B" w:rsidRDefault="00C27CE9" w:rsidP="00620B96">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Veçanërisht për barrën fiskale nga tatimi i punës për pagat e ulëta, ndihmën ekonomike dhe kushtet e sigurisë dhe shëndetit në punë. Barra fiskale e të ardhurave nga puna është ndryshimi midis pagës bruto dhe neto e cila krijon një kosto shtesë për punonjësit, për shkak të kontributeve për sigurimet shoqërore dhe tatimit mbi pagë. Sipas raportit të </w:t>
      </w:r>
      <w:r w:rsidRPr="00CB1B2B">
        <w:rPr>
          <w:rFonts w:ascii="Garamond" w:hAnsi="Garamond" w:cstheme="majorHAnsi"/>
          <w:color w:val="000000" w:themeColor="text1"/>
          <w:lang w:val="sq-AL"/>
        </w:rPr>
        <w:t>Këshillit të Bashkëpunimit Rajonal lidhur me Performancën e Ekonomive të Ballkanit Perëndimor në lidhje me Shtyllën Evropiane të të Drejtave Sociale</w:t>
      </w:r>
      <w:r w:rsidRPr="00CB1B2B">
        <w:rPr>
          <w:rFonts w:ascii="Garamond" w:hAnsi="Garamond" w:cstheme="majorHAnsi"/>
          <w:lang w:val="sq-AL"/>
        </w:rPr>
        <w:t>, një e treta e bizne</w:t>
      </w:r>
      <w:r>
        <w:rPr>
          <w:rFonts w:ascii="Garamond" w:hAnsi="Garamond" w:cstheme="majorHAnsi"/>
          <w:lang w:val="sq-AL"/>
        </w:rPr>
        <w:t>se</w:t>
      </w:r>
      <w:r w:rsidRPr="00CB1B2B">
        <w:rPr>
          <w:rFonts w:ascii="Garamond" w:hAnsi="Garamond" w:cstheme="majorHAnsi"/>
          <w:lang w:val="sq-AL"/>
        </w:rPr>
        <w:t>ve shqiptare i konsiderojnë taksat e pagave dhe kontributet e sigurimeve shoqërore si një pengesë të rëndë për rritjen e biznesit.</w:t>
      </w:r>
    </w:p>
  </w:footnote>
  <w:footnote w:id="35">
    <w:p w14:paraId="01BB0922" w14:textId="27E99DD2" w:rsidR="00C27CE9" w:rsidRPr="00CB1B2B" w:rsidRDefault="00C27CE9" w:rsidP="00B3478C">
      <w:pPr>
        <w:pStyle w:val="TEKSTIIII"/>
        <w:ind w:firstLine="0"/>
        <w:rPr>
          <w:sz w:val="20"/>
          <w:szCs w:val="20"/>
        </w:rPr>
      </w:pPr>
      <w:r w:rsidRPr="00CB1B2B">
        <w:rPr>
          <w:rStyle w:val="FootnoteReference"/>
          <w:rFonts w:asciiTheme="majorHAnsi" w:hAnsiTheme="majorHAnsi" w:cstheme="majorHAnsi"/>
          <w:sz w:val="20"/>
          <w:szCs w:val="20"/>
        </w:rPr>
        <w:footnoteRef/>
      </w:r>
      <w:r w:rsidRPr="00CB1B2B">
        <w:rPr>
          <w:rStyle w:val="FootnoteReference"/>
          <w:rFonts w:asciiTheme="majorHAnsi" w:hAnsiTheme="majorHAnsi" w:cstheme="majorHAnsi"/>
          <w:sz w:val="20"/>
          <w:szCs w:val="20"/>
        </w:rPr>
        <w:t xml:space="preserve"> </w:t>
      </w:r>
      <w:r w:rsidRPr="00CB1B2B">
        <w:rPr>
          <w:sz w:val="20"/>
          <w:szCs w:val="20"/>
        </w:rPr>
        <w:t>Në vitin 2021 vetëm 6 për</w:t>
      </w:r>
      <w:r>
        <w:rPr>
          <w:sz w:val="20"/>
          <w:szCs w:val="20"/>
        </w:rPr>
        <w:t xml:space="preserve"> </w:t>
      </w:r>
      <w:r w:rsidRPr="00CB1B2B">
        <w:rPr>
          <w:sz w:val="20"/>
          <w:szCs w:val="20"/>
        </w:rPr>
        <w:t>qind e punëkërkuesve të regjistruar në AKPA që u punësuan i përkisnin njërës prej kategorive të veçanta të identifikuara (përfitues të ndihmës ekonomike, persona me aftësi ndryshe apo punëkërkues nga pakicat rome dhe egjiptiane); ndonëse këta të fundit përbënin 41 për</w:t>
      </w:r>
      <w:r>
        <w:rPr>
          <w:sz w:val="20"/>
          <w:szCs w:val="20"/>
        </w:rPr>
        <w:t xml:space="preserve"> </w:t>
      </w:r>
      <w:r w:rsidRPr="00CB1B2B">
        <w:rPr>
          <w:sz w:val="20"/>
          <w:szCs w:val="20"/>
        </w:rPr>
        <w:t>qind të stokut të punëkërkuesve të papunë të regjistruar.</w:t>
      </w:r>
    </w:p>
  </w:footnote>
  <w:footnote w:id="36">
    <w:p w14:paraId="01BB0923" w14:textId="77777777" w:rsidR="00C27CE9" w:rsidRPr="00CB1B2B" w:rsidRDefault="00C27CE9" w:rsidP="00B3478C">
      <w:pPr>
        <w:pStyle w:val="TEKSTIIII"/>
        <w:ind w:firstLine="0"/>
        <w:rPr>
          <w:sz w:val="20"/>
          <w:szCs w:val="20"/>
        </w:rPr>
      </w:pPr>
      <w:r w:rsidRPr="00CB1B2B">
        <w:rPr>
          <w:rStyle w:val="FootnoteReference"/>
          <w:rFonts w:asciiTheme="majorHAnsi" w:hAnsiTheme="majorHAnsi" w:cstheme="majorHAnsi"/>
          <w:sz w:val="20"/>
          <w:szCs w:val="20"/>
        </w:rPr>
        <w:footnoteRef/>
      </w:r>
      <w:r w:rsidRPr="00CB1B2B">
        <w:rPr>
          <w:sz w:val="20"/>
          <w:szCs w:val="20"/>
        </w:rPr>
        <w:t xml:space="preserve"> AKPA, 2022</w:t>
      </w:r>
    </w:p>
  </w:footnote>
  <w:footnote w:id="37">
    <w:p w14:paraId="01BB0924" w14:textId="77777777" w:rsidR="00C27CE9" w:rsidRPr="00CB1B2B" w:rsidRDefault="00C27CE9" w:rsidP="00B3478C">
      <w:pPr>
        <w:pStyle w:val="TEKSTIIII"/>
        <w:ind w:firstLine="0"/>
        <w:rPr>
          <w:sz w:val="20"/>
          <w:szCs w:val="20"/>
        </w:rPr>
      </w:pPr>
      <w:r w:rsidRPr="00CB1B2B">
        <w:rPr>
          <w:rStyle w:val="FootnoteReference"/>
          <w:rFonts w:asciiTheme="majorHAnsi" w:hAnsiTheme="majorHAnsi" w:cstheme="majorHAnsi"/>
          <w:sz w:val="20"/>
          <w:szCs w:val="20"/>
        </w:rPr>
        <w:footnoteRef/>
      </w:r>
      <w:r w:rsidRPr="00CB1B2B">
        <w:rPr>
          <w:sz w:val="20"/>
          <w:szCs w:val="20"/>
        </w:rPr>
        <w:t xml:space="preserve"> AKPA, Analiza vjetore 2021</w:t>
      </w:r>
    </w:p>
  </w:footnote>
  <w:footnote w:id="38">
    <w:p w14:paraId="01BB0925" w14:textId="77777777" w:rsidR="00C27CE9" w:rsidRPr="00CB1B2B" w:rsidRDefault="00C27CE9" w:rsidP="00B3478C">
      <w:pPr>
        <w:pStyle w:val="TEKSTIIII"/>
        <w:ind w:firstLine="0"/>
        <w:jc w:val="left"/>
        <w:rPr>
          <w:sz w:val="20"/>
          <w:szCs w:val="20"/>
        </w:rPr>
      </w:pPr>
      <w:r w:rsidRPr="00CB1B2B">
        <w:rPr>
          <w:rStyle w:val="FootnoteReference"/>
          <w:rFonts w:asciiTheme="majorHAnsi" w:hAnsiTheme="majorHAnsi" w:cstheme="majorHAnsi"/>
          <w:sz w:val="20"/>
          <w:szCs w:val="20"/>
        </w:rPr>
        <w:footnoteRef/>
      </w:r>
      <w:r w:rsidRPr="00CB1B2B">
        <w:rPr>
          <w:rStyle w:val="FootnoteReference"/>
          <w:rFonts w:asciiTheme="majorHAnsi" w:hAnsiTheme="majorHAnsi" w:cstheme="majorHAnsi"/>
          <w:sz w:val="20"/>
          <w:szCs w:val="20"/>
        </w:rPr>
        <w:t xml:space="preserve"> </w:t>
      </w:r>
      <w:r w:rsidRPr="00CB1B2B">
        <w:rPr>
          <w:sz w:val="20"/>
          <w:szCs w:val="20"/>
        </w:rPr>
        <w:t xml:space="preserve">European Commission, 2022: 2022 Economic Reform Programmes of Albania, Montenegro, North Macedonia, Serbia, Turkey, Bosnia and Hercegovina, and Kosovo*, </w:t>
      </w:r>
      <w:hyperlink r:id="rId4" w:history="1">
        <w:r w:rsidRPr="00CB1B2B">
          <w:rPr>
            <w:rStyle w:val="Hyperlink"/>
            <w:rFonts w:cstheme="majorHAnsi"/>
            <w:sz w:val="20"/>
            <w:szCs w:val="20"/>
          </w:rPr>
          <w:t>https://ec.europa.eu/info/sites/default/files/economy-finance/ip180_en_0.pdf</w:t>
        </w:r>
      </w:hyperlink>
      <w:r w:rsidRPr="00CB1B2B">
        <w:rPr>
          <w:sz w:val="20"/>
          <w:szCs w:val="20"/>
        </w:rPr>
        <w:t xml:space="preserve"> </w:t>
      </w:r>
    </w:p>
  </w:footnote>
  <w:footnote w:id="39">
    <w:p w14:paraId="01BB0926" w14:textId="77777777" w:rsidR="00C27CE9" w:rsidRPr="00CB1B2B" w:rsidRDefault="00C27CE9" w:rsidP="00B3478C">
      <w:pPr>
        <w:pStyle w:val="TEKSTIIII"/>
        <w:ind w:firstLine="0"/>
      </w:pPr>
      <w:r w:rsidRPr="00CB1B2B">
        <w:rPr>
          <w:rStyle w:val="FootnoteReference"/>
          <w:rFonts w:asciiTheme="majorHAnsi" w:hAnsiTheme="majorHAnsi" w:cstheme="majorHAnsi"/>
          <w:sz w:val="20"/>
          <w:szCs w:val="20"/>
        </w:rPr>
        <w:footnoteRef/>
      </w:r>
      <w:r w:rsidRPr="00CB1B2B">
        <w:rPr>
          <w:sz w:val="20"/>
          <w:szCs w:val="20"/>
        </w:rPr>
        <w:t xml:space="preserve"> Ka një numër në rritje të Agjencive Private të Punësimit (APrP) të pranishme në tregun e shërbimeve të tregut të punës. Disa prej tyre vlerësohen shumë nga punëdhënësit. Krahasuar me organizata publike, organet private konsiderohen më fleksibël, më pak burokratike dhe më të orientuara drejt shërbimeve dhe mund të kenë informacion dhe rrjete të rëndësishme me aktorët kryesorë në tregun e punës. Kështu, forca e agjencive private të punësimit qëndron në aftësinë e tyre për të ndërhyrë me shpejtësi dhe me efikasitet në një sektor të caktuar të tregut të punës, duke ofruar shërbime cilësore të personalizuara në një mënyrë më fleksibël.</w:t>
      </w:r>
    </w:p>
  </w:footnote>
  <w:footnote w:id="40">
    <w:p w14:paraId="01BB0927" w14:textId="77777777" w:rsidR="00C27CE9" w:rsidRPr="00CB1B2B" w:rsidRDefault="00C27CE9" w:rsidP="000F778D">
      <w:pPr>
        <w:pStyle w:val="FootnoteText"/>
        <w:spacing w:before="0" w:after="0" w:line="240" w:lineRule="auto"/>
        <w:rPr>
          <w:rStyle w:val="FootnoteReference"/>
          <w:rFonts w:ascii="Garamond" w:hAnsi="Garamond" w:cstheme="majorHAnsi"/>
          <w:lang w:val="sq-AL"/>
        </w:rPr>
      </w:pPr>
      <w:r w:rsidRPr="00CB1B2B">
        <w:rPr>
          <w:rStyle w:val="FootnoteReference"/>
          <w:rFonts w:ascii="Garamond" w:hAnsi="Garamond" w:cstheme="majorHAnsi"/>
          <w:lang w:val="sq-AL"/>
        </w:rPr>
        <w:footnoteRef/>
      </w:r>
      <w:r w:rsidRPr="00CB1B2B">
        <w:rPr>
          <w:rStyle w:val="FootnoteReference"/>
          <w:rFonts w:ascii="Garamond" w:hAnsi="Garamond" w:cstheme="majorHAnsi"/>
          <w:lang w:val="sq-AL"/>
        </w:rPr>
        <w:t xml:space="preserve"> </w:t>
      </w:r>
      <w:r w:rsidRPr="00CB1B2B">
        <w:rPr>
          <w:rFonts w:ascii="Garamond" w:hAnsi="Garamond" w:cstheme="majorHAnsi"/>
          <w:lang w:val="sq-AL"/>
        </w:rPr>
        <w:t xml:space="preserve">Ministria e Financave dhe Ekonomisë (2021): National Employment and Skills Strategy 2019-2022, Annual Report 2020, p.23, </w:t>
      </w:r>
      <w:hyperlink r:id="rId5" w:history="1">
        <w:r w:rsidRPr="00CB1B2B">
          <w:rPr>
            <w:rStyle w:val="Hyperlink"/>
            <w:rFonts w:ascii="Garamond" w:hAnsi="Garamond" w:cstheme="majorHAnsi"/>
            <w:lang w:val="sq-AL"/>
          </w:rPr>
          <w:t>https://financa.gov.al/wp-content/uploads/2021/06/NESS-Annual-Progress-Report-2020.pdf</w:t>
        </w:r>
      </w:hyperlink>
      <w:r w:rsidRPr="00CB1B2B">
        <w:rPr>
          <w:rFonts w:ascii="Garamond" w:hAnsi="Garamond" w:cstheme="majorHAnsi"/>
          <w:lang w:val="sq-AL"/>
        </w:rPr>
        <w:t xml:space="preserve"> </w:t>
      </w:r>
    </w:p>
  </w:footnote>
  <w:footnote w:id="41">
    <w:p w14:paraId="01BB0928" w14:textId="6250B1D0" w:rsidR="00C27CE9" w:rsidRPr="00CB1B2B" w:rsidRDefault="00C27CE9" w:rsidP="000F778D">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Strategjia Kombëtare për P</w:t>
      </w:r>
      <w:r>
        <w:rPr>
          <w:rFonts w:ascii="Garamond" w:hAnsi="Garamond" w:cstheme="majorHAnsi"/>
          <w:lang w:val="sq-AL"/>
        </w:rPr>
        <w:t>unësim dhe Aftësi (SKPA) 2014–</w:t>
      </w:r>
      <w:r w:rsidRPr="00CB1B2B">
        <w:rPr>
          <w:rFonts w:ascii="Garamond" w:hAnsi="Garamond" w:cstheme="majorHAnsi"/>
          <w:lang w:val="sq-AL"/>
        </w:rPr>
        <w:t xml:space="preserve">2020 miratuar me VKM 818, datë 26.11.2014; dhe Plani i Veprimit I SKPA 2020–2022 miratuar me VKM </w:t>
      </w:r>
      <w:r>
        <w:rPr>
          <w:rFonts w:ascii="Garamond" w:hAnsi="Garamond" w:cstheme="majorHAnsi"/>
          <w:lang w:val="sq-AL"/>
        </w:rPr>
        <w:t xml:space="preserve">nr. </w:t>
      </w:r>
      <w:r w:rsidRPr="00CB1B2B">
        <w:rPr>
          <w:rFonts w:ascii="Garamond" w:hAnsi="Garamond" w:cstheme="majorHAnsi"/>
          <w:lang w:val="sq-AL"/>
        </w:rPr>
        <w:t>659, datë 10.10.2019.</w:t>
      </w:r>
    </w:p>
  </w:footnote>
  <w:footnote w:id="42">
    <w:p w14:paraId="01BB0929" w14:textId="1A64EADB" w:rsidR="00C27CE9" w:rsidRPr="00CB1B2B" w:rsidRDefault="00C27CE9" w:rsidP="000F778D">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Ligji </w:t>
      </w:r>
      <w:r>
        <w:rPr>
          <w:rFonts w:ascii="Garamond" w:hAnsi="Garamond" w:cstheme="majorHAnsi"/>
          <w:lang w:val="sq-AL"/>
        </w:rPr>
        <w:t xml:space="preserve">nr. </w:t>
      </w:r>
      <w:r w:rsidRPr="00CB1B2B">
        <w:rPr>
          <w:rFonts w:ascii="Garamond" w:hAnsi="Garamond" w:cstheme="majorHAnsi"/>
          <w:lang w:val="sq-AL"/>
        </w:rPr>
        <w:t>10247</w:t>
      </w:r>
      <w:r>
        <w:rPr>
          <w:rFonts w:ascii="Garamond" w:hAnsi="Garamond" w:cstheme="majorHAnsi"/>
          <w:lang w:val="sq-AL"/>
        </w:rPr>
        <w:t>,</w:t>
      </w:r>
      <w:r w:rsidRPr="00CB1B2B">
        <w:rPr>
          <w:rFonts w:ascii="Garamond" w:hAnsi="Garamond" w:cstheme="majorHAnsi"/>
          <w:lang w:val="sq-AL"/>
        </w:rPr>
        <w:t xml:space="preserve"> datë 4.3.2010, i ndryshuar “Për kornizën shqiptare të kualifikimev</w:t>
      </w:r>
      <w:r>
        <w:rPr>
          <w:rFonts w:ascii="Garamond" w:hAnsi="Garamond" w:cstheme="majorHAnsi"/>
          <w:lang w:val="sq-AL"/>
        </w:rPr>
        <w:t>e” dhe urdhër nr. 99 i MFE-së, datë 25.</w:t>
      </w:r>
      <w:r w:rsidRPr="00CB1B2B">
        <w:rPr>
          <w:rFonts w:ascii="Garamond" w:hAnsi="Garamond" w:cstheme="majorHAnsi"/>
          <w:lang w:val="sq-AL"/>
        </w:rPr>
        <w:t>5.2021</w:t>
      </w:r>
      <w:r>
        <w:rPr>
          <w:rFonts w:ascii="Garamond" w:hAnsi="Garamond" w:cstheme="majorHAnsi"/>
          <w:lang w:val="sq-AL"/>
        </w:rPr>
        <w:t>,</w:t>
      </w:r>
      <w:r w:rsidRPr="00CB1B2B">
        <w:rPr>
          <w:rFonts w:ascii="Garamond" w:hAnsi="Garamond" w:cstheme="majorHAnsi"/>
          <w:lang w:val="sq-AL"/>
        </w:rPr>
        <w:t xml:space="preserve"> “Për miratimin e katalogut kombëtar të kualifikimeve profesionale”</w:t>
      </w:r>
      <w:r>
        <w:rPr>
          <w:rFonts w:ascii="Garamond" w:hAnsi="Garamond" w:cstheme="majorHAnsi"/>
          <w:lang w:val="sq-AL"/>
        </w:rPr>
        <w:t>.</w:t>
      </w:r>
    </w:p>
  </w:footnote>
  <w:footnote w:id="43">
    <w:p w14:paraId="01BB092A" w14:textId="52355398" w:rsidR="00C27CE9" w:rsidRPr="00CB1B2B" w:rsidRDefault="00C27CE9" w:rsidP="000F778D">
      <w:pPr>
        <w:pStyle w:val="NormalWeb"/>
        <w:spacing w:before="0" w:beforeAutospacing="0" w:after="0" w:afterAutospacing="0" w:line="240" w:lineRule="auto"/>
        <w:rPr>
          <w:rFonts w:asciiTheme="majorHAnsi" w:hAnsiTheme="majorHAnsi" w:cstheme="majorHAnsi"/>
          <w:sz w:val="18"/>
          <w:szCs w:val="18"/>
          <w:lang w:val="sq-AL"/>
        </w:rPr>
      </w:pPr>
      <w:r w:rsidRPr="00CB1B2B">
        <w:rPr>
          <w:rStyle w:val="FootnoteReference"/>
          <w:rFonts w:ascii="Garamond" w:hAnsi="Garamond" w:cstheme="majorHAnsi"/>
          <w:sz w:val="20"/>
          <w:szCs w:val="20"/>
          <w:lang w:val="sq-AL"/>
        </w:rPr>
        <w:footnoteRef/>
      </w:r>
      <w:r w:rsidRPr="00CB1B2B">
        <w:rPr>
          <w:rFonts w:ascii="Garamond" w:hAnsi="Garamond" w:cstheme="majorHAnsi"/>
          <w:sz w:val="20"/>
          <w:szCs w:val="20"/>
          <w:lang w:val="sq-AL"/>
        </w:rPr>
        <w:t xml:space="preserve"> </w:t>
      </w:r>
      <w:r w:rsidRPr="00CB1B2B">
        <w:rPr>
          <w:rFonts w:ascii="Garamond" w:eastAsiaTheme="minorHAnsi" w:hAnsi="Garamond" w:cstheme="majorHAnsi"/>
          <w:sz w:val="20"/>
          <w:szCs w:val="20"/>
          <w:lang w:val="sq-AL"/>
        </w:rPr>
        <w:t xml:space="preserve">VKM </w:t>
      </w:r>
      <w:r>
        <w:rPr>
          <w:rFonts w:ascii="Garamond" w:eastAsiaTheme="minorHAnsi" w:hAnsi="Garamond" w:cstheme="majorHAnsi"/>
          <w:sz w:val="20"/>
          <w:szCs w:val="20"/>
          <w:lang w:val="sq-AL"/>
        </w:rPr>
        <w:t>n</w:t>
      </w:r>
      <w:r w:rsidRPr="00CB1B2B">
        <w:rPr>
          <w:rFonts w:ascii="Garamond" w:eastAsiaTheme="minorHAnsi" w:hAnsi="Garamond" w:cstheme="majorHAnsi"/>
          <w:sz w:val="20"/>
          <w:szCs w:val="20"/>
          <w:lang w:val="sq-AL"/>
        </w:rPr>
        <w:t>r. 427, date</w:t>
      </w:r>
      <w:r w:rsidRPr="00CB1B2B">
        <w:rPr>
          <w:rFonts w:eastAsiaTheme="minorHAnsi"/>
          <w:sz w:val="20"/>
          <w:szCs w:val="20"/>
          <w:lang w:val="sq-AL"/>
        </w:rPr>
        <w:t>̈</w:t>
      </w:r>
      <w:r w:rsidRPr="00CB1B2B">
        <w:rPr>
          <w:rFonts w:ascii="Garamond" w:eastAsiaTheme="minorHAnsi" w:hAnsi="Garamond" w:cstheme="majorHAnsi"/>
          <w:sz w:val="20"/>
          <w:szCs w:val="20"/>
          <w:lang w:val="sq-AL"/>
        </w:rPr>
        <w:t xml:space="preserve"> 26.6.2019</w:t>
      </w:r>
      <w:r>
        <w:rPr>
          <w:rFonts w:ascii="Garamond" w:eastAsiaTheme="minorHAnsi" w:hAnsi="Garamond" w:cstheme="majorHAnsi"/>
          <w:sz w:val="20"/>
          <w:szCs w:val="20"/>
          <w:lang w:val="sq-AL"/>
        </w:rPr>
        <w:t>,</w:t>
      </w:r>
      <w:r w:rsidRPr="00CB1B2B">
        <w:rPr>
          <w:rFonts w:ascii="Garamond" w:eastAsiaTheme="minorHAnsi" w:hAnsi="Garamond" w:cstheme="majorHAnsi"/>
          <w:sz w:val="20"/>
          <w:szCs w:val="20"/>
          <w:lang w:val="sq-AL"/>
        </w:rPr>
        <w:t xml:space="preserve"> </w:t>
      </w:r>
      <w:r w:rsidRPr="00CB1B2B">
        <w:rPr>
          <w:rFonts w:ascii="Garamond" w:eastAsiaTheme="minorHAnsi" w:hAnsi="Garamond" w:cs="Garamond"/>
          <w:sz w:val="20"/>
          <w:szCs w:val="20"/>
          <w:lang w:val="sq-AL"/>
        </w:rPr>
        <w:t>“</w:t>
      </w:r>
      <w:r w:rsidRPr="00CB1B2B">
        <w:rPr>
          <w:rFonts w:ascii="Garamond" w:eastAsiaTheme="minorHAnsi" w:hAnsi="Garamond" w:cstheme="majorHAnsi"/>
          <w:sz w:val="20"/>
          <w:szCs w:val="20"/>
          <w:lang w:val="sq-AL"/>
        </w:rPr>
        <w:t>P</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r miratimin e kritereve dhe te</w:t>
      </w:r>
      <w:r w:rsidRPr="00CB1B2B">
        <w:rPr>
          <w:rFonts w:eastAsiaTheme="minorHAnsi"/>
          <w:sz w:val="20"/>
          <w:szCs w:val="20"/>
          <w:lang w:val="sq-AL"/>
        </w:rPr>
        <w:t>̈</w:t>
      </w:r>
      <w:r>
        <w:rPr>
          <w:rFonts w:ascii="Garamond" w:eastAsiaTheme="minorHAnsi" w:hAnsi="Garamond" w:cstheme="majorHAnsi"/>
          <w:sz w:val="20"/>
          <w:szCs w:val="20"/>
          <w:lang w:val="sq-AL"/>
        </w:rPr>
        <w:t xml:space="preserve"> procedurave pë</w:t>
      </w:r>
      <w:r w:rsidRPr="00CB1B2B">
        <w:rPr>
          <w:rFonts w:ascii="Garamond" w:eastAsiaTheme="minorHAnsi" w:hAnsi="Garamond" w:cstheme="majorHAnsi"/>
          <w:sz w:val="20"/>
          <w:szCs w:val="20"/>
          <w:lang w:val="sq-AL"/>
        </w:rPr>
        <w:t>r p</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rfshirjen e kualifikimeve p</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r t</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 xml:space="preserve"> nx</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nit gjat</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 xml:space="preserve"> gjith</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 xml:space="preserve"> jet</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s, sipas niveleve t</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 xml:space="preserve"> korniz</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s shqiptare te</w:t>
      </w:r>
      <w:r w:rsidRPr="00CB1B2B">
        <w:rPr>
          <w:rFonts w:eastAsiaTheme="minorHAnsi"/>
          <w:sz w:val="20"/>
          <w:szCs w:val="20"/>
          <w:lang w:val="sq-AL"/>
        </w:rPr>
        <w:t>̈</w:t>
      </w:r>
      <w:r w:rsidRPr="00CB1B2B">
        <w:rPr>
          <w:rFonts w:ascii="Garamond" w:eastAsiaTheme="minorHAnsi" w:hAnsi="Garamond" w:cstheme="majorHAnsi"/>
          <w:sz w:val="20"/>
          <w:szCs w:val="20"/>
          <w:lang w:val="sq-AL"/>
        </w:rPr>
        <w:t xml:space="preserve"> kualifikimeve, p</w:t>
      </w:r>
      <w:r>
        <w:rPr>
          <w:rFonts w:ascii="Garamond" w:eastAsiaTheme="minorHAnsi" w:hAnsi="Garamond" w:cstheme="majorHAnsi"/>
          <w:sz w:val="20"/>
          <w:szCs w:val="20"/>
          <w:lang w:val="sq-AL"/>
        </w:rPr>
        <w:t>ë</w:t>
      </w:r>
      <w:r w:rsidRPr="00CB1B2B">
        <w:rPr>
          <w:rFonts w:ascii="Garamond" w:eastAsiaTheme="minorHAnsi" w:hAnsi="Garamond" w:cstheme="majorHAnsi"/>
          <w:sz w:val="20"/>
          <w:szCs w:val="20"/>
          <w:lang w:val="sq-AL"/>
        </w:rPr>
        <w:t>r arsimin dhe formimin profesional</w:t>
      </w:r>
      <w:r>
        <w:rPr>
          <w:rFonts w:ascii="Garamond" w:eastAsiaTheme="minorHAnsi" w:hAnsi="Garamond" w:cs="Garamond"/>
          <w:sz w:val="20"/>
          <w:szCs w:val="20"/>
          <w:lang w:val="sq-AL"/>
        </w:rPr>
        <w:t>”.</w:t>
      </w:r>
    </w:p>
  </w:footnote>
  <w:footnote w:id="44">
    <w:p w14:paraId="01BB092B" w14:textId="5F2F60A2" w:rsidR="00C27CE9" w:rsidRPr="00CB1B2B" w:rsidRDefault="00C27CE9" w:rsidP="00616C4B">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Urdhër i MFE</w:t>
      </w:r>
      <w:r>
        <w:rPr>
          <w:rFonts w:ascii="Garamond" w:hAnsi="Garamond" w:cstheme="majorHAnsi"/>
          <w:lang w:val="sq-AL"/>
        </w:rPr>
        <w:t>-së</w:t>
      </w:r>
      <w:r w:rsidRPr="00CB1B2B">
        <w:rPr>
          <w:rFonts w:ascii="Garamond" w:hAnsi="Garamond" w:cstheme="majorHAnsi"/>
          <w:lang w:val="sq-AL"/>
        </w:rPr>
        <w:t xml:space="preserve"> 220, datë </w:t>
      </w:r>
      <w:r>
        <w:rPr>
          <w:rFonts w:ascii="Garamond" w:hAnsi="Garamond" w:cstheme="majorHAnsi"/>
          <w:lang w:val="sq-AL"/>
        </w:rPr>
        <w:t>16.</w:t>
      </w:r>
      <w:r w:rsidRPr="00CB1B2B">
        <w:rPr>
          <w:rFonts w:ascii="Garamond" w:hAnsi="Garamond" w:cstheme="majorHAnsi"/>
          <w:lang w:val="sq-AL"/>
        </w:rPr>
        <w:t xml:space="preserve">9.2020, “Për miratimin e </w:t>
      </w:r>
      <w:r>
        <w:rPr>
          <w:rFonts w:ascii="Garamond" w:hAnsi="Garamond" w:cstheme="majorHAnsi"/>
          <w:lang w:val="sq-AL"/>
        </w:rPr>
        <w:t>r</w:t>
      </w:r>
      <w:r w:rsidRPr="00CB1B2B">
        <w:rPr>
          <w:rFonts w:ascii="Garamond" w:hAnsi="Garamond" w:cstheme="majorHAnsi"/>
          <w:lang w:val="sq-AL"/>
        </w:rPr>
        <w:t>regullores “Për zbatimin e praktikave profesionale në biznes në kuadër të ndjekjes së programeve të AFP-së në institucionet publike të arsimit dhe formimit profesional”.</w:t>
      </w:r>
    </w:p>
  </w:footnote>
  <w:footnote w:id="45">
    <w:p w14:paraId="01BB092C" w14:textId="0BEB5BDA" w:rsidR="00C27CE9" w:rsidRPr="00CB1B2B" w:rsidRDefault="00C27CE9" w:rsidP="00616C4B">
      <w:pPr>
        <w:spacing w:after="0" w:line="240" w:lineRule="auto"/>
        <w:jc w:val="both"/>
        <w:rPr>
          <w:rFonts w:asciiTheme="majorHAnsi" w:hAnsiTheme="majorHAnsi" w:cstheme="majorHAnsi"/>
          <w:sz w:val="18"/>
          <w:szCs w:val="18"/>
        </w:rPr>
      </w:pPr>
      <w:r w:rsidRPr="00CB1B2B">
        <w:rPr>
          <w:rStyle w:val="FootnoteReference"/>
          <w:rFonts w:ascii="Garamond" w:hAnsi="Garamond" w:cstheme="majorHAnsi"/>
          <w:sz w:val="20"/>
          <w:szCs w:val="20"/>
        </w:rPr>
        <w:footnoteRef/>
      </w:r>
      <w:r w:rsidRPr="00CB1B2B">
        <w:rPr>
          <w:rFonts w:ascii="Garamond" w:hAnsi="Garamond" w:cstheme="majorHAnsi"/>
          <w:sz w:val="20"/>
          <w:szCs w:val="20"/>
        </w:rPr>
        <w:t xml:space="preserve"> Udh</w:t>
      </w:r>
      <w:r>
        <w:rPr>
          <w:rFonts w:ascii="Garamond" w:hAnsi="Garamond" w:cstheme="majorHAnsi"/>
          <w:sz w:val="20"/>
          <w:szCs w:val="20"/>
        </w:rPr>
        <w:t>ë</w:t>
      </w:r>
      <w:r w:rsidRPr="00CB1B2B">
        <w:rPr>
          <w:rFonts w:ascii="Garamond" w:hAnsi="Garamond" w:cstheme="majorHAnsi"/>
          <w:sz w:val="20"/>
          <w:szCs w:val="20"/>
        </w:rPr>
        <w:t>zim i MFE</w:t>
      </w:r>
      <w:r>
        <w:rPr>
          <w:rFonts w:ascii="Garamond" w:hAnsi="Garamond" w:cstheme="majorHAnsi"/>
        </w:rPr>
        <w:t>-së</w:t>
      </w:r>
      <w:r w:rsidRPr="00CB1B2B">
        <w:rPr>
          <w:rFonts w:ascii="Garamond" w:hAnsi="Garamond" w:cstheme="majorHAnsi"/>
          <w:sz w:val="20"/>
          <w:szCs w:val="20"/>
        </w:rPr>
        <w:t xml:space="preserve"> </w:t>
      </w:r>
      <w:r>
        <w:rPr>
          <w:rFonts w:ascii="Garamond" w:hAnsi="Garamond" w:cstheme="majorHAnsi"/>
          <w:sz w:val="20"/>
          <w:szCs w:val="20"/>
        </w:rPr>
        <w:t>n</w:t>
      </w:r>
      <w:r w:rsidRPr="00CB1B2B">
        <w:rPr>
          <w:rFonts w:ascii="Garamond" w:hAnsi="Garamond" w:cstheme="majorHAnsi"/>
          <w:sz w:val="20"/>
          <w:szCs w:val="20"/>
        </w:rPr>
        <w:t>r. 14, date</w:t>
      </w:r>
      <w:r w:rsidRPr="00CB1B2B">
        <w:rPr>
          <w:rFonts w:ascii="Times New Roman" w:hAnsi="Times New Roman"/>
          <w:sz w:val="20"/>
          <w:szCs w:val="20"/>
        </w:rPr>
        <w:t>̈</w:t>
      </w:r>
      <w:r w:rsidRPr="00CB1B2B">
        <w:rPr>
          <w:rFonts w:ascii="Garamond" w:hAnsi="Garamond" w:cstheme="majorHAnsi"/>
          <w:sz w:val="20"/>
          <w:szCs w:val="20"/>
        </w:rPr>
        <w:t xml:space="preserve"> 27.5.2021</w:t>
      </w:r>
      <w:r>
        <w:rPr>
          <w:rFonts w:ascii="Garamond" w:hAnsi="Garamond" w:cstheme="majorHAnsi"/>
          <w:sz w:val="20"/>
          <w:szCs w:val="20"/>
        </w:rPr>
        <w:t>,</w:t>
      </w:r>
      <w:r w:rsidRPr="00CB1B2B">
        <w:rPr>
          <w:rFonts w:ascii="Garamond" w:hAnsi="Garamond" w:cstheme="majorHAnsi"/>
          <w:sz w:val="20"/>
          <w:szCs w:val="20"/>
        </w:rPr>
        <w:t xml:space="preserve"> “P</w:t>
      </w:r>
      <w:r>
        <w:rPr>
          <w:rFonts w:ascii="Garamond" w:hAnsi="Garamond" w:cstheme="majorHAnsi"/>
          <w:sz w:val="20"/>
          <w:szCs w:val="20"/>
        </w:rPr>
        <w:t>ë</w:t>
      </w:r>
      <w:r w:rsidRPr="00CB1B2B">
        <w:rPr>
          <w:rFonts w:ascii="Garamond" w:hAnsi="Garamond" w:cstheme="majorHAnsi"/>
          <w:sz w:val="20"/>
          <w:szCs w:val="20"/>
        </w:rPr>
        <w:t>r m</w:t>
      </w:r>
      <w:r>
        <w:rPr>
          <w:rFonts w:ascii="Garamond" w:hAnsi="Garamond" w:cstheme="majorHAnsi"/>
          <w:sz w:val="20"/>
          <w:szCs w:val="20"/>
        </w:rPr>
        <w:t>ë</w:t>
      </w:r>
      <w:r w:rsidRPr="00CB1B2B">
        <w:rPr>
          <w:rFonts w:ascii="Garamond" w:hAnsi="Garamond" w:cstheme="majorHAnsi"/>
          <w:sz w:val="20"/>
          <w:szCs w:val="20"/>
        </w:rPr>
        <w:t>nyr</w:t>
      </w:r>
      <w:r>
        <w:rPr>
          <w:rFonts w:ascii="Garamond" w:hAnsi="Garamond" w:cstheme="majorHAnsi"/>
          <w:sz w:val="20"/>
          <w:szCs w:val="20"/>
        </w:rPr>
        <w:t>ë</w:t>
      </w:r>
      <w:r w:rsidRPr="00CB1B2B">
        <w:rPr>
          <w:rFonts w:ascii="Garamond" w:hAnsi="Garamond" w:cstheme="majorHAnsi"/>
          <w:sz w:val="20"/>
          <w:szCs w:val="20"/>
        </w:rPr>
        <w:t>n e organizimit dhe veprimtaris</w:t>
      </w:r>
      <w:r>
        <w:rPr>
          <w:rFonts w:ascii="Garamond" w:hAnsi="Garamond" w:cstheme="majorHAnsi"/>
          <w:sz w:val="20"/>
          <w:szCs w:val="20"/>
        </w:rPr>
        <w:t>ë</w:t>
      </w:r>
      <w:r w:rsidRPr="00CB1B2B">
        <w:rPr>
          <w:rFonts w:ascii="Garamond" w:hAnsi="Garamond" w:cstheme="majorHAnsi"/>
          <w:sz w:val="20"/>
          <w:szCs w:val="20"/>
        </w:rPr>
        <w:t xml:space="preserve"> s</w:t>
      </w:r>
      <w:r>
        <w:rPr>
          <w:rFonts w:ascii="Garamond" w:hAnsi="Garamond" w:cstheme="majorHAnsi"/>
          <w:sz w:val="20"/>
          <w:szCs w:val="20"/>
        </w:rPr>
        <w:t>ë</w:t>
      </w:r>
      <w:r w:rsidRPr="00CB1B2B">
        <w:rPr>
          <w:rFonts w:ascii="Garamond" w:hAnsi="Garamond" w:cstheme="majorHAnsi"/>
          <w:sz w:val="20"/>
          <w:szCs w:val="20"/>
        </w:rPr>
        <w:t xml:space="preserve"> institucioneve t</w:t>
      </w:r>
      <w:r>
        <w:rPr>
          <w:rFonts w:ascii="Garamond" w:hAnsi="Garamond" w:cstheme="majorHAnsi"/>
          <w:sz w:val="20"/>
          <w:szCs w:val="20"/>
        </w:rPr>
        <w:t>ë</w:t>
      </w:r>
      <w:r w:rsidRPr="00CB1B2B">
        <w:rPr>
          <w:rFonts w:ascii="Garamond" w:hAnsi="Garamond" w:cstheme="majorHAnsi"/>
          <w:sz w:val="20"/>
          <w:szCs w:val="20"/>
        </w:rPr>
        <w:t xml:space="preserve"> arsimit dhe formimit profesional, si dhe aspektet e menaxhimit te</w:t>
      </w:r>
      <w:r w:rsidRPr="00CB1B2B">
        <w:rPr>
          <w:rFonts w:ascii="Times New Roman" w:hAnsi="Times New Roman"/>
          <w:sz w:val="20"/>
          <w:szCs w:val="20"/>
        </w:rPr>
        <w:t>̈</w:t>
      </w:r>
      <w:r w:rsidRPr="00CB1B2B">
        <w:rPr>
          <w:rFonts w:ascii="Garamond" w:hAnsi="Garamond" w:cstheme="majorHAnsi"/>
          <w:sz w:val="20"/>
          <w:szCs w:val="20"/>
        </w:rPr>
        <w:t xml:space="preserve"> burimeve njer</w:t>
      </w:r>
      <w:r>
        <w:rPr>
          <w:rFonts w:ascii="Garamond" w:hAnsi="Garamond" w:cstheme="majorHAnsi"/>
          <w:sz w:val="20"/>
          <w:szCs w:val="20"/>
        </w:rPr>
        <w:t>ë</w:t>
      </w:r>
      <w:r w:rsidRPr="00CB1B2B">
        <w:rPr>
          <w:rFonts w:ascii="Garamond" w:hAnsi="Garamond" w:cstheme="majorHAnsi"/>
          <w:sz w:val="20"/>
          <w:szCs w:val="20"/>
        </w:rPr>
        <w:t>zore, p</w:t>
      </w:r>
      <w:r>
        <w:rPr>
          <w:rFonts w:ascii="Garamond" w:hAnsi="Garamond" w:cstheme="majorHAnsi"/>
          <w:sz w:val="20"/>
          <w:szCs w:val="20"/>
        </w:rPr>
        <w:t>ë</w:t>
      </w:r>
      <w:r w:rsidRPr="00CB1B2B">
        <w:rPr>
          <w:rFonts w:ascii="Garamond" w:hAnsi="Garamond" w:cstheme="majorHAnsi"/>
          <w:sz w:val="20"/>
          <w:szCs w:val="20"/>
        </w:rPr>
        <w:t>rb</w:t>
      </w:r>
      <w:r>
        <w:rPr>
          <w:rFonts w:ascii="Garamond" w:hAnsi="Garamond" w:cstheme="majorHAnsi"/>
          <w:sz w:val="20"/>
          <w:szCs w:val="20"/>
        </w:rPr>
        <w:t>ë</w:t>
      </w:r>
      <w:r w:rsidRPr="00CB1B2B">
        <w:rPr>
          <w:rFonts w:ascii="Garamond" w:hAnsi="Garamond" w:cstheme="majorHAnsi"/>
          <w:sz w:val="20"/>
          <w:szCs w:val="20"/>
        </w:rPr>
        <w:t>rjes s</w:t>
      </w:r>
      <w:r>
        <w:rPr>
          <w:rFonts w:ascii="Garamond" w:hAnsi="Garamond" w:cstheme="majorHAnsi"/>
          <w:sz w:val="20"/>
          <w:szCs w:val="20"/>
        </w:rPr>
        <w:t>ë</w:t>
      </w:r>
      <w:r w:rsidRPr="00CB1B2B">
        <w:rPr>
          <w:rFonts w:ascii="Garamond" w:hAnsi="Garamond" w:cstheme="majorHAnsi"/>
          <w:sz w:val="20"/>
          <w:szCs w:val="20"/>
        </w:rPr>
        <w:t xml:space="preserve"> nj</w:t>
      </w:r>
      <w:r>
        <w:rPr>
          <w:rFonts w:ascii="Garamond" w:hAnsi="Garamond" w:cstheme="majorHAnsi"/>
          <w:sz w:val="20"/>
          <w:szCs w:val="20"/>
        </w:rPr>
        <w:t>ësisë</w:t>
      </w:r>
      <w:r w:rsidRPr="00CB1B2B">
        <w:rPr>
          <w:rFonts w:ascii="Garamond" w:hAnsi="Garamond" w:cstheme="majorHAnsi"/>
          <w:sz w:val="20"/>
          <w:szCs w:val="20"/>
        </w:rPr>
        <w:t xml:space="preserve"> s</w:t>
      </w:r>
      <w:r>
        <w:rPr>
          <w:rFonts w:ascii="Garamond" w:hAnsi="Garamond" w:cstheme="majorHAnsi"/>
          <w:sz w:val="20"/>
          <w:szCs w:val="20"/>
        </w:rPr>
        <w:t>ë</w:t>
      </w:r>
      <w:r w:rsidRPr="00CB1B2B">
        <w:rPr>
          <w:rFonts w:ascii="Garamond" w:hAnsi="Garamond" w:cstheme="majorHAnsi"/>
          <w:sz w:val="20"/>
          <w:szCs w:val="20"/>
        </w:rPr>
        <w:t xml:space="preserve"> zhvillimit te</w:t>
      </w:r>
      <w:r w:rsidRPr="00CB1B2B">
        <w:rPr>
          <w:rFonts w:ascii="Times New Roman" w:hAnsi="Times New Roman"/>
          <w:sz w:val="20"/>
          <w:szCs w:val="20"/>
        </w:rPr>
        <w:t>̈</w:t>
      </w:r>
      <w:r w:rsidRPr="00CB1B2B">
        <w:rPr>
          <w:rFonts w:ascii="Garamond" w:hAnsi="Garamond" w:cstheme="majorHAnsi"/>
          <w:sz w:val="20"/>
          <w:szCs w:val="20"/>
        </w:rPr>
        <w:t xml:space="preserve"> ofruesve te</w:t>
      </w:r>
      <w:r w:rsidRPr="00CB1B2B">
        <w:rPr>
          <w:rFonts w:ascii="Times New Roman" w:hAnsi="Times New Roman"/>
          <w:sz w:val="20"/>
          <w:szCs w:val="20"/>
        </w:rPr>
        <w:t>̈</w:t>
      </w:r>
      <w:r w:rsidRPr="00CB1B2B">
        <w:rPr>
          <w:rFonts w:ascii="Garamond" w:hAnsi="Garamond" w:cstheme="majorHAnsi"/>
          <w:sz w:val="20"/>
          <w:szCs w:val="20"/>
        </w:rPr>
        <w:t xml:space="preserve"> arsimit dhe formimit profesional dhe zhvillimit te</w:t>
      </w:r>
      <w:r w:rsidRPr="00CB1B2B">
        <w:rPr>
          <w:rFonts w:ascii="Times New Roman" w:hAnsi="Times New Roman"/>
          <w:sz w:val="20"/>
          <w:szCs w:val="20"/>
        </w:rPr>
        <w:t>̈</w:t>
      </w:r>
      <w:r w:rsidRPr="00CB1B2B">
        <w:rPr>
          <w:rFonts w:ascii="Garamond" w:hAnsi="Garamond" w:cstheme="majorHAnsi"/>
          <w:sz w:val="20"/>
          <w:szCs w:val="20"/>
        </w:rPr>
        <w:t xml:space="preserve"> vazhduar profesional te</w:t>
      </w:r>
      <w:r w:rsidRPr="00CB1B2B">
        <w:rPr>
          <w:rFonts w:ascii="Times New Roman" w:hAnsi="Times New Roman"/>
          <w:sz w:val="20"/>
          <w:szCs w:val="20"/>
        </w:rPr>
        <w:t>̈</w:t>
      </w:r>
      <w:r w:rsidRPr="00CB1B2B">
        <w:rPr>
          <w:rFonts w:ascii="Garamond" w:hAnsi="Garamond" w:cstheme="majorHAnsi"/>
          <w:sz w:val="20"/>
          <w:szCs w:val="20"/>
        </w:rPr>
        <w:t xml:space="preserve"> personelit</w:t>
      </w:r>
      <w:r w:rsidRPr="00CB1B2B">
        <w:rPr>
          <w:rFonts w:ascii="Garamond" w:hAnsi="Garamond" w:cs="Garamond"/>
          <w:sz w:val="20"/>
          <w:szCs w:val="20"/>
        </w:rPr>
        <w:t>”</w:t>
      </w:r>
      <w:r w:rsidRPr="00CB1B2B">
        <w:rPr>
          <w:rFonts w:asciiTheme="majorHAnsi" w:hAnsiTheme="majorHAnsi" w:cstheme="majorHAnsi"/>
          <w:sz w:val="18"/>
          <w:szCs w:val="18"/>
        </w:rPr>
        <w:t xml:space="preserve"> </w:t>
      </w:r>
    </w:p>
  </w:footnote>
  <w:footnote w:id="46">
    <w:p w14:paraId="01BB092D" w14:textId="6283775C" w:rsidR="00C27CE9" w:rsidRPr="00CB1B2B" w:rsidRDefault="00C27CE9" w:rsidP="000F778D">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Këshilli Kombëtar i Punës, Këshilli Kombëtar i AFP-së, Këshilli Konsultativ i Punësimit, Komitetet Sektoriale, bordet drejtuese të ofruesv</w:t>
      </w:r>
      <w:r>
        <w:rPr>
          <w:rFonts w:ascii="Garamond" w:hAnsi="Garamond" w:cstheme="majorHAnsi"/>
          <w:lang w:val="sq-AL"/>
        </w:rPr>
        <w:t>e</w:t>
      </w:r>
      <w:r w:rsidRPr="00CB1B2B">
        <w:rPr>
          <w:rFonts w:ascii="Garamond" w:hAnsi="Garamond" w:cstheme="majorHAnsi"/>
          <w:lang w:val="sq-AL"/>
        </w:rPr>
        <w:t xml:space="preserve"> të AFP-së janë disa nga organet dhe platformat e angazhimit të partnerëve socialë, sipas legjislacionit të punës, AFP-së, Kornizës Shqiptare të Kualifikimeve dhe legjislacionit për nxitjen e punësimit. </w:t>
      </w:r>
    </w:p>
  </w:footnote>
  <w:footnote w:id="47">
    <w:p w14:paraId="01BB092E" w14:textId="0DAEDC09" w:rsidR="00C27CE9" w:rsidRPr="00CB1B2B" w:rsidRDefault="00C27CE9" w:rsidP="000F778D">
      <w:pPr>
        <w:pStyle w:val="FootnoteText"/>
        <w:spacing w:before="0" w:after="0" w:line="240" w:lineRule="auto"/>
        <w:rPr>
          <w:rFonts w:asciiTheme="majorHAnsi" w:hAnsiTheme="majorHAnsi" w:cstheme="majorHAnsi"/>
          <w:sz w:val="18"/>
          <w:szCs w:val="18"/>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PNUD 2020, “Studim i sistemit të arsimit dhe formimit profesional në Shqipëri”</w:t>
      </w:r>
      <w:r>
        <w:rPr>
          <w:rFonts w:ascii="Garamond" w:hAnsi="Garamond" w:cstheme="majorHAnsi"/>
          <w:lang w:val="sq-AL"/>
        </w:rPr>
        <w:t>.</w:t>
      </w:r>
    </w:p>
  </w:footnote>
  <w:footnote w:id="48">
    <w:p w14:paraId="01BB092F" w14:textId="017D40A6" w:rsidR="00C27CE9" w:rsidRPr="00CB1B2B" w:rsidRDefault="00C27CE9" w:rsidP="00D81EA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RCC 2021, Regional Overvie</w:t>
      </w:r>
      <w:r>
        <w:rPr>
          <w:rFonts w:ascii="Garamond" w:hAnsi="Garamond" w:cstheme="majorHAnsi"/>
          <w:lang w:val="sq-AL"/>
        </w:rPr>
        <w:t>w</w:t>
      </w:r>
      <w:r w:rsidRPr="00CB1B2B">
        <w:rPr>
          <w:rFonts w:ascii="Garamond" w:hAnsi="Garamond" w:cstheme="majorHAnsi"/>
          <w:lang w:val="sq-AL"/>
        </w:rPr>
        <w:t xml:space="preserve"> of Western Balkan Economies regarding the European Social Rights 2021. </w:t>
      </w:r>
    </w:p>
  </w:footnote>
  <w:footnote w:id="49">
    <w:p w14:paraId="01BB0930" w14:textId="77777777" w:rsidR="00C27CE9" w:rsidRPr="00CB1B2B" w:rsidRDefault="00C27CE9" w:rsidP="00D81EA8">
      <w:pPr>
        <w:pStyle w:val="FootnoteText"/>
        <w:spacing w:before="0" w:after="0" w:line="240" w:lineRule="auto"/>
        <w:rPr>
          <w:rFonts w:ascii="Garamond" w:hAnsi="Garamond" w:cstheme="majorHAnsi"/>
          <w:lang w:val="sq-AL"/>
        </w:rPr>
      </w:pPr>
      <w:r w:rsidRPr="00CB1B2B">
        <w:rPr>
          <w:rStyle w:val="FootnoteReference"/>
          <w:rFonts w:ascii="Garamond" w:hAnsi="Garamond"/>
          <w:lang w:val="sq-AL"/>
        </w:rPr>
        <w:footnoteRef/>
      </w:r>
      <w:r w:rsidRPr="00CB1B2B">
        <w:rPr>
          <w:rFonts w:ascii="Garamond" w:hAnsi="Garamond"/>
          <w:lang w:val="sq-AL"/>
        </w:rPr>
        <w:t xml:space="preserve"> </w:t>
      </w:r>
      <w:r w:rsidRPr="00CB1B2B">
        <w:rPr>
          <w:rFonts w:ascii="Garamond" w:hAnsi="Garamond" w:cstheme="majorHAnsi"/>
          <w:lang w:val="sq-AL"/>
        </w:rPr>
        <w:t>Për shembull, promovimi i fleksibilitetit në tregun e punës dhe ndikimi i tij i mundshëm në rritjen e punësimit mund të eksplorohet më tej nëse për shembull kontratat me afat të caktuar mund të lejohen edhe për detyra më të përhershme, por kohëzgjatja maksimale e këtyre kontratave mund të kufizohet në një periudhë të caktuar kohor, siç është rasti për një pjesë të madhe të vendeve në rajon dhe më gjerë.</w:t>
      </w:r>
    </w:p>
  </w:footnote>
  <w:footnote w:id="50">
    <w:p w14:paraId="01BB0931" w14:textId="77777777" w:rsidR="00C27CE9" w:rsidRPr="00CB1B2B" w:rsidRDefault="00C27CE9" w:rsidP="00D81EA8">
      <w:pPr>
        <w:pStyle w:val="FootnoteText"/>
        <w:spacing w:before="0" w:after="0" w:line="240" w:lineRule="auto"/>
        <w:rPr>
          <w:rFonts w:asciiTheme="majorHAnsi" w:hAnsiTheme="majorHAnsi" w:cstheme="majorHAnsi"/>
          <w:sz w:val="18"/>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Sipas Organizatës Ndërkombëtare të Punës (ILO), paga minimale është “paga që përbën dyshemenë e strukturës së pagave me objektivin për të mbrojtur punëtorët që zënë pozicionin më të ulët në shpërndarjen e pagave”. ILO (2012): Drejtësia Sociale dhe Rritja: Roli i Pagës Minimale.</w:t>
      </w:r>
    </w:p>
  </w:footnote>
  <w:footnote w:id="51">
    <w:p w14:paraId="01BB0932" w14:textId="3D5BAEF3" w:rsidR="00C27CE9" w:rsidRPr="00CB1B2B" w:rsidRDefault="00C27CE9" w:rsidP="00D81EA8">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Sipas të dhënave administrative, NE arriti rreth 9 për</w:t>
      </w:r>
      <w:r>
        <w:rPr>
          <w:rFonts w:ascii="Garamond" w:hAnsi="Garamond" w:cstheme="majorHAnsi"/>
          <w:lang w:val="sq-AL"/>
        </w:rPr>
        <w:t xml:space="preserve"> </w:t>
      </w:r>
      <w:r w:rsidRPr="00CB1B2B">
        <w:rPr>
          <w:rFonts w:ascii="Garamond" w:hAnsi="Garamond" w:cstheme="majorHAnsi"/>
          <w:lang w:val="sq-AL"/>
        </w:rPr>
        <w:t xml:space="preserve">qind të popullsisë </w:t>
      </w:r>
      <w:r>
        <w:rPr>
          <w:rFonts w:ascii="Garamond" w:hAnsi="Garamond" w:cstheme="majorHAnsi"/>
          <w:lang w:val="sq-AL"/>
        </w:rPr>
        <w:t>m</w:t>
      </w:r>
      <w:r w:rsidRPr="00CB1B2B">
        <w:rPr>
          <w:rFonts w:ascii="Garamond" w:hAnsi="Garamond" w:cstheme="majorHAnsi"/>
          <w:lang w:val="sq-AL"/>
        </w:rPr>
        <w:t>ë 2021.</w:t>
      </w:r>
    </w:p>
  </w:footnote>
  <w:footnote w:id="52">
    <w:p w14:paraId="01BB0933" w14:textId="593236EB" w:rsidR="00C27CE9" w:rsidRPr="00CB1B2B" w:rsidRDefault="00C27CE9" w:rsidP="00D81EA8">
      <w:pPr>
        <w:pStyle w:val="FootnoteText"/>
        <w:spacing w:before="0" w:after="0" w:line="240" w:lineRule="auto"/>
        <w:rPr>
          <w:rFonts w:asciiTheme="majorHAnsi" w:hAnsiTheme="majorHAnsi" w:cstheme="majorHAnsi"/>
          <w:sz w:val="18"/>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Ndërsa një punëmarrës që fiton pagë minimale kishte një barrë fiskale nga të ardhurat e punës prej 25 për</w:t>
      </w:r>
      <w:r>
        <w:rPr>
          <w:rFonts w:ascii="Garamond" w:hAnsi="Garamond" w:cstheme="majorHAnsi"/>
          <w:lang w:val="sq-AL"/>
        </w:rPr>
        <w:t xml:space="preserve"> </w:t>
      </w:r>
      <w:r w:rsidRPr="00CB1B2B">
        <w:rPr>
          <w:rFonts w:ascii="Garamond" w:hAnsi="Garamond" w:cstheme="majorHAnsi"/>
          <w:lang w:val="sq-AL"/>
        </w:rPr>
        <w:t>qind, një punëmarrës me pagë 10 herë më të lartë se paga mesatare kishte një barrë prej barrë prej 26 për</w:t>
      </w:r>
      <w:r>
        <w:rPr>
          <w:rFonts w:ascii="Garamond" w:hAnsi="Garamond" w:cstheme="majorHAnsi"/>
          <w:lang w:val="sq-AL"/>
        </w:rPr>
        <w:t xml:space="preserve"> </w:t>
      </w:r>
      <w:r w:rsidRPr="00CB1B2B">
        <w:rPr>
          <w:rFonts w:ascii="Garamond" w:hAnsi="Garamond" w:cstheme="majorHAnsi"/>
          <w:lang w:val="sq-AL"/>
        </w:rPr>
        <w:t>qind.</w:t>
      </w:r>
    </w:p>
  </w:footnote>
  <w:footnote w:id="53">
    <w:p w14:paraId="01BB0934" w14:textId="77777777" w:rsidR="00C27CE9" w:rsidRPr="00CB1B2B" w:rsidRDefault="00C27CE9" w:rsidP="0026587C">
      <w:pPr>
        <w:pStyle w:val="NormalWeb"/>
        <w:spacing w:before="0" w:beforeAutospacing="0" w:after="0" w:afterAutospacing="0" w:line="240" w:lineRule="auto"/>
        <w:rPr>
          <w:rFonts w:ascii="Garamond" w:hAnsi="Garamond" w:cstheme="majorHAnsi"/>
          <w:sz w:val="20"/>
          <w:szCs w:val="20"/>
          <w:lang w:val="sq-AL"/>
        </w:rPr>
      </w:pPr>
      <w:r w:rsidRPr="00CB1B2B">
        <w:rPr>
          <w:rStyle w:val="FootnoteReference"/>
          <w:rFonts w:ascii="Garamond" w:hAnsi="Garamond" w:cstheme="majorHAnsi"/>
          <w:sz w:val="20"/>
          <w:szCs w:val="20"/>
          <w:lang w:val="sq-AL"/>
        </w:rPr>
        <w:footnoteRef/>
      </w:r>
      <w:r w:rsidRPr="00CB1B2B">
        <w:rPr>
          <w:rStyle w:val="FootnoteReference"/>
          <w:rFonts w:ascii="Garamond" w:hAnsi="Garamond" w:cstheme="majorHAnsi"/>
          <w:sz w:val="20"/>
          <w:szCs w:val="20"/>
          <w:lang w:val="sq-AL"/>
        </w:rPr>
        <w:t xml:space="preserve"> </w:t>
      </w:r>
      <w:hyperlink r:id="rId6" w:history="1">
        <w:r w:rsidRPr="00CB1B2B">
          <w:rPr>
            <w:rStyle w:val="Hyperlink"/>
            <w:rFonts w:ascii="Garamond" w:hAnsi="Garamond" w:cstheme="majorHAnsi"/>
            <w:sz w:val="20"/>
            <w:szCs w:val="20"/>
            <w:lang w:val="sq-AL"/>
          </w:rPr>
          <w:t>https://www.consilium.europa.eu/en/press/press-releases/2022/06/16/council-recommends-european-approach-to-micro-credentials/</w:t>
        </w:r>
      </w:hyperlink>
      <w:r w:rsidRPr="00CB1B2B">
        <w:rPr>
          <w:rFonts w:ascii="Garamond" w:hAnsi="Garamond" w:cstheme="majorHAnsi"/>
          <w:sz w:val="20"/>
          <w:szCs w:val="20"/>
          <w:lang w:val="sq-AL"/>
        </w:rPr>
        <w:t xml:space="preserve"> </w:t>
      </w:r>
    </w:p>
  </w:footnote>
  <w:footnote w:id="54">
    <w:p w14:paraId="01BB0935" w14:textId="060D26DF" w:rsidR="00C27CE9" w:rsidRPr="00CB1B2B" w:rsidRDefault="00C27CE9" w:rsidP="000912AA">
      <w:pPr>
        <w:pStyle w:val="FootnoteText"/>
        <w:spacing w:before="0" w:after="0" w:line="240" w:lineRule="auto"/>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w:t>
      </w:r>
      <w:r w:rsidRPr="0039029D">
        <w:rPr>
          <w:rFonts w:ascii="Garamond" w:hAnsi="Garamond" w:cstheme="majorHAnsi"/>
          <w:lang w:val="sq-AL"/>
        </w:rPr>
        <w:t>Niveli i par</w:t>
      </w:r>
      <w:r w:rsidRPr="0039029D">
        <w:rPr>
          <w:rFonts w:ascii="Garamond" w:hAnsi="Garamond" w:cstheme="majorHAnsi"/>
          <w:bCs/>
          <w:lang w:val="sq-AL"/>
        </w:rPr>
        <w:t xml:space="preserve">ë i punësueshmërisë: </w:t>
      </w:r>
      <w:r>
        <w:rPr>
          <w:rFonts w:ascii="Garamond" w:hAnsi="Garamond" w:cstheme="majorHAnsi"/>
          <w:lang w:val="sq-AL"/>
        </w:rPr>
        <w:t>p</w:t>
      </w:r>
      <w:r w:rsidRPr="0039029D">
        <w:rPr>
          <w:rFonts w:ascii="Garamond" w:hAnsi="Garamond" w:cstheme="majorHAnsi"/>
          <w:lang w:val="sq-AL"/>
        </w:rPr>
        <w:t>unëkërkuesi është i gatshëm për punë dhe nuk ka probleme të dukshme dytësore e personale</w:t>
      </w:r>
      <w:r w:rsidRPr="0039029D">
        <w:rPr>
          <w:rStyle w:val="HeaderChar"/>
          <w:rFonts w:ascii="Garamond" w:hAnsi="Garamond" w:cstheme="majorHAnsi"/>
        </w:rPr>
        <w:t xml:space="preserve"> dhe </w:t>
      </w:r>
      <w:r w:rsidRPr="0039029D">
        <w:rPr>
          <w:rStyle w:val="ListParagraphChar"/>
          <w:rFonts w:ascii="Garamond" w:hAnsi="Garamond" w:cstheme="majorHAnsi"/>
        </w:rPr>
        <w:t xml:space="preserve">me është me rrezik të ulët për t’u kthyer në i papunë afatgjatë. </w:t>
      </w:r>
      <w:r w:rsidRPr="0039029D">
        <w:rPr>
          <w:rFonts w:ascii="Garamond" w:hAnsi="Garamond" w:cstheme="majorHAnsi"/>
          <w:lang w:val="sq-AL"/>
        </w:rPr>
        <w:t>Niveli i dytë</w:t>
      </w:r>
      <w:r w:rsidRPr="0039029D">
        <w:rPr>
          <w:rFonts w:ascii="Garamond" w:hAnsi="Garamond" w:cstheme="majorHAnsi"/>
          <w:bCs/>
          <w:lang w:val="sq-AL"/>
        </w:rPr>
        <w:t xml:space="preserve"> i punësueshmërisë</w:t>
      </w:r>
      <w:r w:rsidRPr="0039029D">
        <w:rPr>
          <w:rFonts w:ascii="Garamond" w:hAnsi="Garamond" w:cstheme="majorHAnsi"/>
          <w:lang w:val="sq-AL"/>
        </w:rPr>
        <w:t xml:space="preserve">: </w:t>
      </w:r>
      <w:r>
        <w:rPr>
          <w:rFonts w:ascii="Garamond" w:hAnsi="Garamond" w:cstheme="majorHAnsi"/>
          <w:lang w:val="sq-AL"/>
        </w:rPr>
        <w:t>p</w:t>
      </w:r>
      <w:r w:rsidRPr="0039029D">
        <w:rPr>
          <w:rFonts w:ascii="Garamond" w:hAnsi="Garamond" w:cstheme="majorHAnsi"/>
          <w:lang w:val="sq-AL"/>
        </w:rPr>
        <w:t>unëkërkuesi është pranë tregut të punës, por profilizimi ekonometrik tregon se ka një rrezik mesatar që ai të kthehet në një të papunë afatgjatë. Niveli i tret</w:t>
      </w:r>
      <w:r w:rsidRPr="0039029D">
        <w:rPr>
          <w:rFonts w:ascii="Garamond" w:hAnsi="Garamond" w:cstheme="majorHAnsi"/>
          <w:bCs/>
          <w:lang w:val="sq-AL"/>
        </w:rPr>
        <w:t xml:space="preserve">ë i punësueshmërisë: </w:t>
      </w:r>
      <w:r>
        <w:rPr>
          <w:rFonts w:ascii="Garamond" w:hAnsi="Garamond" w:cstheme="majorHAnsi"/>
          <w:lang w:val="sq-AL"/>
        </w:rPr>
        <w:t>p</w:t>
      </w:r>
      <w:r w:rsidRPr="00CB1B2B">
        <w:rPr>
          <w:rFonts w:ascii="Garamond" w:hAnsi="Garamond" w:cstheme="majorHAnsi"/>
          <w:lang w:val="sq-AL"/>
        </w:rPr>
        <w:t>unëkërkues i disavantazhuar dhe më i rrezikuar për t’u kthyer në i papunë afatgjatë. Punëkërkuesit e nivelit të tretë të punësueshmërisë janë kategoria me prioritetin më të lartë për të pasur ndërveprim intensiv me këshilluesin e AKPA-s dhe këtij grupi i vihet menjëherë në dispozicion një gamë gjithëpërfshirëse e ndërhyrjeve</w:t>
      </w:r>
      <w:r>
        <w:rPr>
          <w:rFonts w:ascii="Garamond" w:hAnsi="Garamond" w:cstheme="majorHAnsi"/>
          <w:lang w:val="sq-AL"/>
        </w:rPr>
        <w:t>.</w:t>
      </w:r>
    </w:p>
  </w:footnote>
  <w:footnote w:id="55">
    <w:p w14:paraId="01BB0936" w14:textId="62A52E64" w:rsidR="00C27CE9" w:rsidRPr="00CB1B2B" w:rsidRDefault="00C27CE9" w:rsidP="000912AA">
      <w:pPr>
        <w:pStyle w:val="HTMLPreformatted"/>
        <w:rPr>
          <w:rFonts w:ascii="Garamond" w:hAnsi="Garamond" w:cstheme="majorHAnsi"/>
          <w:lang w:val="sq-AL"/>
        </w:rPr>
      </w:pPr>
      <w:r w:rsidRPr="00CB1B2B">
        <w:rPr>
          <w:rStyle w:val="FootnoteReference"/>
          <w:rFonts w:ascii="Garamond" w:hAnsi="Garamond" w:cstheme="majorHAnsi"/>
          <w:lang w:val="sq-AL"/>
        </w:rPr>
        <w:footnoteRef/>
      </w:r>
      <w:r w:rsidRPr="00CB1B2B">
        <w:rPr>
          <w:rFonts w:ascii="Garamond" w:hAnsi="Garamond" w:cstheme="majorHAnsi"/>
          <w:lang w:val="sq-AL"/>
        </w:rPr>
        <w:t xml:space="preserve"> Përgatitjet për zbatimin e garancisë rinore kanë nisur në zbatim të Planit Ekonomik dhe të Investimeve për Ballkanin Perëndimor. Me </w:t>
      </w:r>
      <w:r>
        <w:rPr>
          <w:rFonts w:ascii="Garamond" w:hAnsi="Garamond" w:cstheme="majorHAnsi"/>
          <w:lang w:val="sq-AL"/>
        </w:rPr>
        <w:t>u</w:t>
      </w:r>
      <w:r w:rsidRPr="00CB1B2B">
        <w:rPr>
          <w:rFonts w:ascii="Garamond" w:hAnsi="Garamond" w:cstheme="majorHAnsi"/>
          <w:lang w:val="sq-AL"/>
        </w:rPr>
        <w:t xml:space="preserve">rdhrin e Kryeministrit, datë 24.2.2022 u krijuan dy grupe pune: (i) grupi teknik i punës; dhe (ii) grupi ndërinstitucional, i cili përfshin partnerë të Ministrisë së Financave dhe Ekonomisë si: </w:t>
      </w:r>
      <w:r>
        <w:rPr>
          <w:rFonts w:ascii="Garamond" w:hAnsi="Garamond" w:cstheme="majorHAnsi"/>
          <w:lang w:val="sq-AL"/>
        </w:rPr>
        <w:t>m</w:t>
      </w:r>
      <w:r w:rsidRPr="00CB1B2B">
        <w:rPr>
          <w:rFonts w:ascii="Garamond" w:hAnsi="Garamond" w:cstheme="majorHAnsi"/>
          <w:lang w:val="sq-AL"/>
        </w:rPr>
        <w:t xml:space="preserve">inistri i Shtetit për Rininë dhe Fëmijët, Ministria e Shëndetësisë dhe Mbrojtjes Sociale, Ministria e Arsimit dhe Sportit, </w:t>
      </w:r>
      <w:r>
        <w:rPr>
          <w:rFonts w:ascii="Garamond" w:hAnsi="Garamond" w:cstheme="majorHAnsi"/>
          <w:lang w:val="sq-AL"/>
        </w:rPr>
        <w:t>m</w:t>
      </w:r>
      <w:r w:rsidRPr="00CB1B2B">
        <w:rPr>
          <w:rFonts w:ascii="Garamond" w:hAnsi="Garamond" w:cstheme="majorHAnsi"/>
          <w:lang w:val="sq-AL"/>
        </w:rPr>
        <w:t xml:space="preserve">inistri i Shtetit për Sipërmarrjen, Ministria e Turizmi dhe Mjedisit, Ministria e Bujqësisë dhe Zhvillimit Rural dhe agjencitë kryesore zbatuese në fushën e punësimit, arsimit dhe kualifikimeve profesionale. </w:t>
      </w:r>
    </w:p>
    <w:p w14:paraId="01BB0937" w14:textId="77777777" w:rsidR="00C27CE9" w:rsidRPr="00CB1B2B" w:rsidRDefault="00C27CE9" w:rsidP="000912AA">
      <w:pPr>
        <w:pStyle w:val="HTMLPreformatted"/>
        <w:rPr>
          <w:rFonts w:ascii="Garamond" w:hAnsi="Garamond" w:cstheme="majorHAnsi"/>
          <w:lang w:val="sq-AL"/>
        </w:rPr>
      </w:pPr>
      <w:r w:rsidRPr="00CB1B2B">
        <w:rPr>
          <w:rFonts w:ascii="Garamond" w:hAnsi="Garamond" w:cstheme="majorHAnsi"/>
          <w:lang w:val="sq-AL"/>
        </w:rPr>
        <w:t xml:space="preserve">Në të dy grupet janë anëtarë aktivë edhe organizata rinore ombrellë, partnerë socialë dhe ekspertë të ndryshëm. Skema do të zbatohet nga disa institucione, duke përfshirë Agjencinë Kombëtare të Punësimit dhe Aftësive dhe institucione të tjera që lidhen kryesisht me arsimin dhe rininë. </w:t>
      </w:r>
    </w:p>
    <w:p w14:paraId="01BB0938" w14:textId="520AB7B8" w:rsidR="00C27CE9" w:rsidRPr="00CB1B2B" w:rsidRDefault="00C27CE9" w:rsidP="000912AA">
      <w:pPr>
        <w:pStyle w:val="HTMLPreformatted"/>
        <w:rPr>
          <w:rFonts w:ascii="Garamond" w:hAnsi="Garamond" w:cstheme="majorHAnsi"/>
          <w:lang w:val="sq-AL"/>
        </w:rPr>
      </w:pPr>
      <w:r w:rsidRPr="00CB1B2B">
        <w:rPr>
          <w:rFonts w:ascii="Garamond" w:hAnsi="Garamond" w:cstheme="majorHAnsi"/>
          <w:lang w:val="sq-AL"/>
        </w:rPr>
        <w:t xml:space="preserve">Sipas detyrave të përcaktuara në </w:t>
      </w:r>
      <w:r>
        <w:rPr>
          <w:rFonts w:ascii="Garamond" w:hAnsi="Garamond" w:cstheme="majorHAnsi"/>
          <w:lang w:val="sq-AL"/>
        </w:rPr>
        <w:t>u</w:t>
      </w:r>
      <w:r w:rsidRPr="00CB1B2B">
        <w:rPr>
          <w:rFonts w:ascii="Garamond" w:hAnsi="Garamond" w:cstheme="majorHAnsi"/>
          <w:lang w:val="sq-AL"/>
        </w:rPr>
        <w:t xml:space="preserve">rdhrin e Kryeministrit, grupi teknik i punës hartoi draftin e Planit Kombëtar të Garancisë Rinore, në periudhën prill-gusht 2022. Ky draft i cili u aprovua nga grupi ndërinstitucional në gusht 2022. </w:t>
      </w:r>
    </w:p>
    <w:p w14:paraId="01BB0939" w14:textId="77777777" w:rsidR="00C27CE9" w:rsidRPr="00CB1B2B" w:rsidRDefault="00C27CE9" w:rsidP="0026587C">
      <w:pPr>
        <w:pStyle w:val="HTMLPreformatted"/>
        <w:rPr>
          <w:rFonts w:asciiTheme="majorHAnsi" w:hAnsiTheme="majorHAnsi" w:cstheme="majorHAnsi"/>
          <w:sz w:val="18"/>
          <w:szCs w:val="18"/>
          <w:lang w:val="sq-AL"/>
        </w:rPr>
      </w:pPr>
      <w:r w:rsidRPr="00CB1B2B">
        <w:rPr>
          <w:rFonts w:ascii="Garamond" w:hAnsi="Garamond" w:cstheme="majorHAnsi"/>
          <w:lang w:val="sq-AL"/>
        </w:rPr>
        <w:t>Plani Kombëtar i Garancisë Rinore, në të cilin janë reflektuar edhe sugjerimet e Komisionit Evropian, do të miratohet nga Këshilli i Ministrave, si pjesë integrale e kësaj strategjie, sipas shtojcës 3.</w:t>
      </w:r>
      <w:r w:rsidRPr="00CB1B2B">
        <w:rPr>
          <w:rFonts w:asciiTheme="majorHAnsi" w:hAnsiTheme="majorHAnsi" w:cstheme="majorHAnsi"/>
          <w:sz w:val="18"/>
          <w:szCs w:val="18"/>
          <w:lang w:val="sq-AL"/>
        </w:rPr>
        <w:t xml:space="preserve"> </w:t>
      </w:r>
    </w:p>
  </w:footnote>
  <w:footnote w:id="56">
    <w:p w14:paraId="01BB093A" w14:textId="77777777" w:rsidR="00C27CE9" w:rsidRPr="00CB1B2B" w:rsidRDefault="00C27CE9" w:rsidP="00392FFB">
      <w:pPr>
        <w:pStyle w:val="FootnoteText"/>
        <w:spacing w:before="0" w:after="0" w:line="240" w:lineRule="auto"/>
        <w:rPr>
          <w:rFonts w:ascii="Garamond" w:hAnsi="Garamond"/>
          <w:sz w:val="16"/>
          <w:szCs w:val="16"/>
          <w:lang w:val="sq-AL"/>
        </w:rPr>
      </w:pPr>
      <w:r w:rsidRPr="00CB1B2B">
        <w:rPr>
          <w:rStyle w:val="FootnoteReference"/>
          <w:rFonts w:ascii="Garamond" w:hAnsi="Garamond"/>
          <w:sz w:val="16"/>
          <w:szCs w:val="16"/>
          <w:lang w:val="sq-AL"/>
        </w:rPr>
        <w:footnoteRef/>
      </w:r>
      <w:r w:rsidRPr="00CB1B2B">
        <w:rPr>
          <w:rFonts w:ascii="Garamond" w:hAnsi="Garamond"/>
          <w:sz w:val="16"/>
          <w:szCs w:val="16"/>
          <w:lang w:val="sq-AL"/>
        </w:rPr>
        <w:t xml:space="preserve"> Raporti i Përbashkët i Punësimit</w:t>
      </w:r>
    </w:p>
  </w:footnote>
  <w:footnote w:id="57">
    <w:p w14:paraId="01BB093B" w14:textId="1567EBF3" w:rsidR="00C27CE9" w:rsidRPr="00CB1B2B" w:rsidRDefault="00C27CE9" w:rsidP="00392FFB">
      <w:pPr>
        <w:spacing w:after="0" w:line="240" w:lineRule="auto"/>
        <w:rPr>
          <w:rFonts w:cstheme="minorHAnsi"/>
          <w:bCs/>
          <w:sz w:val="16"/>
          <w:szCs w:val="16"/>
        </w:rPr>
      </w:pPr>
      <w:r w:rsidRPr="00CB1B2B">
        <w:rPr>
          <w:rStyle w:val="FootnoteReference"/>
          <w:rFonts w:ascii="Garamond" w:hAnsi="Garamond"/>
          <w:sz w:val="16"/>
          <w:szCs w:val="16"/>
        </w:rPr>
        <w:footnoteRef/>
      </w:r>
      <w:r w:rsidRPr="00CB1B2B">
        <w:rPr>
          <w:rFonts w:ascii="Garamond" w:hAnsi="Garamond"/>
          <w:sz w:val="16"/>
          <w:szCs w:val="16"/>
        </w:rPr>
        <w:t xml:space="preserve"> </w:t>
      </w:r>
      <w:r w:rsidRPr="00CB1B2B">
        <w:rPr>
          <w:rFonts w:ascii="Garamond" w:hAnsi="Garamond" w:cstheme="minorHAnsi"/>
          <w:sz w:val="16"/>
          <w:szCs w:val="16"/>
        </w:rPr>
        <w:t xml:space="preserve">Bazuar në </w:t>
      </w:r>
      <w:r w:rsidRPr="00CB1B2B">
        <w:rPr>
          <w:rFonts w:ascii="Garamond" w:eastAsia="Arial" w:hAnsi="Garamond" w:cstheme="minorHAnsi"/>
          <w:color w:val="000000" w:themeColor="text1"/>
          <w:sz w:val="16"/>
          <w:szCs w:val="16"/>
        </w:rPr>
        <w:t>metodologji koherente që kombinon elementet e informacionit të tregut të punës, analizën e nevojave për aftësi, hartimin e standardeve dhe kualifikimeve profesionale, standardeve të vlerësimit, skelet-kurrikulave dhe zhvillimin e provimeve të bazuara në rezultatet e të nxënit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CB57E5" w14:textId="77777777" w:rsidR="00C27CE9" w:rsidRDefault="00C27C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3009D"/>
    <w:multiLevelType w:val="hybridMultilevel"/>
    <w:tmpl w:val="55121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6E572E"/>
    <w:multiLevelType w:val="hybridMultilevel"/>
    <w:tmpl w:val="94B80158"/>
    <w:lvl w:ilvl="0" w:tplc="9F5E76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26C34"/>
    <w:multiLevelType w:val="multilevel"/>
    <w:tmpl w:val="9D36BC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1E210F"/>
    <w:multiLevelType w:val="multilevel"/>
    <w:tmpl w:val="F596454A"/>
    <w:lvl w:ilvl="0">
      <w:start w:val="1"/>
      <w:numFmt w:val="upperRoman"/>
      <w:pStyle w:val="Heading1"/>
      <w:lvlText w:val="%1."/>
      <w:lvlJc w:val="right"/>
      <w:pPr>
        <w:ind w:left="180" w:hanging="180"/>
      </w:pPr>
      <w:rPr>
        <w:b w:val="0"/>
        <w:bCs/>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4" w15:restartNumberingAfterBreak="0">
    <w:nsid w:val="353B6680"/>
    <w:multiLevelType w:val="hybridMultilevel"/>
    <w:tmpl w:val="B016A876"/>
    <w:lvl w:ilvl="0" w:tplc="EFA298DC">
      <w:start w:val="1"/>
      <w:numFmt w:val="decimal"/>
      <w:lvlText w:val="%1."/>
      <w:lvlJc w:val="left"/>
      <w:pPr>
        <w:ind w:left="644" w:hanging="360"/>
      </w:pPr>
      <w:rPr>
        <w:rFonts w:cstheme="minorHAnsi"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482E5F9C"/>
    <w:multiLevelType w:val="hybridMultilevel"/>
    <w:tmpl w:val="B84AA2A0"/>
    <w:lvl w:ilvl="0" w:tplc="98C2EA52">
      <w:start w:val="1"/>
      <w:numFmt w:val="decimal"/>
      <w:lvlText w:val="%1."/>
      <w:lvlJc w:val="left"/>
      <w:pPr>
        <w:ind w:left="555" w:hanging="555"/>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15:restartNumberingAfterBreak="0">
    <w:nsid w:val="6F06198E"/>
    <w:multiLevelType w:val="hybridMultilevel"/>
    <w:tmpl w:val="CD98C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C5E27"/>
    <w:multiLevelType w:val="hybridMultilevel"/>
    <w:tmpl w:val="DCC4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0"/>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C77"/>
    <w:rsid w:val="000000DB"/>
    <w:rsid w:val="00013983"/>
    <w:rsid w:val="00014470"/>
    <w:rsid w:val="0002336B"/>
    <w:rsid w:val="0002714C"/>
    <w:rsid w:val="0003535C"/>
    <w:rsid w:val="000359F0"/>
    <w:rsid w:val="00046017"/>
    <w:rsid w:val="000765F1"/>
    <w:rsid w:val="000772CE"/>
    <w:rsid w:val="0007776C"/>
    <w:rsid w:val="00085210"/>
    <w:rsid w:val="000912AA"/>
    <w:rsid w:val="000B02B1"/>
    <w:rsid w:val="000E152E"/>
    <w:rsid w:val="000E2B5F"/>
    <w:rsid w:val="000F778D"/>
    <w:rsid w:val="0010377A"/>
    <w:rsid w:val="00111339"/>
    <w:rsid w:val="001350FF"/>
    <w:rsid w:val="001416D4"/>
    <w:rsid w:val="00161CCA"/>
    <w:rsid w:val="00165AAB"/>
    <w:rsid w:val="00166297"/>
    <w:rsid w:val="00174D62"/>
    <w:rsid w:val="00181557"/>
    <w:rsid w:val="001B2C5D"/>
    <w:rsid w:val="001C1481"/>
    <w:rsid w:val="001D132D"/>
    <w:rsid w:val="001D3A8B"/>
    <w:rsid w:val="001D54D8"/>
    <w:rsid w:val="001E119A"/>
    <w:rsid w:val="00212514"/>
    <w:rsid w:val="002239C2"/>
    <w:rsid w:val="002275F2"/>
    <w:rsid w:val="0024402D"/>
    <w:rsid w:val="00255103"/>
    <w:rsid w:val="0026587C"/>
    <w:rsid w:val="002B0B94"/>
    <w:rsid w:val="002B3C1E"/>
    <w:rsid w:val="002F7A5D"/>
    <w:rsid w:val="00324B15"/>
    <w:rsid w:val="003329B6"/>
    <w:rsid w:val="00360526"/>
    <w:rsid w:val="00364541"/>
    <w:rsid w:val="00370B3E"/>
    <w:rsid w:val="0039029D"/>
    <w:rsid w:val="00392FFB"/>
    <w:rsid w:val="003A3E1B"/>
    <w:rsid w:val="003C6A69"/>
    <w:rsid w:val="003E0562"/>
    <w:rsid w:val="00416B9F"/>
    <w:rsid w:val="00421600"/>
    <w:rsid w:val="00422073"/>
    <w:rsid w:val="00422AA9"/>
    <w:rsid w:val="00427D87"/>
    <w:rsid w:val="00432464"/>
    <w:rsid w:val="00441D8A"/>
    <w:rsid w:val="004532F8"/>
    <w:rsid w:val="004762AB"/>
    <w:rsid w:val="00487215"/>
    <w:rsid w:val="004A139C"/>
    <w:rsid w:val="004A4C41"/>
    <w:rsid w:val="004B69E6"/>
    <w:rsid w:val="004C2433"/>
    <w:rsid w:val="004C2B6A"/>
    <w:rsid w:val="00514472"/>
    <w:rsid w:val="00527F17"/>
    <w:rsid w:val="00543A2D"/>
    <w:rsid w:val="0057069E"/>
    <w:rsid w:val="00574EA9"/>
    <w:rsid w:val="005773B4"/>
    <w:rsid w:val="00581156"/>
    <w:rsid w:val="005817CC"/>
    <w:rsid w:val="00582371"/>
    <w:rsid w:val="005922D4"/>
    <w:rsid w:val="005E06BB"/>
    <w:rsid w:val="005E1E58"/>
    <w:rsid w:val="005E3939"/>
    <w:rsid w:val="005F0629"/>
    <w:rsid w:val="005F210B"/>
    <w:rsid w:val="005F6B58"/>
    <w:rsid w:val="00600308"/>
    <w:rsid w:val="00610117"/>
    <w:rsid w:val="00615013"/>
    <w:rsid w:val="00616C4B"/>
    <w:rsid w:val="00620B96"/>
    <w:rsid w:val="006214F4"/>
    <w:rsid w:val="00674D7E"/>
    <w:rsid w:val="006752BC"/>
    <w:rsid w:val="00681568"/>
    <w:rsid w:val="00692376"/>
    <w:rsid w:val="006A15B2"/>
    <w:rsid w:val="006C1730"/>
    <w:rsid w:val="006C6C95"/>
    <w:rsid w:val="006D7D4B"/>
    <w:rsid w:val="006E0BE8"/>
    <w:rsid w:val="006E5A52"/>
    <w:rsid w:val="00720335"/>
    <w:rsid w:val="007332E4"/>
    <w:rsid w:val="007356B0"/>
    <w:rsid w:val="00741D6E"/>
    <w:rsid w:val="007509A3"/>
    <w:rsid w:val="00752D6A"/>
    <w:rsid w:val="00783DD2"/>
    <w:rsid w:val="00785ADB"/>
    <w:rsid w:val="007C7B87"/>
    <w:rsid w:val="00810BFF"/>
    <w:rsid w:val="008334B9"/>
    <w:rsid w:val="00840EC1"/>
    <w:rsid w:val="0086735F"/>
    <w:rsid w:val="008858AF"/>
    <w:rsid w:val="008B19ED"/>
    <w:rsid w:val="008B534D"/>
    <w:rsid w:val="008E4400"/>
    <w:rsid w:val="008F4575"/>
    <w:rsid w:val="00900033"/>
    <w:rsid w:val="0091246A"/>
    <w:rsid w:val="00915627"/>
    <w:rsid w:val="009326E9"/>
    <w:rsid w:val="009330F6"/>
    <w:rsid w:val="0093486C"/>
    <w:rsid w:val="00942579"/>
    <w:rsid w:val="009626AA"/>
    <w:rsid w:val="00964EA0"/>
    <w:rsid w:val="009803B4"/>
    <w:rsid w:val="009853A4"/>
    <w:rsid w:val="009B1083"/>
    <w:rsid w:val="009D154F"/>
    <w:rsid w:val="009E26EC"/>
    <w:rsid w:val="009F274E"/>
    <w:rsid w:val="009F3033"/>
    <w:rsid w:val="00A23B89"/>
    <w:rsid w:val="00A42F55"/>
    <w:rsid w:val="00A606AF"/>
    <w:rsid w:val="00A64ECD"/>
    <w:rsid w:val="00A70395"/>
    <w:rsid w:val="00A718A0"/>
    <w:rsid w:val="00A72A06"/>
    <w:rsid w:val="00A85563"/>
    <w:rsid w:val="00A87557"/>
    <w:rsid w:val="00A87593"/>
    <w:rsid w:val="00A96392"/>
    <w:rsid w:val="00AB000B"/>
    <w:rsid w:val="00AC0967"/>
    <w:rsid w:val="00AD155A"/>
    <w:rsid w:val="00AD4982"/>
    <w:rsid w:val="00AF5EFC"/>
    <w:rsid w:val="00B0244F"/>
    <w:rsid w:val="00B05F6D"/>
    <w:rsid w:val="00B24F9B"/>
    <w:rsid w:val="00B279F2"/>
    <w:rsid w:val="00B3478C"/>
    <w:rsid w:val="00B54F90"/>
    <w:rsid w:val="00B64D23"/>
    <w:rsid w:val="00B7420C"/>
    <w:rsid w:val="00B771D6"/>
    <w:rsid w:val="00B9759C"/>
    <w:rsid w:val="00BA1D02"/>
    <w:rsid w:val="00BB6DCD"/>
    <w:rsid w:val="00BC6A35"/>
    <w:rsid w:val="00BD0C77"/>
    <w:rsid w:val="00BE106C"/>
    <w:rsid w:val="00BF7037"/>
    <w:rsid w:val="00BF71D7"/>
    <w:rsid w:val="00C27CE9"/>
    <w:rsid w:val="00C3056F"/>
    <w:rsid w:val="00C4669F"/>
    <w:rsid w:val="00C50BD7"/>
    <w:rsid w:val="00C51CEE"/>
    <w:rsid w:val="00C64EE2"/>
    <w:rsid w:val="00C74028"/>
    <w:rsid w:val="00C772B9"/>
    <w:rsid w:val="00C901B8"/>
    <w:rsid w:val="00C962EA"/>
    <w:rsid w:val="00CB1B2B"/>
    <w:rsid w:val="00CB6DFA"/>
    <w:rsid w:val="00CB75B5"/>
    <w:rsid w:val="00CD34DB"/>
    <w:rsid w:val="00CF4F16"/>
    <w:rsid w:val="00D01C46"/>
    <w:rsid w:val="00D349F4"/>
    <w:rsid w:val="00D54F07"/>
    <w:rsid w:val="00D81709"/>
    <w:rsid w:val="00D81EA8"/>
    <w:rsid w:val="00DA1262"/>
    <w:rsid w:val="00DC4F47"/>
    <w:rsid w:val="00DD0856"/>
    <w:rsid w:val="00DD6866"/>
    <w:rsid w:val="00DE3FCD"/>
    <w:rsid w:val="00DF095A"/>
    <w:rsid w:val="00E0422E"/>
    <w:rsid w:val="00E10550"/>
    <w:rsid w:val="00E224CD"/>
    <w:rsid w:val="00E23EC2"/>
    <w:rsid w:val="00E55952"/>
    <w:rsid w:val="00E718C3"/>
    <w:rsid w:val="00EA2C5D"/>
    <w:rsid w:val="00EA36B7"/>
    <w:rsid w:val="00EB1474"/>
    <w:rsid w:val="00EC395E"/>
    <w:rsid w:val="00EC635C"/>
    <w:rsid w:val="00ED6F77"/>
    <w:rsid w:val="00EE12D8"/>
    <w:rsid w:val="00F16A4B"/>
    <w:rsid w:val="00F272D9"/>
    <w:rsid w:val="00F74F5F"/>
    <w:rsid w:val="00FC285A"/>
    <w:rsid w:val="00FC63FF"/>
    <w:rsid w:val="00FE42F2"/>
    <w:rsid w:val="00FE43F1"/>
    <w:rsid w:val="00FF2642"/>
    <w:rsid w:val="00FF3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AFA67"/>
  <w15:docId w15:val="{948C8B20-6C29-49BB-8245-89710574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C77"/>
    <w:rPr>
      <w:rFonts w:ascii="Calibri" w:eastAsia="Calibri" w:hAnsi="Calibri" w:cs="Times New Roman"/>
      <w:lang w:val="sq-AL"/>
    </w:rPr>
  </w:style>
  <w:style w:type="paragraph" w:styleId="Heading1">
    <w:name w:val="heading 1"/>
    <w:basedOn w:val="Normal"/>
    <w:next w:val="Normal"/>
    <w:link w:val="Heading1Char"/>
    <w:uiPriority w:val="9"/>
    <w:qFormat/>
    <w:rsid w:val="00487215"/>
    <w:pPr>
      <w:keepNext/>
      <w:keepLines/>
      <w:numPr>
        <w:numId w:val="2"/>
      </w:numPr>
      <w:spacing w:before="240" w:after="60"/>
      <w:ind w:left="720"/>
      <w:jc w:val="both"/>
      <w:outlineLvl w:val="0"/>
    </w:pPr>
    <w:rPr>
      <w:rFonts w:asciiTheme="majorHAnsi" w:eastAsiaTheme="majorEastAsia" w:hAnsiTheme="majorHAnsi" w:cstheme="majorBidi"/>
      <w:color w:val="365F91" w:themeColor="accent1" w:themeShade="BF"/>
      <w:sz w:val="28"/>
      <w:szCs w:val="32"/>
      <w:lang w:val="en-US"/>
    </w:rPr>
  </w:style>
  <w:style w:type="paragraph" w:styleId="Heading2">
    <w:name w:val="heading 2"/>
    <w:basedOn w:val="Normal"/>
    <w:next w:val="Normal"/>
    <w:link w:val="Heading2Char"/>
    <w:uiPriority w:val="9"/>
    <w:semiHidden/>
    <w:unhideWhenUsed/>
    <w:qFormat/>
    <w:rsid w:val="001D54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8156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912A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uiPriority w:val="9"/>
    <w:semiHidden/>
    <w:unhideWhenUsed/>
    <w:qFormat/>
    <w:rsid w:val="00527F17"/>
    <w:pPr>
      <w:keepNext/>
      <w:keepLines/>
      <w:spacing w:before="200" w:after="0" w:line="264" w:lineRule="auto"/>
      <w:outlineLvl w:val="7"/>
    </w:pPr>
    <w:rPr>
      <w:rFonts w:asciiTheme="majorHAnsi" w:eastAsiaTheme="majorEastAsia" w:hAnsiTheme="majorHAnsi" w:cstheme="majorBidi"/>
      <w:color w:val="404040" w:themeColor="text1" w:themeTint="BF"/>
      <w:sz w:val="20"/>
      <w:szCs w:val="20"/>
      <w:lang w:val="hr-HR"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215"/>
    <w:rPr>
      <w:rFonts w:asciiTheme="majorHAnsi" w:eastAsiaTheme="majorEastAsia" w:hAnsiTheme="majorHAnsi" w:cstheme="majorBidi"/>
      <w:color w:val="365F91" w:themeColor="accent1" w:themeShade="BF"/>
      <w:sz w:val="28"/>
      <w:szCs w:val="32"/>
    </w:rPr>
  </w:style>
  <w:style w:type="character" w:customStyle="1" w:styleId="Heading2Char">
    <w:name w:val="Heading 2 Char"/>
    <w:basedOn w:val="DefaultParagraphFont"/>
    <w:link w:val="Heading2"/>
    <w:uiPriority w:val="9"/>
    <w:semiHidden/>
    <w:rsid w:val="001D54D8"/>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basedOn w:val="DefaultParagraphFont"/>
    <w:link w:val="Heading3"/>
    <w:uiPriority w:val="9"/>
    <w:semiHidden/>
    <w:rsid w:val="00681568"/>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semiHidden/>
    <w:rsid w:val="000912AA"/>
    <w:rPr>
      <w:rFonts w:asciiTheme="majorHAnsi" w:eastAsiaTheme="majorEastAsia" w:hAnsiTheme="majorHAnsi" w:cstheme="majorBidi"/>
      <w:b/>
      <w:bCs/>
      <w:i/>
      <w:iCs/>
      <w:color w:val="4F81BD" w:themeColor="accent1"/>
      <w:lang w:val="sq-AL"/>
    </w:rPr>
  </w:style>
  <w:style w:type="paragraph" w:styleId="NoSpacing">
    <w:name w:val="No Spacing"/>
    <w:link w:val="NoSpacingChar"/>
    <w:uiPriority w:val="1"/>
    <w:qFormat/>
    <w:rsid w:val="00BD0C77"/>
    <w:pPr>
      <w:spacing w:after="0" w:line="240" w:lineRule="auto"/>
    </w:pPr>
    <w:rPr>
      <w:rFonts w:ascii="Calibri" w:eastAsia="Calibri" w:hAnsi="Calibri" w:cs="Calibri"/>
      <w:lang w:val="en-GB"/>
    </w:rPr>
  </w:style>
  <w:style w:type="character" w:customStyle="1" w:styleId="NoSpacingChar">
    <w:name w:val="No Spacing Char"/>
    <w:link w:val="NoSpacing"/>
    <w:uiPriority w:val="1"/>
    <w:rsid w:val="000F778D"/>
    <w:rPr>
      <w:rFonts w:ascii="Calibri" w:eastAsia="Calibri" w:hAnsi="Calibri" w:cs="Calibri"/>
      <w:lang w:val="en-GB"/>
    </w:rPr>
  </w:style>
  <w:style w:type="paragraph" w:styleId="ListParagraph">
    <w:name w:val="List Paragraph"/>
    <w:aliases w:val="Normal 1,List Paragraph (numbered (a)),List Paragraph 1,Akapit z listą BS,Bullets,Bullet Points,Liste Paragraf,Paragraph,Citation List,Resume Title,Paragraphe de liste PBLH,Normal bullet 2,Bullet list,Figure_name,Equipment,lp1,References"/>
    <w:basedOn w:val="Normal"/>
    <w:link w:val="ListParagraphChar"/>
    <w:uiPriority w:val="34"/>
    <w:qFormat/>
    <w:rsid w:val="00BD0C77"/>
    <w:pPr>
      <w:ind w:left="720"/>
      <w:contextualSpacing/>
    </w:pPr>
  </w:style>
  <w:style w:type="character" w:customStyle="1" w:styleId="ListParagraphChar">
    <w:name w:val="List Paragraph Char"/>
    <w:aliases w:val="Normal 1 Char,List Paragraph (numbered (a)) Char,List Paragraph 1 Char,Akapit z listą BS Char,Bullets Char,Bullet Points Char,Liste Paragraf Char,Paragraph Char,Citation List Char,Resume Title Char,Paragraphe de liste PBLH Char"/>
    <w:link w:val="ListParagraph"/>
    <w:uiPriority w:val="34"/>
    <w:qFormat/>
    <w:locked/>
    <w:rsid w:val="00681568"/>
    <w:rPr>
      <w:rFonts w:ascii="Calibri" w:eastAsia="Calibri" w:hAnsi="Calibri" w:cs="Times New Roman"/>
      <w:lang w:val="sq-AL"/>
    </w:rPr>
  </w:style>
  <w:style w:type="paragraph" w:styleId="Header">
    <w:name w:val="header"/>
    <w:basedOn w:val="Normal"/>
    <w:link w:val="HeaderChar"/>
    <w:uiPriority w:val="99"/>
    <w:unhideWhenUsed/>
    <w:rsid w:val="003A3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E1B"/>
    <w:rPr>
      <w:rFonts w:ascii="Calibri" w:eastAsia="Calibri" w:hAnsi="Calibri" w:cs="Times New Roman"/>
      <w:lang w:val="sq-AL"/>
    </w:rPr>
  </w:style>
  <w:style w:type="paragraph" w:styleId="Footer">
    <w:name w:val="footer"/>
    <w:basedOn w:val="Normal"/>
    <w:link w:val="FooterChar"/>
    <w:uiPriority w:val="99"/>
    <w:unhideWhenUsed/>
    <w:rsid w:val="003A3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E1B"/>
    <w:rPr>
      <w:rFonts w:ascii="Calibri" w:eastAsia="Calibri" w:hAnsi="Calibri" w:cs="Times New Roman"/>
      <w:lang w:val="sq-AL"/>
    </w:rPr>
  </w:style>
  <w:style w:type="paragraph" w:styleId="BalloonText">
    <w:name w:val="Balloon Text"/>
    <w:basedOn w:val="Normal"/>
    <w:link w:val="BalloonTextChar"/>
    <w:uiPriority w:val="99"/>
    <w:semiHidden/>
    <w:unhideWhenUsed/>
    <w:rsid w:val="00C64E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EE2"/>
    <w:rPr>
      <w:rFonts w:ascii="Segoe UI" w:eastAsia="Calibri" w:hAnsi="Segoe UI" w:cs="Segoe UI"/>
      <w:sz w:val="18"/>
      <w:szCs w:val="18"/>
      <w:lang w:val="sq-AL"/>
    </w:rPr>
  </w:style>
  <w:style w:type="paragraph" w:customStyle="1" w:styleId="TEKSTIIII">
    <w:name w:val="TEKSTIIII"/>
    <w:basedOn w:val="Normal"/>
    <w:qFormat/>
    <w:rsid w:val="00A87593"/>
    <w:pPr>
      <w:spacing w:after="0" w:line="240" w:lineRule="auto"/>
      <w:ind w:firstLine="284"/>
      <w:jc w:val="both"/>
    </w:pPr>
    <w:rPr>
      <w:rFonts w:ascii="Garamond" w:hAnsi="Garamond"/>
      <w:sz w:val="24"/>
      <w:szCs w:val="24"/>
    </w:rPr>
  </w:style>
  <w:style w:type="paragraph" w:styleId="Title">
    <w:name w:val="Title"/>
    <w:basedOn w:val="Normal"/>
    <w:next w:val="Normal"/>
    <w:link w:val="TitleChar"/>
    <w:uiPriority w:val="10"/>
    <w:qFormat/>
    <w:rsid w:val="00A87593"/>
    <w:pPr>
      <w:spacing w:before="60" w:after="60"/>
      <w:contextualSpacing/>
      <w:jc w:val="both"/>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8759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487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7215"/>
    <w:pPr>
      <w:autoSpaceDE w:val="0"/>
      <w:autoSpaceDN w:val="0"/>
      <w:adjustRightInd w:val="0"/>
      <w:spacing w:after="0" w:line="240" w:lineRule="auto"/>
    </w:pPr>
    <w:rPr>
      <w:rFonts w:ascii="EC Square Sans Pro" w:hAnsi="EC Square Sans Pro" w:cs="EC Square Sans Pro"/>
      <w:color w:val="000000"/>
      <w:sz w:val="24"/>
      <w:szCs w:val="24"/>
    </w:rPr>
  </w:style>
  <w:style w:type="paragraph" w:styleId="Caption">
    <w:name w:val="caption"/>
    <w:basedOn w:val="Normal"/>
    <w:next w:val="Normal"/>
    <w:uiPriority w:val="35"/>
    <w:unhideWhenUsed/>
    <w:qFormat/>
    <w:rsid w:val="00FE43F1"/>
    <w:pPr>
      <w:spacing w:before="60"/>
      <w:jc w:val="both"/>
    </w:pPr>
    <w:rPr>
      <w:rFonts w:asciiTheme="minorHAnsi" w:eastAsiaTheme="minorHAnsi" w:hAnsiTheme="minorHAnsi" w:cstheme="minorBidi"/>
      <w:i/>
      <w:iCs/>
      <w:color w:val="1F497D" w:themeColor="text2"/>
      <w:sz w:val="18"/>
      <w:szCs w:val="18"/>
      <w:lang w:val="en-US"/>
    </w:rPr>
  </w:style>
  <w:style w:type="paragraph" w:styleId="FootnoteText">
    <w:name w:val="footnote text"/>
    <w:aliases w:val="fn,single space,footnote text,FOOTNOTES,Footnote Text Char Char Char Char Char Char,stile 1,Testo_note,Testo_note1,Testo_note2,Footnote Text Char3 Char,Footnote Text Char2 Char Char,ft Char1 Char Char Char,Footnote,Fußnote,FSR footno,Char"/>
    <w:basedOn w:val="Normal"/>
    <w:link w:val="FootnoteTextChar"/>
    <w:uiPriority w:val="99"/>
    <w:unhideWhenUsed/>
    <w:qFormat/>
    <w:rsid w:val="00FE43F1"/>
    <w:pPr>
      <w:spacing w:before="60" w:after="60"/>
      <w:jc w:val="both"/>
    </w:pPr>
    <w:rPr>
      <w:rFonts w:asciiTheme="minorHAnsi" w:eastAsiaTheme="minorHAnsi" w:hAnsiTheme="minorHAnsi" w:cstheme="minorBidi"/>
      <w:sz w:val="20"/>
      <w:szCs w:val="20"/>
      <w:lang w:val="en-US"/>
    </w:rPr>
  </w:style>
  <w:style w:type="character" w:customStyle="1" w:styleId="FootnoteTextChar">
    <w:name w:val="Footnote Text Char"/>
    <w:aliases w:val="fn Char,single space Char,footnote text Char,FOOTNOTES Char,Footnote Text Char Char Char Char Char Char Char,stile 1 Char,Testo_note Char,Testo_note1 Char,Testo_note2 Char,Footnote Text Char3 Char Char,ft Char1 Char Char Char Char"/>
    <w:basedOn w:val="DefaultParagraphFont"/>
    <w:link w:val="FootnoteText"/>
    <w:uiPriority w:val="99"/>
    <w:qFormat/>
    <w:rsid w:val="00FE43F1"/>
    <w:rPr>
      <w:sz w:val="20"/>
      <w:szCs w:val="20"/>
    </w:rPr>
  </w:style>
  <w:style w:type="character" w:styleId="FootnoteReference">
    <w:name w:val="footnote reference"/>
    <w:aliases w:val="fr,Footnote Reference Number,Footnote Reference_LVL6,Footnote Reference_LVL61,Footnote Reference_LVL62,Footnote Reference_LVL63,Footnote Reference_LVL64,SUPERS,EN Footnote Reference,number,BVI fnr,ftref,16 Point,Superscript 6 Point"/>
    <w:basedOn w:val="DefaultParagraphFont"/>
    <w:link w:val="BVIfnrCarCarCarCarChar"/>
    <w:uiPriority w:val="99"/>
    <w:unhideWhenUsed/>
    <w:qFormat/>
    <w:rsid w:val="00FE43F1"/>
    <w:rPr>
      <w:vertAlign w:val="superscript"/>
    </w:rPr>
  </w:style>
  <w:style w:type="paragraph" w:customStyle="1" w:styleId="BVIfnrCarCarCarCarChar">
    <w:name w:val="BVI fnr Car Car Car Car Char"/>
    <w:basedOn w:val="Normal"/>
    <w:link w:val="FootnoteReference"/>
    <w:uiPriority w:val="99"/>
    <w:rsid w:val="00FE43F1"/>
    <w:pPr>
      <w:spacing w:before="60" w:after="160" w:line="240" w:lineRule="exact"/>
      <w:jc w:val="both"/>
    </w:pPr>
    <w:rPr>
      <w:rFonts w:asciiTheme="minorHAnsi" w:eastAsiaTheme="minorHAnsi" w:hAnsiTheme="minorHAnsi" w:cstheme="minorBidi"/>
      <w:vertAlign w:val="superscript"/>
      <w:lang w:val="en-US"/>
    </w:rPr>
  </w:style>
  <w:style w:type="character" w:styleId="Hyperlink">
    <w:name w:val="Hyperlink"/>
    <w:basedOn w:val="DefaultParagraphFont"/>
    <w:uiPriority w:val="99"/>
    <w:unhideWhenUsed/>
    <w:rsid w:val="00FE43F1"/>
    <w:rPr>
      <w:color w:val="0000FF" w:themeColor="hyperlink"/>
      <w:u w:val="single"/>
    </w:rPr>
  </w:style>
  <w:style w:type="paragraph" w:styleId="NormalWeb">
    <w:name w:val="Normal (Web)"/>
    <w:basedOn w:val="Normal"/>
    <w:uiPriority w:val="99"/>
    <w:unhideWhenUsed/>
    <w:rsid w:val="000F778D"/>
    <w:pPr>
      <w:spacing w:before="100" w:beforeAutospacing="1" w:after="100" w:afterAutospacing="1"/>
      <w:jc w:val="both"/>
    </w:pPr>
    <w:rPr>
      <w:rFonts w:ascii="Times New Roman" w:eastAsia="Times New Roman" w:hAnsi="Times New Roman"/>
      <w:szCs w:val="24"/>
      <w:lang w:val="en-GB" w:eastAsia="en-GB"/>
    </w:rPr>
  </w:style>
  <w:style w:type="character" w:customStyle="1" w:styleId="apple-converted-space">
    <w:name w:val="apple-converted-space"/>
    <w:basedOn w:val="DefaultParagraphFont"/>
    <w:rsid w:val="000912AA"/>
  </w:style>
  <w:style w:type="paragraph" w:styleId="HTMLPreformatted">
    <w:name w:val="HTML Preformatted"/>
    <w:basedOn w:val="Normal"/>
    <w:link w:val="HTMLPreformattedChar"/>
    <w:uiPriority w:val="99"/>
    <w:unhideWhenUsed/>
    <w:rsid w:val="000912AA"/>
    <w:pPr>
      <w:spacing w:after="0" w:line="240" w:lineRule="auto"/>
      <w:jc w:val="both"/>
    </w:pPr>
    <w:rPr>
      <w:rFonts w:ascii="Consolas" w:eastAsiaTheme="minorHAnsi" w:hAnsi="Consolas" w:cstheme="minorBidi"/>
      <w:sz w:val="20"/>
      <w:szCs w:val="20"/>
      <w:lang w:val="en-US"/>
    </w:rPr>
  </w:style>
  <w:style w:type="character" w:customStyle="1" w:styleId="HTMLPreformattedChar">
    <w:name w:val="HTML Preformatted Char"/>
    <w:basedOn w:val="DefaultParagraphFont"/>
    <w:link w:val="HTMLPreformatted"/>
    <w:uiPriority w:val="99"/>
    <w:rsid w:val="000912AA"/>
    <w:rPr>
      <w:rFonts w:ascii="Consolas" w:hAnsi="Consolas"/>
      <w:sz w:val="20"/>
      <w:szCs w:val="20"/>
    </w:rPr>
  </w:style>
  <w:style w:type="character" w:styleId="FollowedHyperlink">
    <w:name w:val="FollowedHyperlink"/>
    <w:basedOn w:val="DefaultParagraphFont"/>
    <w:uiPriority w:val="99"/>
    <w:semiHidden/>
    <w:unhideWhenUsed/>
    <w:rsid w:val="00DF095A"/>
    <w:rPr>
      <w:color w:val="954F72"/>
      <w:u w:val="single"/>
    </w:rPr>
  </w:style>
  <w:style w:type="paragraph" w:customStyle="1" w:styleId="font5">
    <w:name w:val="font5"/>
    <w:basedOn w:val="Normal"/>
    <w:rsid w:val="00DF095A"/>
    <w:pPr>
      <w:spacing w:before="100" w:beforeAutospacing="1" w:after="100" w:afterAutospacing="1" w:line="240" w:lineRule="auto"/>
    </w:pPr>
    <w:rPr>
      <w:rFonts w:ascii="Times New Roman" w:eastAsia="Times New Roman" w:hAnsi="Times New Roman"/>
      <w:b/>
      <w:bCs/>
      <w:color w:val="FFFFFF"/>
      <w:sz w:val="16"/>
      <w:szCs w:val="16"/>
      <w:lang w:eastAsia="sq-AL"/>
    </w:rPr>
  </w:style>
  <w:style w:type="paragraph" w:customStyle="1" w:styleId="font6">
    <w:name w:val="font6"/>
    <w:basedOn w:val="Normal"/>
    <w:rsid w:val="00DF095A"/>
    <w:pPr>
      <w:spacing w:before="100" w:beforeAutospacing="1" w:after="100" w:afterAutospacing="1" w:line="240" w:lineRule="auto"/>
    </w:pPr>
    <w:rPr>
      <w:rFonts w:ascii="Times New Roman" w:eastAsia="Times New Roman" w:hAnsi="Times New Roman"/>
      <w:color w:val="000000"/>
      <w:sz w:val="16"/>
      <w:szCs w:val="16"/>
      <w:lang w:eastAsia="sq-AL"/>
    </w:rPr>
  </w:style>
  <w:style w:type="paragraph" w:customStyle="1" w:styleId="font7">
    <w:name w:val="font7"/>
    <w:basedOn w:val="Normal"/>
    <w:rsid w:val="00DF095A"/>
    <w:pPr>
      <w:spacing w:before="100" w:beforeAutospacing="1" w:after="100" w:afterAutospacing="1" w:line="240" w:lineRule="auto"/>
    </w:pPr>
    <w:rPr>
      <w:rFonts w:ascii="Times New Roman" w:eastAsia="Times New Roman" w:hAnsi="Times New Roman"/>
      <w:color w:val="000000"/>
      <w:sz w:val="16"/>
      <w:szCs w:val="16"/>
      <w:lang w:eastAsia="sq-AL"/>
    </w:rPr>
  </w:style>
  <w:style w:type="paragraph" w:customStyle="1" w:styleId="font8">
    <w:name w:val="font8"/>
    <w:basedOn w:val="Normal"/>
    <w:rsid w:val="00DF095A"/>
    <w:pPr>
      <w:spacing w:before="100" w:beforeAutospacing="1" w:after="100" w:afterAutospacing="1" w:line="240" w:lineRule="auto"/>
    </w:pPr>
    <w:rPr>
      <w:rFonts w:ascii="Times New Roman" w:eastAsia="Times New Roman" w:hAnsi="Times New Roman"/>
      <w:b/>
      <w:bCs/>
      <w:color w:val="000000"/>
      <w:sz w:val="16"/>
      <w:szCs w:val="16"/>
      <w:lang w:eastAsia="sq-AL"/>
    </w:rPr>
  </w:style>
  <w:style w:type="paragraph" w:customStyle="1" w:styleId="xl65">
    <w:name w:val="xl65"/>
    <w:basedOn w:val="Normal"/>
    <w:rsid w:val="00DF095A"/>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sq-AL"/>
    </w:rPr>
  </w:style>
  <w:style w:type="paragraph" w:customStyle="1" w:styleId="xl66">
    <w:name w:val="xl66"/>
    <w:basedOn w:val="Normal"/>
    <w:rsid w:val="00DF095A"/>
    <w:pPr>
      <w:spacing w:before="100" w:beforeAutospacing="1" w:after="100" w:afterAutospacing="1" w:line="240" w:lineRule="auto"/>
      <w:textAlignment w:val="center"/>
    </w:pPr>
    <w:rPr>
      <w:rFonts w:ascii="Times New Roman" w:eastAsia="Times New Roman" w:hAnsi="Times New Roman"/>
      <w:sz w:val="24"/>
      <w:szCs w:val="24"/>
      <w:lang w:eastAsia="sq-AL"/>
    </w:rPr>
  </w:style>
  <w:style w:type="paragraph" w:customStyle="1" w:styleId="xl67">
    <w:name w:val="xl67"/>
    <w:basedOn w:val="Normal"/>
    <w:rsid w:val="00DF095A"/>
    <w:pPr>
      <w:spacing w:before="100" w:beforeAutospacing="1" w:after="100" w:afterAutospacing="1" w:line="240" w:lineRule="auto"/>
      <w:textAlignment w:val="center"/>
    </w:pPr>
    <w:rPr>
      <w:rFonts w:ascii="Times New Roman" w:eastAsia="Times New Roman" w:hAnsi="Times New Roman"/>
      <w:b/>
      <w:bCs/>
      <w:sz w:val="24"/>
      <w:szCs w:val="24"/>
      <w:lang w:eastAsia="sq-AL"/>
    </w:rPr>
  </w:style>
  <w:style w:type="paragraph" w:customStyle="1" w:styleId="xl68">
    <w:name w:val="xl68"/>
    <w:basedOn w:val="Normal"/>
    <w:rsid w:val="00DF095A"/>
    <w:pPr>
      <w:spacing w:before="100" w:beforeAutospacing="1" w:after="100" w:afterAutospacing="1" w:line="240" w:lineRule="auto"/>
    </w:pPr>
    <w:rPr>
      <w:rFonts w:ascii="Times New Roman" w:eastAsia="Times New Roman" w:hAnsi="Times New Roman"/>
      <w:color w:val="000000"/>
      <w:sz w:val="24"/>
      <w:szCs w:val="24"/>
      <w:lang w:eastAsia="sq-AL"/>
    </w:rPr>
  </w:style>
  <w:style w:type="paragraph" w:customStyle="1" w:styleId="xl69">
    <w:name w:val="xl69"/>
    <w:basedOn w:val="Normal"/>
    <w:rsid w:val="00DF095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0">
    <w:name w:val="xl70"/>
    <w:basedOn w:val="Normal"/>
    <w:rsid w:val="00DF095A"/>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center"/>
      <w:textAlignment w:val="center"/>
    </w:pPr>
    <w:rPr>
      <w:rFonts w:ascii="Times New Roman" w:eastAsia="Times New Roman" w:hAnsi="Times New Roman"/>
      <w:b/>
      <w:bCs/>
      <w:color w:val="FFFFFF"/>
      <w:sz w:val="16"/>
      <w:szCs w:val="16"/>
      <w:lang w:eastAsia="sq-AL"/>
    </w:rPr>
  </w:style>
  <w:style w:type="paragraph" w:customStyle="1" w:styleId="xl71">
    <w:name w:val="xl71"/>
    <w:basedOn w:val="Normal"/>
    <w:rsid w:val="00DF095A"/>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2">
    <w:name w:val="xl72"/>
    <w:basedOn w:val="Normal"/>
    <w:rsid w:val="00DF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73">
    <w:name w:val="xl73"/>
    <w:basedOn w:val="Normal"/>
    <w:rsid w:val="00DF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4">
    <w:name w:val="xl74"/>
    <w:basedOn w:val="Normal"/>
    <w:rsid w:val="00DF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5">
    <w:name w:val="xl75"/>
    <w:basedOn w:val="Normal"/>
    <w:rsid w:val="00DF09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6">
    <w:name w:val="xl76"/>
    <w:basedOn w:val="Normal"/>
    <w:rsid w:val="00DF095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7">
    <w:name w:val="xl77"/>
    <w:basedOn w:val="Normal"/>
    <w:rsid w:val="00DF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78">
    <w:name w:val="xl78"/>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b/>
      <w:bCs/>
      <w:color w:val="000000"/>
      <w:sz w:val="16"/>
      <w:szCs w:val="16"/>
      <w:lang w:eastAsia="sq-AL"/>
    </w:rPr>
  </w:style>
  <w:style w:type="paragraph" w:customStyle="1" w:styleId="xl79">
    <w:name w:val="xl79"/>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b/>
      <w:bCs/>
      <w:sz w:val="16"/>
      <w:szCs w:val="16"/>
      <w:lang w:eastAsia="sq-AL"/>
    </w:rPr>
  </w:style>
  <w:style w:type="paragraph" w:customStyle="1" w:styleId="xl80">
    <w:name w:val="xl80"/>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81">
    <w:name w:val="xl81"/>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82">
    <w:name w:val="xl82"/>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83">
    <w:name w:val="xl83"/>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84">
    <w:name w:val="xl84"/>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85">
    <w:name w:val="xl85"/>
    <w:basedOn w:val="Normal"/>
    <w:rsid w:val="00DF095A"/>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b/>
      <w:bCs/>
      <w:sz w:val="16"/>
      <w:szCs w:val="16"/>
      <w:lang w:eastAsia="sq-AL"/>
    </w:rPr>
  </w:style>
  <w:style w:type="paragraph" w:customStyle="1" w:styleId="xl86">
    <w:name w:val="xl86"/>
    <w:basedOn w:val="Normal"/>
    <w:rsid w:val="00DF095A"/>
    <w:pPr>
      <w:shd w:val="clear" w:color="000000" w:fill="9BC2E6"/>
      <w:spacing w:before="100" w:beforeAutospacing="1" w:after="100" w:afterAutospacing="1" w:line="240" w:lineRule="auto"/>
      <w:textAlignment w:val="center"/>
    </w:pPr>
    <w:rPr>
      <w:rFonts w:ascii="Times New Roman" w:eastAsia="Times New Roman" w:hAnsi="Times New Roman"/>
      <w:b/>
      <w:bCs/>
      <w:sz w:val="16"/>
      <w:szCs w:val="16"/>
      <w:lang w:eastAsia="sq-AL"/>
    </w:rPr>
  </w:style>
  <w:style w:type="paragraph" w:customStyle="1" w:styleId="xl87">
    <w:name w:val="xl87"/>
    <w:basedOn w:val="Normal"/>
    <w:rsid w:val="00DF095A"/>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88">
    <w:name w:val="xl88"/>
    <w:basedOn w:val="Normal"/>
    <w:rsid w:val="00DF095A"/>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89">
    <w:name w:val="xl89"/>
    <w:basedOn w:val="Normal"/>
    <w:rsid w:val="00DF095A"/>
    <w:pPr>
      <w:pBdr>
        <w:top w:val="single" w:sz="4" w:space="0" w:color="auto"/>
        <w:left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90">
    <w:name w:val="xl90"/>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top"/>
    </w:pPr>
    <w:rPr>
      <w:rFonts w:ascii="Times New Roman" w:eastAsia="Times New Roman" w:hAnsi="Times New Roman"/>
      <w:sz w:val="16"/>
      <w:szCs w:val="16"/>
      <w:lang w:eastAsia="sq-AL"/>
    </w:rPr>
  </w:style>
  <w:style w:type="paragraph" w:customStyle="1" w:styleId="xl91">
    <w:name w:val="xl91"/>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92">
    <w:name w:val="xl92"/>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color w:val="000000"/>
      <w:sz w:val="16"/>
      <w:szCs w:val="16"/>
      <w:lang w:eastAsia="sq-AL"/>
    </w:rPr>
  </w:style>
  <w:style w:type="paragraph" w:customStyle="1" w:styleId="xl93">
    <w:name w:val="xl93"/>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94">
    <w:name w:val="xl94"/>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95">
    <w:name w:val="xl95"/>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top"/>
    </w:pPr>
    <w:rPr>
      <w:rFonts w:ascii="Times New Roman" w:eastAsia="Times New Roman" w:hAnsi="Times New Roman"/>
      <w:sz w:val="16"/>
      <w:szCs w:val="16"/>
      <w:lang w:eastAsia="sq-AL"/>
    </w:rPr>
  </w:style>
  <w:style w:type="paragraph" w:customStyle="1" w:styleId="xl96">
    <w:name w:val="xl96"/>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sz w:val="16"/>
      <w:szCs w:val="16"/>
      <w:lang w:eastAsia="sq-AL"/>
    </w:rPr>
  </w:style>
  <w:style w:type="paragraph" w:customStyle="1" w:styleId="xl97">
    <w:name w:val="xl97"/>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sz w:val="16"/>
      <w:szCs w:val="16"/>
      <w:lang w:eastAsia="sq-AL"/>
    </w:rPr>
  </w:style>
  <w:style w:type="paragraph" w:customStyle="1" w:styleId="xl98">
    <w:name w:val="xl98"/>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sz w:val="16"/>
      <w:szCs w:val="16"/>
      <w:lang w:eastAsia="sq-AL"/>
    </w:rPr>
  </w:style>
  <w:style w:type="paragraph" w:customStyle="1" w:styleId="xl99">
    <w:name w:val="xl99"/>
    <w:basedOn w:val="Normal"/>
    <w:rsid w:val="00DF095A"/>
    <w:pPr>
      <w:shd w:val="clear" w:color="000000" w:fill="9BC2E6"/>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100">
    <w:name w:val="xl100"/>
    <w:basedOn w:val="Normal"/>
    <w:rsid w:val="00DF095A"/>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6"/>
      <w:szCs w:val="16"/>
      <w:lang w:eastAsia="sq-AL"/>
    </w:rPr>
  </w:style>
  <w:style w:type="paragraph" w:customStyle="1" w:styleId="xl101">
    <w:name w:val="xl101"/>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FF0000"/>
      <w:sz w:val="16"/>
      <w:szCs w:val="16"/>
      <w:lang w:eastAsia="sq-AL"/>
    </w:rPr>
  </w:style>
  <w:style w:type="paragraph" w:customStyle="1" w:styleId="xl102">
    <w:name w:val="xl102"/>
    <w:basedOn w:val="Normal"/>
    <w:rsid w:val="00DF095A"/>
    <w:pPr>
      <w:pBdr>
        <w:top w:val="single" w:sz="4" w:space="0" w:color="auto"/>
        <w:left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103">
    <w:name w:val="xl103"/>
    <w:basedOn w:val="Normal"/>
    <w:rsid w:val="00DF095A"/>
    <w:pPr>
      <w:pBdr>
        <w:left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104">
    <w:name w:val="xl104"/>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105">
    <w:name w:val="xl105"/>
    <w:basedOn w:val="Normal"/>
    <w:rsid w:val="00DF095A"/>
    <w:pPr>
      <w:pBdr>
        <w:left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106">
    <w:name w:val="xl106"/>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color w:val="000000"/>
      <w:sz w:val="16"/>
      <w:szCs w:val="16"/>
      <w:lang w:eastAsia="sq-AL"/>
    </w:rPr>
  </w:style>
  <w:style w:type="paragraph" w:customStyle="1" w:styleId="xl107">
    <w:name w:val="xl107"/>
    <w:basedOn w:val="Normal"/>
    <w:rsid w:val="00DF095A"/>
    <w:pPr>
      <w:pBdr>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000000"/>
      <w:sz w:val="16"/>
      <w:szCs w:val="16"/>
      <w:lang w:eastAsia="sq-AL"/>
    </w:rPr>
  </w:style>
  <w:style w:type="paragraph" w:customStyle="1" w:styleId="xl108">
    <w:name w:val="xl108"/>
    <w:basedOn w:val="Normal"/>
    <w:rsid w:val="00DF095A"/>
    <w:pPr>
      <w:shd w:val="clear" w:color="000000" w:fill="9BC2E6"/>
      <w:spacing w:before="100" w:beforeAutospacing="1" w:after="100" w:afterAutospacing="1" w:line="240" w:lineRule="auto"/>
      <w:textAlignment w:val="center"/>
    </w:pPr>
    <w:rPr>
      <w:rFonts w:ascii="Times New Roman" w:eastAsia="Times New Roman" w:hAnsi="Times New Roman"/>
      <w:b/>
      <w:bCs/>
      <w:color w:val="000000"/>
      <w:sz w:val="16"/>
      <w:szCs w:val="16"/>
      <w:lang w:eastAsia="sq-AL"/>
    </w:rPr>
  </w:style>
  <w:style w:type="paragraph" w:customStyle="1" w:styleId="xl109">
    <w:name w:val="xl109"/>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color w:val="000000"/>
      <w:sz w:val="16"/>
      <w:szCs w:val="16"/>
      <w:lang w:eastAsia="sq-AL"/>
    </w:rPr>
  </w:style>
  <w:style w:type="paragraph" w:customStyle="1" w:styleId="xl110">
    <w:name w:val="xl110"/>
    <w:basedOn w:val="Normal"/>
    <w:rsid w:val="00DF095A"/>
    <w:pPr>
      <w:pBdr>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111">
    <w:name w:val="xl111"/>
    <w:basedOn w:val="Normal"/>
    <w:rsid w:val="00DF095A"/>
    <w:pPr>
      <w:pBdr>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b/>
      <w:bCs/>
      <w:sz w:val="16"/>
      <w:szCs w:val="16"/>
      <w:lang w:eastAsia="sq-AL"/>
    </w:rPr>
  </w:style>
  <w:style w:type="paragraph" w:customStyle="1" w:styleId="xl112">
    <w:name w:val="xl112"/>
    <w:basedOn w:val="Normal"/>
    <w:rsid w:val="00DF095A"/>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olor w:val="000000"/>
      <w:sz w:val="16"/>
      <w:szCs w:val="16"/>
      <w:lang w:eastAsia="sq-AL"/>
    </w:rPr>
  </w:style>
  <w:style w:type="paragraph" w:customStyle="1" w:styleId="xl113">
    <w:name w:val="xl113"/>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textAlignment w:val="center"/>
    </w:pPr>
    <w:rPr>
      <w:rFonts w:ascii="Times New Roman" w:eastAsia="Times New Roman" w:hAnsi="Times New Roman"/>
      <w:sz w:val="16"/>
      <w:szCs w:val="16"/>
      <w:lang w:eastAsia="sq-AL"/>
    </w:rPr>
  </w:style>
  <w:style w:type="paragraph" w:customStyle="1" w:styleId="xl114">
    <w:name w:val="xl114"/>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sz w:val="16"/>
      <w:szCs w:val="16"/>
      <w:lang w:eastAsia="sq-AL"/>
    </w:rPr>
  </w:style>
  <w:style w:type="paragraph" w:customStyle="1" w:styleId="xl115">
    <w:name w:val="xl115"/>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center"/>
      <w:textAlignment w:val="center"/>
    </w:pPr>
    <w:rPr>
      <w:rFonts w:ascii="Times New Roman" w:eastAsia="Times New Roman" w:hAnsi="Times New Roman"/>
      <w:color w:val="FF0000"/>
      <w:sz w:val="16"/>
      <w:szCs w:val="16"/>
      <w:lang w:eastAsia="sq-AL"/>
    </w:rPr>
  </w:style>
  <w:style w:type="paragraph" w:customStyle="1" w:styleId="xl116">
    <w:name w:val="xl116"/>
    <w:basedOn w:val="Normal"/>
    <w:rsid w:val="00DF095A"/>
    <w:pPr>
      <w:pBdr>
        <w:top w:val="single" w:sz="4" w:space="0" w:color="auto"/>
        <w:left w:val="single" w:sz="4" w:space="0" w:color="auto"/>
        <w:bottom w:val="single" w:sz="4" w:space="0" w:color="auto"/>
        <w:right w:val="single" w:sz="4" w:space="0" w:color="auto"/>
      </w:pBdr>
      <w:shd w:val="clear" w:color="000000" w:fill="FFD579"/>
      <w:spacing w:before="100" w:beforeAutospacing="1" w:after="100" w:afterAutospacing="1" w:line="240" w:lineRule="auto"/>
      <w:jc w:val="right"/>
      <w:textAlignment w:val="center"/>
    </w:pPr>
    <w:rPr>
      <w:rFonts w:ascii="Times New Roman" w:eastAsia="Times New Roman" w:hAnsi="Times New Roman"/>
      <w:color w:val="000000"/>
      <w:sz w:val="16"/>
      <w:szCs w:val="16"/>
      <w:lang w:eastAsia="sq-AL"/>
    </w:rPr>
  </w:style>
  <w:style w:type="paragraph" w:customStyle="1" w:styleId="xl117">
    <w:name w:val="xl117"/>
    <w:basedOn w:val="Normal"/>
    <w:rsid w:val="00DF095A"/>
    <w:pPr>
      <w:spacing w:before="100" w:beforeAutospacing="1" w:after="100" w:afterAutospacing="1" w:line="240" w:lineRule="auto"/>
    </w:pPr>
    <w:rPr>
      <w:rFonts w:ascii="Times New Roman" w:eastAsia="Times New Roman" w:hAnsi="Times New Roman"/>
      <w:sz w:val="16"/>
      <w:szCs w:val="16"/>
      <w:lang w:eastAsia="sq-AL"/>
    </w:rPr>
  </w:style>
  <w:style w:type="paragraph" w:customStyle="1" w:styleId="xl118">
    <w:name w:val="xl118"/>
    <w:basedOn w:val="Normal"/>
    <w:rsid w:val="00DF095A"/>
    <w:pPr>
      <w:spacing w:before="100" w:beforeAutospacing="1" w:after="100" w:afterAutospacing="1" w:line="240" w:lineRule="auto"/>
    </w:pPr>
    <w:rPr>
      <w:rFonts w:ascii="Times New Roman" w:eastAsia="Times New Roman" w:hAnsi="Times New Roman"/>
      <w:color w:val="000000"/>
      <w:sz w:val="16"/>
      <w:szCs w:val="16"/>
      <w:lang w:eastAsia="sq-AL"/>
    </w:rPr>
  </w:style>
  <w:style w:type="paragraph" w:customStyle="1" w:styleId="xl119">
    <w:name w:val="xl119"/>
    <w:basedOn w:val="Normal"/>
    <w:rsid w:val="00DF095A"/>
    <w:pPr>
      <w:shd w:val="clear" w:color="000000" w:fill="FFD579"/>
      <w:spacing w:before="100" w:beforeAutospacing="1" w:after="100" w:afterAutospacing="1" w:line="240" w:lineRule="auto"/>
      <w:textAlignment w:val="center"/>
    </w:pPr>
    <w:rPr>
      <w:rFonts w:ascii="Times New Roman" w:eastAsia="Times New Roman" w:hAnsi="Times New Roman"/>
      <w:sz w:val="16"/>
      <w:szCs w:val="16"/>
      <w:lang w:eastAsia="sq-AL"/>
    </w:rPr>
  </w:style>
  <w:style w:type="paragraph" w:customStyle="1" w:styleId="xl120">
    <w:name w:val="xl120"/>
    <w:basedOn w:val="Normal"/>
    <w:rsid w:val="00DF095A"/>
    <w:pPr>
      <w:shd w:val="clear" w:color="000000" w:fill="9BC2E6"/>
      <w:spacing w:before="100" w:beforeAutospacing="1" w:after="100" w:afterAutospacing="1" w:line="240" w:lineRule="auto"/>
    </w:pPr>
    <w:rPr>
      <w:rFonts w:ascii="Times New Roman" w:eastAsia="Times New Roman" w:hAnsi="Times New Roman"/>
      <w:b/>
      <w:bCs/>
      <w:color w:val="000000"/>
      <w:sz w:val="16"/>
      <w:szCs w:val="16"/>
      <w:lang w:eastAsia="sq-AL"/>
    </w:rPr>
  </w:style>
  <w:style w:type="paragraph" w:customStyle="1" w:styleId="xl121">
    <w:name w:val="xl121"/>
    <w:basedOn w:val="Normal"/>
    <w:rsid w:val="00DF095A"/>
    <w:pPr>
      <w:spacing w:before="100" w:beforeAutospacing="1" w:after="100" w:afterAutospacing="1" w:line="240" w:lineRule="auto"/>
    </w:pPr>
    <w:rPr>
      <w:rFonts w:ascii="Times New Roman" w:eastAsia="Times New Roman" w:hAnsi="Times New Roman"/>
      <w:color w:val="000000"/>
      <w:sz w:val="16"/>
      <w:szCs w:val="16"/>
      <w:lang w:eastAsia="sq-AL"/>
    </w:rPr>
  </w:style>
  <w:style w:type="paragraph" w:customStyle="1" w:styleId="xl122">
    <w:name w:val="xl122"/>
    <w:basedOn w:val="Normal"/>
    <w:rsid w:val="00DF095A"/>
    <w:pPr>
      <w:shd w:val="clear" w:color="000000" w:fill="92D050"/>
      <w:spacing w:before="100" w:beforeAutospacing="1" w:after="100" w:afterAutospacing="1" w:line="240" w:lineRule="auto"/>
    </w:pPr>
    <w:rPr>
      <w:rFonts w:ascii="Times New Roman" w:eastAsia="Times New Roman" w:hAnsi="Times New Roman"/>
      <w:b/>
      <w:bCs/>
      <w:color w:val="000000"/>
      <w:sz w:val="16"/>
      <w:szCs w:val="16"/>
      <w:lang w:eastAsia="sq-AL"/>
    </w:rPr>
  </w:style>
  <w:style w:type="character" w:customStyle="1" w:styleId="Heading8Char">
    <w:name w:val="Heading 8 Char"/>
    <w:basedOn w:val="DefaultParagraphFont"/>
    <w:link w:val="Heading8"/>
    <w:uiPriority w:val="9"/>
    <w:semiHidden/>
    <w:rsid w:val="00527F17"/>
    <w:rPr>
      <w:rFonts w:asciiTheme="majorHAnsi" w:eastAsiaTheme="majorEastAsia" w:hAnsiTheme="majorHAnsi" w:cstheme="majorBidi"/>
      <w:color w:val="404040" w:themeColor="text1" w:themeTint="BF"/>
      <w:sz w:val="20"/>
      <w:szCs w:val="20"/>
      <w:lang w:val="hr-HR"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321301">
      <w:bodyDiv w:val="1"/>
      <w:marLeft w:val="0"/>
      <w:marRight w:val="0"/>
      <w:marTop w:val="0"/>
      <w:marBottom w:val="0"/>
      <w:divBdr>
        <w:top w:val="none" w:sz="0" w:space="0" w:color="auto"/>
        <w:left w:val="none" w:sz="0" w:space="0" w:color="auto"/>
        <w:bottom w:val="none" w:sz="0" w:space="0" w:color="auto"/>
        <w:right w:val="none" w:sz="0" w:space="0" w:color="auto"/>
      </w:divBdr>
    </w:div>
    <w:div w:id="139843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g"/><Relationship Id="rId21" Type="http://schemas.openxmlformats.org/officeDocument/2006/relationships/header" Target="header1.xml"/><Relationship Id="rId42" Type="http://schemas.openxmlformats.org/officeDocument/2006/relationships/image" Target="media/image21.jpg"/><Relationship Id="rId47" Type="http://schemas.openxmlformats.org/officeDocument/2006/relationships/image" Target="media/image26.jpg"/><Relationship Id="rId63" Type="http://schemas.openxmlformats.org/officeDocument/2006/relationships/image" Target="media/image42.jpg"/><Relationship Id="rId68" Type="http://schemas.openxmlformats.org/officeDocument/2006/relationships/image" Target="media/image47.jpg"/><Relationship Id="rId84" Type="http://schemas.openxmlformats.org/officeDocument/2006/relationships/image" Target="media/image63.jpg"/><Relationship Id="rId89" Type="http://schemas.openxmlformats.org/officeDocument/2006/relationships/image" Target="media/image68.jpg"/><Relationship Id="rId16" Type="http://schemas.openxmlformats.org/officeDocument/2006/relationships/chart" Target="charts/chart5.xml"/><Relationship Id="rId11" Type="http://schemas.openxmlformats.org/officeDocument/2006/relationships/endnotes" Target="endnotes.xml"/><Relationship Id="rId32" Type="http://schemas.openxmlformats.org/officeDocument/2006/relationships/image" Target="media/image11.jpg"/><Relationship Id="rId37" Type="http://schemas.openxmlformats.org/officeDocument/2006/relationships/image" Target="media/image16.jpg"/><Relationship Id="rId53" Type="http://schemas.openxmlformats.org/officeDocument/2006/relationships/image" Target="media/image32.jpg"/><Relationship Id="rId58" Type="http://schemas.openxmlformats.org/officeDocument/2006/relationships/image" Target="media/image37.jpg"/><Relationship Id="rId74" Type="http://schemas.openxmlformats.org/officeDocument/2006/relationships/image" Target="media/image53.jpg"/><Relationship Id="rId79" Type="http://schemas.openxmlformats.org/officeDocument/2006/relationships/image" Target="media/image58.jpg"/><Relationship Id="rId5" Type="http://schemas.openxmlformats.org/officeDocument/2006/relationships/customXml" Target="../customXml/item5.xml"/><Relationship Id="rId90" Type="http://schemas.openxmlformats.org/officeDocument/2006/relationships/image" Target="media/image69.jpg"/><Relationship Id="rId14" Type="http://schemas.openxmlformats.org/officeDocument/2006/relationships/chart" Target="charts/chart3.xml"/><Relationship Id="rId22" Type="http://schemas.openxmlformats.org/officeDocument/2006/relationships/footer" Target="footer1.xml"/><Relationship Id="rId27" Type="http://schemas.openxmlformats.org/officeDocument/2006/relationships/image" Target="media/image6.jpg"/><Relationship Id="rId30" Type="http://schemas.openxmlformats.org/officeDocument/2006/relationships/image" Target="media/image9.jpg"/><Relationship Id="rId35" Type="http://schemas.openxmlformats.org/officeDocument/2006/relationships/image" Target="media/image14.jpg"/><Relationship Id="rId43" Type="http://schemas.openxmlformats.org/officeDocument/2006/relationships/image" Target="media/image22.jpg"/><Relationship Id="rId48" Type="http://schemas.openxmlformats.org/officeDocument/2006/relationships/image" Target="media/image27.jpg"/><Relationship Id="rId56" Type="http://schemas.openxmlformats.org/officeDocument/2006/relationships/image" Target="media/image35.jpg"/><Relationship Id="rId64" Type="http://schemas.openxmlformats.org/officeDocument/2006/relationships/image" Target="media/image43.jpg"/><Relationship Id="rId69" Type="http://schemas.openxmlformats.org/officeDocument/2006/relationships/image" Target="media/image48.jpg"/><Relationship Id="rId77" Type="http://schemas.openxmlformats.org/officeDocument/2006/relationships/image" Target="media/image56.jpg"/><Relationship Id="rId8" Type="http://schemas.openxmlformats.org/officeDocument/2006/relationships/settings" Target="settings.xml"/><Relationship Id="rId51" Type="http://schemas.openxmlformats.org/officeDocument/2006/relationships/image" Target="media/image30.jpg"/><Relationship Id="rId72" Type="http://schemas.openxmlformats.org/officeDocument/2006/relationships/image" Target="media/image51.jpg"/><Relationship Id="rId80" Type="http://schemas.openxmlformats.org/officeDocument/2006/relationships/image" Target="media/image59.jpg"/><Relationship Id="rId85" Type="http://schemas.openxmlformats.org/officeDocument/2006/relationships/image" Target="media/image64.jpg"/><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hyperlink" Target="https://databank.worldbank.org/source/world-development-indicators" TargetMode="External"/><Relationship Id="rId25" Type="http://schemas.openxmlformats.org/officeDocument/2006/relationships/image" Target="media/image4.jpg"/><Relationship Id="rId33" Type="http://schemas.openxmlformats.org/officeDocument/2006/relationships/image" Target="media/image12.jpg"/><Relationship Id="rId38" Type="http://schemas.openxmlformats.org/officeDocument/2006/relationships/image" Target="media/image17.jpg"/><Relationship Id="rId46" Type="http://schemas.openxmlformats.org/officeDocument/2006/relationships/image" Target="media/image25.jpg"/><Relationship Id="rId59" Type="http://schemas.openxmlformats.org/officeDocument/2006/relationships/image" Target="media/image38.jpg"/><Relationship Id="rId67" Type="http://schemas.openxmlformats.org/officeDocument/2006/relationships/image" Target="media/image46.jpg"/><Relationship Id="rId20" Type="http://schemas.openxmlformats.org/officeDocument/2006/relationships/image" Target="media/image1.png"/><Relationship Id="rId41" Type="http://schemas.openxmlformats.org/officeDocument/2006/relationships/image" Target="media/image20.jpg"/><Relationship Id="rId54" Type="http://schemas.openxmlformats.org/officeDocument/2006/relationships/image" Target="media/image33.jpg"/><Relationship Id="rId62" Type="http://schemas.openxmlformats.org/officeDocument/2006/relationships/image" Target="media/image41.jpg"/><Relationship Id="rId70" Type="http://schemas.openxmlformats.org/officeDocument/2006/relationships/image" Target="media/image49.jpg"/><Relationship Id="rId75" Type="http://schemas.openxmlformats.org/officeDocument/2006/relationships/image" Target="media/image54.jpg"/><Relationship Id="rId83" Type="http://schemas.openxmlformats.org/officeDocument/2006/relationships/image" Target="media/image62.jpg"/><Relationship Id="rId88" Type="http://schemas.openxmlformats.org/officeDocument/2006/relationships/image" Target="media/image67.jp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image" Target="media/image2.jpg"/><Relationship Id="rId28" Type="http://schemas.openxmlformats.org/officeDocument/2006/relationships/image" Target="media/image7.jpg"/><Relationship Id="rId36" Type="http://schemas.openxmlformats.org/officeDocument/2006/relationships/image" Target="media/image15.jpg"/><Relationship Id="rId49" Type="http://schemas.openxmlformats.org/officeDocument/2006/relationships/image" Target="media/image28.jpg"/><Relationship Id="rId57" Type="http://schemas.openxmlformats.org/officeDocument/2006/relationships/image" Target="media/image36.jpg"/><Relationship Id="rId10" Type="http://schemas.openxmlformats.org/officeDocument/2006/relationships/footnotes" Target="footnotes.xml"/><Relationship Id="rId31" Type="http://schemas.openxmlformats.org/officeDocument/2006/relationships/image" Target="media/image10.jpg"/><Relationship Id="rId44" Type="http://schemas.openxmlformats.org/officeDocument/2006/relationships/image" Target="media/image23.jpg"/><Relationship Id="rId52" Type="http://schemas.openxmlformats.org/officeDocument/2006/relationships/image" Target="media/image31.jpg"/><Relationship Id="rId60" Type="http://schemas.openxmlformats.org/officeDocument/2006/relationships/image" Target="media/image39.jpg"/><Relationship Id="rId65" Type="http://schemas.openxmlformats.org/officeDocument/2006/relationships/image" Target="media/image44.jpg"/><Relationship Id="rId73" Type="http://schemas.openxmlformats.org/officeDocument/2006/relationships/image" Target="media/image52.jpg"/><Relationship Id="rId78" Type="http://schemas.openxmlformats.org/officeDocument/2006/relationships/image" Target="media/image57.jpg"/><Relationship Id="rId81" Type="http://schemas.openxmlformats.org/officeDocument/2006/relationships/image" Target="media/image60.jpg"/><Relationship Id="rId86" Type="http://schemas.openxmlformats.org/officeDocument/2006/relationships/image" Target="media/image65.jp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6.xml"/><Relationship Id="rId39" Type="http://schemas.openxmlformats.org/officeDocument/2006/relationships/image" Target="media/image18.jpg"/><Relationship Id="rId34" Type="http://schemas.openxmlformats.org/officeDocument/2006/relationships/image" Target="media/image13.jpg"/><Relationship Id="rId50" Type="http://schemas.openxmlformats.org/officeDocument/2006/relationships/image" Target="media/image29.jpg"/><Relationship Id="rId55" Type="http://schemas.openxmlformats.org/officeDocument/2006/relationships/image" Target="media/image34.jpg"/><Relationship Id="rId76" Type="http://schemas.openxmlformats.org/officeDocument/2006/relationships/image" Target="media/image55.jpg"/><Relationship Id="rId7" Type="http://schemas.openxmlformats.org/officeDocument/2006/relationships/styles" Target="styles.xml"/><Relationship Id="rId71" Type="http://schemas.openxmlformats.org/officeDocument/2006/relationships/image" Target="media/image50.jpg"/><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8.jpg"/><Relationship Id="rId24" Type="http://schemas.openxmlformats.org/officeDocument/2006/relationships/image" Target="media/image3.jpg"/><Relationship Id="rId40" Type="http://schemas.openxmlformats.org/officeDocument/2006/relationships/image" Target="media/image19.jpg"/><Relationship Id="rId45" Type="http://schemas.openxmlformats.org/officeDocument/2006/relationships/image" Target="media/image24.jpg"/><Relationship Id="rId66" Type="http://schemas.openxmlformats.org/officeDocument/2006/relationships/image" Target="media/image45.jpg"/><Relationship Id="rId87" Type="http://schemas.openxmlformats.org/officeDocument/2006/relationships/image" Target="media/image66.jpg"/><Relationship Id="rId61" Type="http://schemas.openxmlformats.org/officeDocument/2006/relationships/image" Target="media/image40.jpg"/><Relationship Id="rId82" Type="http://schemas.openxmlformats.org/officeDocument/2006/relationships/image" Target="media/image61.jpg"/><Relationship Id="rId19" Type="http://schemas.openxmlformats.org/officeDocument/2006/relationships/chart" Target="charts/chart7.xml"/></Relationships>
</file>

<file path=word/_rels/footnotes.xml.rels><?xml version="1.0" encoding="UTF-8" standalone="yes"?>
<Relationships xmlns="http://schemas.openxmlformats.org/package/2006/relationships"><Relationship Id="rId3" Type="http://schemas.openxmlformats.org/officeDocument/2006/relationships/hyperlink" Target="https://www.cedefop.europa.eu/files/osnabrueck_declaration_eu2020.pdf" TargetMode="External"/><Relationship Id="rId2" Type="http://schemas.openxmlformats.org/officeDocument/2006/relationships/hyperlink" Target="https://europa.eu/europass/en/document-library/eqf-referencing-report-albania" TargetMode="External"/><Relationship Id="rId1" Type="http://schemas.openxmlformats.org/officeDocument/2006/relationships/hyperlink" Target="https://amcham.com.al/amcham-publikon-indeksin-e-biznesit-per-periudhen-2020-2021/" TargetMode="External"/><Relationship Id="rId6" Type="http://schemas.openxmlformats.org/officeDocument/2006/relationships/hyperlink" Target="https://www.consilium.europa.eu/en/press/press-releases/2022/06/16/council-recommends-european-approach-to-micro-credentials/" TargetMode="External"/><Relationship Id="rId5" Type="http://schemas.openxmlformats.org/officeDocument/2006/relationships/hyperlink" Target="https://financa.gov.al/wp-content/uploads/2021/06/NESS-Annual-Progress-Report-2020.pdf" TargetMode="External"/><Relationship Id="rId4" Type="http://schemas.openxmlformats.org/officeDocument/2006/relationships/hyperlink" Target="https://ec.europa.eu/info/sites/default/files/economy-finance/ip180_en_0.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Downloads\instat1_20220919-1200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1" Type="http://schemas.openxmlformats.org/officeDocument/2006/relationships/oleObject" Target="file:///G:\Documents\undp%20employment%20strategy%202030\prezantimi\Treguesit%20vjetor%20t&#235;%20tregut%20t&#235;%20pun&#235;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Documents\undp%20employment%20strategy%202030\prezantimi\Treguesit%20vjetor%20t&#235;%20tregut%20t&#235;%20pun&#235;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Documents\undp%20employment%20strategy%202030\Data_Extract_From_World_Development_Indicator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Documents\undp%20employment%20strategy%202030\prezantimi\Popullsi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leventkoro\Downloads\Inspection\informal%20employ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a:t>Të punësuar kontribues dhe ndërmarrjet aktive në Shqipëri 2014-2021</a:t>
            </a:r>
          </a:p>
        </c:rich>
      </c:tx>
      <c:layout/>
      <c:overlay val="0"/>
      <c:spPr>
        <a:noFill/>
        <a:ln>
          <a:noFill/>
        </a:ln>
        <a:effectLst/>
      </c:spPr>
    </c:title>
    <c:autoTitleDeleted val="0"/>
    <c:plotArea>
      <c:layout/>
      <c:barChart>
        <c:barDir val="col"/>
        <c:grouping val="clustered"/>
        <c:varyColors val="0"/>
        <c:ser>
          <c:idx val="0"/>
          <c:order val="0"/>
          <c:tx>
            <c:strRef>
              <c:f>instat1!$A$5</c:f>
              <c:strCache>
                <c:ptCount val="1"/>
                <c:pt idx="0">
                  <c:v>Ndërmarrje aktive</c:v>
                </c:pt>
              </c:strCache>
            </c:strRef>
          </c:tx>
          <c:spPr>
            <a:solidFill>
              <a:schemeClr val="accent1"/>
            </a:solidFill>
            <a:ln>
              <a:noFill/>
            </a:ln>
            <a:effectLst/>
          </c:spPr>
          <c:invertIfNegative val="0"/>
          <c:cat>
            <c:strRef>
              <c:f>instat1!$B$4:$I$4</c:f>
              <c:strCache>
                <c:ptCount val="8"/>
                <c:pt idx="0">
                  <c:v>2014</c:v>
                </c:pt>
                <c:pt idx="1">
                  <c:v>2015</c:v>
                </c:pt>
                <c:pt idx="2">
                  <c:v>2016</c:v>
                </c:pt>
                <c:pt idx="3">
                  <c:v>2017</c:v>
                </c:pt>
                <c:pt idx="4">
                  <c:v>2018</c:v>
                </c:pt>
                <c:pt idx="5">
                  <c:v>2019</c:v>
                </c:pt>
                <c:pt idx="6">
                  <c:v>2020</c:v>
                </c:pt>
                <c:pt idx="7">
                  <c:v>2021</c:v>
                </c:pt>
              </c:strCache>
            </c:strRef>
          </c:cat>
          <c:val>
            <c:numRef>
              <c:f>instat1!$B$5:$I$5</c:f>
              <c:numCache>
                <c:formatCode>0</c:formatCode>
                <c:ptCount val="8"/>
                <c:pt idx="0">
                  <c:v>112537</c:v>
                </c:pt>
                <c:pt idx="1">
                  <c:v>152288</c:v>
                </c:pt>
                <c:pt idx="2">
                  <c:v>160679</c:v>
                </c:pt>
                <c:pt idx="3">
                  <c:v>162452</c:v>
                </c:pt>
                <c:pt idx="4">
                  <c:v>162835</c:v>
                </c:pt>
                <c:pt idx="5">
                  <c:v>162342</c:v>
                </c:pt>
                <c:pt idx="6">
                  <c:v>166386</c:v>
                </c:pt>
                <c:pt idx="7" formatCode="General">
                  <c:v>181549</c:v>
                </c:pt>
              </c:numCache>
            </c:numRef>
          </c:val>
          <c:extLst xmlns:c16r2="http://schemas.microsoft.com/office/drawing/2015/06/chart">
            <c:ext xmlns:c16="http://schemas.microsoft.com/office/drawing/2014/chart" uri="{C3380CC4-5D6E-409C-BE32-E72D297353CC}">
              <c16:uniqueId val="{00000000-89A5-D94C-AC6C-957048602B13}"/>
            </c:ext>
          </c:extLst>
        </c:ser>
        <c:ser>
          <c:idx val="1"/>
          <c:order val="1"/>
          <c:tx>
            <c:strRef>
              <c:f>instat1!$A$6</c:f>
              <c:strCache>
                <c:ptCount val="1"/>
                <c:pt idx="0">
                  <c:v>Të punësuar kontribues</c:v>
                </c:pt>
              </c:strCache>
            </c:strRef>
          </c:tx>
          <c:spPr>
            <a:solidFill>
              <a:schemeClr val="accent2"/>
            </a:solidFill>
            <a:ln>
              <a:noFill/>
            </a:ln>
            <a:effectLst/>
          </c:spPr>
          <c:invertIfNegative val="0"/>
          <c:cat>
            <c:strRef>
              <c:f>instat1!$B$4:$I$4</c:f>
              <c:strCache>
                <c:ptCount val="8"/>
                <c:pt idx="0">
                  <c:v>2014</c:v>
                </c:pt>
                <c:pt idx="1">
                  <c:v>2015</c:v>
                </c:pt>
                <c:pt idx="2">
                  <c:v>2016</c:v>
                </c:pt>
                <c:pt idx="3">
                  <c:v>2017</c:v>
                </c:pt>
                <c:pt idx="4">
                  <c:v>2018</c:v>
                </c:pt>
                <c:pt idx="5">
                  <c:v>2019</c:v>
                </c:pt>
                <c:pt idx="6">
                  <c:v>2020</c:v>
                </c:pt>
                <c:pt idx="7">
                  <c:v>2021</c:v>
                </c:pt>
              </c:strCache>
            </c:strRef>
          </c:cat>
          <c:val>
            <c:numRef>
              <c:f>instat1!$B$6:$I$6</c:f>
              <c:numCache>
                <c:formatCode>General</c:formatCode>
                <c:ptCount val="8"/>
                <c:pt idx="0">
                  <c:v>482456</c:v>
                </c:pt>
                <c:pt idx="1">
                  <c:v>524250</c:v>
                </c:pt>
                <c:pt idx="2">
                  <c:v>577108</c:v>
                </c:pt>
                <c:pt idx="3">
                  <c:v>639358</c:v>
                </c:pt>
                <c:pt idx="4">
                  <c:v>678161</c:v>
                </c:pt>
                <c:pt idx="5">
                  <c:v>686253</c:v>
                </c:pt>
                <c:pt idx="6">
                  <c:v>680671</c:v>
                </c:pt>
                <c:pt idx="7">
                  <c:v>703122</c:v>
                </c:pt>
              </c:numCache>
            </c:numRef>
          </c:val>
          <c:extLst xmlns:c16r2="http://schemas.microsoft.com/office/drawing/2015/06/chart">
            <c:ext xmlns:c16="http://schemas.microsoft.com/office/drawing/2014/chart" uri="{C3380CC4-5D6E-409C-BE32-E72D297353CC}">
              <c16:uniqueId val="{00000001-89A5-D94C-AC6C-957048602B13}"/>
            </c:ext>
          </c:extLst>
        </c:ser>
        <c:dLbls>
          <c:showLegendKey val="0"/>
          <c:showVal val="0"/>
          <c:showCatName val="0"/>
          <c:showSerName val="0"/>
          <c:showPercent val="0"/>
          <c:showBubbleSize val="0"/>
        </c:dLbls>
        <c:gapWidth val="219"/>
        <c:overlap val="-27"/>
        <c:axId val="1827263840"/>
        <c:axId val="1827258400"/>
      </c:barChart>
      <c:catAx>
        <c:axId val="1827263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8400"/>
        <c:crosses val="autoZero"/>
        <c:auto val="1"/>
        <c:lblAlgn val="ctr"/>
        <c:lblOffset val="100"/>
        <c:noMultiLvlLbl val="0"/>
      </c:catAx>
      <c:valAx>
        <c:axId val="1827258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638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93391451068619E-2"/>
          <c:y val="0.13830624465355007"/>
          <c:w val="0.91076210995662443"/>
          <c:h val="0.83019661464472616"/>
        </c:manualLayout>
      </c:layout>
      <c:bubbleChart>
        <c:varyColors val="0"/>
        <c:ser>
          <c:idx val="0"/>
          <c:order val="0"/>
          <c:tx>
            <c:strRef>
              <c:f>Sheet1!$B$2</c:f>
              <c:strCache>
                <c:ptCount val="1"/>
                <c:pt idx="0">
                  <c:v>Sektori</c:v>
                </c:pt>
              </c:strCache>
            </c:strRef>
          </c:tx>
          <c:spPr>
            <a:solidFill>
              <a:schemeClr val="accent1">
                <a:alpha val="75000"/>
              </a:schemeClr>
            </a:solidFill>
            <a:ln>
              <a:noFill/>
            </a:ln>
            <a:effectLst/>
          </c:spPr>
          <c:invertIfNegative val="0"/>
          <c:dLbls>
            <c:dLbl>
              <c:idx val="0"/>
              <c:layout/>
              <c:tx>
                <c:rich>
                  <a:bodyPr/>
                  <a:lstStyle/>
                  <a:p>
                    <a:fld id="{62B8B9C9-BCEE-4841-8145-534DC370C1B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5676F1AD-336B-4A18-A6F3-3155BA3AFB0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EB7955AB-0D39-4086-8E75-198B8740D3A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AC48860F-8B8D-449F-890B-D7680E31E09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tx>
                <c:rich>
                  <a:bodyPr/>
                  <a:lstStyle/>
                  <a:p>
                    <a:fld id="{8478DB57-FBE5-458F-8B38-39BAFDEAF43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tx>
                <c:rich>
                  <a:bodyPr/>
                  <a:lstStyle/>
                  <a:p>
                    <a:fld id="{3A30373F-FEBA-40E0-B0C5-6CEB30DA44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tx>
                <c:rich>
                  <a:bodyPr/>
                  <a:lstStyle/>
                  <a:p>
                    <a:fld id="{6088BC2D-AAF9-4DAD-A5CC-B14856DA25C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tx>
                <c:rich>
                  <a:bodyPr/>
                  <a:lstStyle/>
                  <a:p>
                    <a:fld id="{35112595-D97D-4D44-8C1E-6C302F702EA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tx>
                <c:rich>
                  <a:bodyPr/>
                  <a:lstStyle/>
                  <a:p>
                    <a:fld id="{378CFBC2-C434-4467-BE73-B9BE3F698C8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manualLayout>
                  <c:x val="-2.9320005582344371E-3"/>
                  <c:y val="-2.2225004546023656E-2"/>
                </c:manualLayout>
              </c:layout>
              <c:tx>
                <c:rich>
                  <a:bodyPr/>
                  <a:lstStyle/>
                  <a:p>
                    <a:fld id="{CCB36259-A05D-4ECF-A3D9-F2DF23FF1686}" type="CELLRANGE">
                      <a:rPr lang="en-US"/>
                      <a:pPr/>
                      <a:t>[CELLRANGE]</a:t>
                    </a:fld>
                    <a:endParaRPr lang="en-US"/>
                  </a:p>
                </c:rich>
              </c:tx>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9-7185-0F45-8C2C-516B80DC548A}"/>
                </c:ext>
                <c:ext xmlns:c15="http://schemas.microsoft.com/office/drawing/2012/chart" uri="{CE6537A1-D6FC-4f65-9D91-7224C49458BB}">
                  <c15:layout/>
                  <c15:dlblFieldTable/>
                  <c15:showDataLabelsRange val="1"/>
                </c:ext>
              </c:extLst>
            </c:dLbl>
            <c:dLbl>
              <c:idx val="10"/>
              <c:layout>
                <c:manualLayout>
                  <c:x val="-0.10848402065467419"/>
                  <c:y val="-9.0920473142824046E-2"/>
                </c:manualLayout>
              </c:layout>
              <c:tx>
                <c:rich>
                  <a:bodyPr/>
                  <a:lstStyle/>
                  <a:p>
                    <a:fld id="{94B17D04-8872-4BB4-91EF-B0324FF123A7}" type="CELLRANGE">
                      <a:rPr lang="en-US"/>
                      <a:pPr/>
                      <a:t>[CELLRANGE]</a:t>
                    </a:fld>
                    <a:endParaRPr lang="en-US"/>
                  </a:p>
                </c:rich>
              </c:tx>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A-7185-0F45-8C2C-516B80DC548A}"/>
                </c:ext>
                <c:ext xmlns:c15="http://schemas.microsoft.com/office/drawing/2012/chart" uri="{CE6537A1-D6FC-4f65-9D91-7224C49458BB}">
                  <c15:layout/>
                  <c15:dlblFieldTable/>
                  <c15:showDataLabelsRange val="1"/>
                </c:ext>
              </c:extLst>
            </c:dLbl>
            <c:dLbl>
              <c:idx val="11"/>
              <c:layout/>
              <c:tx>
                <c:rich>
                  <a:bodyPr/>
                  <a:lstStyle/>
                  <a:p>
                    <a:fld id="{F70B9B62-AF17-48B2-B732-8528A1CEE0E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tx>
                <c:rich>
                  <a:bodyPr/>
                  <a:lstStyle/>
                  <a:p>
                    <a:fld id="{B0E2C0A9-D945-4778-83E3-138D5A9317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tx>
                <c:rich>
                  <a:bodyPr/>
                  <a:lstStyle/>
                  <a:p>
                    <a:fld id="{D9E0D180-398D-4533-95A3-6DC68D08296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tx>
                <c:rich>
                  <a:bodyPr/>
                  <a:lstStyle/>
                  <a:p>
                    <a:fld id="{B8DA27C3-01BB-4F36-AB75-6CA37428D1D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5"/>
              <c:layout/>
              <c:tx>
                <c:rich>
                  <a:bodyPr/>
                  <a:lstStyle/>
                  <a:p>
                    <a:fld id="{86970297-89EC-438D-A6EE-366D1BE6CB3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6"/>
              <c:layout/>
              <c:tx>
                <c:rich>
                  <a:bodyPr/>
                  <a:lstStyle/>
                  <a:p>
                    <a:fld id="{C5A2CF98-AF05-410E-9765-1FFF502095C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7"/>
              <c:layout/>
              <c:tx>
                <c:rich>
                  <a:bodyPr/>
                  <a:lstStyle/>
                  <a:p>
                    <a:fld id="{C5BB0DC5-1785-41E2-B8F5-6C7EE26AD0B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8"/>
              <c:layout/>
              <c:tx>
                <c:rich>
                  <a:bodyPr/>
                  <a:lstStyle/>
                  <a:p>
                    <a:fld id="{12A2AB72-F02B-4B91-A2AE-5C0C5DF428F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9"/>
              <c:layout/>
              <c:tx>
                <c:rich>
                  <a:bodyPr/>
                  <a:lstStyle/>
                  <a:p>
                    <a:fld id="{69EEC96C-2607-4B5E-AD35-EC801F34A90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0"/>
              <c:layout/>
              <c:tx>
                <c:rich>
                  <a:bodyPr/>
                  <a:lstStyle/>
                  <a:p>
                    <a:fld id="{735AE1A9-158E-4546-93B4-2A164C44D80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1"/>
              <c:layout/>
              <c:tx>
                <c:rich>
                  <a:bodyPr/>
                  <a:lstStyle/>
                  <a:p>
                    <a:fld id="{3C04F608-EAEF-4014-89EE-C6207C395D5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2"/>
              <c:layout/>
              <c:tx>
                <c:rich>
                  <a:bodyPr/>
                  <a:lstStyle/>
                  <a:p>
                    <a:fld id="{679CF31F-413B-4FA5-85B8-FD5031A53C2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3"/>
              <c:layout/>
              <c:tx>
                <c:rich>
                  <a:bodyPr/>
                  <a:lstStyle/>
                  <a:p>
                    <a:fld id="{C3FE4A00-1C7F-4D51-8FF5-58A563B56B2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4"/>
              <c:layout/>
              <c:tx>
                <c:rich>
                  <a:bodyPr/>
                  <a:lstStyle/>
                  <a:p>
                    <a:fld id="{7318E75F-49F9-4E92-B01A-69F645781A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5"/>
              <c:layout/>
              <c:tx>
                <c:rich>
                  <a:bodyPr/>
                  <a:lstStyle/>
                  <a:p>
                    <a:fld id="{8AC24504-1B46-48D7-87E9-AC63C13027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6"/>
              <c:layout/>
              <c:tx>
                <c:rich>
                  <a:bodyPr/>
                  <a:lstStyle/>
                  <a:p>
                    <a:fld id="{99803CC5-7F13-4A79-A73D-61847667B99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7"/>
              <c:layout/>
              <c:tx>
                <c:rich>
                  <a:bodyPr/>
                  <a:lstStyle/>
                  <a:p>
                    <a:fld id="{9B198D61-40D0-44EC-A660-4704D38622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8"/>
              <c:layout>
                <c:manualLayout>
                  <c:x val="-0.24042404577522389"/>
                  <c:y val="-3.8388644215859059E-2"/>
                </c:manualLayout>
              </c:layout>
              <c:tx>
                <c:rich>
                  <a:bodyPr/>
                  <a:lstStyle/>
                  <a:p>
                    <a:fld id="{94071AF9-67A1-400D-9929-A151AD43B6A4}" type="CELLRANGE">
                      <a:rPr lang="en-US"/>
                      <a:pPr/>
                      <a:t>[CELLRANGE]</a:t>
                    </a:fld>
                    <a:endParaRPr lang="en-US"/>
                  </a:p>
                </c:rich>
              </c:tx>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1C-7185-0F45-8C2C-516B80DC548A}"/>
                </c:ext>
                <c:ext xmlns:c15="http://schemas.microsoft.com/office/drawing/2012/chart" uri="{CE6537A1-D6FC-4f65-9D91-7224C49458BB}">
                  <c15:layout/>
                  <c15:dlblFieldTable/>
                  <c15:showDataLabelsRange val="1"/>
                </c:ext>
              </c:extLst>
            </c:dLbl>
            <c:dLbl>
              <c:idx val="29"/>
              <c:layout/>
              <c:tx>
                <c:rich>
                  <a:bodyPr/>
                  <a:lstStyle/>
                  <a:p>
                    <a:fld id="{56DADDB4-65B1-434A-8C34-7A1AF2578C7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1"/>
                <c15:leaderLines>
                  <c:spPr>
                    <a:ln w="9525" cap="flat" cmpd="sng" algn="ctr">
                      <a:solidFill>
                        <a:schemeClr val="tx1">
                          <a:lumMod val="35000"/>
                          <a:lumOff val="65000"/>
                        </a:schemeClr>
                      </a:solidFill>
                      <a:round/>
                    </a:ln>
                    <a:effectLst/>
                  </c:spPr>
                </c15:leaderLines>
              </c:ext>
            </c:extLst>
          </c:dLbls>
          <c:xVal>
            <c:numRef>
              <c:f>Sheet1!$C$3:$C$32</c:f>
              <c:numCache>
                <c:formatCode>0.0%</c:formatCode>
                <c:ptCount val="30"/>
                <c:pt idx="0">
                  <c:v>1.119751347356579E-2</c:v>
                </c:pt>
                <c:pt idx="1">
                  <c:v>6.1657242791619327E-2</c:v>
                </c:pt>
                <c:pt idx="2">
                  <c:v>6.398024873622421E-2</c:v>
                </c:pt>
                <c:pt idx="3">
                  <c:v>5.2359086256206444E-2</c:v>
                </c:pt>
                <c:pt idx="4">
                  <c:v>3.9289745738018578E-2</c:v>
                </c:pt>
                <c:pt idx="5">
                  <c:v>3.5460242737289205E-2</c:v>
                </c:pt>
                <c:pt idx="6">
                  <c:v>-3.4306077476172536E-2</c:v>
                </c:pt>
                <c:pt idx="7">
                  <c:v>6.4100646667670791E-3</c:v>
                </c:pt>
                <c:pt idx="8">
                  <c:v>3.8714946750691093E-2</c:v>
                </c:pt>
                <c:pt idx="9">
                  <c:v>0.13482173989024404</c:v>
                </c:pt>
                <c:pt idx="10">
                  <c:v>3.7093037042188914E-2</c:v>
                </c:pt>
                <c:pt idx="11">
                  <c:v>5.4162054518263059E-2</c:v>
                </c:pt>
                <c:pt idx="12">
                  <c:v>2.3101347539981498E-2</c:v>
                </c:pt>
                <c:pt idx="13">
                  <c:v>3.9408368909868097E-2</c:v>
                </c:pt>
                <c:pt idx="14">
                  <c:v>8.7360392103474016E-2</c:v>
                </c:pt>
                <c:pt idx="15">
                  <c:v>7.2083085854995899E-2</c:v>
                </c:pt>
                <c:pt idx="16">
                  <c:v>4.7150475821840176E-2</c:v>
                </c:pt>
                <c:pt idx="17">
                  <c:v>0.11652559854115641</c:v>
                </c:pt>
                <c:pt idx="18">
                  <c:v>5.1159485817407591E-2</c:v>
                </c:pt>
                <c:pt idx="19">
                  <c:v>2.8523455899676087E-4</c:v>
                </c:pt>
                <c:pt idx="20">
                  <c:v>9.4927148988073196E-3</c:v>
                </c:pt>
                <c:pt idx="21">
                  <c:v>0.11580640834188749</c:v>
                </c:pt>
                <c:pt idx="22">
                  <c:v>-9.3963181641646409E-3</c:v>
                </c:pt>
                <c:pt idx="23">
                  <c:v>0.29899642967342421</c:v>
                </c:pt>
                <c:pt idx="24">
                  <c:v>5.0637034613936205E-2</c:v>
                </c:pt>
                <c:pt idx="25">
                  <c:v>6.8209980210431231E-2</c:v>
                </c:pt>
                <c:pt idx="26">
                  <c:v>7.4313096119546396E-2</c:v>
                </c:pt>
                <c:pt idx="27">
                  <c:v>7.6270119383321289E-2</c:v>
                </c:pt>
                <c:pt idx="28">
                  <c:v>0.12238046727506902</c:v>
                </c:pt>
                <c:pt idx="29">
                  <c:v>0.14050042444895627</c:v>
                </c:pt>
              </c:numCache>
            </c:numRef>
          </c:xVal>
          <c:yVal>
            <c:numRef>
              <c:f>Sheet1!$D$3:$D$32</c:f>
              <c:numCache>
                <c:formatCode>0.0%</c:formatCode>
                <c:ptCount val="30"/>
                <c:pt idx="0">
                  <c:v>-6.2891591767120558E-2</c:v>
                </c:pt>
                <c:pt idx="1">
                  <c:v>7.974722218447039E-2</c:v>
                </c:pt>
                <c:pt idx="2">
                  <c:v>8.2174468875856554E-2</c:v>
                </c:pt>
                <c:pt idx="3">
                  <c:v>3.95556050175081E-2</c:v>
                </c:pt>
                <c:pt idx="4">
                  <c:v>6.8632485128314435E-2</c:v>
                </c:pt>
                <c:pt idx="5">
                  <c:v>4.0856621951886218E-2</c:v>
                </c:pt>
                <c:pt idx="6">
                  <c:v>8.1932468186314278E-3</c:v>
                </c:pt>
                <c:pt idx="7">
                  <c:v>5.7193262748556739E-2</c:v>
                </c:pt>
                <c:pt idx="8">
                  <c:v>4.5300279451782499E-2</c:v>
                </c:pt>
                <c:pt idx="9">
                  <c:v>8.6833456119803865E-2</c:v>
                </c:pt>
                <c:pt idx="10">
                  <c:v>0.12473471891133747</c:v>
                </c:pt>
                <c:pt idx="11">
                  <c:v>0.1242287046745465</c:v>
                </c:pt>
                <c:pt idx="12">
                  <c:v>1.807327936901193E-2</c:v>
                </c:pt>
                <c:pt idx="13">
                  <c:v>3.5217085875634213E-2</c:v>
                </c:pt>
                <c:pt idx="14">
                  <c:v>8.4191485917782805E-2</c:v>
                </c:pt>
                <c:pt idx="15">
                  <c:v>3.8701725316696356E-2</c:v>
                </c:pt>
                <c:pt idx="16">
                  <c:v>5.7544182671747546E-2</c:v>
                </c:pt>
                <c:pt idx="17">
                  <c:v>0.11214951433768072</c:v>
                </c:pt>
                <c:pt idx="18">
                  <c:v>2.5918257471493789E-2</c:v>
                </c:pt>
                <c:pt idx="19">
                  <c:v>-2.3701165862679341E-2</c:v>
                </c:pt>
                <c:pt idx="20">
                  <c:v>-1.1644653461156729E-2</c:v>
                </c:pt>
                <c:pt idx="21">
                  <c:v>0.1675956171428119</c:v>
                </c:pt>
                <c:pt idx="22">
                  <c:v>-9.9711699753073368E-3</c:v>
                </c:pt>
                <c:pt idx="23">
                  <c:v>0.15040648777699794</c:v>
                </c:pt>
                <c:pt idx="24">
                  <c:v>0.10939230083062657</c:v>
                </c:pt>
                <c:pt idx="25">
                  <c:v>0.1336324763513641</c:v>
                </c:pt>
                <c:pt idx="26">
                  <c:v>1.4065505331408934E-2</c:v>
                </c:pt>
                <c:pt idx="27">
                  <c:v>9.0653371918411718E-2</c:v>
                </c:pt>
                <c:pt idx="28">
                  <c:v>0.20537538097206243</c:v>
                </c:pt>
                <c:pt idx="29">
                  <c:v>0.18452538295002374</c:v>
                </c:pt>
              </c:numCache>
            </c:numRef>
          </c:yVal>
          <c:bubbleSize>
            <c:numRef>
              <c:f>Sheet1!$E$3:$E$32</c:f>
              <c:numCache>
                <c:formatCode>0.0%</c:formatCode>
                <c:ptCount val="30"/>
                <c:pt idx="0">
                  <c:v>2.0185084506315652E-2</c:v>
                </c:pt>
                <c:pt idx="1">
                  <c:v>4.1088442932938611E-2</c:v>
                </c:pt>
                <c:pt idx="2">
                  <c:v>5.5011448730718712E-2</c:v>
                </c:pt>
                <c:pt idx="3">
                  <c:v>4.1181699491652547E-2</c:v>
                </c:pt>
                <c:pt idx="4">
                  <c:v>1.5448841832908056E-2</c:v>
                </c:pt>
                <c:pt idx="5">
                  <c:v>8.6252395899886116E-3</c:v>
                </c:pt>
                <c:pt idx="6">
                  <c:v>6.0081033996976108E-3</c:v>
                </c:pt>
                <c:pt idx="7">
                  <c:v>1.173246875905283E-2</c:v>
                </c:pt>
                <c:pt idx="8">
                  <c:v>1.4678979177993039E-2</c:v>
                </c:pt>
                <c:pt idx="9">
                  <c:v>5.7422229982578878E-3</c:v>
                </c:pt>
                <c:pt idx="10">
                  <c:v>2.1014472624239562E-2</c:v>
                </c:pt>
                <c:pt idx="11">
                  <c:v>1.7518343763517241E-2</c:v>
                </c:pt>
                <c:pt idx="12">
                  <c:v>8.8236578000182551E-3</c:v>
                </c:pt>
                <c:pt idx="13">
                  <c:v>0.10087383379697056</c:v>
                </c:pt>
                <c:pt idx="14">
                  <c:v>2.3451048243403588E-2</c:v>
                </c:pt>
                <c:pt idx="15">
                  <c:v>9.7685253161794175E-2</c:v>
                </c:pt>
                <c:pt idx="16">
                  <c:v>0.13245804446948922</c:v>
                </c:pt>
                <c:pt idx="17">
                  <c:v>1.6542126170171395E-2</c:v>
                </c:pt>
                <c:pt idx="18">
                  <c:v>8.384756719432683E-2</c:v>
                </c:pt>
                <c:pt idx="19">
                  <c:v>2.5082045929847259E-2</c:v>
                </c:pt>
                <c:pt idx="20">
                  <c:v>1.4085708730004405E-2</c:v>
                </c:pt>
                <c:pt idx="21">
                  <c:v>3.4901763144214322E-3</c:v>
                </c:pt>
                <c:pt idx="22">
                  <c:v>1.5792105336259341E-2</c:v>
                </c:pt>
                <c:pt idx="23">
                  <c:v>1.5851630799268233E-2</c:v>
                </c:pt>
                <c:pt idx="24">
                  <c:v>5.3295131213962291E-3</c:v>
                </c:pt>
                <c:pt idx="25">
                  <c:v>3.896338390352113E-2</c:v>
                </c:pt>
                <c:pt idx="26">
                  <c:v>5.5140420567237978E-3</c:v>
                </c:pt>
                <c:pt idx="27">
                  <c:v>1.9937061743778597E-2</c:v>
                </c:pt>
                <c:pt idx="28">
                  <c:v>2.3939157040076511E-2</c:v>
                </c:pt>
                <c:pt idx="29">
                  <c:v>0.11009829638124868</c:v>
                </c:pt>
              </c:numCache>
            </c:numRef>
          </c:bubbleSize>
          <c:bubble3D val="1"/>
          <c:extLst xmlns:c16r2="http://schemas.microsoft.com/office/drawing/2015/06/chart">
            <c:ext xmlns:c16="http://schemas.microsoft.com/office/drawing/2014/chart" uri="{C3380CC4-5D6E-409C-BE32-E72D297353CC}">
              <c16:uniqueId val="{0000001E-7185-0F45-8C2C-516B80DC548A}"/>
            </c:ext>
            <c:ext xmlns:c15="http://schemas.microsoft.com/office/drawing/2012/chart" uri="{02D57815-91ED-43cb-92C2-25804820EDAC}">
              <c15:datalabelsRange>
                <c15:f>Sheet1!$B$3:$B$32</c15:f>
                <c15:dlblRangeCache>
                  <c:ptCount val="30"/>
                  <c:pt idx="0">
                    <c:v>Industria nxjerrëse</c:v>
                  </c:pt>
                  <c:pt idx="1">
                    <c:v>Ushqime, pije dhe duhan</c:v>
                  </c:pt>
                  <c:pt idx="2">
                    <c:v>Tekstile dhe veshje</c:v>
                  </c:pt>
                  <c:pt idx="3">
                    <c:v>Lëkurë dhe këpucë</c:v>
                  </c:pt>
                  <c:pt idx="4">
                    <c:v>Druri, artikuj me dru dhe mobilje</c:v>
                  </c:pt>
                  <c:pt idx="5">
                    <c:v>Letra dhe shtypshkrimet</c:v>
                  </c:pt>
                  <c:pt idx="6">
                    <c:v>Rafineria, inxhinieria kimike dhe plastike</c:v>
                  </c:pt>
                  <c:pt idx="7">
                    <c:v>Produkte minerale jometalik</c:v>
                  </c:pt>
                  <c:pt idx="8">
                    <c:v>Metalet dhe produkte metalike</c:v>
                  </c:pt>
                  <c:pt idx="9">
                    <c:v>Inxhinieri të tjera përpunuese</c:v>
                  </c:pt>
                  <c:pt idx="10">
                    <c:v>Energji elektrike dhe gazi</c:v>
                  </c:pt>
                  <c:pt idx="11">
                    <c:v>Furnizimi me uje</c:v>
                  </c:pt>
                  <c:pt idx="12">
                    <c:v>Ujërat e zeza dhe trajtimi i mbetjeve</c:v>
                  </c:pt>
                  <c:pt idx="13">
                    <c:v>Ndërtimi</c:v>
                  </c:pt>
                  <c:pt idx="14">
                    <c:v>Tregtia dhe riparimi i automjeteve</c:v>
                  </c:pt>
                  <c:pt idx="15">
                    <c:v>Tregtia me  shumicë</c:v>
                  </c:pt>
                  <c:pt idx="16">
                    <c:v>Tregtia me pakicë</c:v>
                  </c:pt>
                  <c:pt idx="17">
                    <c:v>Akomodimi </c:v>
                  </c:pt>
                  <c:pt idx="18">
                    <c:v>Shërbimi ushqimor </c:v>
                  </c:pt>
                  <c:pt idx="19">
                    <c:v>Transporti</c:v>
                  </c:pt>
                  <c:pt idx="20">
                    <c:v>Posta dhe magazinimi</c:v>
                  </c:pt>
                  <c:pt idx="21">
                    <c:v>Aktivitete të publikimeve dhe prodhimeve të programeve </c:v>
                  </c:pt>
                  <c:pt idx="22">
                    <c:v>Telekomunikacioni dhe transmetime të programeve</c:v>
                  </c:pt>
                  <c:pt idx="23">
                    <c:v>Shërbime të informacionit</c:v>
                  </c:pt>
                  <c:pt idx="24">
                    <c:v>Aktivitete të pasurive të paluajtshme</c:v>
                  </c:pt>
                  <c:pt idx="25">
                    <c:v>Shërbime profesionale</c:v>
                  </c:pt>
                  <c:pt idx="26">
                    <c:v>Agjencitë e udhëtimeve</c:v>
                  </c:pt>
                  <c:pt idx="27">
                    <c:v>Arsimi</c:v>
                  </c:pt>
                  <c:pt idx="28">
                    <c:v>Shëndetësia dhe aktivitetet e punës sociale</c:v>
                  </c:pt>
                  <c:pt idx="29">
                    <c:v>Shërbime të tjera</c:v>
                  </c:pt>
                </c15:dlblRangeCache>
              </c15:datalabelsRange>
            </c:ext>
          </c:extLst>
        </c:ser>
        <c:dLbls>
          <c:showLegendKey val="0"/>
          <c:showVal val="0"/>
          <c:showCatName val="0"/>
          <c:showSerName val="0"/>
          <c:showPercent val="0"/>
          <c:showBubbleSize val="0"/>
        </c:dLbls>
        <c:bubbleScale val="100"/>
        <c:showNegBubbles val="0"/>
        <c:axId val="1827251872"/>
        <c:axId val="1827253504"/>
      </c:bubbleChart>
      <c:valAx>
        <c:axId val="1827251872"/>
        <c:scaling>
          <c:orientation val="minMax"/>
          <c:max val="0.30000000000000004"/>
          <c:min val="-5.000000000000001E-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Rritja mesatare vjetore</a:t>
                </a:r>
                <a:r>
                  <a:rPr lang="en-US" baseline="0"/>
                  <a:t> në punësim 2011-2022</a:t>
                </a:r>
                <a:endParaRPr lang="en-US"/>
              </a:p>
            </c:rich>
          </c:tx>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3504"/>
        <c:crosses val="autoZero"/>
        <c:crossBetween val="midCat"/>
      </c:valAx>
      <c:valAx>
        <c:axId val="1827253504"/>
        <c:scaling>
          <c:orientation val="minMax"/>
          <c:max val="0.25"/>
          <c:min val="-0.1"/>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Rritja mesatare vjetore në vlerën</a:t>
                </a:r>
                <a:r>
                  <a:rPr lang="en-US" baseline="0"/>
                  <a:t> e shtuar 2011-2022</a:t>
                </a:r>
                <a:endParaRPr lang="en-US"/>
              </a:p>
            </c:rich>
          </c:tx>
          <c:layout>
            <c:manualLayout>
              <c:xMode val="edge"/>
              <c:yMode val="edge"/>
              <c:x val="6.6964285714285711E-3"/>
              <c:y val="0.10315647669789779"/>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1872"/>
        <c:crosses val="autoZero"/>
        <c:crossBetween val="midCat"/>
      </c:valAx>
      <c:spPr>
        <a:noFill/>
        <a:ln>
          <a:noFill/>
        </a:ln>
        <a:effectLst/>
      </c:spPr>
    </c:plotArea>
    <c:plotVisOnly val="1"/>
    <c:dispBlanksAs val="gap"/>
    <c:showDLblsOverMax val="0"/>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Shkalla e papunësisë</a:t>
            </a:r>
          </a:p>
        </c:rich>
      </c:tx>
      <c:layout/>
      <c:overlay val="0"/>
      <c:spPr>
        <a:noFill/>
        <a:ln>
          <a:noFill/>
        </a:ln>
        <a:effectLst/>
      </c:spPr>
    </c:title>
    <c:autoTitleDeleted val="0"/>
    <c:plotArea>
      <c:layout/>
      <c:barChart>
        <c:barDir val="col"/>
        <c:grouping val="stacked"/>
        <c:varyColors val="0"/>
        <c:ser>
          <c:idx val="0"/>
          <c:order val="0"/>
          <c:tx>
            <c:strRef>
              <c:f>Instat1!$AB$15</c:f>
              <c:strCache>
                <c:ptCount val="1"/>
                <c:pt idx="0">
                  <c:v>Arsim i mesëm e lartë</c:v>
                </c:pt>
              </c:strCache>
            </c:strRef>
          </c:tx>
          <c:spPr>
            <a:solidFill>
              <a:schemeClr val="accent1"/>
            </a:solidFill>
            <a:ln>
              <a:noFill/>
            </a:ln>
            <a:effectLst/>
          </c:spPr>
          <c:invertIfNegative val="0"/>
          <c:cat>
            <c:strRef>
              <c:f>Instat1!$AC$14:$AM$14</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Instat1!$AC$15:$AM$15</c:f>
              <c:numCache>
                <c:formatCode>0.0</c:formatCode>
                <c:ptCount val="11"/>
                <c:pt idx="0">
                  <c:v>1.0999999999999996</c:v>
                </c:pt>
                <c:pt idx="1">
                  <c:v>1.7000000000000011</c:v>
                </c:pt>
                <c:pt idx="2">
                  <c:v>1.8000000000000007</c:v>
                </c:pt>
                <c:pt idx="3">
                  <c:v>3</c:v>
                </c:pt>
                <c:pt idx="4">
                  <c:v>3.6000000000000014</c:v>
                </c:pt>
                <c:pt idx="5">
                  <c:v>2.5</c:v>
                </c:pt>
                <c:pt idx="6">
                  <c:v>1.3999999999999986</c:v>
                </c:pt>
                <c:pt idx="7">
                  <c:v>2.4000000000000004</c:v>
                </c:pt>
                <c:pt idx="8">
                  <c:v>2.8000000000000007</c:v>
                </c:pt>
                <c:pt idx="9">
                  <c:v>2.1999999999999993</c:v>
                </c:pt>
                <c:pt idx="10">
                  <c:v>0.90000000000000036</c:v>
                </c:pt>
              </c:numCache>
            </c:numRef>
          </c:val>
          <c:extLst xmlns:c16r2="http://schemas.microsoft.com/office/drawing/2015/06/chart">
            <c:ext xmlns:c16="http://schemas.microsoft.com/office/drawing/2014/chart" uri="{C3380CC4-5D6E-409C-BE32-E72D297353CC}">
              <c16:uniqueId val="{00000000-C657-F54D-8911-A9BABB412FA3}"/>
            </c:ext>
          </c:extLst>
        </c:ser>
        <c:ser>
          <c:idx val="1"/>
          <c:order val="1"/>
          <c:tx>
            <c:strRef>
              <c:f>Instat1!$AB$16</c:f>
              <c:strCache>
                <c:ptCount val="1"/>
                <c:pt idx="0">
                  <c:v>Arsim 8/9 vjeçar</c:v>
                </c:pt>
              </c:strCache>
            </c:strRef>
          </c:tx>
          <c:spPr>
            <a:solidFill>
              <a:schemeClr val="accent2"/>
            </a:solidFill>
            <a:ln>
              <a:noFill/>
            </a:ln>
            <a:effectLst/>
          </c:spPr>
          <c:invertIfNegative val="0"/>
          <c:cat>
            <c:strRef>
              <c:f>Instat1!$AC$14:$AM$14</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Instat1!$AC$16:$AM$16</c:f>
              <c:numCache>
                <c:formatCode>0.0</c:formatCode>
                <c:ptCount val="11"/>
                <c:pt idx="0">
                  <c:v>12.9</c:v>
                </c:pt>
                <c:pt idx="1">
                  <c:v>11.7</c:v>
                </c:pt>
                <c:pt idx="2">
                  <c:v>14.1</c:v>
                </c:pt>
                <c:pt idx="3">
                  <c:v>14.5</c:v>
                </c:pt>
                <c:pt idx="4">
                  <c:v>13.5</c:v>
                </c:pt>
                <c:pt idx="5">
                  <c:v>12.7</c:v>
                </c:pt>
                <c:pt idx="6">
                  <c:v>12.3</c:v>
                </c:pt>
                <c:pt idx="7">
                  <c:v>9.9</c:v>
                </c:pt>
                <c:pt idx="8">
                  <c:v>8.6999999999999993</c:v>
                </c:pt>
                <c:pt idx="9">
                  <c:v>9.5</c:v>
                </c:pt>
                <c:pt idx="10">
                  <c:v>10.6</c:v>
                </c:pt>
              </c:numCache>
            </c:numRef>
          </c:val>
          <c:extLst xmlns:c16r2="http://schemas.microsoft.com/office/drawing/2015/06/chart">
            <c:ext xmlns:c16="http://schemas.microsoft.com/office/drawing/2014/chart" uri="{C3380CC4-5D6E-409C-BE32-E72D297353CC}">
              <c16:uniqueId val="{00000001-C657-F54D-8911-A9BABB412FA3}"/>
            </c:ext>
          </c:extLst>
        </c:ser>
        <c:dLbls>
          <c:showLegendKey val="0"/>
          <c:showVal val="0"/>
          <c:showCatName val="0"/>
          <c:showSerName val="0"/>
          <c:showPercent val="0"/>
          <c:showBubbleSize val="0"/>
        </c:dLbls>
        <c:gapWidth val="150"/>
        <c:overlap val="100"/>
        <c:axId val="1827254592"/>
        <c:axId val="1827255680"/>
      </c:barChart>
      <c:catAx>
        <c:axId val="182725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5680"/>
        <c:crosses val="autoZero"/>
        <c:auto val="1"/>
        <c:lblAlgn val="ctr"/>
        <c:lblOffset val="100"/>
        <c:noMultiLvlLbl val="0"/>
      </c:catAx>
      <c:valAx>
        <c:axId val="1827255680"/>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45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Shkalla e punësimit</a:t>
            </a:r>
          </a:p>
        </c:rich>
      </c:tx>
      <c:layout/>
      <c:overlay val="0"/>
      <c:spPr>
        <a:noFill/>
        <a:ln>
          <a:noFill/>
        </a:ln>
        <a:effectLst/>
      </c:spPr>
    </c:title>
    <c:autoTitleDeleted val="0"/>
    <c:plotArea>
      <c:layout/>
      <c:barChart>
        <c:barDir val="col"/>
        <c:grouping val="clustered"/>
        <c:varyColors val="0"/>
        <c:ser>
          <c:idx val="0"/>
          <c:order val="0"/>
          <c:tx>
            <c:strRef>
              <c:f>Instat1!$P$15</c:f>
              <c:strCache>
                <c:ptCount val="1"/>
                <c:pt idx="0">
                  <c:v>Burra</c:v>
                </c:pt>
              </c:strCache>
            </c:strRef>
          </c:tx>
          <c:spPr>
            <a:solidFill>
              <a:schemeClr val="accent1"/>
            </a:solidFill>
            <a:ln>
              <a:noFill/>
            </a:ln>
            <a:effectLst/>
          </c:spPr>
          <c:invertIfNegative val="0"/>
          <c:cat>
            <c:strRef>
              <c:f>Instat1!$Q$14:$AA$14</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Instat1!$Q$15:$AA$15</c:f>
              <c:numCache>
                <c:formatCode>0.0</c:formatCode>
                <c:ptCount val="11"/>
                <c:pt idx="0">
                  <c:v>58.6</c:v>
                </c:pt>
                <c:pt idx="1">
                  <c:v>55.9</c:v>
                </c:pt>
                <c:pt idx="2">
                  <c:v>50.7</c:v>
                </c:pt>
                <c:pt idx="3">
                  <c:v>51.4</c:v>
                </c:pt>
                <c:pt idx="4">
                  <c:v>53.3</c:v>
                </c:pt>
                <c:pt idx="5">
                  <c:v>54.7</c:v>
                </c:pt>
                <c:pt idx="6">
                  <c:v>57.1</c:v>
                </c:pt>
                <c:pt idx="7">
                  <c:v>59</c:v>
                </c:pt>
                <c:pt idx="8">
                  <c:v>60.1</c:v>
                </c:pt>
                <c:pt idx="9">
                  <c:v>59.2</c:v>
                </c:pt>
                <c:pt idx="10">
                  <c:v>59.5</c:v>
                </c:pt>
              </c:numCache>
            </c:numRef>
          </c:val>
          <c:extLst xmlns:c16r2="http://schemas.microsoft.com/office/drawing/2015/06/chart">
            <c:ext xmlns:c16="http://schemas.microsoft.com/office/drawing/2014/chart" uri="{C3380CC4-5D6E-409C-BE32-E72D297353CC}">
              <c16:uniqueId val="{00000000-3EC6-1044-B9E4-DD6FD17A53A6}"/>
            </c:ext>
          </c:extLst>
        </c:ser>
        <c:ser>
          <c:idx val="1"/>
          <c:order val="1"/>
          <c:tx>
            <c:strRef>
              <c:f>Instat1!$P$16</c:f>
              <c:strCache>
                <c:ptCount val="1"/>
                <c:pt idx="0">
                  <c:v>Gra</c:v>
                </c:pt>
              </c:strCache>
            </c:strRef>
          </c:tx>
          <c:spPr>
            <a:solidFill>
              <a:schemeClr val="accent2"/>
            </a:solidFill>
            <a:ln>
              <a:noFill/>
            </a:ln>
            <a:effectLst/>
          </c:spPr>
          <c:invertIfNegative val="0"/>
          <c:cat>
            <c:strRef>
              <c:f>Instat1!$Q$14:$AA$14</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Instat1!$Q$16:$AA$16</c:f>
              <c:numCache>
                <c:formatCode>0.0</c:formatCode>
                <c:ptCount val="11"/>
                <c:pt idx="0">
                  <c:v>45.3</c:v>
                </c:pt>
                <c:pt idx="1">
                  <c:v>43.5</c:v>
                </c:pt>
                <c:pt idx="2">
                  <c:v>38</c:v>
                </c:pt>
                <c:pt idx="3">
                  <c:v>37.6</c:v>
                </c:pt>
                <c:pt idx="4">
                  <c:v>39.200000000000003</c:v>
                </c:pt>
                <c:pt idx="5">
                  <c:v>42.8</c:v>
                </c:pt>
                <c:pt idx="6">
                  <c:v>43.5</c:v>
                </c:pt>
                <c:pt idx="7">
                  <c:v>45.3</c:v>
                </c:pt>
                <c:pt idx="8">
                  <c:v>46.9</c:v>
                </c:pt>
                <c:pt idx="9">
                  <c:v>46.1</c:v>
                </c:pt>
                <c:pt idx="10">
                  <c:v>46.4</c:v>
                </c:pt>
              </c:numCache>
            </c:numRef>
          </c:val>
          <c:extLst xmlns:c16r2="http://schemas.microsoft.com/office/drawing/2015/06/chart">
            <c:ext xmlns:c16="http://schemas.microsoft.com/office/drawing/2014/chart" uri="{C3380CC4-5D6E-409C-BE32-E72D297353CC}">
              <c16:uniqueId val="{00000001-3EC6-1044-B9E4-DD6FD17A53A6}"/>
            </c:ext>
          </c:extLst>
        </c:ser>
        <c:dLbls>
          <c:showLegendKey val="0"/>
          <c:showVal val="0"/>
          <c:showCatName val="0"/>
          <c:showSerName val="0"/>
          <c:showPercent val="0"/>
          <c:showBubbleSize val="0"/>
        </c:dLbls>
        <c:gapWidth val="219"/>
        <c:axId val="1827256224"/>
        <c:axId val="1827257312"/>
      </c:barChart>
      <c:lineChart>
        <c:grouping val="standard"/>
        <c:varyColors val="0"/>
        <c:ser>
          <c:idx val="2"/>
          <c:order val="2"/>
          <c:tx>
            <c:strRef>
              <c:f>Instat1!$P$17</c:f>
              <c:strCache>
                <c:ptCount val="1"/>
                <c:pt idx="0">
                  <c:v>Total</c:v>
                </c:pt>
              </c:strCache>
            </c:strRef>
          </c:tx>
          <c:spPr>
            <a:ln w="28575" cap="rnd">
              <a:solidFill>
                <a:schemeClr val="accent3"/>
              </a:solidFill>
              <a:round/>
            </a:ln>
            <a:effectLst/>
          </c:spPr>
          <c:marker>
            <c:symbol val="none"/>
          </c:marker>
          <c:cat>
            <c:strRef>
              <c:f>Instat1!$Q$14:$AA$14</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Instat1!$Q$17:$AA$17</c:f>
              <c:numCache>
                <c:formatCode>0.0</c:formatCode>
                <c:ptCount val="11"/>
                <c:pt idx="0">
                  <c:v>51.9</c:v>
                </c:pt>
                <c:pt idx="1">
                  <c:v>49.6</c:v>
                </c:pt>
                <c:pt idx="2">
                  <c:v>44.1</c:v>
                </c:pt>
                <c:pt idx="3">
                  <c:v>44.3</c:v>
                </c:pt>
                <c:pt idx="4">
                  <c:v>46.2</c:v>
                </c:pt>
                <c:pt idx="5">
                  <c:v>48.7</c:v>
                </c:pt>
                <c:pt idx="6">
                  <c:v>50.3</c:v>
                </c:pt>
                <c:pt idx="7">
                  <c:v>52.1</c:v>
                </c:pt>
                <c:pt idx="8">
                  <c:v>53.4</c:v>
                </c:pt>
                <c:pt idx="9">
                  <c:v>52.5</c:v>
                </c:pt>
                <c:pt idx="10">
                  <c:v>52.9</c:v>
                </c:pt>
              </c:numCache>
            </c:numRef>
          </c:val>
          <c:smooth val="0"/>
          <c:extLst xmlns:c16r2="http://schemas.microsoft.com/office/drawing/2015/06/chart">
            <c:ext xmlns:c16="http://schemas.microsoft.com/office/drawing/2014/chart" uri="{C3380CC4-5D6E-409C-BE32-E72D297353CC}">
              <c16:uniqueId val="{00000002-3EC6-1044-B9E4-DD6FD17A53A6}"/>
            </c:ext>
          </c:extLst>
        </c:ser>
        <c:dLbls>
          <c:showLegendKey val="0"/>
          <c:showVal val="0"/>
          <c:showCatName val="0"/>
          <c:showSerName val="0"/>
          <c:showPercent val="0"/>
          <c:showBubbleSize val="0"/>
        </c:dLbls>
        <c:marker val="1"/>
        <c:smooth val="0"/>
        <c:axId val="1827256224"/>
        <c:axId val="1827257312"/>
      </c:lineChart>
      <c:catAx>
        <c:axId val="182725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7312"/>
        <c:crosses val="autoZero"/>
        <c:auto val="1"/>
        <c:lblAlgn val="ctr"/>
        <c:lblOffset val="100"/>
        <c:noMultiLvlLbl val="0"/>
      </c:catAx>
      <c:valAx>
        <c:axId val="18272573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2562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Pjesëmarrja në forcat e punës dhe shkalla e papunësisë në rajon dhe BE, 2019</a:t>
            </a:r>
          </a:p>
        </c:rich>
      </c:tx>
      <c:layout/>
      <c:overlay val="0"/>
      <c:spPr>
        <a:noFill/>
        <a:ln>
          <a:noFill/>
        </a:ln>
        <a:effectLst/>
      </c:spPr>
    </c:title>
    <c:autoTitleDeleted val="0"/>
    <c:plotArea>
      <c:layout/>
      <c:barChart>
        <c:barDir val="col"/>
        <c:grouping val="clustered"/>
        <c:varyColors val="0"/>
        <c:ser>
          <c:idx val="0"/>
          <c:order val="0"/>
          <c:tx>
            <c:strRef>
              <c:f>Data!$L$8</c:f>
              <c:strCache>
                <c:ptCount val="1"/>
                <c:pt idx="0">
                  <c:v>Pjesëmarrja në forcat e punës (15+)</c:v>
                </c:pt>
              </c:strCache>
            </c:strRef>
          </c:tx>
          <c:spPr>
            <a:solidFill>
              <a:schemeClr val="accent1"/>
            </a:solidFill>
            <a:ln>
              <a:noFill/>
            </a:ln>
            <a:effectLst/>
          </c:spPr>
          <c:invertIfNegative val="0"/>
          <c:dPt>
            <c:idx val="0"/>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1-DE6D-F349-8C91-1F08A23E123F}"/>
              </c:ext>
            </c:extLst>
          </c:dPt>
          <c:dPt>
            <c:idx val="6"/>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3-DE6D-F349-8C91-1F08A23E123F}"/>
              </c:ext>
            </c:extLst>
          </c:dPt>
          <c:cat>
            <c:strRef>
              <c:f>Data!$M$7:$S$7</c:f>
              <c:strCache>
                <c:ptCount val="7"/>
                <c:pt idx="0">
                  <c:v>Shqipëria</c:v>
                </c:pt>
                <c:pt idx="1">
                  <c:v>Bosnja dhe Hercegovina</c:v>
                </c:pt>
                <c:pt idx="2">
                  <c:v>Kosova</c:v>
                </c:pt>
                <c:pt idx="3">
                  <c:v>Mali i Zi</c:v>
                </c:pt>
                <c:pt idx="4">
                  <c:v>Maqedonia e Veriut</c:v>
                </c:pt>
                <c:pt idx="5">
                  <c:v>Serbia</c:v>
                </c:pt>
                <c:pt idx="6">
                  <c:v>Bashkimi Europian</c:v>
                </c:pt>
              </c:strCache>
            </c:strRef>
          </c:cat>
          <c:val>
            <c:numRef>
              <c:f>Data!$M$8:$S$8</c:f>
              <c:numCache>
                <c:formatCode>General</c:formatCode>
                <c:ptCount val="7"/>
                <c:pt idx="0">
                  <c:v>60.310001373291001</c:v>
                </c:pt>
                <c:pt idx="1">
                  <c:v>41.799999237060497</c:v>
                </c:pt>
                <c:pt idx="2">
                  <c:v>35.700000762939503</c:v>
                </c:pt>
                <c:pt idx="3">
                  <c:v>57.409999847412102</c:v>
                </c:pt>
                <c:pt idx="4">
                  <c:v>55.470001220703097</c:v>
                </c:pt>
                <c:pt idx="5">
                  <c:v>54.630001068115199</c:v>
                </c:pt>
                <c:pt idx="6">
                  <c:v>57.577891365220893</c:v>
                </c:pt>
              </c:numCache>
            </c:numRef>
          </c:val>
          <c:extLst xmlns:c16r2="http://schemas.microsoft.com/office/drawing/2015/06/chart">
            <c:ext xmlns:c16="http://schemas.microsoft.com/office/drawing/2014/chart" uri="{C3380CC4-5D6E-409C-BE32-E72D297353CC}">
              <c16:uniqueId val="{00000004-DE6D-F349-8C91-1F08A23E123F}"/>
            </c:ext>
          </c:extLst>
        </c:ser>
        <c:ser>
          <c:idx val="1"/>
          <c:order val="1"/>
          <c:tx>
            <c:strRef>
              <c:f>Data!$L$9</c:f>
              <c:strCache>
                <c:ptCount val="1"/>
                <c:pt idx="0">
                  <c:v>Shkalla e papunësisë</c:v>
                </c:pt>
              </c:strCache>
            </c:strRef>
          </c:tx>
          <c:spPr>
            <a:solidFill>
              <a:schemeClr val="accent2"/>
            </a:solidFill>
            <a:ln>
              <a:noFill/>
            </a:ln>
            <a:effectLst/>
          </c:spPr>
          <c:invertIfNegative val="0"/>
          <c:dPt>
            <c:idx val="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6-DE6D-F349-8C91-1F08A23E123F}"/>
              </c:ext>
            </c:extLst>
          </c:dPt>
          <c:dPt>
            <c:idx val="6"/>
            <c:invertIfNegative val="0"/>
            <c:bubble3D val="0"/>
            <c:spPr>
              <a:solidFill>
                <a:schemeClr val="accent6">
                  <a:lumMod val="60000"/>
                  <a:lumOff val="40000"/>
                </a:schemeClr>
              </a:solidFill>
              <a:ln>
                <a:noFill/>
              </a:ln>
              <a:effectLst/>
            </c:spPr>
            <c:extLst xmlns:c16r2="http://schemas.microsoft.com/office/drawing/2015/06/chart">
              <c:ext xmlns:c16="http://schemas.microsoft.com/office/drawing/2014/chart" uri="{C3380CC4-5D6E-409C-BE32-E72D297353CC}">
                <c16:uniqueId val="{00000008-DE6D-F349-8C91-1F08A23E123F}"/>
              </c:ext>
            </c:extLst>
          </c:dPt>
          <c:cat>
            <c:strRef>
              <c:f>Data!$M$7:$S$7</c:f>
              <c:strCache>
                <c:ptCount val="7"/>
                <c:pt idx="0">
                  <c:v>Shqipëria</c:v>
                </c:pt>
                <c:pt idx="1">
                  <c:v>Bosnja dhe Hercegovina</c:v>
                </c:pt>
                <c:pt idx="2">
                  <c:v>Kosova</c:v>
                </c:pt>
                <c:pt idx="3">
                  <c:v>Mali i Zi</c:v>
                </c:pt>
                <c:pt idx="4">
                  <c:v>Maqedonia e Veriut</c:v>
                </c:pt>
                <c:pt idx="5">
                  <c:v>Serbia</c:v>
                </c:pt>
                <c:pt idx="6">
                  <c:v>Bashkimi Europian</c:v>
                </c:pt>
              </c:strCache>
            </c:strRef>
          </c:cat>
          <c:val>
            <c:numRef>
              <c:f>Data!$M$9:$S$9</c:f>
              <c:numCache>
                <c:formatCode>General</c:formatCode>
                <c:ptCount val="7"/>
                <c:pt idx="0">
                  <c:v>11.4700002670288</c:v>
                </c:pt>
                <c:pt idx="1">
                  <c:v>15.689999580383301</c:v>
                </c:pt>
                <c:pt idx="2">
                  <c:v>25.069999694824201</c:v>
                </c:pt>
                <c:pt idx="3">
                  <c:v>15.1300001144409</c:v>
                </c:pt>
                <c:pt idx="4">
                  <c:v>17.2600002288818</c:v>
                </c:pt>
                <c:pt idx="5">
                  <c:v>10.3900003433228</c:v>
                </c:pt>
                <c:pt idx="6">
                  <c:v>6.6920848087948599</c:v>
                </c:pt>
              </c:numCache>
            </c:numRef>
          </c:val>
          <c:extLst xmlns:c16r2="http://schemas.microsoft.com/office/drawing/2015/06/chart">
            <c:ext xmlns:c16="http://schemas.microsoft.com/office/drawing/2014/chart" uri="{C3380CC4-5D6E-409C-BE32-E72D297353CC}">
              <c16:uniqueId val="{00000009-DE6D-F349-8C91-1F08A23E123F}"/>
            </c:ext>
          </c:extLst>
        </c:ser>
        <c:dLbls>
          <c:showLegendKey val="0"/>
          <c:showVal val="0"/>
          <c:showCatName val="0"/>
          <c:showSerName val="0"/>
          <c:showPercent val="0"/>
          <c:showBubbleSize val="0"/>
        </c:dLbls>
        <c:gapWidth val="219"/>
        <c:overlap val="-27"/>
        <c:axId val="1822583120"/>
        <c:axId val="1822572240"/>
      </c:barChart>
      <c:catAx>
        <c:axId val="182258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572240"/>
        <c:crosses val="autoZero"/>
        <c:auto val="1"/>
        <c:lblAlgn val="ctr"/>
        <c:lblOffset val="100"/>
        <c:noMultiLvlLbl val="0"/>
      </c:catAx>
      <c:valAx>
        <c:axId val="1822572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583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Popullsia e Shqipërisë, 2001-2022</a:t>
            </a:r>
          </a:p>
        </c:rich>
      </c:tx>
      <c:layout/>
      <c:overlay val="0"/>
      <c:spPr>
        <a:noFill/>
        <a:ln>
          <a:noFill/>
        </a:ln>
        <a:effectLst/>
      </c:spPr>
    </c:title>
    <c:autoTitleDeleted val="0"/>
    <c:plotArea>
      <c:layout/>
      <c:barChart>
        <c:barDir val="col"/>
        <c:grouping val="clustered"/>
        <c:varyColors val="0"/>
        <c:ser>
          <c:idx val="0"/>
          <c:order val="0"/>
          <c:tx>
            <c:strRef>
              <c:f>Instat1!$B$5</c:f>
              <c:strCache>
                <c:ptCount val="1"/>
                <c:pt idx="0">
                  <c:v>Popullsia</c:v>
                </c:pt>
              </c:strCache>
            </c:strRef>
          </c:tx>
          <c:spPr>
            <a:solidFill>
              <a:schemeClr val="accent1"/>
            </a:solidFill>
            <a:ln>
              <a:noFill/>
            </a:ln>
            <a:effectLst/>
          </c:spPr>
          <c:invertIfNegative val="0"/>
          <c:cat>
            <c:strRef>
              <c:f>Instat1!$C$4:$X$4</c:f>
              <c:strCach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strCache>
            </c:strRef>
          </c:cat>
          <c:val>
            <c:numRef>
              <c:f>Instat1!$C$5:$X$5</c:f>
              <c:numCache>
                <c:formatCode>0</c:formatCode>
                <c:ptCount val="22"/>
                <c:pt idx="0">
                  <c:v>3063320</c:v>
                </c:pt>
                <c:pt idx="1">
                  <c:v>3057018</c:v>
                </c:pt>
                <c:pt idx="2">
                  <c:v>3044993</c:v>
                </c:pt>
                <c:pt idx="3">
                  <c:v>3034231</c:v>
                </c:pt>
                <c:pt idx="4">
                  <c:v>3019634</c:v>
                </c:pt>
                <c:pt idx="5">
                  <c:v>3003329</c:v>
                </c:pt>
                <c:pt idx="6">
                  <c:v>2981755</c:v>
                </c:pt>
                <c:pt idx="7">
                  <c:v>2958266</c:v>
                </c:pt>
                <c:pt idx="8">
                  <c:v>2936355</c:v>
                </c:pt>
                <c:pt idx="9">
                  <c:v>2918674</c:v>
                </c:pt>
                <c:pt idx="10">
                  <c:v>2907368</c:v>
                </c:pt>
                <c:pt idx="11">
                  <c:v>2903008</c:v>
                </c:pt>
                <c:pt idx="12">
                  <c:v>2897770</c:v>
                </c:pt>
                <c:pt idx="13">
                  <c:v>2892394</c:v>
                </c:pt>
                <c:pt idx="14">
                  <c:v>2885796</c:v>
                </c:pt>
                <c:pt idx="15">
                  <c:v>2875592</c:v>
                </c:pt>
                <c:pt idx="16">
                  <c:v>2876591</c:v>
                </c:pt>
                <c:pt idx="17">
                  <c:v>2870324</c:v>
                </c:pt>
                <c:pt idx="18">
                  <c:v>2862427</c:v>
                </c:pt>
                <c:pt idx="19">
                  <c:v>2845955</c:v>
                </c:pt>
                <c:pt idx="20">
                  <c:v>2829741</c:v>
                </c:pt>
                <c:pt idx="21">
                  <c:v>2793592</c:v>
                </c:pt>
              </c:numCache>
            </c:numRef>
          </c:val>
          <c:extLst xmlns:c16r2="http://schemas.microsoft.com/office/drawing/2015/06/chart">
            <c:ext xmlns:c16="http://schemas.microsoft.com/office/drawing/2014/chart" uri="{C3380CC4-5D6E-409C-BE32-E72D297353CC}">
              <c16:uniqueId val="{00000000-0BE6-4945-BB8B-0AEABF34E18B}"/>
            </c:ext>
          </c:extLst>
        </c:ser>
        <c:dLbls>
          <c:showLegendKey val="0"/>
          <c:showVal val="0"/>
          <c:showCatName val="0"/>
          <c:showSerName val="0"/>
          <c:showPercent val="0"/>
          <c:showBubbleSize val="0"/>
        </c:dLbls>
        <c:gapWidth val="219"/>
        <c:overlap val="-27"/>
        <c:axId val="1822578768"/>
        <c:axId val="1822573328"/>
      </c:barChart>
      <c:catAx>
        <c:axId val="1822578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822573328"/>
        <c:crosses val="autoZero"/>
        <c:auto val="1"/>
        <c:lblAlgn val="ctr"/>
        <c:lblOffset val="100"/>
        <c:noMultiLvlLbl val="0"/>
      </c:catAx>
      <c:valAx>
        <c:axId val="1822573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578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Të punësuar me pagë</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Sheet1!$B$1:$G$1</c:f>
              <c:numCache>
                <c:formatCode>0</c:formatCode>
                <c:ptCount val="6"/>
                <c:pt idx="0">
                  <c:v>2016</c:v>
                </c:pt>
                <c:pt idx="1">
                  <c:v>2017</c:v>
                </c:pt>
                <c:pt idx="2">
                  <c:v>2018</c:v>
                </c:pt>
                <c:pt idx="3">
                  <c:v>2019</c:v>
                </c:pt>
                <c:pt idx="4">
                  <c:v>2020</c:v>
                </c:pt>
                <c:pt idx="5">
                  <c:v>2021</c:v>
                </c:pt>
              </c:numCache>
            </c:numRef>
          </c:cat>
          <c:val>
            <c:numRef>
              <c:f>Sheet1!$B$2:$G$2</c:f>
              <c:numCache>
                <c:formatCode>#,#00</c:formatCode>
                <c:ptCount val="6"/>
                <c:pt idx="0">
                  <c:v>41.2</c:v>
                </c:pt>
                <c:pt idx="1">
                  <c:v>44.1</c:v>
                </c:pt>
                <c:pt idx="2">
                  <c:v>44.5</c:v>
                </c:pt>
                <c:pt idx="3">
                  <c:v>45.7</c:v>
                </c:pt>
                <c:pt idx="4">
                  <c:v>46.1</c:v>
                </c:pt>
                <c:pt idx="5">
                  <c:v>47.9</c:v>
                </c:pt>
              </c:numCache>
            </c:numRef>
          </c:val>
          <c:smooth val="0"/>
          <c:extLst xmlns:c16r2="http://schemas.microsoft.com/office/drawing/2015/06/chart">
            <c:ext xmlns:c16="http://schemas.microsoft.com/office/drawing/2014/chart" uri="{C3380CC4-5D6E-409C-BE32-E72D297353CC}">
              <c16:uniqueId val="{00000000-21A1-A84C-8820-57FD9E45A722}"/>
            </c:ext>
          </c:extLst>
        </c:ser>
        <c:ser>
          <c:idx val="1"/>
          <c:order val="1"/>
          <c:tx>
            <c:strRef>
              <c:f>Sheet1!$A$3</c:f>
              <c:strCache>
                <c:ptCount val="1"/>
                <c:pt idx="0">
                  <c:v>Të vetë-punësuar</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Sheet1!$B$1:$G$1</c:f>
              <c:numCache>
                <c:formatCode>0</c:formatCode>
                <c:ptCount val="6"/>
                <c:pt idx="0">
                  <c:v>2016</c:v>
                </c:pt>
                <c:pt idx="1">
                  <c:v>2017</c:v>
                </c:pt>
                <c:pt idx="2">
                  <c:v>2018</c:v>
                </c:pt>
                <c:pt idx="3">
                  <c:v>2019</c:v>
                </c:pt>
                <c:pt idx="4">
                  <c:v>2020</c:v>
                </c:pt>
                <c:pt idx="5">
                  <c:v>2021</c:v>
                </c:pt>
              </c:numCache>
            </c:numRef>
          </c:cat>
          <c:val>
            <c:numRef>
              <c:f>Sheet1!$B$3:$G$3</c:f>
              <c:numCache>
                <c:formatCode>#,#00</c:formatCode>
                <c:ptCount val="6"/>
                <c:pt idx="0">
                  <c:v>34.9</c:v>
                </c:pt>
                <c:pt idx="1">
                  <c:v>35.799999999999997</c:v>
                </c:pt>
                <c:pt idx="2">
                  <c:v>34</c:v>
                </c:pt>
                <c:pt idx="3">
                  <c:v>32.200000000000003</c:v>
                </c:pt>
                <c:pt idx="4">
                  <c:v>33.299999999999997</c:v>
                </c:pt>
                <c:pt idx="5">
                  <c:v>32</c:v>
                </c:pt>
              </c:numCache>
            </c:numRef>
          </c:val>
          <c:smooth val="0"/>
          <c:extLst xmlns:c16r2="http://schemas.microsoft.com/office/drawing/2015/06/chart">
            <c:ext xmlns:c16="http://schemas.microsoft.com/office/drawing/2014/chart" uri="{C3380CC4-5D6E-409C-BE32-E72D297353CC}">
              <c16:uniqueId val="{00000001-21A1-A84C-8820-57FD9E45A722}"/>
            </c:ext>
          </c:extLst>
        </c:ser>
        <c:ser>
          <c:idx val="2"/>
          <c:order val="2"/>
          <c:tx>
            <c:strRef>
              <c:f>Sheet1!$A$4</c:f>
              <c:strCache>
                <c:ptCount val="1"/>
                <c:pt idx="0">
                  <c:v>Punëtorë pa pagesë në biznesin e familjes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Sheet1!$B$1:$G$1</c:f>
              <c:numCache>
                <c:formatCode>0</c:formatCode>
                <c:ptCount val="6"/>
                <c:pt idx="0">
                  <c:v>2016</c:v>
                </c:pt>
                <c:pt idx="1">
                  <c:v>2017</c:v>
                </c:pt>
                <c:pt idx="2">
                  <c:v>2018</c:v>
                </c:pt>
                <c:pt idx="3">
                  <c:v>2019</c:v>
                </c:pt>
                <c:pt idx="4">
                  <c:v>2020</c:v>
                </c:pt>
                <c:pt idx="5">
                  <c:v>2021</c:v>
                </c:pt>
              </c:numCache>
            </c:numRef>
          </c:cat>
          <c:val>
            <c:numRef>
              <c:f>Sheet1!$B$4:$G$4</c:f>
              <c:numCache>
                <c:formatCode>#,#00</c:formatCode>
                <c:ptCount val="6"/>
                <c:pt idx="0">
                  <c:v>23.9</c:v>
                </c:pt>
                <c:pt idx="1">
                  <c:v>20.100000000000001</c:v>
                </c:pt>
                <c:pt idx="2">
                  <c:v>21.6</c:v>
                </c:pt>
                <c:pt idx="3">
                  <c:v>22</c:v>
                </c:pt>
                <c:pt idx="4">
                  <c:v>20.6</c:v>
                </c:pt>
                <c:pt idx="5">
                  <c:v>20.100000000000001</c:v>
                </c:pt>
              </c:numCache>
            </c:numRef>
          </c:val>
          <c:smooth val="0"/>
          <c:extLst xmlns:c16r2="http://schemas.microsoft.com/office/drawing/2015/06/chart">
            <c:ext xmlns:c16="http://schemas.microsoft.com/office/drawing/2014/chart" uri="{C3380CC4-5D6E-409C-BE32-E72D297353CC}">
              <c16:uniqueId val="{00000002-21A1-A84C-8820-57FD9E45A722}"/>
            </c:ext>
          </c:extLst>
        </c:ser>
        <c:ser>
          <c:idx val="3"/>
          <c:order val="3"/>
          <c:tx>
            <c:strRef>
              <c:f>Sheet1!$A$5</c:f>
              <c:strCache>
                <c:ptCount val="1"/>
                <c:pt idx="0">
                  <c:v>Punësimi informal në sektorin jo-bujqësor</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Sheet1!$B$1:$G$1</c:f>
              <c:numCache>
                <c:formatCode>0</c:formatCode>
                <c:ptCount val="6"/>
                <c:pt idx="0">
                  <c:v>2016</c:v>
                </c:pt>
                <c:pt idx="1">
                  <c:v>2017</c:v>
                </c:pt>
                <c:pt idx="2">
                  <c:v>2018</c:v>
                </c:pt>
                <c:pt idx="3">
                  <c:v>2019</c:v>
                </c:pt>
                <c:pt idx="4">
                  <c:v>2020</c:v>
                </c:pt>
                <c:pt idx="5">
                  <c:v>2021</c:v>
                </c:pt>
              </c:numCache>
            </c:numRef>
          </c:cat>
          <c:val>
            <c:numRef>
              <c:f>Sheet1!$B$5:$G$5</c:f>
              <c:numCache>
                <c:formatCode>#,#00</c:formatCode>
                <c:ptCount val="6"/>
                <c:pt idx="0">
                  <c:v>31.9</c:v>
                </c:pt>
                <c:pt idx="1">
                  <c:v>30.3</c:v>
                </c:pt>
                <c:pt idx="2">
                  <c:v>29.4</c:v>
                </c:pt>
                <c:pt idx="3">
                  <c:v>30</c:v>
                </c:pt>
                <c:pt idx="4">
                  <c:v>29.1</c:v>
                </c:pt>
                <c:pt idx="5">
                  <c:v>29.4</c:v>
                </c:pt>
              </c:numCache>
            </c:numRef>
          </c:val>
          <c:smooth val="0"/>
          <c:extLst xmlns:c16r2="http://schemas.microsoft.com/office/drawing/2015/06/chart">
            <c:ext xmlns:c16="http://schemas.microsoft.com/office/drawing/2014/chart" uri="{C3380CC4-5D6E-409C-BE32-E72D297353CC}">
              <c16:uniqueId val="{00000003-21A1-A84C-8820-57FD9E45A722}"/>
            </c:ext>
          </c:extLst>
        </c:ser>
        <c:dLbls>
          <c:showLegendKey val="0"/>
          <c:showVal val="0"/>
          <c:showCatName val="0"/>
          <c:showSerName val="0"/>
          <c:showPercent val="0"/>
          <c:showBubbleSize val="0"/>
        </c:dLbls>
        <c:marker val="1"/>
        <c:smooth val="0"/>
        <c:axId val="1822577680"/>
        <c:axId val="1822580944"/>
      </c:lineChart>
      <c:catAx>
        <c:axId val="18225776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580944"/>
        <c:crosses val="autoZero"/>
        <c:auto val="1"/>
        <c:lblAlgn val="ctr"/>
        <c:lblOffset val="100"/>
        <c:noMultiLvlLbl val="0"/>
      </c:catAx>
      <c:valAx>
        <c:axId val="1822580944"/>
        <c:scaling>
          <c:orientation val="minMax"/>
          <c:min val="2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25776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3914F1EA1EF42599E9C526E3E861D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173</Nr_x002e__x0020_akti>
    <Data_x0020_e_x0020_Krijimit xmlns="0e656187-b300-4fb0-8bf4-3a50f872073c">2023-03-28T06:38:11Z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2023-03-26T22:00:00Z</Date_x0020_protokolli>
    <Titulli xmlns="0e656187-b300-4fb0-8bf4-3a50f872073c">Për miratimin e strategjisë kombëtare të punësimit dhe aftësive 2023-2030, planit të veprimit për zbatimin e saj, si dhe planit të zbatimit të garancisë rinore 2023-2024</Titulli>
    <Modifikuesi xmlns="0e656187-b300-4fb0-8bf4-3a50f872073c">valjeta.kaftalli</Modifikuesi>
    <Nr_x002e__x0020_prot_x0020_QBZ xmlns="0e656187-b300-4fb0-8bf4-3a50f872073c">459</Nr_x002e__x0020_prot_x0020_QBZ>
    <Data_x0020_e_x0020_Modifikimit xmlns="0e656187-b300-4fb0-8bf4-3a50f872073c">2023-03-30T06:15:03Z</Data_x0020_e_x0020_Modifikimit>
    <Dekretuar xmlns="0e656187-b300-4fb0-8bf4-3a50f872073c">false</Dekretuar>
    <Data xmlns="0e656187-b300-4fb0-8bf4-3a50f872073c">2023-03-23T23:00:00Z</Data>
    <Nr_x002e__x0020_protokolli_x0020_i_x0020_aktit xmlns="0e656187-b300-4fb0-8bf4-3a50f872073c">328/4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12C01-6FA0-442F-8E48-CFE3D0628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65F024E-E196-4ED8-9755-D6C68BC0D989}">
  <ds:schemaRefs>
    <ds:schemaRef ds:uri="http://schemas.microsoft.com/sharepoint/v3/contenttype/forms"/>
  </ds:schemaRefs>
</ds:datastoreItem>
</file>

<file path=customXml/itemProps3.xml><?xml version="1.0" encoding="utf-8"?>
<ds:datastoreItem xmlns:ds="http://schemas.openxmlformats.org/officeDocument/2006/customXml" ds:itemID="{915E70BE-7BE9-48DA-A0CB-5429EB9AE922}">
  <ds:schemaRefs>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274F7B0D-F8DE-42FE-889A-0E3476514694}">
  <ds:schemaRefs>
    <ds:schemaRef ds:uri="http://schemas.openxmlformats.org/officeDocument/2006/bibliography"/>
  </ds:schemaRefs>
</ds:datastoreItem>
</file>

<file path=customXml/itemProps5.xml><?xml version="1.0" encoding="utf-8"?>
<ds:datastoreItem xmlns:ds="http://schemas.openxmlformats.org/officeDocument/2006/customXml" ds:itemID="{A9D59B85-240D-4E3A-A170-B3453E825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124</Pages>
  <Words>23805</Words>
  <Characters>135689</Characters>
  <Application>Microsoft Office Word</Application>
  <DocSecurity>0</DocSecurity>
  <Lines>1130</Lines>
  <Paragraphs>318</Paragraphs>
  <ScaleCrop>false</ScaleCrop>
  <HeadingPairs>
    <vt:vector size="2" baseType="variant">
      <vt:variant>
        <vt:lpstr>Title</vt:lpstr>
      </vt:variant>
      <vt:variant>
        <vt:i4>1</vt:i4>
      </vt:variant>
    </vt:vector>
  </HeadingPairs>
  <TitlesOfParts>
    <vt:vector size="1" baseType="lpstr">
      <vt:lpstr>Për miratimin e strategjisë kombëtare të punësimit dhe aftësive 2023-2030, planit të veprimit për zbatimin e saj, si dhe planit të zbatimit të garancisë rinore 2023-2024</vt:lpstr>
    </vt:vector>
  </TitlesOfParts>
  <Company/>
  <LinksUpToDate>false</LinksUpToDate>
  <CharactersWithSpaces>159176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punësimit dhe aftësive 2023-2030, planit të veprimit për zbatimin e saj, si dhe planit të zbatimit të garancisë rinore 2023-2024</dc:title>
  <dc:creator>Genta Prodani</dc:creator>
  <cp:lastModifiedBy>Entela Suli</cp:lastModifiedBy>
  <cp:revision>122</cp:revision>
  <cp:lastPrinted>2023-03-23T14:47:00Z</cp:lastPrinted>
  <dcterms:created xsi:type="dcterms:W3CDTF">2023-03-28T08:04:00Z</dcterms:created>
  <dcterms:modified xsi:type="dcterms:W3CDTF">2023-03-30T08:01:00Z</dcterms:modified>
</cp:coreProperties>
</file>