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34F92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7DD06136" w14:textId="0226A644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8B5591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314</w:t>
      </w:r>
      <w:bookmarkStart w:id="0" w:name="_GoBack"/>
      <w:bookmarkEnd w:id="0"/>
      <w:r w:rsidRPr="0024150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, datë </w:t>
      </w:r>
      <w:r w:rsidR="000134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24.5.2023</w:t>
      </w:r>
    </w:p>
    <w:p w14:paraId="3E2E5844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102C169A" w14:textId="0D411F13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MIRATIMIN E LLOJEVE DHE PROCEDURAVE TË LIDHJES SË MARRËVESHJEVE TË POSAÇME (MEA)</w:t>
      </w:r>
    </w:p>
    <w:p w14:paraId="066BC6EC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6FBB0F51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Në mbështetje të nenit 100 të Kushtetutës dhe të pikës 2, të nenit 37/1, të ligjit nr.105/2014, “Për barnat dhe shërbimin farmaceutik”, të ndryshuar, me propozimin e ministrit të Shëndetësisë dhe Mbrojtjes Sociale, Këshilli i Ministrave </w:t>
      </w:r>
    </w:p>
    <w:p w14:paraId="7647907B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327EBAD7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42D2A332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25CB8DE2" w14:textId="2AEE1B6D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1. Ky vendim ka si qëllim përcaktimin e llojeve dhe procedurave të lidhjes së marrëveshjeve të posaçme (MEA).</w:t>
      </w:r>
    </w:p>
    <w:p w14:paraId="0BDA5D4D" w14:textId="6D4EE376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2. Llojet e MEA janë, si më poshtë vijon:</w:t>
      </w:r>
    </w:p>
    <w:p w14:paraId="7740D6FA" w14:textId="596E465A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a) Marrëveshje të posaçme me karakter financiar; </w:t>
      </w:r>
    </w:p>
    <w:p w14:paraId="0D842956" w14:textId="6737E6D3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b) Marrëveshje të posaçme të bazuara në performance; </w:t>
      </w:r>
    </w:p>
    <w:p w14:paraId="22328D1A" w14:textId="1EBE915B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c) Marrëveshje të posaçme hibride.  </w:t>
      </w:r>
    </w:p>
    <w:p w14:paraId="4AE67EFA" w14:textId="647BDE64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3. Marrëveshjet e posaçme (MEA) me karakter financiar janë ato marrëveshje të cilat lidhen kur plotësohen një nga kushtet e mëposhtme:</w:t>
      </w:r>
    </w:p>
    <w:p w14:paraId="70158585" w14:textId="127F93C0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a) Çmimi i propozuar është më i ulët se çmimi CIF, i miratuar nga ministria përgjegjëse për shëndetësinë për një sasi të caktuar të barit për një periudhë të caktuar kohore;</w:t>
      </w:r>
    </w:p>
    <w:p w14:paraId="04B040A6" w14:textId="046EDB81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b) Çmimi i propozuar është më i ulët se çmimi CIF, i miratuar nga ministria përgjegjëse për shëndetësinë dhe duke siguruar sasi barnash falas të të njëjtit bar mbi një sasi të kërkuar të barit për një periudhë të caktuar kohore.</w:t>
      </w:r>
    </w:p>
    <w:p w14:paraId="167C9167" w14:textId="6E7D7816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4. Marrëveshjet e posaçme (MEA) të bazuara në performancë janë ato marrëveshje të cilat lidhen për barna origjinatorë  me çmimin CIF më të ulët se çmimi i miratuar nga ministria përgjegjëse për shëndetësinë, që përfshihen në skemat e trajtimit terapeutik për grup të caktuar pacientësh ku risku i efektshmërisë së barit apo efikasiteti i trajtimit ndahet ndërmjet palëve.</w:t>
      </w:r>
    </w:p>
    <w:p w14:paraId="72F1ABF5" w14:textId="4277C589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5. Marrëveshjet e posaçme (MEA) hibride janë ato marrëveshje të cilat lidhen kur plotësohen një ose disa nga kushtet e përcaktuara në pikat 3 dhe 4, të këtij vendimi. </w:t>
      </w:r>
    </w:p>
    <w:p w14:paraId="1E5AB4D9" w14:textId="02B7B5C1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Bazuar në impaktin financiar buxhetor, barrën e sëmundshmërisë, protokollet e mjekimit  si dhe opsionet e trajtimit të disponueshme në sistemin shëndetësor në vend, mund të përcjellin propozime pranë ministrisë përgjegjëse për shëndetësinë për lidhjen e një marrëveshjeje të posaçme (MEA): </w:t>
      </w:r>
    </w:p>
    <w:p w14:paraId="495BAF96" w14:textId="71E8D2FD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a) institucionet spitalore universitare;</w:t>
      </w:r>
    </w:p>
    <w:p w14:paraId="5D6BE7DB" w14:textId="098DEC08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b) Fondi i Sigurimit të Detyrueshëm të Kujdesit Shëndetësor (FSDKSH);</w:t>
      </w:r>
    </w:p>
    <w:p w14:paraId="0FAA98A6" w14:textId="5A41436B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c) mbajtësi i autorizimit të tregtimit të barit në Shqipëri. </w:t>
      </w:r>
    </w:p>
    <w:p w14:paraId="342859AE" w14:textId="4B3F3ABD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7. Institucionet spitalore universitare dhe Fondi i Sigurimit të Detyrueshëm të Kujdesit Shëndetësor përcjellin pranë ministrisë përgjegjëse për shëndetësinë propozimet për MEA, pas kryerjes së një vlerësimi paraprak të tyre, bazuar njëkohësisht në:</w:t>
      </w:r>
    </w:p>
    <w:p w14:paraId="63B55F0A" w14:textId="2077CAA1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a) impaktin financiar dhe disponueshmërinë buxhetore;</w:t>
      </w:r>
    </w:p>
    <w:p w14:paraId="400BF0A1" w14:textId="13B22F4B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b) protokollet e mjekimit;</w:t>
      </w:r>
    </w:p>
    <w:p w14:paraId="251B1CD8" w14:textId="158A7C94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c) efikasitetin e trajtimit të barit, bazuar në evidenca shkencore;</w:t>
      </w:r>
    </w:p>
    <w:p w14:paraId="1C2E4178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ç)</w:t>
      </w:r>
      <w:r w:rsidRPr="0024150C">
        <w:rPr>
          <w:rFonts w:ascii="Garamond" w:hAnsi="Garamond" w:cs="Calibri"/>
          <w:color w:val="000000"/>
          <w:sz w:val="24"/>
          <w:szCs w:val="24"/>
          <w:lang w:val="sq-AL"/>
        </w:rPr>
        <w:t xml:space="preserve"> </w:t>
      </w: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vlerësimin mbi barrën e sëmundshmërisë, opsionet e trajtimit të disponueshme në sistemin shëndetësor për diagnozën që mbulon terapia në vend dhe shkallën e rëndësisë së trajtimit me terapinë e propozuar, bazuar në vlerësimin e kosto-efikasitetit.</w:t>
      </w:r>
    </w:p>
    <w:p w14:paraId="4A5A4ABE" w14:textId="52CAAE8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8. Propozimet vlerësohen nga Komisioni </w:t>
      </w:r>
      <w:r w:rsidRPr="0024150C">
        <w:rPr>
          <w:rFonts w:ascii="Garamond" w:hAnsi="Garamond" w:cs="Times New Roman"/>
          <w:i/>
          <w:iCs/>
          <w:color w:val="000000"/>
          <w:sz w:val="24"/>
          <w:szCs w:val="24"/>
          <w:lang w:val="sq-AL"/>
        </w:rPr>
        <w:t>Ad-hoc</w:t>
      </w: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i Vlerësimit të Marrëveshjeve të Posaçme (MEA), i ngritur nga ministri përgjegjës për shëndetësinë. Procesi i vlerësimit kryhet brenda 60 (gjashtëdhjetë) ditëve nga data e regjistrimit të propozimit pranë ministrisë përgjegjëse për shëndetësinë. </w:t>
      </w:r>
    </w:p>
    <w:p w14:paraId="5BC8C99C" w14:textId="5405DA4F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>9. Marrëveshja e posaçme pas vlerësimit nga Komisioni Ad-hoc i Vlerësimit të Marrëveshjeve të Posaçme dhe nënshkrimit nga palët i përcillet Fondit të Sigurimit të Detyrueshëm të Kujdesit Shëndetësor ose institucioneve spitalore universitare për zbatim.</w:t>
      </w:r>
    </w:p>
    <w:p w14:paraId="1E34FC24" w14:textId="0E3694A3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10. Kreu VIII, “Kontrata të posaçme (MEA)”, i vendimit nr.622, datë 22.10.2021, të Këshillit të Ministrave, “Për procedurat që përdoren për lidhjen e kontratave që diktohen nga interesa thelbësorë të shtetit”, shfuqizohet.</w:t>
      </w:r>
    </w:p>
    <w:p w14:paraId="7B941A1D" w14:textId="58C1C025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11. Ngarkohen Ministria e Shëndetësisë dhe Mbrojtjes Sociale, Fondi i Sigurimit të Detyrueshëm të Kujdesit Shëndetësor dhe strukturat shëndetësore spitalore publike universitare për zbatimin e këtij vendimi.</w:t>
      </w:r>
    </w:p>
    <w:p w14:paraId="488A8033" w14:textId="768DCFB2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pas botimit në Fletoren Zyrtare.</w:t>
      </w:r>
    </w:p>
    <w:p w14:paraId="0464FEF8" w14:textId="77777777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31962CC9" w14:textId="10F88A7D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 xml:space="preserve">KRYEMINISTËR </w:t>
      </w:r>
    </w:p>
    <w:p w14:paraId="6940F9CD" w14:textId="7C9E860F" w:rsidR="0024150C" w:rsidRPr="0024150C" w:rsidRDefault="0024150C" w:rsidP="0024150C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4150C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Edi Rama</w:t>
      </w:r>
    </w:p>
    <w:p w14:paraId="0A4C4756" w14:textId="6373F5CB" w:rsidR="001333E6" w:rsidRPr="0024150C" w:rsidRDefault="001333E6" w:rsidP="0024150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1333E6" w:rsidRPr="0024150C" w:rsidSect="00037666">
      <w:footerReference w:type="default" r:id="rId11"/>
      <w:pgSz w:w="11907" w:h="16839" w:code="9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02F87" w14:textId="77777777" w:rsidR="00FB253F" w:rsidRDefault="00FB253F" w:rsidP="0044149A">
      <w:pPr>
        <w:spacing w:after="0" w:line="240" w:lineRule="auto"/>
      </w:pPr>
      <w:r>
        <w:separator/>
      </w:r>
    </w:p>
  </w:endnote>
  <w:endnote w:type="continuationSeparator" w:id="0">
    <w:p w14:paraId="11557A55" w14:textId="77777777" w:rsidR="00FB253F" w:rsidRDefault="00FB253F" w:rsidP="0044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158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B96C7" w14:textId="45743581" w:rsidR="00037666" w:rsidRDefault="000376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5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551A8A" w14:textId="77777777" w:rsidR="00B30DD9" w:rsidRDefault="00B30D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6B911" w14:textId="77777777" w:rsidR="00FB253F" w:rsidRDefault="00FB253F" w:rsidP="0044149A">
      <w:pPr>
        <w:spacing w:after="0" w:line="240" w:lineRule="auto"/>
      </w:pPr>
      <w:r>
        <w:separator/>
      </w:r>
    </w:p>
  </w:footnote>
  <w:footnote w:type="continuationSeparator" w:id="0">
    <w:p w14:paraId="2F98195E" w14:textId="77777777" w:rsidR="00FB253F" w:rsidRDefault="00FB253F" w:rsidP="00441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6FE"/>
    <w:multiLevelType w:val="hybridMultilevel"/>
    <w:tmpl w:val="C106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355BF"/>
    <w:multiLevelType w:val="hybridMultilevel"/>
    <w:tmpl w:val="B0DEE2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100492"/>
    <w:multiLevelType w:val="hybridMultilevel"/>
    <w:tmpl w:val="107E2EC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8F6584"/>
    <w:multiLevelType w:val="hybridMultilevel"/>
    <w:tmpl w:val="90A69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110C1"/>
    <w:multiLevelType w:val="hybridMultilevel"/>
    <w:tmpl w:val="E8325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A18AF"/>
    <w:multiLevelType w:val="hybridMultilevel"/>
    <w:tmpl w:val="7DF6BA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5381F"/>
    <w:multiLevelType w:val="hybridMultilevel"/>
    <w:tmpl w:val="454E539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D00CA8"/>
    <w:multiLevelType w:val="hybridMultilevel"/>
    <w:tmpl w:val="0E7E4D5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24201"/>
    <w:multiLevelType w:val="hybridMultilevel"/>
    <w:tmpl w:val="79D69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47C61"/>
    <w:multiLevelType w:val="hybridMultilevel"/>
    <w:tmpl w:val="D720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346E9"/>
    <w:multiLevelType w:val="hybridMultilevel"/>
    <w:tmpl w:val="32400A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0393A"/>
    <w:multiLevelType w:val="hybridMultilevel"/>
    <w:tmpl w:val="9FA2A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131AE"/>
    <w:multiLevelType w:val="hybridMultilevel"/>
    <w:tmpl w:val="0C4E51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54854"/>
    <w:multiLevelType w:val="hybridMultilevel"/>
    <w:tmpl w:val="E4482BC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EF7758C"/>
    <w:multiLevelType w:val="hybridMultilevel"/>
    <w:tmpl w:val="2F96F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6538D"/>
    <w:multiLevelType w:val="hybridMultilevel"/>
    <w:tmpl w:val="40AC7A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3B5C9F"/>
    <w:multiLevelType w:val="hybridMultilevel"/>
    <w:tmpl w:val="AABC81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F3871"/>
    <w:multiLevelType w:val="hybridMultilevel"/>
    <w:tmpl w:val="8C18F1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B42E6"/>
    <w:multiLevelType w:val="hybridMultilevel"/>
    <w:tmpl w:val="1CE2873A"/>
    <w:lvl w:ilvl="0" w:tplc="072214E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326C7"/>
    <w:multiLevelType w:val="hybridMultilevel"/>
    <w:tmpl w:val="C40CA7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7697E"/>
    <w:multiLevelType w:val="hybridMultilevel"/>
    <w:tmpl w:val="0798B9B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666966"/>
    <w:multiLevelType w:val="hybridMultilevel"/>
    <w:tmpl w:val="7508228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0E6EB8"/>
    <w:multiLevelType w:val="hybridMultilevel"/>
    <w:tmpl w:val="43D6F884"/>
    <w:lvl w:ilvl="0" w:tplc="5DFE4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B041D5"/>
    <w:multiLevelType w:val="hybridMultilevel"/>
    <w:tmpl w:val="6ECC0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D1D7D"/>
    <w:multiLevelType w:val="hybridMultilevel"/>
    <w:tmpl w:val="E41E12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CF7045"/>
    <w:multiLevelType w:val="hybridMultilevel"/>
    <w:tmpl w:val="B6148D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14650F"/>
    <w:multiLevelType w:val="hybridMultilevel"/>
    <w:tmpl w:val="7AD0EF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06712"/>
    <w:multiLevelType w:val="hybridMultilevel"/>
    <w:tmpl w:val="61346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A83284"/>
    <w:multiLevelType w:val="hybridMultilevel"/>
    <w:tmpl w:val="8424C3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E5D685A"/>
    <w:multiLevelType w:val="hybridMultilevel"/>
    <w:tmpl w:val="466CF8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92D9B"/>
    <w:multiLevelType w:val="hybridMultilevel"/>
    <w:tmpl w:val="8D8E1A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C708B1"/>
    <w:multiLevelType w:val="hybridMultilevel"/>
    <w:tmpl w:val="AA868B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9333D6"/>
    <w:multiLevelType w:val="hybridMultilevel"/>
    <w:tmpl w:val="A71A3174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D3069C"/>
    <w:multiLevelType w:val="hybridMultilevel"/>
    <w:tmpl w:val="76528C4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DF3BD9"/>
    <w:multiLevelType w:val="hybridMultilevel"/>
    <w:tmpl w:val="017A23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B132FC"/>
    <w:multiLevelType w:val="hybridMultilevel"/>
    <w:tmpl w:val="C9BCC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C5BFC"/>
    <w:multiLevelType w:val="hybridMultilevel"/>
    <w:tmpl w:val="25F23B3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3682B16"/>
    <w:multiLevelType w:val="hybridMultilevel"/>
    <w:tmpl w:val="63D446D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BD586E"/>
    <w:multiLevelType w:val="hybridMultilevel"/>
    <w:tmpl w:val="8B6C4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4467C"/>
    <w:multiLevelType w:val="hybridMultilevel"/>
    <w:tmpl w:val="817C06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C01145F"/>
    <w:multiLevelType w:val="hybridMultilevel"/>
    <w:tmpl w:val="B6F0BC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F3C7E10"/>
    <w:multiLevelType w:val="hybridMultilevel"/>
    <w:tmpl w:val="0316C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38"/>
  </w:num>
  <w:num w:numId="5">
    <w:abstractNumId w:val="5"/>
  </w:num>
  <w:num w:numId="6">
    <w:abstractNumId w:val="30"/>
  </w:num>
  <w:num w:numId="7">
    <w:abstractNumId w:val="31"/>
  </w:num>
  <w:num w:numId="8">
    <w:abstractNumId w:val="23"/>
  </w:num>
  <w:num w:numId="9">
    <w:abstractNumId w:val="25"/>
  </w:num>
  <w:num w:numId="10">
    <w:abstractNumId w:val="2"/>
  </w:num>
  <w:num w:numId="11">
    <w:abstractNumId w:val="35"/>
  </w:num>
  <w:num w:numId="12">
    <w:abstractNumId w:val="29"/>
  </w:num>
  <w:num w:numId="13">
    <w:abstractNumId w:val="19"/>
  </w:num>
  <w:num w:numId="14">
    <w:abstractNumId w:val="16"/>
  </w:num>
  <w:num w:numId="15">
    <w:abstractNumId w:val="37"/>
  </w:num>
  <w:num w:numId="16">
    <w:abstractNumId w:val="21"/>
  </w:num>
  <w:num w:numId="17">
    <w:abstractNumId w:val="34"/>
  </w:num>
  <w:num w:numId="18">
    <w:abstractNumId w:val="15"/>
  </w:num>
  <w:num w:numId="19">
    <w:abstractNumId w:val="8"/>
  </w:num>
  <w:num w:numId="20">
    <w:abstractNumId w:val="4"/>
  </w:num>
  <w:num w:numId="21">
    <w:abstractNumId w:val="40"/>
  </w:num>
  <w:num w:numId="22">
    <w:abstractNumId w:val="10"/>
  </w:num>
  <w:num w:numId="23">
    <w:abstractNumId w:val="9"/>
  </w:num>
  <w:num w:numId="24">
    <w:abstractNumId w:val="24"/>
  </w:num>
  <w:num w:numId="25">
    <w:abstractNumId w:val="18"/>
  </w:num>
  <w:num w:numId="26">
    <w:abstractNumId w:val="12"/>
  </w:num>
  <w:num w:numId="27">
    <w:abstractNumId w:val="17"/>
  </w:num>
  <w:num w:numId="28">
    <w:abstractNumId w:val="28"/>
  </w:num>
  <w:num w:numId="29">
    <w:abstractNumId w:val="13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9"/>
  </w:num>
  <w:num w:numId="33">
    <w:abstractNumId w:val="32"/>
  </w:num>
  <w:num w:numId="34">
    <w:abstractNumId w:val="33"/>
  </w:num>
  <w:num w:numId="35">
    <w:abstractNumId w:val="22"/>
  </w:num>
  <w:num w:numId="36">
    <w:abstractNumId w:val="14"/>
  </w:num>
  <w:num w:numId="37">
    <w:abstractNumId w:val="7"/>
  </w:num>
  <w:num w:numId="38">
    <w:abstractNumId w:val="11"/>
  </w:num>
  <w:num w:numId="39">
    <w:abstractNumId w:val="27"/>
  </w:num>
  <w:num w:numId="40">
    <w:abstractNumId w:val="3"/>
  </w:num>
  <w:num w:numId="41">
    <w:abstractNumId w:val="36"/>
  </w:num>
  <w:num w:numId="42">
    <w:abstractNumId w:val="1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86"/>
    <w:rsid w:val="00013448"/>
    <w:rsid w:val="000170BC"/>
    <w:rsid w:val="00022657"/>
    <w:rsid w:val="00032DA1"/>
    <w:rsid w:val="00037666"/>
    <w:rsid w:val="00043BE4"/>
    <w:rsid w:val="0005072D"/>
    <w:rsid w:val="00076A86"/>
    <w:rsid w:val="00081270"/>
    <w:rsid w:val="000876F2"/>
    <w:rsid w:val="000B19A7"/>
    <w:rsid w:val="000B3B62"/>
    <w:rsid w:val="000B3E5C"/>
    <w:rsid w:val="000C54B0"/>
    <w:rsid w:val="000D5BE3"/>
    <w:rsid w:val="000F5E81"/>
    <w:rsid w:val="00106177"/>
    <w:rsid w:val="001107B6"/>
    <w:rsid w:val="00111FD9"/>
    <w:rsid w:val="00120651"/>
    <w:rsid w:val="00133018"/>
    <w:rsid w:val="001333E6"/>
    <w:rsid w:val="00137A8A"/>
    <w:rsid w:val="00142FDF"/>
    <w:rsid w:val="001475B2"/>
    <w:rsid w:val="00150955"/>
    <w:rsid w:val="00155256"/>
    <w:rsid w:val="001555C9"/>
    <w:rsid w:val="001566E2"/>
    <w:rsid w:val="00171BDE"/>
    <w:rsid w:val="001777C8"/>
    <w:rsid w:val="00183B6C"/>
    <w:rsid w:val="00185AB5"/>
    <w:rsid w:val="00187BCF"/>
    <w:rsid w:val="001939F9"/>
    <w:rsid w:val="001A1F9C"/>
    <w:rsid w:val="001A6AD0"/>
    <w:rsid w:val="001A6B9B"/>
    <w:rsid w:val="001B540D"/>
    <w:rsid w:val="001C22A3"/>
    <w:rsid w:val="001D4F23"/>
    <w:rsid w:val="001D531C"/>
    <w:rsid w:val="001D65FF"/>
    <w:rsid w:val="001E39D0"/>
    <w:rsid w:val="002265A6"/>
    <w:rsid w:val="00234E0D"/>
    <w:rsid w:val="00235367"/>
    <w:rsid w:val="00237637"/>
    <w:rsid w:val="00237DFC"/>
    <w:rsid w:val="0024150C"/>
    <w:rsid w:val="002435CB"/>
    <w:rsid w:val="002533D6"/>
    <w:rsid w:val="0025767B"/>
    <w:rsid w:val="0026276A"/>
    <w:rsid w:val="0026289F"/>
    <w:rsid w:val="002731C4"/>
    <w:rsid w:val="00280483"/>
    <w:rsid w:val="00282793"/>
    <w:rsid w:val="00293368"/>
    <w:rsid w:val="00297914"/>
    <w:rsid w:val="002B2B93"/>
    <w:rsid w:val="002C6D5E"/>
    <w:rsid w:val="002D4FB4"/>
    <w:rsid w:val="002E1B1C"/>
    <w:rsid w:val="002E55FC"/>
    <w:rsid w:val="002E6336"/>
    <w:rsid w:val="002E7AD5"/>
    <w:rsid w:val="002F6F55"/>
    <w:rsid w:val="00302DD3"/>
    <w:rsid w:val="003079FF"/>
    <w:rsid w:val="003101B3"/>
    <w:rsid w:val="00310ECD"/>
    <w:rsid w:val="00315F48"/>
    <w:rsid w:val="003314A2"/>
    <w:rsid w:val="0033583F"/>
    <w:rsid w:val="0034653A"/>
    <w:rsid w:val="003514B9"/>
    <w:rsid w:val="00352704"/>
    <w:rsid w:val="00360404"/>
    <w:rsid w:val="0036094D"/>
    <w:rsid w:val="00371238"/>
    <w:rsid w:val="00381F14"/>
    <w:rsid w:val="00393106"/>
    <w:rsid w:val="003A35C5"/>
    <w:rsid w:val="003B082E"/>
    <w:rsid w:val="003B10BE"/>
    <w:rsid w:val="003C2E81"/>
    <w:rsid w:val="003D0860"/>
    <w:rsid w:val="003D2AD6"/>
    <w:rsid w:val="003D7DFA"/>
    <w:rsid w:val="003E3DA6"/>
    <w:rsid w:val="003F3D64"/>
    <w:rsid w:val="0040208B"/>
    <w:rsid w:val="00407AE0"/>
    <w:rsid w:val="00411321"/>
    <w:rsid w:val="00427FCC"/>
    <w:rsid w:val="0044149A"/>
    <w:rsid w:val="004540C5"/>
    <w:rsid w:val="00454467"/>
    <w:rsid w:val="00456F62"/>
    <w:rsid w:val="00462CE8"/>
    <w:rsid w:val="00466F4F"/>
    <w:rsid w:val="00473B6F"/>
    <w:rsid w:val="004768AC"/>
    <w:rsid w:val="00477333"/>
    <w:rsid w:val="00483034"/>
    <w:rsid w:val="00494CD7"/>
    <w:rsid w:val="004A69E7"/>
    <w:rsid w:val="004B3389"/>
    <w:rsid w:val="004B420D"/>
    <w:rsid w:val="004B6A73"/>
    <w:rsid w:val="004B762C"/>
    <w:rsid w:val="004C7A6B"/>
    <w:rsid w:val="004E2638"/>
    <w:rsid w:val="004F1395"/>
    <w:rsid w:val="004F5431"/>
    <w:rsid w:val="005002DF"/>
    <w:rsid w:val="00500C8F"/>
    <w:rsid w:val="005029FB"/>
    <w:rsid w:val="00502C91"/>
    <w:rsid w:val="005036BD"/>
    <w:rsid w:val="00513D76"/>
    <w:rsid w:val="00517143"/>
    <w:rsid w:val="00533A83"/>
    <w:rsid w:val="005370EA"/>
    <w:rsid w:val="0054266E"/>
    <w:rsid w:val="0054283F"/>
    <w:rsid w:val="0055552E"/>
    <w:rsid w:val="005801DF"/>
    <w:rsid w:val="0058234C"/>
    <w:rsid w:val="00583AAA"/>
    <w:rsid w:val="00587F64"/>
    <w:rsid w:val="00591ECB"/>
    <w:rsid w:val="0059347D"/>
    <w:rsid w:val="00594982"/>
    <w:rsid w:val="00597547"/>
    <w:rsid w:val="005B609F"/>
    <w:rsid w:val="005C6AE2"/>
    <w:rsid w:val="005D18A3"/>
    <w:rsid w:val="005D1C65"/>
    <w:rsid w:val="005D3E08"/>
    <w:rsid w:val="0061216E"/>
    <w:rsid w:val="00614F2E"/>
    <w:rsid w:val="00643F79"/>
    <w:rsid w:val="006502C3"/>
    <w:rsid w:val="00650BBE"/>
    <w:rsid w:val="00671AEA"/>
    <w:rsid w:val="006865BE"/>
    <w:rsid w:val="006A0C0A"/>
    <w:rsid w:val="006A453D"/>
    <w:rsid w:val="006B16D3"/>
    <w:rsid w:val="006B75EF"/>
    <w:rsid w:val="006C1C9C"/>
    <w:rsid w:val="006C2C78"/>
    <w:rsid w:val="006F1E7B"/>
    <w:rsid w:val="006F2914"/>
    <w:rsid w:val="006F3B58"/>
    <w:rsid w:val="006F4AE1"/>
    <w:rsid w:val="006F5533"/>
    <w:rsid w:val="00704979"/>
    <w:rsid w:val="00723635"/>
    <w:rsid w:val="0072374F"/>
    <w:rsid w:val="0072719F"/>
    <w:rsid w:val="00735E17"/>
    <w:rsid w:val="00737E8D"/>
    <w:rsid w:val="00742D40"/>
    <w:rsid w:val="007512CC"/>
    <w:rsid w:val="0076072C"/>
    <w:rsid w:val="00765CDF"/>
    <w:rsid w:val="00780A2D"/>
    <w:rsid w:val="00794181"/>
    <w:rsid w:val="007B0DD0"/>
    <w:rsid w:val="007B65A5"/>
    <w:rsid w:val="007C79CC"/>
    <w:rsid w:val="007D1498"/>
    <w:rsid w:val="007D484A"/>
    <w:rsid w:val="007E4103"/>
    <w:rsid w:val="007E57AA"/>
    <w:rsid w:val="007E6E49"/>
    <w:rsid w:val="007F0986"/>
    <w:rsid w:val="00805F44"/>
    <w:rsid w:val="008159D4"/>
    <w:rsid w:val="00820DBF"/>
    <w:rsid w:val="008221DC"/>
    <w:rsid w:val="00822FBF"/>
    <w:rsid w:val="0083314E"/>
    <w:rsid w:val="0083356C"/>
    <w:rsid w:val="008361C8"/>
    <w:rsid w:val="00852606"/>
    <w:rsid w:val="00873C16"/>
    <w:rsid w:val="00876B4A"/>
    <w:rsid w:val="008857D8"/>
    <w:rsid w:val="00887ADD"/>
    <w:rsid w:val="00891F86"/>
    <w:rsid w:val="008935FA"/>
    <w:rsid w:val="008963EC"/>
    <w:rsid w:val="008B00DD"/>
    <w:rsid w:val="008B5591"/>
    <w:rsid w:val="008C3830"/>
    <w:rsid w:val="008E2B30"/>
    <w:rsid w:val="008F4EED"/>
    <w:rsid w:val="00901101"/>
    <w:rsid w:val="00903464"/>
    <w:rsid w:val="009150C8"/>
    <w:rsid w:val="009175BA"/>
    <w:rsid w:val="00922361"/>
    <w:rsid w:val="00930259"/>
    <w:rsid w:val="009334D9"/>
    <w:rsid w:val="00942600"/>
    <w:rsid w:val="00952BD5"/>
    <w:rsid w:val="009559B5"/>
    <w:rsid w:val="0095738B"/>
    <w:rsid w:val="00963193"/>
    <w:rsid w:val="00985AA7"/>
    <w:rsid w:val="009A2C2D"/>
    <w:rsid w:val="009B1EF0"/>
    <w:rsid w:val="009C1BD1"/>
    <w:rsid w:val="009C5013"/>
    <w:rsid w:val="009D6EFE"/>
    <w:rsid w:val="009E375F"/>
    <w:rsid w:val="009E3C8B"/>
    <w:rsid w:val="00A132BF"/>
    <w:rsid w:val="00A3108E"/>
    <w:rsid w:val="00A440C8"/>
    <w:rsid w:val="00A4478D"/>
    <w:rsid w:val="00A51E69"/>
    <w:rsid w:val="00A61A8E"/>
    <w:rsid w:val="00A71A5E"/>
    <w:rsid w:val="00A73C5D"/>
    <w:rsid w:val="00A8068A"/>
    <w:rsid w:val="00A94BC5"/>
    <w:rsid w:val="00AA040E"/>
    <w:rsid w:val="00AA50D2"/>
    <w:rsid w:val="00AB0E90"/>
    <w:rsid w:val="00AB34E1"/>
    <w:rsid w:val="00AB76E9"/>
    <w:rsid w:val="00AB7D80"/>
    <w:rsid w:val="00AC30B1"/>
    <w:rsid w:val="00AE1619"/>
    <w:rsid w:val="00B10598"/>
    <w:rsid w:val="00B11DA3"/>
    <w:rsid w:val="00B30DD9"/>
    <w:rsid w:val="00B33EA2"/>
    <w:rsid w:val="00B3459C"/>
    <w:rsid w:val="00B34900"/>
    <w:rsid w:val="00B46865"/>
    <w:rsid w:val="00B66FF5"/>
    <w:rsid w:val="00B748D4"/>
    <w:rsid w:val="00B749CF"/>
    <w:rsid w:val="00B829B1"/>
    <w:rsid w:val="00B906FB"/>
    <w:rsid w:val="00B972EA"/>
    <w:rsid w:val="00B9733A"/>
    <w:rsid w:val="00BA4317"/>
    <w:rsid w:val="00BB163F"/>
    <w:rsid w:val="00BC7264"/>
    <w:rsid w:val="00BD0683"/>
    <w:rsid w:val="00BE457B"/>
    <w:rsid w:val="00BF4074"/>
    <w:rsid w:val="00BF5A6C"/>
    <w:rsid w:val="00BF604C"/>
    <w:rsid w:val="00C27458"/>
    <w:rsid w:val="00C419AE"/>
    <w:rsid w:val="00C41B0D"/>
    <w:rsid w:val="00C53869"/>
    <w:rsid w:val="00C662BB"/>
    <w:rsid w:val="00C6694E"/>
    <w:rsid w:val="00C81E23"/>
    <w:rsid w:val="00C8231D"/>
    <w:rsid w:val="00C83E85"/>
    <w:rsid w:val="00C930EA"/>
    <w:rsid w:val="00CB0902"/>
    <w:rsid w:val="00CC1AF2"/>
    <w:rsid w:val="00CC2C02"/>
    <w:rsid w:val="00CE722D"/>
    <w:rsid w:val="00CF5EF8"/>
    <w:rsid w:val="00D01C51"/>
    <w:rsid w:val="00D12B77"/>
    <w:rsid w:val="00D20416"/>
    <w:rsid w:val="00D308C0"/>
    <w:rsid w:val="00D67EB0"/>
    <w:rsid w:val="00D75B70"/>
    <w:rsid w:val="00D83987"/>
    <w:rsid w:val="00D83A8C"/>
    <w:rsid w:val="00D86985"/>
    <w:rsid w:val="00D9637D"/>
    <w:rsid w:val="00D97B29"/>
    <w:rsid w:val="00DC255F"/>
    <w:rsid w:val="00DC3851"/>
    <w:rsid w:val="00DE0FD5"/>
    <w:rsid w:val="00DE358E"/>
    <w:rsid w:val="00DE603B"/>
    <w:rsid w:val="00DE6111"/>
    <w:rsid w:val="00E04F3D"/>
    <w:rsid w:val="00E20497"/>
    <w:rsid w:val="00E20884"/>
    <w:rsid w:val="00E20D0E"/>
    <w:rsid w:val="00E343C8"/>
    <w:rsid w:val="00E5588F"/>
    <w:rsid w:val="00E55D62"/>
    <w:rsid w:val="00E7225F"/>
    <w:rsid w:val="00E723CF"/>
    <w:rsid w:val="00E76707"/>
    <w:rsid w:val="00E76C24"/>
    <w:rsid w:val="00E83BC9"/>
    <w:rsid w:val="00E907A3"/>
    <w:rsid w:val="00E96115"/>
    <w:rsid w:val="00E973C4"/>
    <w:rsid w:val="00EA27CC"/>
    <w:rsid w:val="00EB1FCC"/>
    <w:rsid w:val="00EB67A5"/>
    <w:rsid w:val="00EB7105"/>
    <w:rsid w:val="00EC1664"/>
    <w:rsid w:val="00ED30E3"/>
    <w:rsid w:val="00EF083E"/>
    <w:rsid w:val="00EF3D2F"/>
    <w:rsid w:val="00F004EB"/>
    <w:rsid w:val="00F05E97"/>
    <w:rsid w:val="00F1216D"/>
    <w:rsid w:val="00F14988"/>
    <w:rsid w:val="00F15072"/>
    <w:rsid w:val="00F240F4"/>
    <w:rsid w:val="00F40BC2"/>
    <w:rsid w:val="00F809FB"/>
    <w:rsid w:val="00F9288E"/>
    <w:rsid w:val="00F9499A"/>
    <w:rsid w:val="00FA6BF1"/>
    <w:rsid w:val="00FB253F"/>
    <w:rsid w:val="00FD3966"/>
    <w:rsid w:val="00FD7202"/>
    <w:rsid w:val="00FE2FBD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2C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4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BF"/>
    <w:pPr>
      <w:ind w:left="720"/>
      <w:contextualSpacing/>
    </w:pPr>
  </w:style>
  <w:style w:type="paragraph" w:styleId="NoSpacing">
    <w:name w:val="No Spacing"/>
    <w:uiPriority w:val="99"/>
    <w:qFormat/>
    <w:rsid w:val="00E20D0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414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149A"/>
    <w:rPr>
      <w:sz w:val="20"/>
      <w:szCs w:val="20"/>
    </w:rPr>
  </w:style>
  <w:style w:type="character" w:styleId="FootnoteReference">
    <w:name w:val="footnote reference"/>
    <w:aliases w:val="BVI fnr,Footnote Reference Number,Footnote Reference_LVL6,Footnote Reference_LVL61,Footnote Reference_LVL62,Footnote Reference_LVL63,Footnote Reference_LVL64,Footnote symbol,Odwo&lt;0142&gt;anie przypisu,Odwołanie przypisu,Ref,fr"/>
    <w:basedOn w:val="DefaultParagraphFont"/>
    <w:uiPriority w:val="99"/>
    <w:unhideWhenUsed/>
    <w:qFormat/>
    <w:rsid w:val="0044149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12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1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1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2CC"/>
  </w:style>
  <w:style w:type="paragraph" w:styleId="Footer">
    <w:name w:val="footer"/>
    <w:basedOn w:val="Normal"/>
    <w:link w:val="FooterChar"/>
    <w:uiPriority w:val="99"/>
    <w:unhideWhenUsed/>
    <w:rsid w:val="0075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2CC"/>
  </w:style>
  <w:style w:type="paragraph" w:styleId="Revision">
    <w:name w:val="Revision"/>
    <w:hidden/>
    <w:uiPriority w:val="99"/>
    <w:semiHidden/>
    <w:rsid w:val="00CC2C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4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BF"/>
    <w:pPr>
      <w:ind w:left="720"/>
      <w:contextualSpacing/>
    </w:pPr>
  </w:style>
  <w:style w:type="paragraph" w:styleId="NoSpacing">
    <w:name w:val="No Spacing"/>
    <w:uiPriority w:val="99"/>
    <w:qFormat/>
    <w:rsid w:val="00E20D0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414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149A"/>
    <w:rPr>
      <w:sz w:val="20"/>
      <w:szCs w:val="20"/>
    </w:rPr>
  </w:style>
  <w:style w:type="character" w:styleId="FootnoteReference">
    <w:name w:val="footnote reference"/>
    <w:aliases w:val="BVI fnr,Footnote Reference Number,Footnote Reference_LVL6,Footnote Reference_LVL61,Footnote Reference_LVL62,Footnote Reference_LVL63,Footnote Reference_LVL64,Footnote symbol,Odwo&lt;0142&gt;anie przypisu,Odwołanie przypisu,Ref,fr"/>
    <w:basedOn w:val="DefaultParagraphFont"/>
    <w:uiPriority w:val="99"/>
    <w:unhideWhenUsed/>
    <w:qFormat/>
    <w:rsid w:val="0044149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12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1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1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2CC"/>
  </w:style>
  <w:style w:type="paragraph" w:styleId="Footer">
    <w:name w:val="footer"/>
    <w:basedOn w:val="Normal"/>
    <w:link w:val="FooterChar"/>
    <w:uiPriority w:val="99"/>
    <w:unhideWhenUsed/>
    <w:rsid w:val="00751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2CC"/>
  </w:style>
  <w:style w:type="paragraph" w:styleId="Revision">
    <w:name w:val="Revision"/>
    <w:hidden/>
    <w:uiPriority w:val="99"/>
    <w:semiHidden/>
    <w:rsid w:val="00CC2C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689B764007EAF4448C47CEB489E92E39" ma:contentTypeVersion="" ma:contentTypeDescription="" ma:contentTypeScope="" ma:versionID="1da0380ebaf11b1542adb349b16901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0x00689B764007EAF4448C47CEB489E92E39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>1547/4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429D8-DFAD-4077-A8E9-01F05CA3D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5017F-9610-42AD-ADE9-38F2797B5BA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29464E8-D1B0-4E6D-8EE2-39F42D6B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 i ripunuar</vt:lpstr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 i ripunuar</dc:title>
  <dc:creator>Blerina Kaza</dc:creator>
  <cp:lastModifiedBy>Ermira Bukaci</cp:lastModifiedBy>
  <cp:revision>3</cp:revision>
  <cp:lastPrinted>2023-05-24T07:46:00Z</cp:lastPrinted>
  <dcterms:created xsi:type="dcterms:W3CDTF">2023-05-25T11:15:00Z</dcterms:created>
  <dcterms:modified xsi:type="dcterms:W3CDTF">2023-05-25T11:24:00Z</dcterms:modified>
</cp:coreProperties>
</file>