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892FD4" w14:textId="54D60276" w:rsidR="00D00E04" w:rsidRPr="00E65A30" w:rsidRDefault="00ED42C3" w:rsidP="00DF274C">
      <w:pPr>
        <w:spacing w:after="0" w:line="240" w:lineRule="auto"/>
        <w:ind w:firstLine="284"/>
        <w:jc w:val="center"/>
        <w:rPr>
          <w:rFonts w:ascii="Garamond" w:hAnsi="Garamond"/>
          <w:b/>
          <w:sz w:val="24"/>
          <w:szCs w:val="24"/>
          <w:lang w:val="sq-AL" w:eastAsia="ja-JP"/>
        </w:rPr>
      </w:pPr>
      <w:r w:rsidRPr="00E65A30">
        <w:rPr>
          <w:rFonts w:ascii="Garamond" w:hAnsi="Garamond"/>
          <w:b/>
          <w:sz w:val="24"/>
          <w:szCs w:val="24"/>
          <w:lang w:val="sq-AL" w:eastAsia="ja-JP"/>
        </w:rPr>
        <w:t>VENDIM</w:t>
      </w:r>
    </w:p>
    <w:p w14:paraId="272D421E" w14:textId="17324589" w:rsidR="00B56218" w:rsidRPr="00E65A30" w:rsidRDefault="00ED42C3" w:rsidP="00DF274C">
      <w:pPr>
        <w:spacing w:after="0" w:line="240" w:lineRule="auto"/>
        <w:ind w:firstLine="284"/>
        <w:jc w:val="center"/>
        <w:rPr>
          <w:rFonts w:ascii="Garamond" w:hAnsi="Garamond"/>
          <w:b/>
          <w:sz w:val="24"/>
          <w:szCs w:val="24"/>
          <w:lang w:val="sq-AL" w:eastAsia="ja-JP"/>
        </w:rPr>
      </w:pPr>
      <w:r w:rsidRPr="00E65A30">
        <w:rPr>
          <w:rFonts w:ascii="Garamond" w:hAnsi="Garamond"/>
          <w:b/>
          <w:sz w:val="24"/>
          <w:szCs w:val="24"/>
          <w:lang w:val="sq-AL" w:eastAsia="ja-JP"/>
        </w:rPr>
        <w:t>Nr</w:t>
      </w:r>
      <w:r w:rsidR="00551CD1" w:rsidRPr="00E65A30">
        <w:rPr>
          <w:rFonts w:ascii="Garamond" w:hAnsi="Garamond"/>
          <w:b/>
          <w:sz w:val="24"/>
          <w:szCs w:val="24"/>
          <w:lang w:val="sq-AL" w:eastAsia="ja-JP"/>
        </w:rPr>
        <w:t>.</w:t>
      </w:r>
      <w:r w:rsidR="00E65A30">
        <w:rPr>
          <w:rFonts w:ascii="Garamond" w:hAnsi="Garamond"/>
          <w:b/>
          <w:sz w:val="24"/>
          <w:szCs w:val="24"/>
          <w:lang w:val="sq-AL" w:eastAsia="ja-JP"/>
        </w:rPr>
        <w:t xml:space="preserve"> </w:t>
      </w:r>
      <w:r w:rsidR="00FC4D75" w:rsidRPr="00E65A30">
        <w:rPr>
          <w:rFonts w:ascii="Garamond" w:hAnsi="Garamond"/>
          <w:b/>
          <w:sz w:val="24"/>
          <w:szCs w:val="24"/>
          <w:lang w:val="sq-AL" w:eastAsia="ja-JP"/>
        </w:rPr>
        <w:t>320</w:t>
      </w:r>
      <w:r w:rsidR="00263D3A" w:rsidRPr="00E65A30">
        <w:rPr>
          <w:rFonts w:ascii="Garamond" w:hAnsi="Garamond"/>
          <w:b/>
          <w:sz w:val="24"/>
          <w:szCs w:val="24"/>
          <w:lang w:val="sq-AL" w:eastAsia="ja-JP"/>
        </w:rPr>
        <w:t xml:space="preserve">, datë </w:t>
      </w:r>
      <w:r w:rsidR="005057DB">
        <w:rPr>
          <w:rFonts w:ascii="Garamond" w:hAnsi="Garamond"/>
          <w:b/>
          <w:sz w:val="24"/>
          <w:szCs w:val="24"/>
          <w:lang w:val="sq-AL" w:eastAsia="ja-JP"/>
        </w:rPr>
        <w:t>31.5</w:t>
      </w:r>
      <w:bookmarkStart w:id="0" w:name="_GoBack"/>
      <w:bookmarkEnd w:id="0"/>
      <w:r w:rsidR="00773738" w:rsidRPr="00E65A30">
        <w:rPr>
          <w:rFonts w:ascii="Garamond" w:hAnsi="Garamond"/>
          <w:b/>
          <w:sz w:val="24"/>
          <w:szCs w:val="24"/>
          <w:lang w:val="sq-AL" w:eastAsia="ja-JP"/>
        </w:rPr>
        <w:t>.2023</w:t>
      </w:r>
    </w:p>
    <w:p w14:paraId="0D8A855A" w14:textId="77777777" w:rsidR="00DF274C" w:rsidRPr="00E65A30" w:rsidRDefault="00DF274C" w:rsidP="00DF274C">
      <w:pPr>
        <w:spacing w:after="0" w:line="240" w:lineRule="auto"/>
        <w:ind w:firstLine="284"/>
        <w:jc w:val="center"/>
        <w:rPr>
          <w:rFonts w:ascii="Garamond" w:hAnsi="Garamond"/>
          <w:b/>
          <w:sz w:val="24"/>
          <w:szCs w:val="24"/>
          <w:lang w:val="sq-AL"/>
        </w:rPr>
      </w:pPr>
    </w:p>
    <w:p w14:paraId="35C9EC1E" w14:textId="5716F231" w:rsidR="00DF274C" w:rsidRPr="00E65A30" w:rsidRDefault="00DF274C" w:rsidP="00DF274C">
      <w:pPr>
        <w:spacing w:after="0" w:line="240" w:lineRule="auto"/>
        <w:ind w:firstLine="284"/>
        <w:jc w:val="center"/>
        <w:rPr>
          <w:rFonts w:ascii="Garamond" w:hAnsi="Garamond"/>
          <w:b/>
          <w:sz w:val="24"/>
          <w:szCs w:val="24"/>
          <w:lang w:val="sq-AL"/>
        </w:rPr>
      </w:pPr>
      <w:r w:rsidRPr="00E65A30">
        <w:rPr>
          <w:rFonts w:ascii="Garamond" w:hAnsi="Garamond"/>
          <w:b/>
          <w:sz w:val="24"/>
          <w:szCs w:val="24"/>
          <w:lang w:val="sq-AL"/>
        </w:rPr>
        <w:t>PËR NGRITJEN E TASK-FORCËS PËR KOORDINIMIN E PROCESIT</w:t>
      </w:r>
      <w:r w:rsidR="00E65A30">
        <w:rPr>
          <w:rFonts w:ascii="Garamond" w:hAnsi="Garamond"/>
          <w:b/>
          <w:sz w:val="24"/>
          <w:szCs w:val="24"/>
          <w:lang w:val="sq-AL"/>
        </w:rPr>
        <w:t xml:space="preserve"> </w:t>
      </w:r>
      <w:r w:rsidRPr="00E65A30">
        <w:rPr>
          <w:rFonts w:ascii="Garamond" w:hAnsi="Garamond"/>
          <w:b/>
          <w:sz w:val="24"/>
          <w:szCs w:val="24"/>
          <w:lang w:val="sq-AL"/>
        </w:rPr>
        <w:t>TË TRAJTIMIT TË TOKAVE BUJQËSORE NË PËRDORIM,</w:t>
      </w:r>
      <w:r w:rsidR="00E65A30">
        <w:rPr>
          <w:rFonts w:ascii="Garamond" w:hAnsi="Garamond"/>
          <w:b/>
          <w:sz w:val="24"/>
          <w:szCs w:val="24"/>
          <w:lang w:val="sq-AL"/>
        </w:rPr>
        <w:t xml:space="preserve"> </w:t>
      </w:r>
      <w:r w:rsidRPr="00E65A30">
        <w:rPr>
          <w:rFonts w:ascii="Garamond" w:hAnsi="Garamond"/>
          <w:b/>
          <w:sz w:val="24"/>
          <w:szCs w:val="24"/>
          <w:lang w:val="sq-AL"/>
        </w:rPr>
        <w:t>NË KUSHTET E NENIT 12, TË LIGJIT NR.</w:t>
      </w:r>
      <w:r w:rsidR="00E65A30">
        <w:rPr>
          <w:rFonts w:ascii="Garamond" w:hAnsi="Garamond"/>
          <w:b/>
          <w:sz w:val="24"/>
          <w:szCs w:val="24"/>
          <w:lang w:val="sq-AL"/>
        </w:rPr>
        <w:t xml:space="preserve"> </w:t>
      </w:r>
      <w:r w:rsidRPr="00E65A30">
        <w:rPr>
          <w:rFonts w:ascii="Garamond" w:hAnsi="Garamond"/>
          <w:b/>
          <w:sz w:val="24"/>
          <w:szCs w:val="24"/>
          <w:lang w:val="sq-AL"/>
        </w:rPr>
        <w:t>20/2020</w:t>
      </w:r>
    </w:p>
    <w:p w14:paraId="1E7402FB" w14:textId="77777777" w:rsidR="00DF274C" w:rsidRPr="00E65A30" w:rsidRDefault="00DF274C" w:rsidP="00DF274C">
      <w:pPr>
        <w:spacing w:after="0" w:line="240" w:lineRule="auto"/>
        <w:ind w:firstLine="284"/>
        <w:jc w:val="both"/>
        <w:rPr>
          <w:rFonts w:ascii="Garamond" w:hAnsi="Garamond"/>
          <w:sz w:val="24"/>
          <w:szCs w:val="24"/>
          <w:lang w:val="sq-AL"/>
        </w:rPr>
      </w:pPr>
    </w:p>
    <w:p w14:paraId="63A326FB" w14:textId="655DE6A2" w:rsidR="00DF274C" w:rsidRPr="00E65A30" w:rsidRDefault="00DF274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Në mbështetje të nenit 100 të Kushtetutës</w:t>
      </w:r>
      <w:r w:rsidR="00E65A30">
        <w:rPr>
          <w:rFonts w:ascii="Garamond" w:hAnsi="Garamond"/>
          <w:sz w:val="24"/>
          <w:szCs w:val="24"/>
          <w:lang w:val="sq-AL"/>
        </w:rPr>
        <w:t>;</w:t>
      </w:r>
      <w:r w:rsidRPr="00E65A30">
        <w:rPr>
          <w:rFonts w:ascii="Garamond" w:hAnsi="Garamond"/>
          <w:sz w:val="24"/>
          <w:szCs w:val="24"/>
          <w:lang w:val="sq-AL"/>
        </w:rPr>
        <w:t xml:space="preserve"> të ligjit nr.</w:t>
      </w:r>
      <w:r w:rsidR="00E65A30">
        <w:rPr>
          <w:rFonts w:ascii="Garamond" w:hAnsi="Garamond"/>
          <w:sz w:val="24"/>
          <w:szCs w:val="24"/>
          <w:lang w:val="sq-AL"/>
        </w:rPr>
        <w:t xml:space="preserve"> </w:t>
      </w:r>
      <w:r w:rsidRPr="00E65A30">
        <w:rPr>
          <w:rFonts w:ascii="Garamond" w:hAnsi="Garamond"/>
          <w:sz w:val="24"/>
          <w:szCs w:val="24"/>
          <w:lang w:val="sq-AL"/>
        </w:rPr>
        <w:t xml:space="preserve">9000, datë 30.1.2003, </w:t>
      </w:r>
      <w:r w:rsidRPr="00E65A30">
        <w:rPr>
          <w:rFonts w:ascii="Garamond" w:hAnsi="Garamond"/>
          <w:sz w:val="24"/>
          <w:szCs w:val="24"/>
          <w:rtl/>
          <w:lang w:val="sq-AL"/>
        </w:rPr>
        <w:t>“</w:t>
      </w:r>
      <w:r w:rsidRPr="00E65A30">
        <w:rPr>
          <w:rFonts w:ascii="Garamond" w:hAnsi="Garamond"/>
          <w:sz w:val="24"/>
          <w:szCs w:val="24"/>
          <w:lang w:val="sq-AL"/>
        </w:rPr>
        <w:t>Për organizimin dhe funksionimin e Këshillit të Ministrave”, dhe të ligjit nr.</w:t>
      </w:r>
      <w:r w:rsidR="00E65A30">
        <w:rPr>
          <w:rFonts w:ascii="Garamond" w:hAnsi="Garamond"/>
          <w:sz w:val="24"/>
          <w:szCs w:val="24"/>
          <w:lang w:val="sq-AL"/>
        </w:rPr>
        <w:t xml:space="preserve"> </w:t>
      </w:r>
      <w:r w:rsidRPr="00E65A30">
        <w:rPr>
          <w:rFonts w:ascii="Garamond" w:hAnsi="Garamond"/>
          <w:sz w:val="24"/>
          <w:szCs w:val="24"/>
          <w:lang w:val="sq-AL"/>
        </w:rPr>
        <w:t xml:space="preserve">90/2012, </w:t>
      </w:r>
      <w:r w:rsidRPr="00E65A30">
        <w:rPr>
          <w:rFonts w:ascii="Garamond" w:hAnsi="Garamond"/>
          <w:sz w:val="24"/>
          <w:szCs w:val="24"/>
          <w:rtl/>
          <w:lang w:val="sq-AL"/>
        </w:rPr>
        <w:t>“</w:t>
      </w:r>
      <w:r w:rsidRPr="00E65A30">
        <w:rPr>
          <w:rFonts w:ascii="Garamond" w:hAnsi="Garamond"/>
          <w:sz w:val="24"/>
          <w:szCs w:val="24"/>
          <w:lang w:val="sq-AL"/>
        </w:rPr>
        <w:t>Për organizimin dhe funksionimin e administratës shtetërore”, me propozimin e Kryeministrit, Këshilli i Ministrave</w:t>
      </w:r>
    </w:p>
    <w:p w14:paraId="051B562F" w14:textId="77777777" w:rsidR="00DF274C" w:rsidRPr="00E65A30" w:rsidRDefault="00DF274C" w:rsidP="00DF274C">
      <w:pPr>
        <w:spacing w:after="0" w:line="240" w:lineRule="auto"/>
        <w:ind w:firstLine="284"/>
        <w:jc w:val="both"/>
        <w:rPr>
          <w:rFonts w:ascii="Garamond" w:hAnsi="Garamond"/>
          <w:sz w:val="24"/>
          <w:szCs w:val="24"/>
          <w:lang w:val="sq-AL"/>
        </w:rPr>
      </w:pPr>
    </w:p>
    <w:p w14:paraId="04C60B3D" w14:textId="64109EC4" w:rsidR="00DF274C" w:rsidRPr="00E65A30" w:rsidRDefault="00DF274C" w:rsidP="00DF274C">
      <w:pPr>
        <w:spacing w:after="0" w:line="240" w:lineRule="auto"/>
        <w:ind w:firstLine="284"/>
        <w:jc w:val="center"/>
        <w:rPr>
          <w:rFonts w:ascii="Garamond" w:hAnsi="Garamond"/>
          <w:sz w:val="24"/>
          <w:szCs w:val="24"/>
          <w:lang w:val="sq-AL"/>
        </w:rPr>
      </w:pPr>
      <w:r w:rsidRPr="00E65A30">
        <w:rPr>
          <w:rFonts w:ascii="Garamond" w:hAnsi="Garamond"/>
          <w:sz w:val="24"/>
          <w:szCs w:val="24"/>
          <w:lang w:val="sq-AL"/>
        </w:rPr>
        <w:t>VENDOSI:</w:t>
      </w:r>
    </w:p>
    <w:p w14:paraId="3CA9E58C" w14:textId="77777777" w:rsidR="00DF274C" w:rsidRPr="00E65A30" w:rsidRDefault="00DF274C" w:rsidP="00DF274C">
      <w:pPr>
        <w:spacing w:after="0" w:line="240" w:lineRule="auto"/>
        <w:ind w:firstLine="284"/>
        <w:jc w:val="both"/>
        <w:rPr>
          <w:rFonts w:ascii="Garamond" w:hAnsi="Garamond"/>
          <w:sz w:val="24"/>
          <w:szCs w:val="24"/>
          <w:lang w:val="sq-AL"/>
        </w:rPr>
      </w:pPr>
    </w:p>
    <w:p w14:paraId="5CD80326" w14:textId="5E65AF37" w:rsidR="00DF274C" w:rsidRPr="00E65A30" w:rsidRDefault="00DF274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1. Krijimin e Task-Forcës ndërinstitucionale për mënyrën e trajtimit të pasurive të paluajtshme “tokë bujqësore”, në përdorim të personave fizikë (individë) pa titull pronësie, të cilët gjenden në kushtet e nenit 12, të ligjit nr.</w:t>
      </w:r>
      <w:r w:rsidR="00E65A30">
        <w:rPr>
          <w:rFonts w:ascii="Garamond" w:hAnsi="Garamond"/>
          <w:sz w:val="24"/>
          <w:szCs w:val="24"/>
          <w:lang w:val="sq-AL"/>
        </w:rPr>
        <w:t xml:space="preserve"> </w:t>
      </w:r>
      <w:r w:rsidRPr="00E65A30">
        <w:rPr>
          <w:rFonts w:ascii="Garamond" w:hAnsi="Garamond"/>
          <w:sz w:val="24"/>
          <w:szCs w:val="24"/>
          <w:lang w:val="sq-AL"/>
        </w:rPr>
        <w:t>20/2020.</w:t>
      </w:r>
    </w:p>
    <w:p w14:paraId="51D91D22" w14:textId="5CD23D01"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2. </w:t>
      </w:r>
      <w:r w:rsidR="00DF274C" w:rsidRPr="00E65A30">
        <w:rPr>
          <w:rFonts w:ascii="Garamond" w:hAnsi="Garamond"/>
          <w:sz w:val="24"/>
          <w:szCs w:val="24"/>
          <w:lang w:val="sq-AL"/>
        </w:rPr>
        <w:t>Qëllimet e këtij vendimi dhe të veprimtarisë së Task-Forcës që krijohet nëpërmjet tij janë:</w:t>
      </w:r>
    </w:p>
    <w:p w14:paraId="4D7F604A" w14:textId="31109E67"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a) </w:t>
      </w:r>
      <w:r w:rsidR="00DF274C" w:rsidRPr="00E65A30">
        <w:rPr>
          <w:rFonts w:ascii="Garamond" w:hAnsi="Garamond"/>
          <w:sz w:val="24"/>
          <w:szCs w:val="24"/>
          <w:lang w:val="sq-AL"/>
        </w:rPr>
        <w:t>identifikimi i problematikave në lidhje me zbatueshmërinë e legjislacionit në fuqi për tokat bujqësore në përdorim, pa titull pronësie;</w:t>
      </w:r>
    </w:p>
    <w:p w14:paraId="2A9DCCE7" w14:textId="31E078FA"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b) </w:t>
      </w:r>
      <w:r w:rsidR="00DF274C" w:rsidRPr="00E65A30">
        <w:rPr>
          <w:rFonts w:ascii="Garamond" w:hAnsi="Garamond"/>
          <w:sz w:val="24"/>
          <w:szCs w:val="24"/>
          <w:lang w:val="sq-AL"/>
        </w:rPr>
        <w:t>hartimi i planit të veprimit për trajtimin dhe zgjidhjen e problematikës;</w:t>
      </w:r>
    </w:p>
    <w:p w14:paraId="02CA817B" w14:textId="2E37D5EA"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c) </w:t>
      </w:r>
      <w:r w:rsidR="00DF274C" w:rsidRPr="00E65A30">
        <w:rPr>
          <w:rFonts w:ascii="Garamond" w:hAnsi="Garamond"/>
          <w:sz w:val="24"/>
          <w:szCs w:val="24"/>
          <w:lang w:val="sq-AL"/>
        </w:rPr>
        <w:t>koordinimi ndërmjet institucioneve qendrore, vendore, Agjencisë Shtetërore të Kadastrës dhe përdoruesve faktikë të tokës bujqësore, në funksion të zgjidhjes përfundimtare të problematikave.</w:t>
      </w:r>
    </w:p>
    <w:p w14:paraId="0299DCE1" w14:textId="03CAA821"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3. </w:t>
      </w:r>
      <w:r w:rsidR="00DF274C" w:rsidRPr="00E65A30">
        <w:rPr>
          <w:rFonts w:ascii="Garamond" w:hAnsi="Garamond"/>
          <w:sz w:val="24"/>
          <w:szCs w:val="24"/>
          <w:lang w:val="sq-AL"/>
        </w:rPr>
        <w:t>Task-Forca krijohet për njësi administrative territoriale të veçanta dhe përbërja e saj miratohet me urdhër të Kryeministrit. Task-Forca drejtohet nga kryetari dhe ka në përbërje të saj deri në një përfaqësues të secilit prej institucioneve të mëposhtme:</w:t>
      </w:r>
    </w:p>
    <w:p w14:paraId="248F3059" w14:textId="0F3364BA"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a) </w:t>
      </w:r>
      <w:r w:rsidR="00DF274C" w:rsidRPr="00E65A30">
        <w:rPr>
          <w:rFonts w:ascii="Garamond" w:hAnsi="Garamond"/>
          <w:sz w:val="24"/>
          <w:szCs w:val="24"/>
          <w:lang w:val="sq-AL"/>
        </w:rPr>
        <w:t>Agjencia Shtetërore e Kadastrës;</w:t>
      </w:r>
    </w:p>
    <w:p w14:paraId="243E85E0" w14:textId="104D9094"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b) </w:t>
      </w:r>
      <w:r w:rsidR="00DF274C" w:rsidRPr="00E65A30">
        <w:rPr>
          <w:rFonts w:ascii="Garamond" w:hAnsi="Garamond"/>
          <w:sz w:val="24"/>
          <w:szCs w:val="24"/>
          <w:lang w:val="sq-AL"/>
        </w:rPr>
        <w:t>Ministria e Bujqësisë dhe Zhvillimit Rural;</w:t>
      </w:r>
    </w:p>
    <w:p w14:paraId="0DA2970E" w14:textId="52E60121"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c) </w:t>
      </w:r>
      <w:r w:rsidR="00DF274C" w:rsidRPr="00E65A30">
        <w:rPr>
          <w:rFonts w:ascii="Garamond" w:hAnsi="Garamond"/>
          <w:sz w:val="24"/>
          <w:szCs w:val="24"/>
          <w:lang w:val="sq-AL"/>
        </w:rPr>
        <w:t>Ministria e Financave dhe Ekonomisë;</w:t>
      </w:r>
    </w:p>
    <w:p w14:paraId="31899BCD" w14:textId="7E33C116" w:rsidR="00DF274C" w:rsidRPr="00E65A30" w:rsidRDefault="00DF274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ç</w:t>
      </w:r>
      <w:r w:rsidR="000231AC" w:rsidRPr="00E65A30">
        <w:rPr>
          <w:rFonts w:ascii="Garamond" w:hAnsi="Garamond"/>
          <w:sz w:val="24"/>
          <w:szCs w:val="24"/>
          <w:lang w:val="sq-AL"/>
        </w:rPr>
        <w:t xml:space="preserve">) </w:t>
      </w:r>
      <w:r w:rsidRPr="00E65A30">
        <w:rPr>
          <w:rFonts w:ascii="Garamond" w:hAnsi="Garamond"/>
          <w:sz w:val="24"/>
          <w:szCs w:val="24"/>
          <w:lang w:val="sq-AL"/>
        </w:rPr>
        <w:t>Ministria e Drejtësisë;</w:t>
      </w:r>
    </w:p>
    <w:p w14:paraId="072AC54B" w14:textId="77777777" w:rsidR="00DF274C" w:rsidRPr="00E65A30" w:rsidRDefault="00DF274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d) Agjencia e Trajtimit të Pronës;</w:t>
      </w:r>
    </w:p>
    <w:p w14:paraId="0EDF7C1B" w14:textId="22836959" w:rsidR="00DF274C" w:rsidRPr="00E65A30" w:rsidRDefault="00DF274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dh) Autoriteti Shtetëror për Informacionin Gjeohapësinor.</w:t>
      </w:r>
    </w:p>
    <w:p w14:paraId="1D7CF655" w14:textId="7D9D1E79"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4. </w:t>
      </w:r>
      <w:r w:rsidR="00DF274C" w:rsidRPr="00E65A30">
        <w:rPr>
          <w:rFonts w:ascii="Garamond" w:hAnsi="Garamond"/>
          <w:sz w:val="24"/>
          <w:szCs w:val="24"/>
          <w:lang w:val="sq-AL"/>
        </w:rPr>
        <w:t>Krahas anëtarëve të përcaktuar në pikën 3, të këtij vendimi, në veprimtarinë e Task-Forcës mund të ftohen të marrin pjesë përfaqësues nga njësitë e</w:t>
      </w:r>
      <w:r w:rsidR="00E65A30">
        <w:rPr>
          <w:rFonts w:ascii="Garamond" w:hAnsi="Garamond"/>
          <w:sz w:val="24"/>
          <w:szCs w:val="24"/>
          <w:lang w:val="sq-AL"/>
        </w:rPr>
        <w:t xml:space="preserve"> </w:t>
      </w:r>
      <w:r w:rsidR="00DF274C" w:rsidRPr="00E65A30">
        <w:rPr>
          <w:rFonts w:ascii="Garamond" w:hAnsi="Garamond"/>
          <w:sz w:val="24"/>
          <w:szCs w:val="24"/>
          <w:lang w:val="sq-AL"/>
        </w:rPr>
        <w:t>vetëqever</w:t>
      </w:r>
      <w:r w:rsidR="00E65A30">
        <w:rPr>
          <w:rFonts w:ascii="Garamond" w:hAnsi="Garamond"/>
          <w:sz w:val="24"/>
          <w:szCs w:val="24"/>
          <w:lang w:val="sq-AL"/>
        </w:rPr>
        <w:t>i</w:t>
      </w:r>
      <w:r w:rsidR="00DF274C" w:rsidRPr="00E65A30">
        <w:rPr>
          <w:rFonts w:ascii="Garamond" w:hAnsi="Garamond"/>
          <w:sz w:val="24"/>
          <w:szCs w:val="24"/>
          <w:lang w:val="sq-AL"/>
        </w:rPr>
        <w:t xml:space="preserve">sjes vendore në njësinë </w:t>
      </w:r>
      <w:r w:rsidR="00E65A30" w:rsidRPr="00E65A30">
        <w:rPr>
          <w:rFonts w:ascii="Garamond" w:hAnsi="Garamond"/>
          <w:sz w:val="24"/>
          <w:szCs w:val="24"/>
          <w:lang w:val="sq-AL"/>
        </w:rPr>
        <w:t>administrative</w:t>
      </w:r>
      <w:r w:rsidR="00DF274C" w:rsidRPr="00E65A30">
        <w:rPr>
          <w:rFonts w:ascii="Garamond" w:hAnsi="Garamond"/>
          <w:sz w:val="24"/>
          <w:szCs w:val="24"/>
          <w:lang w:val="sq-AL"/>
        </w:rPr>
        <w:t xml:space="preserve"> vendore pranë së cilës Task-Forca do të ushtrojë detyrat e saj.</w:t>
      </w:r>
    </w:p>
    <w:p w14:paraId="2C7F8D0F" w14:textId="0033DFDE"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5. </w:t>
      </w:r>
      <w:r w:rsidR="00DF274C" w:rsidRPr="00E65A30">
        <w:rPr>
          <w:rFonts w:ascii="Garamond" w:hAnsi="Garamond"/>
          <w:sz w:val="24"/>
          <w:szCs w:val="24"/>
          <w:lang w:val="sq-AL"/>
        </w:rPr>
        <w:t>Kryetari i Task-Forcës përgjigjet para Kryeministrit për veprimtarinë e</w:t>
      </w:r>
      <w:r w:rsidR="00231416">
        <w:rPr>
          <w:rFonts w:ascii="Garamond" w:hAnsi="Garamond"/>
          <w:sz w:val="24"/>
          <w:szCs w:val="24"/>
          <w:lang w:val="sq-AL"/>
        </w:rPr>
        <w:t xml:space="preserve"> </w:t>
      </w:r>
      <w:r w:rsidR="00DF274C" w:rsidRPr="00E65A30">
        <w:rPr>
          <w:rFonts w:ascii="Garamond" w:hAnsi="Garamond"/>
          <w:sz w:val="24"/>
          <w:szCs w:val="24"/>
          <w:lang w:val="sq-AL"/>
        </w:rPr>
        <w:t>Task-Forcës dhe raporton në mënyrë periodike çdo muaj pranë tij. Në rast se Kryetari nuk është njëkohësisht edhe punonjës në ndonjë nga institucionet e administratës shtetërore, ai trajtohet me pagë me nivelin e drejtorit të përgjithshëm të përmbajtjes në ministri.</w:t>
      </w:r>
    </w:p>
    <w:p w14:paraId="7B15B7B9" w14:textId="14AAAF2C"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6. </w:t>
      </w:r>
      <w:r w:rsidR="00DF274C" w:rsidRPr="00E65A30">
        <w:rPr>
          <w:rFonts w:ascii="Garamond" w:hAnsi="Garamond"/>
          <w:sz w:val="24"/>
          <w:szCs w:val="24"/>
          <w:lang w:val="sq-AL"/>
        </w:rPr>
        <w:t xml:space="preserve">Në mbështetje të veprimtarisë së Task-Forcës, pranë Agjencisë Shtetërore të Kadastrës formohet sekretariati teknik i saj, i përbërë nga punonjës të kësaj Agjencie. Punonjësit e sekretariatit caktohen nga drejtori i </w:t>
      </w:r>
      <w:r w:rsidR="00E65A30" w:rsidRPr="00E65A30">
        <w:rPr>
          <w:rFonts w:ascii="Garamond" w:hAnsi="Garamond"/>
          <w:sz w:val="24"/>
          <w:szCs w:val="24"/>
          <w:lang w:val="sq-AL"/>
        </w:rPr>
        <w:t xml:space="preserve">përgjithshëm </w:t>
      </w:r>
      <w:r w:rsidR="00DF274C" w:rsidRPr="00E65A30">
        <w:rPr>
          <w:rFonts w:ascii="Garamond" w:hAnsi="Garamond"/>
          <w:sz w:val="24"/>
          <w:szCs w:val="24"/>
          <w:lang w:val="sq-AL"/>
        </w:rPr>
        <w:t>i ASHK-së.</w:t>
      </w:r>
    </w:p>
    <w:p w14:paraId="3B291F03" w14:textId="25123970"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7. </w:t>
      </w:r>
      <w:r w:rsidR="00DF274C" w:rsidRPr="00E65A30">
        <w:rPr>
          <w:rFonts w:ascii="Garamond" w:hAnsi="Garamond"/>
          <w:sz w:val="24"/>
          <w:szCs w:val="24"/>
          <w:lang w:val="sq-AL"/>
        </w:rPr>
        <w:t>Objekt i veprimtarisë së Task-Forcës janë pasuritë e paluajtshme që plotësojnë këto kushte:</w:t>
      </w:r>
    </w:p>
    <w:p w14:paraId="55857125" w14:textId="074B3B05"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a) </w:t>
      </w:r>
      <w:r w:rsidR="00E65A30" w:rsidRPr="00E65A30">
        <w:rPr>
          <w:rFonts w:ascii="Garamond" w:hAnsi="Garamond"/>
          <w:sz w:val="24"/>
          <w:szCs w:val="24"/>
          <w:lang w:val="sq-AL"/>
        </w:rPr>
        <w:t xml:space="preserve">janë </w:t>
      </w:r>
      <w:r w:rsidR="00DF274C" w:rsidRPr="00E65A30">
        <w:rPr>
          <w:rFonts w:ascii="Garamond" w:hAnsi="Garamond"/>
          <w:sz w:val="24"/>
          <w:szCs w:val="24"/>
          <w:lang w:val="sq-AL"/>
        </w:rPr>
        <w:t>braktisur nga subjekti pretendues ligjor dhe nuk janë regjistruar pranë ASHK-së;</w:t>
      </w:r>
    </w:p>
    <w:p w14:paraId="7B527B7E" w14:textId="19C985DC"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b)</w:t>
      </w:r>
      <w:r w:rsidR="00E65A30">
        <w:rPr>
          <w:rFonts w:ascii="Garamond" w:hAnsi="Garamond"/>
          <w:sz w:val="24"/>
          <w:szCs w:val="24"/>
          <w:lang w:val="sq-AL"/>
        </w:rPr>
        <w:t xml:space="preserve"> </w:t>
      </w:r>
      <w:r w:rsidR="00E65A30" w:rsidRPr="00E65A30">
        <w:rPr>
          <w:rFonts w:ascii="Garamond" w:hAnsi="Garamond"/>
          <w:sz w:val="24"/>
          <w:szCs w:val="24"/>
          <w:lang w:val="sq-AL"/>
        </w:rPr>
        <w:t xml:space="preserve">janë </w:t>
      </w:r>
      <w:r w:rsidR="00DF274C" w:rsidRPr="00E65A30">
        <w:rPr>
          <w:rFonts w:ascii="Garamond" w:hAnsi="Garamond"/>
          <w:sz w:val="24"/>
          <w:szCs w:val="24"/>
          <w:lang w:val="sq-AL"/>
        </w:rPr>
        <w:t>toka bujqësore (sipas zërave përkatës të saj);</w:t>
      </w:r>
    </w:p>
    <w:p w14:paraId="265895EC" w14:textId="52867F55"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c)</w:t>
      </w:r>
      <w:r w:rsidR="00E65A30">
        <w:rPr>
          <w:rFonts w:ascii="Garamond" w:hAnsi="Garamond"/>
          <w:sz w:val="24"/>
          <w:szCs w:val="24"/>
          <w:lang w:val="sq-AL"/>
        </w:rPr>
        <w:t xml:space="preserve"> </w:t>
      </w:r>
      <w:r w:rsidR="00E65A30" w:rsidRPr="00E65A30">
        <w:rPr>
          <w:rFonts w:ascii="Garamond" w:hAnsi="Garamond"/>
          <w:sz w:val="24"/>
          <w:szCs w:val="24"/>
          <w:lang w:val="sq-AL"/>
        </w:rPr>
        <w:t xml:space="preserve">nuk </w:t>
      </w:r>
      <w:r w:rsidR="00DF274C" w:rsidRPr="00E65A30">
        <w:rPr>
          <w:rFonts w:ascii="Garamond" w:hAnsi="Garamond"/>
          <w:sz w:val="24"/>
          <w:szCs w:val="24"/>
          <w:lang w:val="sq-AL"/>
        </w:rPr>
        <w:t>janë prona private të të tretëve;</w:t>
      </w:r>
    </w:p>
    <w:p w14:paraId="2F7C5008" w14:textId="1D1CFF2B" w:rsidR="00DF274C" w:rsidRPr="00E65A30" w:rsidRDefault="00DF274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ç</w:t>
      </w:r>
      <w:r w:rsidR="000231AC" w:rsidRPr="00E65A30">
        <w:rPr>
          <w:rFonts w:ascii="Garamond" w:hAnsi="Garamond"/>
          <w:sz w:val="24"/>
          <w:szCs w:val="24"/>
          <w:lang w:val="sq-AL"/>
        </w:rPr>
        <w:t>)</w:t>
      </w:r>
      <w:r w:rsidR="00E65A30">
        <w:rPr>
          <w:rFonts w:ascii="Garamond" w:hAnsi="Garamond"/>
          <w:sz w:val="24"/>
          <w:szCs w:val="24"/>
          <w:lang w:val="sq-AL"/>
        </w:rPr>
        <w:t xml:space="preserve"> </w:t>
      </w:r>
      <w:r w:rsidR="00E65A30" w:rsidRPr="00E65A30">
        <w:rPr>
          <w:rFonts w:ascii="Garamond" w:hAnsi="Garamond"/>
          <w:sz w:val="24"/>
          <w:szCs w:val="24"/>
          <w:lang w:val="sq-AL"/>
        </w:rPr>
        <w:t xml:space="preserve">nuk </w:t>
      </w:r>
      <w:r w:rsidRPr="00E65A30">
        <w:rPr>
          <w:rFonts w:ascii="Garamond" w:hAnsi="Garamond"/>
          <w:sz w:val="24"/>
          <w:szCs w:val="24"/>
          <w:lang w:val="sq-AL"/>
        </w:rPr>
        <w:t>janë objekt i formave të kompensimit fizik, sipas legjislacionit në fuqi për trajtimin e pronës dhe përfundimin e procesit të kompensimit të pronave;</w:t>
      </w:r>
    </w:p>
    <w:p w14:paraId="4F171FD1" w14:textId="01DB0F19" w:rsidR="00DF274C" w:rsidRPr="00E65A30" w:rsidRDefault="00DF274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lastRenderedPageBreak/>
        <w:t xml:space="preserve">d) </w:t>
      </w:r>
      <w:r w:rsidR="00E65A30" w:rsidRPr="00E65A30">
        <w:rPr>
          <w:rFonts w:ascii="Garamond" w:hAnsi="Garamond"/>
          <w:sz w:val="24"/>
          <w:szCs w:val="24"/>
          <w:lang w:val="sq-AL"/>
        </w:rPr>
        <w:t xml:space="preserve">nuk </w:t>
      </w:r>
      <w:r w:rsidRPr="00E65A30">
        <w:rPr>
          <w:rFonts w:ascii="Garamond" w:hAnsi="Garamond"/>
          <w:sz w:val="24"/>
          <w:szCs w:val="24"/>
          <w:lang w:val="sq-AL"/>
        </w:rPr>
        <w:t>janë zënë nga ndërtime pa leje të të tretëve apo të vetë subjektit kërkues;</w:t>
      </w:r>
    </w:p>
    <w:p w14:paraId="452C77C2" w14:textId="227A1272" w:rsidR="00DF274C" w:rsidRPr="00E65A30" w:rsidRDefault="00DF274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dh) </w:t>
      </w:r>
      <w:r w:rsidR="00E65A30" w:rsidRPr="00E65A30">
        <w:rPr>
          <w:rFonts w:ascii="Garamond" w:hAnsi="Garamond"/>
          <w:sz w:val="24"/>
          <w:szCs w:val="24"/>
          <w:lang w:val="sq-AL"/>
        </w:rPr>
        <w:t xml:space="preserve">nuk </w:t>
      </w:r>
      <w:r w:rsidRPr="00E65A30">
        <w:rPr>
          <w:rFonts w:ascii="Garamond" w:hAnsi="Garamond"/>
          <w:sz w:val="24"/>
          <w:szCs w:val="24"/>
          <w:lang w:val="sq-AL"/>
        </w:rPr>
        <w:t>janë objekt i investimeve strategjike, sipas legjislacionit në fuqi për investimet strategjike në Republikën e Shqipërisë;</w:t>
      </w:r>
    </w:p>
    <w:p w14:paraId="55FB175B" w14:textId="1BC178B9"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e) </w:t>
      </w:r>
      <w:r w:rsidR="00E65A30" w:rsidRPr="00E65A30">
        <w:rPr>
          <w:rFonts w:ascii="Garamond" w:hAnsi="Garamond"/>
          <w:sz w:val="24"/>
          <w:szCs w:val="24"/>
          <w:lang w:val="sq-AL"/>
        </w:rPr>
        <w:t xml:space="preserve">nuk </w:t>
      </w:r>
      <w:r w:rsidR="00DF274C" w:rsidRPr="00E65A30">
        <w:rPr>
          <w:rFonts w:ascii="Garamond" w:hAnsi="Garamond"/>
          <w:sz w:val="24"/>
          <w:szCs w:val="24"/>
          <w:lang w:val="sq-AL"/>
        </w:rPr>
        <w:t>janë prona shtetërore të destinuara për qëllime turistike;</w:t>
      </w:r>
    </w:p>
    <w:p w14:paraId="1CBBDBA6" w14:textId="051CF469" w:rsidR="00DF274C" w:rsidRPr="00E65A30" w:rsidRDefault="00DF274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ë</w:t>
      </w:r>
      <w:r w:rsidR="000231AC" w:rsidRPr="00E65A30">
        <w:rPr>
          <w:rFonts w:ascii="Garamond" w:hAnsi="Garamond"/>
          <w:sz w:val="24"/>
          <w:szCs w:val="24"/>
          <w:lang w:val="sq-AL"/>
        </w:rPr>
        <w:t xml:space="preserve">) </w:t>
      </w:r>
      <w:r w:rsidR="00E65A30" w:rsidRPr="00E65A30">
        <w:rPr>
          <w:rFonts w:ascii="Garamond" w:hAnsi="Garamond"/>
          <w:sz w:val="24"/>
          <w:szCs w:val="24"/>
          <w:lang w:val="sq-AL"/>
        </w:rPr>
        <w:t xml:space="preserve">nuk </w:t>
      </w:r>
      <w:r w:rsidRPr="00E65A30">
        <w:rPr>
          <w:rFonts w:ascii="Garamond" w:hAnsi="Garamond"/>
          <w:sz w:val="24"/>
          <w:szCs w:val="24"/>
          <w:lang w:val="sq-AL"/>
        </w:rPr>
        <w:t>janë prona publike të patjetërsueshme;</w:t>
      </w:r>
    </w:p>
    <w:p w14:paraId="6DE61DC2" w14:textId="3E7BAEC2"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f) </w:t>
      </w:r>
      <w:r w:rsidR="00E65A30" w:rsidRPr="00E65A30">
        <w:rPr>
          <w:rFonts w:ascii="Garamond" w:hAnsi="Garamond"/>
          <w:sz w:val="24"/>
          <w:szCs w:val="24"/>
          <w:lang w:val="sq-AL"/>
        </w:rPr>
        <w:t xml:space="preserve">nuk </w:t>
      </w:r>
      <w:r w:rsidR="00DF274C" w:rsidRPr="00E65A30">
        <w:rPr>
          <w:rFonts w:ascii="Garamond" w:hAnsi="Garamond"/>
          <w:sz w:val="24"/>
          <w:szCs w:val="24"/>
          <w:lang w:val="sq-AL"/>
        </w:rPr>
        <w:t>janë të zëna nga ndërtimet, objekt trajtimi, të nenit 34</w:t>
      </w:r>
      <w:r w:rsidR="00E65A30">
        <w:rPr>
          <w:rFonts w:ascii="Garamond" w:hAnsi="Garamond"/>
          <w:sz w:val="24"/>
          <w:szCs w:val="24"/>
          <w:lang w:val="sq-AL"/>
        </w:rPr>
        <w:t>,</w:t>
      </w:r>
      <w:r w:rsidR="00DF274C" w:rsidRPr="00E65A30">
        <w:rPr>
          <w:rFonts w:ascii="Garamond" w:hAnsi="Garamond"/>
          <w:sz w:val="24"/>
          <w:szCs w:val="24"/>
          <w:lang w:val="sq-AL"/>
        </w:rPr>
        <w:t xml:space="preserve"> të ligjit nr.</w:t>
      </w:r>
      <w:r w:rsidR="00E65A30">
        <w:rPr>
          <w:rFonts w:ascii="Garamond" w:hAnsi="Garamond"/>
          <w:sz w:val="24"/>
          <w:szCs w:val="24"/>
          <w:lang w:val="sq-AL"/>
        </w:rPr>
        <w:t xml:space="preserve"> </w:t>
      </w:r>
      <w:r w:rsidR="00DF274C" w:rsidRPr="00E65A30">
        <w:rPr>
          <w:rFonts w:ascii="Garamond" w:hAnsi="Garamond"/>
          <w:sz w:val="24"/>
          <w:szCs w:val="24"/>
          <w:lang w:val="sq-AL"/>
        </w:rPr>
        <w:t>20/2020, “Për përfundimin e proceseve kalimtare të pronësisë në Republikën e Shqipërisë”.</w:t>
      </w:r>
    </w:p>
    <w:p w14:paraId="74BA0BCA" w14:textId="4708B235" w:rsidR="00DF274C" w:rsidRPr="00E65A30" w:rsidRDefault="000231AC" w:rsidP="000231A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8. </w:t>
      </w:r>
      <w:r w:rsidR="00DF274C" w:rsidRPr="00E65A30">
        <w:rPr>
          <w:rFonts w:ascii="Garamond" w:hAnsi="Garamond"/>
          <w:sz w:val="24"/>
          <w:szCs w:val="24"/>
          <w:lang w:val="sq-AL"/>
        </w:rPr>
        <w:t>Detyrat e Task-Forcës janë:</w:t>
      </w:r>
    </w:p>
    <w:p w14:paraId="20633826" w14:textId="6EF8A0FB"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a) </w:t>
      </w:r>
      <w:r w:rsidR="00E65A30" w:rsidRPr="00E65A30">
        <w:rPr>
          <w:rFonts w:ascii="Garamond" w:hAnsi="Garamond"/>
          <w:sz w:val="24"/>
          <w:szCs w:val="24"/>
          <w:lang w:val="sq-AL"/>
        </w:rPr>
        <w:t xml:space="preserve">të </w:t>
      </w:r>
      <w:r w:rsidR="00DF274C" w:rsidRPr="00E65A30">
        <w:rPr>
          <w:rFonts w:ascii="Garamond" w:hAnsi="Garamond"/>
          <w:sz w:val="24"/>
          <w:szCs w:val="24"/>
          <w:lang w:val="sq-AL"/>
        </w:rPr>
        <w:t>evidentojë sipërfaqet që gjenden në kushtet e përcaktuara në pikën 7, të këtij vendimi;</w:t>
      </w:r>
    </w:p>
    <w:p w14:paraId="196DD5B6" w14:textId="53D34C30"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b) </w:t>
      </w:r>
      <w:r w:rsidR="00E65A30" w:rsidRPr="00E65A30">
        <w:rPr>
          <w:rFonts w:ascii="Garamond" w:hAnsi="Garamond"/>
          <w:sz w:val="24"/>
          <w:szCs w:val="24"/>
          <w:lang w:val="sq-AL"/>
        </w:rPr>
        <w:t xml:space="preserve">të </w:t>
      </w:r>
      <w:r w:rsidR="00DF274C" w:rsidRPr="00E65A30">
        <w:rPr>
          <w:rFonts w:ascii="Garamond" w:hAnsi="Garamond"/>
          <w:sz w:val="24"/>
          <w:szCs w:val="24"/>
          <w:lang w:val="sq-AL"/>
        </w:rPr>
        <w:t>identifikojë poseduesit faktikë që zotërojnë sipërfaqet në fjalë dhe të hartojë një listë të posaçme për nevoja pune, në dispozicion të ASHK-së;</w:t>
      </w:r>
    </w:p>
    <w:p w14:paraId="25AC5AAB" w14:textId="669E9D8D"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c) </w:t>
      </w:r>
      <w:r w:rsidR="00E65A30" w:rsidRPr="00E65A30">
        <w:rPr>
          <w:rFonts w:ascii="Garamond" w:hAnsi="Garamond"/>
          <w:sz w:val="24"/>
          <w:szCs w:val="24"/>
          <w:lang w:val="sq-AL"/>
        </w:rPr>
        <w:t xml:space="preserve">të </w:t>
      </w:r>
      <w:r w:rsidR="00DF274C" w:rsidRPr="00E65A30">
        <w:rPr>
          <w:rFonts w:ascii="Garamond" w:hAnsi="Garamond"/>
          <w:sz w:val="24"/>
          <w:szCs w:val="24"/>
          <w:lang w:val="sq-AL"/>
        </w:rPr>
        <w:t>analizojë nëse rrethanat e këtyre rasteve, në tërësi, përmbajnë ose jo premisat për fitimin e pronësisë, sipas mënyrave origjinale të parashikuara në Kodin Civil apo mënyrave të tjera të posaçme, të parashikuara në ligje të veçanta;</w:t>
      </w:r>
    </w:p>
    <w:p w14:paraId="601F2AC2" w14:textId="60B9E872" w:rsidR="00DF274C" w:rsidRPr="00E65A30" w:rsidRDefault="00DF274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ç) </w:t>
      </w:r>
      <w:r w:rsidR="00E65A30" w:rsidRPr="00E65A30">
        <w:rPr>
          <w:rFonts w:ascii="Garamond" w:hAnsi="Garamond"/>
          <w:sz w:val="24"/>
          <w:szCs w:val="24"/>
          <w:lang w:val="sq-AL"/>
        </w:rPr>
        <w:t xml:space="preserve">të </w:t>
      </w:r>
      <w:r w:rsidRPr="00E65A30">
        <w:rPr>
          <w:rFonts w:ascii="Garamond" w:hAnsi="Garamond"/>
          <w:sz w:val="24"/>
          <w:szCs w:val="24"/>
          <w:lang w:val="sq-AL"/>
        </w:rPr>
        <w:t>bashkëpunojë me Agjencinë Shtetërore të Kadastrës</w:t>
      </w:r>
      <w:r w:rsidR="00E65A30">
        <w:rPr>
          <w:rFonts w:ascii="Garamond" w:hAnsi="Garamond"/>
          <w:sz w:val="24"/>
          <w:szCs w:val="24"/>
          <w:lang w:val="sq-AL"/>
        </w:rPr>
        <w:t>,</w:t>
      </w:r>
      <w:r w:rsidRPr="00E65A30">
        <w:rPr>
          <w:rFonts w:ascii="Garamond" w:hAnsi="Garamond"/>
          <w:sz w:val="24"/>
          <w:szCs w:val="24"/>
          <w:lang w:val="sq-AL"/>
        </w:rPr>
        <w:t xml:space="preserve"> me qëllim finalizimin e proceseve</w:t>
      </w:r>
      <w:r w:rsidR="00E65A30">
        <w:rPr>
          <w:rFonts w:ascii="Garamond" w:hAnsi="Garamond"/>
          <w:sz w:val="24"/>
          <w:szCs w:val="24"/>
          <w:lang w:val="sq-AL"/>
        </w:rPr>
        <w:t>,</w:t>
      </w:r>
      <w:r w:rsidRPr="00E65A30">
        <w:rPr>
          <w:rFonts w:ascii="Garamond" w:hAnsi="Garamond"/>
          <w:sz w:val="24"/>
          <w:szCs w:val="24"/>
          <w:lang w:val="sq-AL"/>
        </w:rPr>
        <w:t xml:space="preserve"> për kërkesat e dorëzuara pranë këtij institucioni (ASHK) prej organeve të njësive të vetëqeverisjes vendore;</w:t>
      </w:r>
    </w:p>
    <w:p w14:paraId="26B8501C" w14:textId="5265981F" w:rsidR="00DF274C" w:rsidRPr="00E65A30" w:rsidRDefault="00DF274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d) </w:t>
      </w:r>
      <w:r w:rsidR="00E65A30" w:rsidRPr="00E65A30">
        <w:rPr>
          <w:rFonts w:ascii="Garamond" w:hAnsi="Garamond"/>
          <w:sz w:val="24"/>
          <w:szCs w:val="24"/>
          <w:lang w:val="sq-AL"/>
        </w:rPr>
        <w:t xml:space="preserve">të </w:t>
      </w:r>
      <w:r w:rsidRPr="00E65A30">
        <w:rPr>
          <w:rFonts w:ascii="Garamond" w:hAnsi="Garamond"/>
          <w:sz w:val="24"/>
          <w:szCs w:val="24"/>
          <w:lang w:val="sq-AL"/>
        </w:rPr>
        <w:t>hartojë raporte periodike për problematikat e ndeshura, trajtimin e çështjes dhe identifikimin e zgjidhjes, në funksion të qëllimit të këtij vendimi;</w:t>
      </w:r>
    </w:p>
    <w:p w14:paraId="07E610C7" w14:textId="0BEDFC56" w:rsidR="00DF274C" w:rsidRPr="00E65A30" w:rsidRDefault="00DF274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dh) </w:t>
      </w:r>
      <w:r w:rsidR="00E65A30" w:rsidRPr="00E65A30">
        <w:rPr>
          <w:rFonts w:ascii="Garamond" w:hAnsi="Garamond"/>
          <w:sz w:val="24"/>
          <w:szCs w:val="24"/>
          <w:lang w:val="sq-AL"/>
        </w:rPr>
        <w:t xml:space="preserve">të </w:t>
      </w:r>
      <w:r w:rsidRPr="00E65A30">
        <w:rPr>
          <w:rFonts w:ascii="Garamond" w:hAnsi="Garamond"/>
          <w:sz w:val="24"/>
          <w:szCs w:val="24"/>
          <w:lang w:val="sq-AL"/>
        </w:rPr>
        <w:t>bashkërendojë punën me institucionet e përfshira, në funksion të realizimit të detyrave;</w:t>
      </w:r>
    </w:p>
    <w:p w14:paraId="201E442A" w14:textId="30EEC771" w:rsidR="00DF274C" w:rsidRPr="00E65A30" w:rsidRDefault="00DF274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e) </w:t>
      </w:r>
      <w:r w:rsidR="00E65A30" w:rsidRPr="00E65A30">
        <w:rPr>
          <w:rFonts w:ascii="Garamond" w:hAnsi="Garamond"/>
          <w:sz w:val="24"/>
          <w:szCs w:val="24"/>
          <w:lang w:val="sq-AL"/>
        </w:rPr>
        <w:t xml:space="preserve">të </w:t>
      </w:r>
      <w:r w:rsidRPr="00E65A30">
        <w:rPr>
          <w:rFonts w:ascii="Garamond" w:hAnsi="Garamond"/>
          <w:sz w:val="24"/>
          <w:szCs w:val="24"/>
          <w:lang w:val="sq-AL"/>
        </w:rPr>
        <w:t>hartojë planin e veprimit për trajtimin dhe zgjidhjen e problematikës në lidhje me tokat bujqësore në përdorim të personave fizikë (individë) pa titull pronësie.</w:t>
      </w:r>
    </w:p>
    <w:p w14:paraId="0F50213F" w14:textId="1558CE52"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9. </w:t>
      </w:r>
      <w:r w:rsidR="00DF274C" w:rsidRPr="00E65A30">
        <w:rPr>
          <w:rFonts w:ascii="Garamond" w:hAnsi="Garamond"/>
          <w:sz w:val="24"/>
          <w:szCs w:val="24"/>
          <w:lang w:val="sq-AL"/>
        </w:rPr>
        <w:t>Për zbatimin e detyrave të përcaktuara në pikën 8, të këtij vendimi, Task-Forca mbështetet në strukturat administrative dhe burimet e institucioneve të përfshira në formimin e saj, sipas kompetencave dhe ekspertizës përkatëse.</w:t>
      </w:r>
    </w:p>
    <w:p w14:paraId="0B14E3D2" w14:textId="2FAAD0CE"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10. </w:t>
      </w:r>
      <w:r w:rsidR="00DF274C" w:rsidRPr="00E65A30">
        <w:rPr>
          <w:rFonts w:ascii="Garamond" w:hAnsi="Garamond"/>
          <w:sz w:val="24"/>
          <w:szCs w:val="24"/>
          <w:lang w:val="sq-AL"/>
        </w:rPr>
        <w:t>Drejtuesit e institucioneve të përcaktuara në pikën 3, të këtij vendimi, i përcjellin sekretariatit të Task-Forcës emrat e përfaqësuesve të tyre brenda 5 (pesë) ditëve nga hyrja në fuqi e këtij vendimi.</w:t>
      </w:r>
    </w:p>
    <w:p w14:paraId="03C61431" w14:textId="4719387E"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11. </w:t>
      </w:r>
      <w:r w:rsidR="00DF274C" w:rsidRPr="00E65A30">
        <w:rPr>
          <w:rFonts w:ascii="Garamond" w:hAnsi="Garamond"/>
          <w:sz w:val="24"/>
          <w:szCs w:val="24"/>
          <w:lang w:val="sq-AL"/>
        </w:rPr>
        <w:t>Task-Forca është e detyruar të përmbushë detyrat e përcaktuara në pikën 8, të këtij vendimi, brenda 1 (një) viti nga hyrja e tij në fuqi.</w:t>
      </w:r>
    </w:p>
    <w:p w14:paraId="08B2FAD5" w14:textId="2D990275"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12. </w:t>
      </w:r>
      <w:r w:rsidR="00DF274C" w:rsidRPr="00E65A30">
        <w:rPr>
          <w:rFonts w:ascii="Garamond" w:hAnsi="Garamond"/>
          <w:sz w:val="24"/>
          <w:szCs w:val="24"/>
          <w:lang w:val="sq-AL"/>
        </w:rPr>
        <w:t>Task-Forca, në funksion të zbatimit të detyrave të saj, mund të kërkojë informacion pranë institucioneve të përmendura në pikën 3, të këtij vendimi, dhe çdo institucioni tjetër që zotëron të dhëna dhe dokumentacion që i shërben qëllimit të veprimtarisë së saj. Këto institucione janë të detyruara t’i përgjigjen asaj në përputhje me afatet e përcaktuara në aktin nënligjor në fuqi mbi procedurat e bashkëpunimit të organeve të administratës shtetërore.</w:t>
      </w:r>
    </w:p>
    <w:p w14:paraId="1853C332" w14:textId="27B80FBA"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13. </w:t>
      </w:r>
      <w:r w:rsidR="00DF274C" w:rsidRPr="00E65A30">
        <w:rPr>
          <w:rFonts w:ascii="Garamond" w:hAnsi="Garamond"/>
          <w:sz w:val="24"/>
          <w:szCs w:val="24"/>
          <w:lang w:val="sq-AL"/>
        </w:rPr>
        <w:t>Shpenzimet për pagën e kryetarit të Task-Forcës, nëse është punonjës i institucioneve të administratës shtetërore, paguhen nga institucioni ku është i punësuar. Nëse nuk është i tillë, ato përballohe</w:t>
      </w:r>
      <w:r w:rsidR="00D75BB0">
        <w:rPr>
          <w:rFonts w:ascii="Garamond" w:hAnsi="Garamond"/>
          <w:sz w:val="24"/>
          <w:szCs w:val="24"/>
          <w:lang w:val="sq-AL"/>
        </w:rPr>
        <w:t>n nga Kryeministria.</w:t>
      </w:r>
    </w:p>
    <w:p w14:paraId="62536105" w14:textId="64A0873B" w:rsidR="00DF274C" w:rsidRPr="00E65A30" w:rsidRDefault="000231A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 xml:space="preserve">14. </w:t>
      </w:r>
      <w:r w:rsidR="00DF274C" w:rsidRPr="00E65A30">
        <w:rPr>
          <w:rFonts w:ascii="Garamond" w:hAnsi="Garamond"/>
          <w:sz w:val="24"/>
          <w:szCs w:val="24"/>
          <w:lang w:val="sq-AL"/>
        </w:rPr>
        <w:t>Ngarkohen Kryeministria, Ministria e Bujqësisë dhe Zhvillimit Rural, Ministria e Financave dhe Ekonomisë, Ministria e Drejtësisë, Agjencia e Trajtimit të Pronës, Agjencia Shtetërore e Kadastrës dhe Autoriteti Shtetëror për Informacionin Gjeohapësinor për zbatimin e këtij vendimi.</w:t>
      </w:r>
    </w:p>
    <w:p w14:paraId="1650AC27" w14:textId="1E9B3170" w:rsidR="00DF274C" w:rsidRPr="00E65A30" w:rsidRDefault="00DF274C" w:rsidP="00DF274C">
      <w:pPr>
        <w:spacing w:after="0" w:line="240" w:lineRule="auto"/>
        <w:ind w:firstLine="284"/>
        <w:jc w:val="both"/>
        <w:rPr>
          <w:rFonts w:ascii="Garamond" w:hAnsi="Garamond"/>
          <w:sz w:val="24"/>
          <w:szCs w:val="24"/>
          <w:lang w:val="sq-AL"/>
        </w:rPr>
      </w:pPr>
      <w:r w:rsidRPr="00E65A30">
        <w:rPr>
          <w:rFonts w:ascii="Garamond" w:hAnsi="Garamond"/>
          <w:sz w:val="24"/>
          <w:szCs w:val="24"/>
          <w:lang w:val="sq-AL"/>
        </w:rPr>
        <w:t>Ky vendim hyn në fuqi menjëherë dhe botohet në Fletoren Zyrtare.</w:t>
      </w:r>
    </w:p>
    <w:p w14:paraId="2FE910C9" w14:textId="77777777" w:rsidR="00DF274C" w:rsidRPr="00E65A30" w:rsidRDefault="00DF274C" w:rsidP="00DF274C">
      <w:pPr>
        <w:spacing w:after="0" w:line="240" w:lineRule="auto"/>
        <w:ind w:firstLine="284"/>
        <w:jc w:val="both"/>
        <w:rPr>
          <w:rFonts w:ascii="Garamond" w:hAnsi="Garamond"/>
          <w:sz w:val="24"/>
          <w:szCs w:val="24"/>
          <w:lang w:val="sq-AL"/>
        </w:rPr>
      </w:pPr>
    </w:p>
    <w:p w14:paraId="7E420D35" w14:textId="72F08A9D" w:rsidR="00DF274C" w:rsidRPr="00E65A30" w:rsidRDefault="00DF274C" w:rsidP="000231AC">
      <w:pPr>
        <w:spacing w:after="0" w:line="240" w:lineRule="auto"/>
        <w:ind w:firstLine="284"/>
        <w:jc w:val="right"/>
        <w:rPr>
          <w:rFonts w:ascii="Garamond" w:hAnsi="Garamond"/>
          <w:sz w:val="24"/>
          <w:szCs w:val="24"/>
          <w:lang w:val="sq-AL"/>
        </w:rPr>
      </w:pPr>
      <w:r w:rsidRPr="00E65A30">
        <w:rPr>
          <w:rFonts w:ascii="Garamond" w:hAnsi="Garamond"/>
          <w:sz w:val="24"/>
          <w:szCs w:val="24"/>
          <w:lang w:val="sq-AL"/>
        </w:rPr>
        <w:t>ZËVENDËSKRYEMINISTËR</w:t>
      </w:r>
    </w:p>
    <w:p w14:paraId="2611DAF6" w14:textId="23096CD7" w:rsidR="00DF274C" w:rsidRPr="00E65A30" w:rsidRDefault="000231AC" w:rsidP="000231AC">
      <w:pPr>
        <w:spacing w:after="0" w:line="240" w:lineRule="auto"/>
        <w:ind w:firstLine="284"/>
        <w:jc w:val="right"/>
        <w:rPr>
          <w:rFonts w:ascii="Garamond" w:hAnsi="Garamond"/>
          <w:b/>
          <w:sz w:val="24"/>
          <w:szCs w:val="24"/>
          <w:lang w:val="sq-AL"/>
        </w:rPr>
      </w:pPr>
      <w:r w:rsidRPr="00E65A30">
        <w:rPr>
          <w:rFonts w:ascii="Garamond" w:hAnsi="Garamond"/>
          <w:b/>
          <w:sz w:val="24"/>
          <w:szCs w:val="24"/>
          <w:lang w:val="sq-AL"/>
        </w:rPr>
        <w:t>Belinda Balluku</w:t>
      </w:r>
    </w:p>
    <w:sectPr w:rsidR="00DF274C" w:rsidRPr="00E65A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C98"/>
    <w:rsid w:val="00012745"/>
    <w:rsid w:val="000231AC"/>
    <w:rsid w:val="00031098"/>
    <w:rsid w:val="000427A6"/>
    <w:rsid w:val="000458EB"/>
    <w:rsid w:val="0006026E"/>
    <w:rsid w:val="00075D23"/>
    <w:rsid w:val="00090D05"/>
    <w:rsid w:val="0009171B"/>
    <w:rsid w:val="000956ED"/>
    <w:rsid w:val="000A39B7"/>
    <w:rsid w:val="000A77D9"/>
    <w:rsid w:val="000B3E3B"/>
    <w:rsid w:val="000C3D4A"/>
    <w:rsid w:val="000C55A5"/>
    <w:rsid w:val="000D7F01"/>
    <w:rsid w:val="001149C8"/>
    <w:rsid w:val="00121461"/>
    <w:rsid w:val="0012538B"/>
    <w:rsid w:val="00135329"/>
    <w:rsid w:val="0014112D"/>
    <w:rsid w:val="00141B18"/>
    <w:rsid w:val="00142C2B"/>
    <w:rsid w:val="00160647"/>
    <w:rsid w:val="00160E68"/>
    <w:rsid w:val="00167FB5"/>
    <w:rsid w:val="00175424"/>
    <w:rsid w:val="00183018"/>
    <w:rsid w:val="00190C3D"/>
    <w:rsid w:val="001944EB"/>
    <w:rsid w:val="0019635C"/>
    <w:rsid w:val="001C0519"/>
    <w:rsid w:val="001D2ABC"/>
    <w:rsid w:val="001D2F1F"/>
    <w:rsid w:val="001D3A2F"/>
    <w:rsid w:val="00204F93"/>
    <w:rsid w:val="00213728"/>
    <w:rsid w:val="00231416"/>
    <w:rsid w:val="00234715"/>
    <w:rsid w:val="00252C2A"/>
    <w:rsid w:val="00257E0A"/>
    <w:rsid w:val="00263D3A"/>
    <w:rsid w:val="002821F2"/>
    <w:rsid w:val="002929DC"/>
    <w:rsid w:val="002A23A7"/>
    <w:rsid w:val="002B1C09"/>
    <w:rsid w:val="002B7B82"/>
    <w:rsid w:val="002C3DC5"/>
    <w:rsid w:val="002C7879"/>
    <w:rsid w:val="002D71C7"/>
    <w:rsid w:val="002E2CDE"/>
    <w:rsid w:val="002F0DDD"/>
    <w:rsid w:val="003346E6"/>
    <w:rsid w:val="00334BDB"/>
    <w:rsid w:val="00336C31"/>
    <w:rsid w:val="00345F96"/>
    <w:rsid w:val="0034608A"/>
    <w:rsid w:val="00354F7A"/>
    <w:rsid w:val="003661C2"/>
    <w:rsid w:val="003673CA"/>
    <w:rsid w:val="00373E4A"/>
    <w:rsid w:val="00375DE4"/>
    <w:rsid w:val="00390D00"/>
    <w:rsid w:val="003956A3"/>
    <w:rsid w:val="00397301"/>
    <w:rsid w:val="003A0634"/>
    <w:rsid w:val="003A40CD"/>
    <w:rsid w:val="003A489E"/>
    <w:rsid w:val="003B4312"/>
    <w:rsid w:val="003B57C7"/>
    <w:rsid w:val="003D12F1"/>
    <w:rsid w:val="003D54AD"/>
    <w:rsid w:val="003D693A"/>
    <w:rsid w:val="003E6C19"/>
    <w:rsid w:val="00421355"/>
    <w:rsid w:val="00425784"/>
    <w:rsid w:val="00452990"/>
    <w:rsid w:val="004604CD"/>
    <w:rsid w:val="00462CFB"/>
    <w:rsid w:val="00486681"/>
    <w:rsid w:val="00490071"/>
    <w:rsid w:val="004948FB"/>
    <w:rsid w:val="00497200"/>
    <w:rsid w:val="004A2477"/>
    <w:rsid w:val="004C0C4E"/>
    <w:rsid w:val="004C25A2"/>
    <w:rsid w:val="004C3178"/>
    <w:rsid w:val="004C691E"/>
    <w:rsid w:val="004D4267"/>
    <w:rsid w:val="00504AE4"/>
    <w:rsid w:val="005057DB"/>
    <w:rsid w:val="00505829"/>
    <w:rsid w:val="00523B5F"/>
    <w:rsid w:val="005305D6"/>
    <w:rsid w:val="00532217"/>
    <w:rsid w:val="00551CD1"/>
    <w:rsid w:val="0055542F"/>
    <w:rsid w:val="00567F21"/>
    <w:rsid w:val="00571959"/>
    <w:rsid w:val="00571B80"/>
    <w:rsid w:val="0058238F"/>
    <w:rsid w:val="00592C00"/>
    <w:rsid w:val="00597694"/>
    <w:rsid w:val="005B0B35"/>
    <w:rsid w:val="005B5967"/>
    <w:rsid w:val="005B7AE1"/>
    <w:rsid w:val="005C301C"/>
    <w:rsid w:val="005F5040"/>
    <w:rsid w:val="006032E2"/>
    <w:rsid w:val="00615BAF"/>
    <w:rsid w:val="0061609B"/>
    <w:rsid w:val="00623E07"/>
    <w:rsid w:val="00632A0C"/>
    <w:rsid w:val="006379E9"/>
    <w:rsid w:val="006425E0"/>
    <w:rsid w:val="00666247"/>
    <w:rsid w:val="00677AD4"/>
    <w:rsid w:val="00681454"/>
    <w:rsid w:val="00687BAF"/>
    <w:rsid w:val="006945EE"/>
    <w:rsid w:val="006A512D"/>
    <w:rsid w:val="006C5CF7"/>
    <w:rsid w:val="006D77AF"/>
    <w:rsid w:val="006E6768"/>
    <w:rsid w:val="00710CF1"/>
    <w:rsid w:val="0072369E"/>
    <w:rsid w:val="0073468F"/>
    <w:rsid w:val="00773738"/>
    <w:rsid w:val="0077527A"/>
    <w:rsid w:val="00775B4C"/>
    <w:rsid w:val="007A0E53"/>
    <w:rsid w:val="007A42E4"/>
    <w:rsid w:val="007A6FEA"/>
    <w:rsid w:val="007C2D06"/>
    <w:rsid w:val="007D20DA"/>
    <w:rsid w:val="007D4E26"/>
    <w:rsid w:val="007E4A74"/>
    <w:rsid w:val="007F1F00"/>
    <w:rsid w:val="007F20FF"/>
    <w:rsid w:val="0080141E"/>
    <w:rsid w:val="008037E4"/>
    <w:rsid w:val="00804031"/>
    <w:rsid w:val="008044AD"/>
    <w:rsid w:val="00867646"/>
    <w:rsid w:val="0087040E"/>
    <w:rsid w:val="00886A96"/>
    <w:rsid w:val="00893102"/>
    <w:rsid w:val="008A2062"/>
    <w:rsid w:val="008C2627"/>
    <w:rsid w:val="008D0BB7"/>
    <w:rsid w:val="008D0DF7"/>
    <w:rsid w:val="008D2BEA"/>
    <w:rsid w:val="008E44CB"/>
    <w:rsid w:val="00915403"/>
    <w:rsid w:val="00943A32"/>
    <w:rsid w:val="00950BCD"/>
    <w:rsid w:val="009547F5"/>
    <w:rsid w:val="00983036"/>
    <w:rsid w:val="0098745D"/>
    <w:rsid w:val="009954E6"/>
    <w:rsid w:val="009B2B45"/>
    <w:rsid w:val="009E40DB"/>
    <w:rsid w:val="009E4E0D"/>
    <w:rsid w:val="00A0127D"/>
    <w:rsid w:val="00A0283C"/>
    <w:rsid w:val="00A20C98"/>
    <w:rsid w:val="00A24CF9"/>
    <w:rsid w:val="00A25B9A"/>
    <w:rsid w:val="00A32E87"/>
    <w:rsid w:val="00A4586F"/>
    <w:rsid w:val="00A46623"/>
    <w:rsid w:val="00A52EE5"/>
    <w:rsid w:val="00A6527C"/>
    <w:rsid w:val="00A72D95"/>
    <w:rsid w:val="00A925C9"/>
    <w:rsid w:val="00AA2B7C"/>
    <w:rsid w:val="00AA3CC7"/>
    <w:rsid w:val="00AA47BF"/>
    <w:rsid w:val="00AA6249"/>
    <w:rsid w:val="00AC1022"/>
    <w:rsid w:val="00AC7415"/>
    <w:rsid w:val="00AC7C81"/>
    <w:rsid w:val="00AD2604"/>
    <w:rsid w:val="00AD3E46"/>
    <w:rsid w:val="00AD7C20"/>
    <w:rsid w:val="00B034C3"/>
    <w:rsid w:val="00B11BC7"/>
    <w:rsid w:val="00B1293F"/>
    <w:rsid w:val="00B33946"/>
    <w:rsid w:val="00B416C3"/>
    <w:rsid w:val="00B4296B"/>
    <w:rsid w:val="00B56218"/>
    <w:rsid w:val="00B63506"/>
    <w:rsid w:val="00B70659"/>
    <w:rsid w:val="00B71250"/>
    <w:rsid w:val="00B7328E"/>
    <w:rsid w:val="00B76F3D"/>
    <w:rsid w:val="00B848A9"/>
    <w:rsid w:val="00B86D15"/>
    <w:rsid w:val="00BA244C"/>
    <w:rsid w:val="00BA2E85"/>
    <w:rsid w:val="00BB55ED"/>
    <w:rsid w:val="00BD0463"/>
    <w:rsid w:val="00BD0BEA"/>
    <w:rsid w:val="00BD36DF"/>
    <w:rsid w:val="00BE3604"/>
    <w:rsid w:val="00C042A6"/>
    <w:rsid w:val="00C07057"/>
    <w:rsid w:val="00C1476F"/>
    <w:rsid w:val="00C20549"/>
    <w:rsid w:val="00C30D0F"/>
    <w:rsid w:val="00C3572F"/>
    <w:rsid w:val="00C45955"/>
    <w:rsid w:val="00C5044F"/>
    <w:rsid w:val="00C5501C"/>
    <w:rsid w:val="00C634C1"/>
    <w:rsid w:val="00C71BED"/>
    <w:rsid w:val="00C72247"/>
    <w:rsid w:val="00CA3579"/>
    <w:rsid w:val="00CA67DB"/>
    <w:rsid w:val="00CA70A2"/>
    <w:rsid w:val="00CB54DF"/>
    <w:rsid w:val="00CC12D4"/>
    <w:rsid w:val="00CD3537"/>
    <w:rsid w:val="00CE2A8A"/>
    <w:rsid w:val="00CE5249"/>
    <w:rsid w:val="00CF257C"/>
    <w:rsid w:val="00CF6387"/>
    <w:rsid w:val="00D00E04"/>
    <w:rsid w:val="00D12A76"/>
    <w:rsid w:val="00D20D88"/>
    <w:rsid w:val="00D63ABD"/>
    <w:rsid w:val="00D664EF"/>
    <w:rsid w:val="00D67248"/>
    <w:rsid w:val="00D70F22"/>
    <w:rsid w:val="00D75BB0"/>
    <w:rsid w:val="00D77F86"/>
    <w:rsid w:val="00D8097B"/>
    <w:rsid w:val="00DA0E6B"/>
    <w:rsid w:val="00DA3185"/>
    <w:rsid w:val="00DA4EAA"/>
    <w:rsid w:val="00DB1844"/>
    <w:rsid w:val="00DE03AC"/>
    <w:rsid w:val="00DF274C"/>
    <w:rsid w:val="00E04762"/>
    <w:rsid w:val="00E05E21"/>
    <w:rsid w:val="00E24542"/>
    <w:rsid w:val="00E410D0"/>
    <w:rsid w:val="00E4133D"/>
    <w:rsid w:val="00E458A5"/>
    <w:rsid w:val="00E56153"/>
    <w:rsid w:val="00E61BC2"/>
    <w:rsid w:val="00E65A30"/>
    <w:rsid w:val="00E702BD"/>
    <w:rsid w:val="00E71C53"/>
    <w:rsid w:val="00E73692"/>
    <w:rsid w:val="00E90C21"/>
    <w:rsid w:val="00E944F8"/>
    <w:rsid w:val="00EC5ECD"/>
    <w:rsid w:val="00ED307F"/>
    <w:rsid w:val="00ED42C3"/>
    <w:rsid w:val="00ED57FF"/>
    <w:rsid w:val="00EE4477"/>
    <w:rsid w:val="00EF1574"/>
    <w:rsid w:val="00EF5D20"/>
    <w:rsid w:val="00F50B83"/>
    <w:rsid w:val="00F51CB4"/>
    <w:rsid w:val="00F52037"/>
    <w:rsid w:val="00F56A94"/>
    <w:rsid w:val="00F67838"/>
    <w:rsid w:val="00F67E1E"/>
    <w:rsid w:val="00F9053B"/>
    <w:rsid w:val="00FB2D9C"/>
    <w:rsid w:val="00FC3948"/>
    <w:rsid w:val="00FC4D75"/>
    <w:rsid w:val="00FC51DA"/>
    <w:rsid w:val="00FC5391"/>
    <w:rsid w:val="00FC6CAA"/>
    <w:rsid w:val="00FD7CC4"/>
    <w:rsid w:val="00FE24E7"/>
    <w:rsid w:val="00FE32FE"/>
    <w:rsid w:val="00FE408A"/>
    <w:rsid w:val="00FE5DBE"/>
    <w:rsid w:val="00FE5DFC"/>
    <w:rsid w:val="00FF1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D421E"/>
  <w15:docId w15:val="{D1937DF4-D23E-40F7-B143-9D989AE5C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27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320</Nr_x002e__x0020_akti>
    <Data_x0020_e_x0020_Krijimit xmlns="0e656187-b300-4fb0-8bf4-3a50f872073c">2023-06-12T13:01:55Z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2023-06-11T22:00:00Z</Date_x0020_protokolli>
    <Titulli xmlns="0e656187-b300-4fb0-8bf4-3a50f872073c">Për ngritjen e task-forcës për koordinimin e procesit të trajtimit të tokave bujqësore në përdorim, në kushtet e nenit 12, të ligjit nr. 20/2020</Titulli>
    <Modifikuesi xmlns="0e656187-b300-4fb0-8bf4-3a50f872073c">Fjora.Cahani</Modifikuesi>
    <Nr_x002e__x0020_prot_x0020_QBZ xmlns="0e656187-b300-4fb0-8bf4-3a50f872073c">851</Nr_x002e__x0020_prot_x0020_QBZ>
    <Data_x0020_e_x0020_Modifikimit xmlns="0e656187-b300-4fb0-8bf4-3a50f872073c">2023-06-13T07:43:45Z</Data_x0020_e_x0020_Modifikimit>
    <Dekretuar xmlns="0e656187-b300-4fb0-8bf4-3a50f872073c">false</Dekretuar>
    <Data xmlns="0e656187-b300-4fb0-8bf4-3a50f872073c">2023-05-30T22:00:00Z</Data>
    <Nr_x002e__x0020_protokolli_x0020_i_x0020_aktit xmlns="0e656187-b300-4fb0-8bf4-3a50f872073c">2445/4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BD7EA97009A4DABBFD0B3563263FFC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BD7EA97009A4DABBFD0B3563263FFC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136B91-7C9E-48B6-924F-FFE044F369C6}">
  <ds:schemaRefs>
    <ds:schemaRef ds:uri="http://schemas.microsoft.com/office/2006/documentManagement/types"/>
    <ds:schemaRef ds:uri="0e656187-b300-4fb0-8bf4-3a50f872073c"/>
    <ds:schemaRef ds:uri="http://schemas.microsoft.com/office/2006/metadata/properties"/>
    <ds:schemaRef ds:uri="http://purl.org/dc/dcmitype/"/>
    <ds:schemaRef ds:uri="http://purl.org/dc/terms/"/>
    <ds:schemaRef ds:uri="http://www.w3.org/XML/1998/namespace"/>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A08CBA05-B794-4360-B645-ACB1BACAE964}">
  <ds:schemaRefs>
    <ds:schemaRef ds:uri="http://schemas.microsoft.com/sharepoint/v3/contenttype/forms"/>
  </ds:schemaRefs>
</ds:datastoreItem>
</file>

<file path=customXml/itemProps3.xml><?xml version="1.0" encoding="utf-8"?>
<ds:datastoreItem xmlns:ds="http://schemas.openxmlformats.org/officeDocument/2006/customXml" ds:itemID="{3A703068-3E35-46FF-B8F9-38ED9714DE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686BAA3-CCCB-4917-B00D-ADECD9F5EBB0}">
  <ds:schemaRefs>
    <ds:schemaRef ds:uri="http://schemas.microsoft.com/sharepoint/v3/contenttype/forms"/>
  </ds:schemaRefs>
</ds:datastoreItem>
</file>

<file path=customXml/itemProps5.xml><?xml version="1.0" encoding="utf-8"?>
<ds:datastoreItem xmlns:ds="http://schemas.openxmlformats.org/officeDocument/2006/customXml" ds:itemID="{336395C2-1F31-40B4-8662-3B8878B2E2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6216021-626B-49D4-B63F-9CCEB4D17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937</Words>
  <Characters>5344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Për ngritjen e task-forcës për koordinimin e procesit të trajtimit të tokave bujqësore në përdorim, në kushtet e nenit 12, të ligjit nr. 20/2020</vt:lpstr>
    </vt:vector>
  </TitlesOfParts>
  <Company/>
  <LinksUpToDate>false</LinksUpToDate>
  <CharactersWithSpaces>6269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ngritjen e task-forcës për koordinimin e procesit të trajtimit të tokave bujqësore në përdorim, në kushtet e nenit 12, të ligjit nr. 20/2020</dc:title>
  <dc:creator>Entela Suli</dc:creator>
  <cp:lastModifiedBy>Entela Suli</cp:lastModifiedBy>
  <cp:revision>10</cp:revision>
  <dcterms:created xsi:type="dcterms:W3CDTF">2023-06-12T13:06:00Z</dcterms:created>
  <dcterms:modified xsi:type="dcterms:W3CDTF">2023-06-13T08:35:00Z</dcterms:modified>
</cp:coreProperties>
</file>