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0FE820" w14:textId="3546AF0B" w:rsidR="00631585" w:rsidRPr="002D0AF3" w:rsidRDefault="00F01CDD" w:rsidP="004D58B0">
      <w:pPr>
        <w:spacing w:after="0" w:line="240" w:lineRule="auto"/>
        <w:ind w:firstLine="284"/>
        <w:jc w:val="center"/>
        <w:rPr>
          <w:rFonts w:ascii="Garamond" w:hAnsi="Garamond"/>
          <w:b/>
          <w:sz w:val="24"/>
          <w:lang w:eastAsia="ja-JP"/>
        </w:rPr>
      </w:pPr>
      <w:r w:rsidRPr="002D0AF3">
        <w:rPr>
          <w:rFonts w:ascii="Garamond" w:hAnsi="Garamond"/>
          <w:b/>
          <w:sz w:val="24"/>
          <w:lang w:eastAsia="ja-JP"/>
        </w:rPr>
        <w:t>VENDIM</w:t>
      </w:r>
    </w:p>
    <w:p w14:paraId="4831BB06" w14:textId="7425420B" w:rsidR="00B56218" w:rsidRPr="002D0AF3" w:rsidRDefault="00F01CDD" w:rsidP="004D58B0">
      <w:pPr>
        <w:spacing w:after="0" w:line="240" w:lineRule="auto"/>
        <w:ind w:firstLine="284"/>
        <w:jc w:val="center"/>
        <w:rPr>
          <w:rFonts w:ascii="Garamond" w:hAnsi="Garamond"/>
          <w:b/>
          <w:sz w:val="24"/>
          <w:lang w:eastAsia="ja-JP"/>
        </w:rPr>
      </w:pPr>
      <w:r w:rsidRPr="002D0AF3">
        <w:rPr>
          <w:rFonts w:ascii="Garamond" w:hAnsi="Garamond"/>
          <w:b/>
          <w:sz w:val="24"/>
          <w:lang w:eastAsia="ja-JP"/>
        </w:rPr>
        <w:t>Nr</w:t>
      </w:r>
      <w:r w:rsidR="00551CD1" w:rsidRPr="002D0AF3">
        <w:rPr>
          <w:rFonts w:ascii="Garamond" w:hAnsi="Garamond"/>
          <w:b/>
          <w:sz w:val="24"/>
          <w:lang w:eastAsia="ja-JP"/>
        </w:rPr>
        <w:t>.</w:t>
      </w:r>
      <w:r w:rsidR="003E60DD" w:rsidRPr="002D0AF3">
        <w:rPr>
          <w:rFonts w:ascii="Garamond" w:hAnsi="Garamond"/>
          <w:b/>
          <w:sz w:val="24"/>
          <w:lang w:eastAsia="ja-JP"/>
        </w:rPr>
        <w:t xml:space="preserve"> </w:t>
      </w:r>
      <w:r w:rsidR="00CE1C2E" w:rsidRPr="002D0AF3">
        <w:rPr>
          <w:rFonts w:ascii="Garamond" w:hAnsi="Garamond"/>
          <w:b/>
          <w:sz w:val="24"/>
          <w:lang w:eastAsia="ja-JP"/>
        </w:rPr>
        <w:t>366</w:t>
      </w:r>
      <w:r w:rsidR="00263D3A" w:rsidRPr="002D0AF3">
        <w:rPr>
          <w:rFonts w:ascii="Garamond" w:hAnsi="Garamond"/>
          <w:b/>
          <w:sz w:val="24"/>
          <w:lang w:eastAsia="ja-JP"/>
        </w:rPr>
        <w:t xml:space="preserve">, datë </w:t>
      </w:r>
      <w:r w:rsidR="00CE1C2E" w:rsidRPr="002D0AF3">
        <w:rPr>
          <w:rFonts w:ascii="Garamond" w:hAnsi="Garamond"/>
          <w:b/>
          <w:sz w:val="24"/>
          <w:lang w:eastAsia="ja-JP"/>
        </w:rPr>
        <w:t>16</w:t>
      </w:r>
      <w:r w:rsidR="00B416C3" w:rsidRPr="002D0AF3">
        <w:rPr>
          <w:rFonts w:ascii="Garamond" w:hAnsi="Garamond"/>
          <w:b/>
          <w:sz w:val="24"/>
          <w:lang w:eastAsia="ja-JP"/>
        </w:rPr>
        <w:t>.6</w:t>
      </w:r>
      <w:r w:rsidR="00773738" w:rsidRPr="002D0AF3">
        <w:rPr>
          <w:rFonts w:ascii="Garamond" w:hAnsi="Garamond"/>
          <w:b/>
          <w:sz w:val="24"/>
          <w:lang w:eastAsia="ja-JP"/>
        </w:rPr>
        <w:t>.2023</w:t>
      </w:r>
    </w:p>
    <w:p w14:paraId="01D75397" w14:textId="77777777" w:rsidR="00A1189A" w:rsidRPr="002D0AF3" w:rsidRDefault="00A1189A" w:rsidP="004D58B0">
      <w:pPr>
        <w:spacing w:after="0" w:line="240" w:lineRule="auto"/>
        <w:ind w:firstLine="284"/>
        <w:jc w:val="center"/>
        <w:rPr>
          <w:rFonts w:ascii="Garamond" w:hAnsi="Garamond"/>
          <w:b/>
          <w:sz w:val="24"/>
          <w:lang w:eastAsia="ja-JP"/>
        </w:rPr>
      </w:pPr>
    </w:p>
    <w:p w14:paraId="4D0B09E8" w14:textId="0CFA1A07" w:rsidR="00A1189A" w:rsidRPr="002D0AF3" w:rsidRDefault="00A1189A" w:rsidP="004D58B0">
      <w:pPr>
        <w:spacing w:after="0" w:line="240" w:lineRule="auto"/>
        <w:ind w:firstLine="284"/>
        <w:jc w:val="center"/>
        <w:rPr>
          <w:rFonts w:ascii="Garamond" w:hAnsi="Garamond"/>
          <w:b/>
          <w:sz w:val="24"/>
        </w:rPr>
      </w:pPr>
      <w:r w:rsidRPr="002D0AF3">
        <w:rPr>
          <w:rFonts w:ascii="Garamond" w:hAnsi="Garamond"/>
          <w:b/>
          <w:sz w:val="24"/>
        </w:rPr>
        <w:t>PËR MIRATIMIN E STRATEGJISË KOMBËTARE TË SIGURISË USHQIMORE 2023</w:t>
      </w:r>
      <w:r w:rsidR="003E60DD" w:rsidRPr="002D0AF3">
        <w:rPr>
          <w:rFonts w:ascii="Garamond" w:hAnsi="Garamond"/>
          <w:b/>
          <w:sz w:val="24"/>
        </w:rPr>
        <w:t>–</w:t>
      </w:r>
      <w:r w:rsidRPr="002D0AF3">
        <w:rPr>
          <w:rFonts w:ascii="Garamond" w:hAnsi="Garamond"/>
          <w:b/>
          <w:sz w:val="24"/>
        </w:rPr>
        <w:t>2027</w:t>
      </w:r>
    </w:p>
    <w:p w14:paraId="3B87DDE0" w14:textId="77777777" w:rsidR="00A1189A" w:rsidRPr="002D0AF3" w:rsidRDefault="00A1189A" w:rsidP="004D58B0">
      <w:pPr>
        <w:spacing w:after="0" w:line="240" w:lineRule="auto"/>
        <w:ind w:firstLine="284"/>
        <w:jc w:val="both"/>
        <w:rPr>
          <w:rFonts w:ascii="Garamond" w:hAnsi="Garamond"/>
          <w:sz w:val="24"/>
        </w:rPr>
      </w:pPr>
    </w:p>
    <w:p w14:paraId="6657B6FC" w14:textId="16346C23" w:rsidR="00A1189A" w:rsidRPr="002D0AF3" w:rsidRDefault="00A1189A" w:rsidP="004D58B0">
      <w:pPr>
        <w:spacing w:after="0" w:line="240" w:lineRule="auto"/>
        <w:ind w:firstLine="284"/>
        <w:jc w:val="both"/>
        <w:rPr>
          <w:rFonts w:ascii="Garamond" w:hAnsi="Garamond"/>
          <w:sz w:val="24"/>
        </w:rPr>
      </w:pPr>
      <w:r w:rsidRPr="002D0AF3">
        <w:rPr>
          <w:rFonts w:ascii="Garamond" w:hAnsi="Garamond"/>
          <w:sz w:val="24"/>
        </w:rPr>
        <w:t>Në mbështetje të nenit 100 të Kushtetutës dhe të pikës 5, të nenit 11, të ligjit nr.</w:t>
      </w:r>
      <w:r w:rsidR="003E60DD" w:rsidRPr="002D0AF3">
        <w:rPr>
          <w:rFonts w:ascii="Garamond" w:hAnsi="Garamond"/>
          <w:sz w:val="24"/>
        </w:rPr>
        <w:t xml:space="preserve"> </w:t>
      </w:r>
      <w:r w:rsidRPr="002D0AF3">
        <w:rPr>
          <w:rFonts w:ascii="Garamond" w:hAnsi="Garamond"/>
          <w:sz w:val="24"/>
        </w:rPr>
        <w:t>9863, datë 28.1.2008, “Për ushqimin”, të ndryshuar, me propozimin e ministrit të Bujqësisë dhe Zhvillimit Rural, Këshilli i Ministrave</w:t>
      </w:r>
    </w:p>
    <w:p w14:paraId="4E13CEDE" w14:textId="77777777" w:rsidR="00A1189A" w:rsidRPr="002D0AF3" w:rsidRDefault="00A1189A" w:rsidP="004D58B0">
      <w:pPr>
        <w:spacing w:after="0" w:line="240" w:lineRule="auto"/>
        <w:ind w:firstLine="284"/>
        <w:jc w:val="both"/>
        <w:rPr>
          <w:rFonts w:ascii="Garamond" w:hAnsi="Garamond"/>
          <w:sz w:val="24"/>
        </w:rPr>
      </w:pPr>
    </w:p>
    <w:p w14:paraId="68F3F503" w14:textId="1BE14E09" w:rsidR="00A1189A" w:rsidRPr="002D0AF3" w:rsidRDefault="004D58B0" w:rsidP="004D58B0">
      <w:pPr>
        <w:spacing w:after="0" w:line="240" w:lineRule="auto"/>
        <w:ind w:firstLine="284"/>
        <w:jc w:val="center"/>
        <w:rPr>
          <w:rFonts w:ascii="Garamond" w:hAnsi="Garamond"/>
          <w:sz w:val="24"/>
        </w:rPr>
      </w:pPr>
      <w:r w:rsidRPr="002D0AF3">
        <w:rPr>
          <w:rFonts w:ascii="Garamond" w:hAnsi="Garamond"/>
          <w:sz w:val="24"/>
        </w:rPr>
        <w:t>VENDOS</w:t>
      </w:r>
      <w:r w:rsidR="00A1189A" w:rsidRPr="002D0AF3">
        <w:rPr>
          <w:rFonts w:ascii="Garamond" w:hAnsi="Garamond"/>
          <w:sz w:val="24"/>
        </w:rPr>
        <w:t>I:</w:t>
      </w:r>
    </w:p>
    <w:p w14:paraId="720B502D" w14:textId="77777777" w:rsidR="00A1189A" w:rsidRPr="002D0AF3" w:rsidRDefault="00A1189A" w:rsidP="004D58B0">
      <w:pPr>
        <w:spacing w:after="0" w:line="240" w:lineRule="auto"/>
        <w:ind w:firstLine="284"/>
        <w:jc w:val="both"/>
        <w:rPr>
          <w:rFonts w:ascii="Garamond" w:hAnsi="Garamond"/>
          <w:sz w:val="24"/>
        </w:rPr>
      </w:pPr>
    </w:p>
    <w:p w14:paraId="370FB141" w14:textId="1709C25E" w:rsidR="00A1189A" w:rsidRPr="002D0AF3" w:rsidRDefault="004D58B0" w:rsidP="004D58B0">
      <w:pPr>
        <w:spacing w:after="0" w:line="240" w:lineRule="auto"/>
        <w:ind w:firstLine="284"/>
        <w:jc w:val="both"/>
        <w:rPr>
          <w:rFonts w:ascii="Garamond" w:hAnsi="Garamond"/>
          <w:sz w:val="24"/>
        </w:rPr>
      </w:pPr>
      <w:r w:rsidRPr="002D0AF3">
        <w:rPr>
          <w:rFonts w:ascii="Garamond" w:hAnsi="Garamond"/>
          <w:sz w:val="24"/>
        </w:rPr>
        <w:t xml:space="preserve">1. </w:t>
      </w:r>
      <w:r w:rsidR="00A1189A" w:rsidRPr="002D0AF3">
        <w:rPr>
          <w:rFonts w:ascii="Garamond" w:hAnsi="Garamond"/>
          <w:sz w:val="24"/>
        </w:rPr>
        <w:t>Miratimin e Strategjisë Kombëtare të Sigurisë Ushqimore 2023</w:t>
      </w:r>
      <w:r w:rsidR="003E60DD" w:rsidRPr="002D0AF3">
        <w:rPr>
          <w:rFonts w:ascii="Garamond" w:hAnsi="Garamond"/>
          <w:sz w:val="24"/>
        </w:rPr>
        <w:t>–</w:t>
      </w:r>
      <w:r w:rsidR="00A1189A" w:rsidRPr="002D0AF3">
        <w:rPr>
          <w:rFonts w:ascii="Garamond" w:hAnsi="Garamond"/>
          <w:sz w:val="24"/>
        </w:rPr>
        <w:t xml:space="preserve">2027, sipas tekstit që i bashkëlidhet këtij vendimi. </w:t>
      </w:r>
    </w:p>
    <w:p w14:paraId="2B631755" w14:textId="65B56FE3" w:rsidR="00A1189A" w:rsidRPr="002D0AF3" w:rsidRDefault="004D58B0" w:rsidP="00396679">
      <w:pPr>
        <w:pStyle w:val="TEKSTIII"/>
      </w:pPr>
      <w:r w:rsidRPr="002D0AF3">
        <w:t xml:space="preserve">2. </w:t>
      </w:r>
      <w:r w:rsidR="00A1189A" w:rsidRPr="002D0AF3">
        <w:t xml:space="preserve">Ngarkohen Ministria e Bujqësisë dhe Zhvillimit Rural, Autoriteti Kombëtar i Ushqimit, Instituti i Sigurisë Ushqimore dhe Veterinarisë, Autoriteti Kombëtar i Veterinarisë dhe Mbrojtjes së Bimëve dhe Enti Shtetëror i Farave dhe Fidanëve për zbatimin e këtij vendimi. </w:t>
      </w:r>
    </w:p>
    <w:p w14:paraId="20D37947" w14:textId="2AE50D70" w:rsidR="00A1189A" w:rsidRPr="002D0AF3" w:rsidRDefault="00A1189A" w:rsidP="00396679">
      <w:pPr>
        <w:pStyle w:val="TEKSTIII"/>
      </w:pPr>
      <w:r w:rsidRPr="002D0AF3">
        <w:t>Ky ven</w:t>
      </w:r>
      <w:r w:rsidR="004D58B0" w:rsidRPr="002D0AF3">
        <w:t>dim hyn në fuqi pas botimit në Fletoren Zyrtare</w:t>
      </w:r>
      <w:r w:rsidRPr="002D0AF3">
        <w:t>.</w:t>
      </w:r>
    </w:p>
    <w:p w14:paraId="6BE05CE7" w14:textId="77777777" w:rsidR="00A1189A" w:rsidRPr="002D0AF3" w:rsidRDefault="00A1189A" w:rsidP="004D58B0">
      <w:pPr>
        <w:spacing w:after="0" w:line="240" w:lineRule="auto"/>
        <w:ind w:firstLine="284"/>
        <w:jc w:val="both"/>
        <w:rPr>
          <w:rFonts w:ascii="Garamond" w:hAnsi="Garamond"/>
          <w:sz w:val="24"/>
        </w:rPr>
      </w:pPr>
    </w:p>
    <w:p w14:paraId="02CA33C8" w14:textId="30E846B5" w:rsidR="00A1189A" w:rsidRPr="002D0AF3" w:rsidRDefault="004D58B0" w:rsidP="004D58B0">
      <w:pPr>
        <w:spacing w:after="0" w:line="240" w:lineRule="auto"/>
        <w:ind w:firstLine="284"/>
        <w:jc w:val="right"/>
        <w:rPr>
          <w:rFonts w:ascii="Garamond" w:hAnsi="Garamond"/>
          <w:sz w:val="24"/>
        </w:rPr>
      </w:pPr>
      <w:r w:rsidRPr="002D0AF3">
        <w:rPr>
          <w:rFonts w:ascii="Garamond" w:hAnsi="Garamond"/>
          <w:sz w:val="24"/>
        </w:rPr>
        <w:t>KRYEMINIS</w:t>
      </w:r>
      <w:r w:rsidR="00A1189A" w:rsidRPr="002D0AF3">
        <w:rPr>
          <w:rFonts w:ascii="Garamond" w:hAnsi="Garamond"/>
          <w:sz w:val="24"/>
        </w:rPr>
        <w:t>T</w:t>
      </w:r>
      <w:r w:rsidRPr="002D0AF3">
        <w:rPr>
          <w:rFonts w:ascii="Garamond" w:hAnsi="Garamond"/>
          <w:sz w:val="24"/>
        </w:rPr>
        <w:t>Ë</w:t>
      </w:r>
      <w:r w:rsidR="00A1189A" w:rsidRPr="002D0AF3">
        <w:rPr>
          <w:rFonts w:ascii="Garamond" w:hAnsi="Garamond"/>
          <w:sz w:val="24"/>
        </w:rPr>
        <w:t xml:space="preserve">R </w:t>
      </w:r>
    </w:p>
    <w:p w14:paraId="1899591E" w14:textId="3542936A" w:rsidR="00A1189A" w:rsidRPr="002D0AF3" w:rsidRDefault="004D58B0" w:rsidP="004D58B0">
      <w:pPr>
        <w:spacing w:after="0" w:line="240" w:lineRule="auto"/>
        <w:ind w:firstLine="284"/>
        <w:jc w:val="right"/>
        <w:rPr>
          <w:rFonts w:ascii="Garamond" w:hAnsi="Garamond"/>
          <w:b/>
          <w:sz w:val="24"/>
        </w:rPr>
      </w:pPr>
      <w:r w:rsidRPr="002D0AF3">
        <w:rPr>
          <w:rFonts w:ascii="Garamond" w:hAnsi="Garamond"/>
          <w:b/>
          <w:sz w:val="24"/>
        </w:rPr>
        <w:t>Edi Rama</w:t>
      </w:r>
    </w:p>
    <w:p w14:paraId="4DFCA592" w14:textId="77777777" w:rsidR="00A1189A" w:rsidRPr="002D0AF3" w:rsidRDefault="00A1189A" w:rsidP="004D58B0">
      <w:pPr>
        <w:spacing w:after="0" w:line="240" w:lineRule="auto"/>
        <w:ind w:firstLine="284"/>
        <w:jc w:val="right"/>
        <w:rPr>
          <w:rFonts w:ascii="Garamond" w:hAnsi="Garamond"/>
          <w:sz w:val="24"/>
        </w:rPr>
      </w:pPr>
    </w:p>
    <w:p w14:paraId="739C0CA2" w14:textId="31E7286C" w:rsidR="00396679" w:rsidRPr="002D0AF3" w:rsidRDefault="00396679" w:rsidP="00396679">
      <w:pPr>
        <w:pStyle w:val="TEKSTIII"/>
        <w:jc w:val="center"/>
      </w:pPr>
      <w:r w:rsidRPr="002D0AF3">
        <w:t>STRATEGJIA KOMBËTARE E SIGURISË USHQIMORE</w:t>
      </w:r>
    </w:p>
    <w:p w14:paraId="6BDEC05A" w14:textId="1C1B8AE1" w:rsidR="00396679" w:rsidRPr="002D0AF3" w:rsidRDefault="00396679" w:rsidP="00396679">
      <w:pPr>
        <w:pStyle w:val="TEKSTIII"/>
        <w:jc w:val="center"/>
      </w:pPr>
      <w:r w:rsidRPr="002D0AF3">
        <w:t>2023</w:t>
      </w:r>
      <w:r w:rsidR="003E60DD" w:rsidRPr="002D0AF3">
        <w:t>–</w:t>
      </w:r>
      <w:r w:rsidRPr="002D0AF3">
        <w:t>2027</w:t>
      </w:r>
    </w:p>
    <w:p w14:paraId="4746A9A6" w14:textId="77777777" w:rsidR="008924E9" w:rsidRPr="002D0AF3" w:rsidRDefault="008924E9" w:rsidP="008924E9">
      <w:pPr>
        <w:pStyle w:val="TEKSTIII"/>
      </w:pPr>
    </w:p>
    <w:p w14:paraId="42A4E891" w14:textId="77777777" w:rsidR="008924E9" w:rsidRPr="002D0AF3" w:rsidRDefault="008924E9" w:rsidP="008924E9">
      <w:pPr>
        <w:pStyle w:val="TEKSTIII"/>
        <w:rPr>
          <w:b/>
        </w:rPr>
      </w:pPr>
      <w:r w:rsidRPr="002D0AF3">
        <w:rPr>
          <w:b/>
        </w:rPr>
        <w:t xml:space="preserve">Tabela e përmbajtjes </w:t>
      </w:r>
    </w:p>
    <w:p w14:paraId="455BCF40" w14:textId="77777777" w:rsidR="008924E9" w:rsidRPr="002D0AF3" w:rsidRDefault="008924E9" w:rsidP="008924E9">
      <w:pPr>
        <w:pStyle w:val="TEKSTIII"/>
      </w:pPr>
      <w:r w:rsidRPr="002D0AF3">
        <w:t>Lista e shkurtesave</w:t>
      </w:r>
    </w:p>
    <w:p w14:paraId="6E2AB399" w14:textId="77777777" w:rsidR="008924E9" w:rsidRPr="002D0AF3" w:rsidRDefault="008924E9" w:rsidP="008924E9">
      <w:pPr>
        <w:pStyle w:val="TEKSTIII"/>
      </w:pPr>
      <w:r w:rsidRPr="002D0AF3">
        <w:t>Hyrje</w:t>
      </w:r>
    </w:p>
    <w:p w14:paraId="7738DD41" w14:textId="5D0F9D66" w:rsidR="008924E9" w:rsidRPr="002D0AF3" w:rsidRDefault="008924E9" w:rsidP="008924E9">
      <w:pPr>
        <w:pStyle w:val="TEKSTIII"/>
      </w:pPr>
      <w:r w:rsidRPr="002D0AF3">
        <w:t xml:space="preserve">Vizioni i </w:t>
      </w:r>
      <w:r w:rsidR="003E60DD" w:rsidRPr="002D0AF3">
        <w:t>politikave</w:t>
      </w:r>
    </w:p>
    <w:p w14:paraId="5B8CFD60" w14:textId="77777777" w:rsidR="008924E9" w:rsidRPr="002D0AF3" w:rsidRDefault="008924E9" w:rsidP="008924E9">
      <w:pPr>
        <w:pStyle w:val="TEKSTIII"/>
      </w:pPr>
      <w:r w:rsidRPr="002D0AF3">
        <w:t>Palët e interesuara</w:t>
      </w:r>
    </w:p>
    <w:p w14:paraId="4AE121F8" w14:textId="77777777" w:rsidR="008924E9" w:rsidRPr="002D0AF3" w:rsidRDefault="008924E9" w:rsidP="008924E9">
      <w:pPr>
        <w:pStyle w:val="TEKSTIII"/>
      </w:pPr>
      <w:r w:rsidRPr="002D0AF3">
        <w:t>Rolet dhe përgjegjësitë</w:t>
      </w:r>
    </w:p>
    <w:p w14:paraId="39E0F59F" w14:textId="0440C3ED" w:rsidR="008924E9" w:rsidRPr="002D0AF3" w:rsidRDefault="008924E9" w:rsidP="008924E9">
      <w:pPr>
        <w:pStyle w:val="TEKSTIII"/>
      </w:pPr>
      <w:r w:rsidRPr="002D0AF3">
        <w:t xml:space="preserve">Qëllimet e </w:t>
      </w:r>
      <w:r w:rsidR="003E60DD" w:rsidRPr="002D0AF3">
        <w:t>politikave</w:t>
      </w:r>
    </w:p>
    <w:p w14:paraId="063B9607" w14:textId="77777777" w:rsidR="008924E9" w:rsidRPr="002D0AF3" w:rsidRDefault="008924E9" w:rsidP="008924E9">
      <w:pPr>
        <w:pStyle w:val="TEKSTIII"/>
      </w:pPr>
      <w:r w:rsidRPr="002D0AF3">
        <w:t>Referenca</w:t>
      </w:r>
    </w:p>
    <w:p w14:paraId="36F74609" w14:textId="77777777" w:rsidR="008924E9" w:rsidRPr="002D0AF3" w:rsidRDefault="008924E9" w:rsidP="008924E9">
      <w:pPr>
        <w:pStyle w:val="TEKSTIII"/>
      </w:pPr>
      <w:r w:rsidRPr="002D0AF3">
        <w:t xml:space="preserve">Shtojca I </w:t>
      </w:r>
    </w:p>
    <w:p w14:paraId="3CAE8474" w14:textId="77777777" w:rsidR="00A1189A" w:rsidRPr="002D0AF3" w:rsidRDefault="00A1189A" w:rsidP="004D58B0">
      <w:pPr>
        <w:spacing w:after="0" w:line="240" w:lineRule="auto"/>
        <w:ind w:firstLine="284"/>
        <w:jc w:val="both"/>
        <w:rPr>
          <w:rFonts w:ascii="Garamond" w:hAnsi="Garamond"/>
          <w:sz w:val="24"/>
          <w:lang w:eastAsia="ja-JP"/>
        </w:rPr>
      </w:pPr>
    </w:p>
    <w:p w14:paraId="3D4682AD" w14:textId="6BF32797" w:rsidR="00AF08B9" w:rsidRPr="002D0AF3" w:rsidRDefault="00AF08B9" w:rsidP="00AF08B9">
      <w:pPr>
        <w:pStyle w:val="TEKSTIII"/>
        <w:rPr>
          <w:b/>
          <w:szCs w:val="24"/>
        </w:rPr>
      </w:pPr>
      <w:bookmarkStart w:id="0" w:name="_Toc119667588"/>
      <w:r w:rsidRPr="002D0AF3">
        <w:rPr>
          <w:b/>
          <w:szCs w:val="24"/>
        </w:rPr>
        <w:t xml:space="preserve">Lista e </w:t>
      </w:r>
      <w:r w:rsidR="003E60DD" w:rsidRPr="002D0AF3">
        <w:rPr>
          <w:b/>
          <w:szCs w:val="24"/>
        </w:rPr>
        <w:t>shkurtesave</w:t>
      </w:r>
      <w:bookmarkEnd w:id="0"/>
    </w:p>
    <w:p w14:paraId="60C95F30" w14:textId="616BD1BE" w:rsidR="00AF08B9" w:rsidRPr="002D0AF3" w:rsidRDefault="00AF08B9" w:rsidP="00AF08B9">
      <w:pPr>
        <w:pStyle w:val="TEKSTIII"/>
        <w:rPr>
          <w:rFonts w:eastAsia="Arial MT"/>
          <w:szCs w:val="24"/>
        </w:rPr>
      </w:pPr>
      <w:r w:rsidRPr="002D0AF3">
        <w:rPr>
          <w:rFonts w:eastAsia="Arial MT"/>
          <w:szCs w:val="24"/>
        </w:rPr>
        <w:t xml:space="preserve">AKU </w:t>
      </w:r>
      <w:r w:rsidRPr="002D0AF3">
        <w:rPr>
          <w:rFonts w:eastAsia="Arial MT"/>
          <w:szCs w:val="24"/>
        </w:rPr>
        <w:tab/>
      </w:r>
      <w:r w:rsidRPr="002D0AF3">
        <w:rPr>
          <w:rFonts w:eastAsia="Arial MT"/>
          <w:szCs w:val="24"/>
        </w:rPr>
        <w:tab/>
        <w:t>Autoriteti Kombëtar i Ushqimit</w:t>
      </w:r>
    </w:p>
    <w:p w14:paraId="2855988B" w14:textId="005A6375" w:rsidR="00AF08B9" w:rsidRPr="002D0AF3" w:rsidRDefault="00AF08B9" w:rsidP="00AF08B9">
      <w:pPr>
        <w:pStyle w:val="TEKSTIII"/>
        <w:rPr>
          <w:rFonts w:eastAsia="Arial MT"/>
          <w:szCs w:val="24"/>
        </w:rPr>
      </w:pPr>
      <w:r w:rsidRPr="002D0AF3">
        <w:rPr>
          <w:rFonts w:eastAsia="Arial MT"/>
          <w:szCs w:val="24"/>
        </w:rPr>
        <w:t>AKVMB</w:t>
      </w:r>
      <w:r w:rsidRPr="002D0AF3">
        <w:rPr>
          <w:rFonts w:eastAsia="Arial MT"/>
          <w:szCs w:val="24"/>
        </w:rPr>
        <w:tab/>
      </w:r>
      <w:r w:rsidRPr="002D0AF3">
        <w:rPr>
          <w:rFonts w:eastAsia="Arial MT"/>
          <w:szCs w:val="24"/>
        </w:rPr>
        <w:tab/>
        <w:t>Autoriteti Kombëtar i Veterinarisë dhe Mbrojtjes së Bimëve</w:t>
      </w:r>
    </w:p>
    <w:p w14:paraId="76C9D9BF" w14:textId="77777777" w:rsidR="00AF08B9" w:rsidRPr="002D0AF3" w:rsidRDefault="00AF08B9" w:rsidP="00AF08B9">
      <w:pPr>
        <w:pStyle w:val="TEKSTIII"/>
        <w:rPr>
          <w:rFonts w:eastAsia="Arial MT"/>
          <w:szCs w:val="24"/>
        </w:rPr>
      </w:pPr>
      <w:r w:rsidRPr="002D0AF3">
        <w:rPr>
          <w:rFonts w:eastAsia="Arial MT"/>
          <w:szCs w:val="24"/>
        </w:rPr>
        <w:t>AESU</w:t>
      </w:r>
      <w:r w:rsidRPr="002D0AF3">
        <w:rPr>
          <w:rFonts w:eastAsia="Arial MT"/>
          <w:szCs w:val="24"/>
        </w:rPr>
        <w:tab/>
      </w:r>
      <w:r w:rsidRPr="002D0AF3">
        <w:rPr>
          <w:rFonts w:eastAsia="Arial MT"/>
          <w:szCs w:val="24"/>
        </w:rPr>
        <w:tab/>
        <w:t>Autoriteti Evropian i Sigurisë Ushqimore</w:t>
      </w:r>
    </w:p>
    <w:p w14:paraId="38B358A4" w14:textId="26A63587" w:rsidR="00AF08B9" w:rsidRPr="002D0AF3" w:rsidRDefault="00AF08B9" w:rsidP="00AF08B9">
      <w:pPr>
        <w:pStyle w:val="TEKSTIII"/>
        <w:rPr>
          <w:rFonts w:eastAsia="Arial MT"/>
          <w:szCs w:val="24"/>
        </w:rPr>
      </w:pPr>
      <w:r w:rsidRPr="002D0AF3">
        <w:rPr>
          <w:rFonts w:eastAsia="Arial MT"/>
          <w:szCs w:val="24"/>
        </w:rPr>
        <w:t>BE</w:t>
      </w:r>
      <w:r w:rsidRPr="002D0AF3">
        <w:rPr>
          <w:rFonts w:eastAsia="Arial MT"/>
          <w:szCs w:val="24"/>
        </w:rPr>
        <w:tab/>
      </w:r>
      <w:r w:rsidRPr="002D0AF3">
        <w:rPr>
          <w:rFonts w:eastAsia="Arial MT"/>
          <w:szCs w:val="24"/>
        </w:rPr>
        <w:tab/>
      </w:r>
      <w:r w:rsidRPr="002D0AF3">
        <w:rPr>
          <w:rFonts w:eastAsia="Arial MT"/>
          <w:szCs w:val="24"/>
        </w:rPr>
        <w:tab/>
        <w:t>Bashkimi Evropian</w:t>
      </w:r>
    </w:p>
    <w:p w14:paraId="535C66EA" w14:textId="51605476" w:rsidR="00AF08B9" w:rsidRPr="002D0AF3" w:rsidRDefault="00AF08B9" w:rsidP="00AF08B9">
      <w:pPr>
        <w:pStyle w:val="TEKSTIII"/>
        <w:rPr>
          <w:rFonts w:eastAsia="Arial MT"/>
          <w:szCs w:val="24"/>
        </w:rPr>
      </w:pPr>
      <w:r w:rsidRPr="002D0AF3">
        <w:rPr>
          <w:rFonts w:eastAsia="Arial MT"/>
          <w:szCs w:val="24"/>
        </w:rPr>
        <w:t>PBB</w:t>
      </w:r>
      <w:r w:rsidRPr="002D0AF3">
        <w:rPr>
          <w:rFonts w:eastAsia="Arial MT"/>
          <w:szCs w:val="24"/>
        </w:rPr>
        <w:tab/>
      </w:r>
      <w:r w:rsidRPr="002D0AF3">
        <w:rPr>
          <w:rFonts w:eastAsia="Arial MT"/>
          <w:szCs w:val="24"/>
        </w:rPr>
        <w:tab/>
      </w:r>
      <w:r w:rsidRPr="002D0AF3">
        <w:rPr>
          <w:rFonts w:eastAsia="Arial MT"/>
          <w:szCs w:val="24"/>
        </w:rPr>
        <w:tab/>
        <w:t>Prodhimi i Brendshëm Bruto</w:t>
      </w:r>
    </w:p>
    <w:p w14:paraId="1AE508F6" w14:textId="77777777" w:rsidR="00AF08B9" w:rsidRPr="002D0AF3" w:rsidRDefault="00AF08B9" w:rsidP="00AF08B9">
      <w:pPr>
        <w:pStyle w:val="TEKSTIII"/>
        <w:rPr>
          <w:rFonts w:eastAsia="Arial MT"/>
          <w:szCs w:val="24"/>
        </w:rPr>
      </w:pPr>
      <w:r w:rsidRPr="002D0AF3">
        <w:rPr>
          <w:rFonts w:eastAsia="Arial MT"/>
          <w:szCs w:val="24"/>
        </w:rPr>
        <w:t>AMIA</w:t>
      </w:r>
      <w:r w:rsidRPr="002D0AF3">
        <w:rPr>
          <w:rFonts w:eastAsia="Arial MT"/>
          <w:szCs w:val="24"/>
        </w:rPr>
        <w:tab/>
      </w:r>
      <w:r w:rsidRPr="002D0AF3">
        <w:rPr>
          <w:rFonts w:eastAsia="Arial MT"/>
          <w:szCs w:val="24"/>
        </w:rPr>
        <w:tab/>
        <w:t>Analiza e Mangësive Institucionale dhe Administrative</w:t>
      </w:r>
    </w:p>
    <w:p w14:paraId="5F9572B2" w14:textId="357FCEB5" w:rsidR="00AF08B9" w:rsidRPr="002D0AF3" w:rsidRDefault="00AF08B9" w:rsidP="00AF08B9">
      <w:pPr>
        <w:pStyle w:val="TEKSTIII"/>
        <w:ind w:left="2159" w:hanging="1875"/>
        <w:rPr>
          <w:rFonts w:eastAsia="Arial MT"/>
          <w:szCs w:val="24"/>
        </w:rPr>
      </w:pPr>
      <w:r w:rsidRPr="002D0AF3">
        <w:rPr>
          <w:rFonts w:eastAsia="Arial MT"/>
          <w:szCs w:val="24"/>
        </w:rPr>
        <w:t>SNBZHRP</w:t>
      </w:r>
      <w:r w:rsidRPr="002D0AF3">
        <w:rPr>
          <w:rFonts w:eastAsia="Arial MT"/>
          <w:szCs w:val="24"/>
        </w:rPr>
        <w:tab/>
      </w:r>
      <w:r w:rsidRPr="002D0AF3">
        <w:rPr>
          <w:rFonts w:eastAsia="Arial MT"/>
          <w:szCs w:val="24"/>
        </w:rPr>
        <w:tab/>
        <w:t>Strategjia Ndërsektoriale për Bujqësinë, Zhvillimin Rural dhe Peshkimin 2022</w:t>
      </w:r>
      <w:r w:rsidR="003E60DD" w:rsidRPr="002D0AF3">
        <w:rPr>
          <w:rFonts w:eastAsia="Arial MT"/>
          <w:szCs w:val="24"/>
        </w:rPr>
        <w:t>–</w:t>
      </w:r>
      <w:r w:rsidRPr="002D0AF3">
        <w:rPr>
          <w:rFonts w:eastAsia="Arial MT"/>
          <w:szCs w:val="24"/>
        </w:rPr>
        <w:t>2027</w:t>
      </w:r>
    </w:p>
    <w:p w14:paraId="035E12C0" w14:textId="77777777" w:rsidR="00AF08B9" w:rsidRPr="002D0AF3" w:rsidRDefault="00AF08B9" w:rsidP="00AF08B9">
      <w:pPr>
        <w:pStyle w:val="TEKSTIII"/>
        <w:rPr>
          <w:rFonts w:eastAsia="Arial MT"/>
          <w:szCs w:val="24"/>
        </w:rPr>
      </w:pPr>
      <w:r w:rsidRPr="002D0AF3">
        <w:rPr>
          <w:rFonts w:eastAsia="Arial MT"/>
          <w:szCs w:val="24"/>
        </w:rPr>
        <w:t xml:space="preserve">ISHP </w:t>
      </w:r>
      <w:r w:rsidRPr="002D0AF3">
        <w:rPr>
          <w:rFonts w:eastAsia="Arial MT"/>
          <w:szCs w:val="24"/>
        </w:rPr>
        <w:tab/>
      </w:r>
      <w:r w:rsidRPr="002D0AF3">
        <w:rPr>
          <w:rFonts w:eastAsia="Arial MT"/>
          <w:szCs w:val="24"/>
        </w:rPr>
        <w:tab/>
        <w:t>Instituti i Shëndetit Publik</w:t>
      </w:r>
    </w:p>
    <w:p w14:paraId="4B01FB6F" w14:textId="77777777" w:rsidR="00AF08B9" w:rsidRPr="002D0AF3" w:rsidRDefault="00AF08B9" w:rsidP="00AF08B9">
      <w:pPr>
        <w:pStyle w:val="TEKSTIII"/>
        <w:rPr>
          <w:rFonts w:eastAsia="Arial MT"/>
          <w:szCs w:val="24"/>
        </w:rPr>
      </w:pPr>
      <w:r w:rsidRPr="002D0AF3">
        <w:rPr>
          <w:rFonts w:eastAsia="Arial MT"/>
          <w:szCs w:val="24"/>
        </w:rPr>
        <w:t>ISUV</w:t>
      </w:r>
      <w:r w:rsidRPr="002D0AF3">
        <w:rPr>
          <w:rFonts w:eastAsia="Arial MT"/>
          <w:szCs w:val="24"/>
        </w:rPr>
        <w:tab/>
      </w:r>
      <w:r w:rsidRPr="002D0AF3">
        <w:rPr>
          <w:rFonts w:eastAsia="Arial MT"/>
          <w:szCs w:val="24"/>
        </w:rPr>
        <w:tab/>
        <w:t>Instituti i Sigurisë Ushqimore dhe Veterinarisë</w:t>
      </w:r>
    </w:p>
    <w:p w14:paraId="2617A732" w14:textId="77777777" w:rsidR="00AF08B9" w:rsidRPr="002D0AF3" w:rsidRDefault="00AF08B9" w:rsidP="00AF08B9">
      <w:pPr>
        <w:pStyle w:val="TEKSTIII"/>
        <w:rPr>
          <w:rFonts w:eastAsia="Arial MT"/>
          <w:szCs w:val="24"/>
        </w:rPr>
      </w:pPr>
      <w:r w:rsidRPr="002D0AF3">
        <w:rPr>
          <w:rFonts w:eastAsia="Arial MT"/>
          <w:szCs w:val="24"/>
        </w:rPr>
        <w:t>AML</w:t>
      </w:r>
      <w:r w:rsidRPr="002D0AF3">
        <w:rPr>
          <w:rFonts w:eastAsia="Arial MT"/>
          <w:szCs w:val="24"/>
        </w:rPr>
        <w:tab/>
      </w:r>
      <w:r w:rsidRPr="002D0AF3">
        <w:rPr>
          <w:rFonts w:eastAsia="Arial MT"/>
          <w:szCs w:val="24"/>
        </w:rPr>
        <w:tab/>
        <w:t>Analiza e Mangësive Legjislative</w:t>
      </w:r>
    </w:p>
    <w:p w14:paraId="7475E2C8" w14:textId="77777777" w:rsidR="00AF08B9" w:rsidRPr="002D0AF3" w:rsidRDefault="00AF08B9" w:rsidP="00AF08B9">
      <w:pPr>
        <w:pStyle w:val="TEKSTIII"/>
        <w:rPr>
          <w:rFonts w:eastAsia="Arial MT"/>
          <w:szCs w:val="24"/>
        </w:rPr>
      </w:pPr>
      <w:r w:rsidRPr="002D0AF3">
        <w:rPr>
          <w:rFonts w:eastAsia="Arial MT"/>
          <w:szCs w:val="24"/>
        </w:rPr>
        <w:t>MBZHR</w:t>
      </w:r>
      <w:r w:rsidRPr="002D0AF3">
        <w:rPr>
          <w:rFonts w:eastAsia="Arial MT"/>
          <w:szCs w:val="24"/>
        </w:rPr>
        <w:tab/>
      </w:r>
      <w:r w:rsidRPr="002D0AF3">
        <w:rPr>
          <w:rFonts w:eastAsia="Arial MT"/>
          <w:szCs w:val="24"/>
        </w:rPr>
        <w:tab/>
        <w:t>Ministria e Bujqësisë dhe Zhvillimit Rural</w:t>
      </w:r>
    </w:p>
    <w:p w14:paraId="698A06A5" w14:textId="77777777" w:rsidR="00AF08B9" w:rsidRPr="002D0AF3" w:rsidRDefault="00AF08B9" w:rsidP="00AF08B9">
      <w:pPr>
        <w:pStyle w:val="TEKSTIII"/>
        <w:rPr>
          <w:rFonts w:eastAsia="Arial MT"/>
          <w:szCs w:val="24"/>
        </w:rPr>
      </w:pPr>
      <w:r w:rsidRPr="002D0AF3">
        <w:rPr>
          <w:rFonts w:eastAsia="Arial MT"/>
          <w:szCs w:val="24"/>
        </w:rPr>
        <w:lastRenderedPageBreak/>
        <w:t>MSHMS</w:t>
      </w:r>
      <w:r w:rsidRPr="002D0AF3">
        <w:rPr>
          <w:rFonts w:eastAsia="Arial MT"/>
          <w:szCs w:val="24"/>
        </w:rPr>
        <w:tab/>
      </w:r>
      <w:r w:rsidRPr="002D0AF3">
        <w:rPr>
          <w:rFonts w:eastAsia="Arial MT"/>
          <w:szCs w:val="24"/>
        </w:rPr>
        <w:tab/>
        <w:t>Ministria e Shëndetësisë dhe Mbrojtjes Sociale</w:t>
      </w:r>
    </w:p>
    <w:p w14:paraId="6F2DC8AC" w14:textId="77777777" w:rsidR="00AF08B9" w:rsidRPr="002D0AF3" w:rsidRDefault="00AF08B9" w:rsidP="00AF08B9">
      <w:pPr>
        <w:pStyle w:val="TEKSTIII"/>
        <w:rPr>
          <w:rFonts w:eastAsia="Arial MT"/>
          <w:szCs w:val="24"/>
        </w:rPr>
      </w:pPr>
      <w:r w:rsidRPr="002D0AF3">
        <w:rPr>
          <w:rFonts w:eastAsia="Arial MT"/>
          <w:szCs w:val="24"/>
        </w:rPr>
        <w:t>MTM</w:t>
      </w:r>
      <w:r w:rsidRPr="002D0AF3">
        <w:rPr>
          <w:rFonts w:eastAsia="Arial MT"/>
          <w:szCs w:val="24"/>
        </w:rPr>
        <w:tab/>
      </w:r>
      <w:r w:rsidRPr="002D0AF3">
        <w:rPr>
          <w:rFonts w:eastAsia="Arial MT"/>
          <w:szCs w:val="24"/>
        </w:rPr>
        <w:tab/>
        <w:t>Ministria e Turizmit dhe Mjedisit</w:t>
      </w:r>
    </w:p>
    <w:p w14:paraId="4A785B6E" w14:textId="77777777" w:rsidR="00AF08B9" w:rsidRPr="002D0AF3" w:rsidRDefault="00AF08B9" w:rsidP="00AF08B9">
      <w:pPr>
        <w:pStyle w:val="TEKSTIII"/>
        <w:rPr>
          <w:rFonts w:eastAsia="Arial MT"/>
          <w:szCs w:val="24"/>
        </w:rPr>
      </w:pPr>
      <w:r w:rsidRPr="002D0AF3">
        <w:rPr>
          <w:rFonts w:eastAsia="Arial MT"/>
          <w:szCs w:val="24"/>
        </w:rPr>
        <w:t>SKZHI</w:t>
      </w:r>
      <w:r w:rsidRPr="002D0AF3">
        <w:rPr>
          <w:rFonts w:eastAsia="Arial MT"/>
          <w:szCs w:val="24"/>
        </w:rPr>
        <w:tab/>
      </w:r>
      <w:r w:rsidRPr="002D0AF3">
        <w:rPr>
          <w:rFonts w:eastAsia="Arial MT"/>
          <w:szCs w:val="24"/>
        </w:rPr>
        <w:tab/>
        <w:t>Strategjia Kombëtare për Zhvillim dhe Integrim</w:t>
      </w:r>
    </w:p>
    <w:p w14:paraId="06586900" w14:textId="77777777" w:rsidR="00AF08B9" w:rsidRPr="002D0AF3" w:rsidRDefault="00AF08B9" w:rsidP="00AF08B9">
      <w:pPr>
        <w:pStyle w:val="TEKSTIII"/>
        <w:rPr>
          <w:rFonts w:eastAsia="Arial MT"/>
          <w:szCs w:val="24"/>
        </w:rPr>
      </w:pPr>
      <w:r w:rsidRPr="002D0AF3">
        <w:rPr>
          <w:rFonts w:eastAsia="Arial MT"/>
          <w:szCs w:val="24"/>
        </w:rPr>
        <w:t>OZHQ</w:t>
      </w:r>
      <w:r w:rsidRPr="002D0AF3">
        <w:rPr>
          <w:rFonts w:eastAsia="Arial MT"/>
          <w:szCs w:val="24"/>
        </w:rPr>
        <w:tab/>
      </w:r>
      <w:r w:rsidRPr="002D0AF3">
        <w:rPr>
          <w:rFonts w:eastAsia="Arial MT"/>
          <w:szCs w:val="24"/>
        </w:rPr>
        <w:tab/>
        <w:t>Objektivat e Zhvillimit të Qëndrueshëm</w:t>
      </w:r>
    </w:p>
    <w:p w14:paraId="08C0D6E8" w14:textId="77777777" w:rsidR="00AF08B9" w:rsidRPr="002D0AF3" w:rsidRDefault="00AF08B9" w:rsidP="00AF08B9">
      <w:pPr>
        <w:pStyle w:val="TEKSTIII"/>
        <w:rPr>
          <w:rFonts w:eastAsia="Arial MT"/>
          <w:szCs w:val="24"/>
        </w:rPr>
      </w:pPr>
      <w:r w:rsidRPr="002D0AF3">
        <w:rPr>
          <w:rFonts w:eastAsia="Arial MT"/>
          <w:szCs w:val="24"/>
        </w:rPr>
        <w:t>NVM</w:t>
      </w:r>
      <w:r w:rsidRPr="002D0AF3">
        <w:rPr>
          <w:rFonts w:eastAsia="Arial MT"/>
          <w:szCs w:val="24"/>
        </w:rPr>
        <w:tab/>
      </w:r>
      <w:r w:rsidRPr="002D0AF3">
        <w:rPr>
          <w:rFonts w:eastAsia="Arial MT"/>
          <w:szCs w:val="24"/>
        </w:rPr>
        <w:tab/>
        <w:t>Ndërmarrjet e Vogla dhe të Mesme</w:t>
      </w:r>
    </w:p>
    <w:p w14:paraId="690134B5" w14:textId="2A6BE091" w:rsidR="00AF08B9" w:rsidRPr="002D0AF3" w:rsidRDefault="00AF08B9" w:rsidP="00AF08B9">
      <w:pPr>
        <w:pStyle w:val="TEKSTIII"/>
        <w:rPr>
          <w:rFonts w:eastAsia="Arial MT"/>
          <w:szCs w:val="24"/>
        </w:rPr>
      </w:pPr>
      <w:r w:rsidRPr="002D0AF3">
        <w:rPr>
          <w:rFonts w:eastAsia="Arial MT"/>
          <w:szCs w:val="24"/>
        </w:rPr>
        <w:t>OKBZHQ</w:t>
      </w:r>
      <w:r w:rsidRPr="002D0AF3">
        <w:rPr>
          <w:rFonts w:eastAsia="Arial MT"/>
          <w:szCs w:val="24"/>
        </w:rPr>
        <w:tab/>
      </w:r>
      <w:r w:rsidRPr="002D0AF3">
        <w:rPr>
          <w:rFonts w:eastAsia="Arial MT"/>
          <w:szCs w:val="24"/>
        </w:rPr>
        <w:tab/>
      </w:r>
      <w:r w:rsidRPr="002D0AF3">
        <w:rPr>
          <w:szCs w:val="24"/>
        </w:rPr>
        <w:t>Objektivat e Kombeve të Bashkuara për Zhvillimin e Qëndrueshëm</w:t>
      </w:r>
    </w:p>
    <w:p w14:paraId="6E4FE6F5" w14:textId="77777777" w:rsidR="00AF08B9" w:rsidRPr="002D0AF3" w:rsidRDefault="00AF08B9" w:rsidP="00AF08B9">
      <w:pPr>
        <w:pStyle w:val="TEKSTIII"/>
        <w:rPr>
          <w:rFonts w:eastAsia="Arial MT"/>
          <w:szCs w:val="24"/>
        </w:rPr>
      </w:pPr>
      <w:r w:rsidRPr="002D0AF3">
        <w:rPr>
          <w:rFonts w:eastAsia="Arial MT"/>
          <w:szCs w:val="24"/>
        </w:rPr>
        <w:t>OBSH</w:t>
      </w:r>
      <w:r w:rsidRPr="002D0AF3">
        <w:rPr>
          <w:rFonts w:eastAsia="Arial MT"/>
          <w:szCs w:val="24"/>
        </w:rPr>
        <w:tab/>
      </w:r>
      <w:r w:rsidRPr="002D0AF3">
        <w:rPr>
          <w:rFonts w:eastAsia="Arial MT"/>
          <w:szCs w:val="24"/>
        </w:rPr>
        <w:tab/>
        <w:t>Organizata Botërore e Shëndetësisë</w:t>
      </w:r>
    </w:p>
    <w:p w14:paraId="5AAD168A" w14:textId="0A5C31BA" w:rsidR="00AF08B9" w:rsidRPr="002D0AF3" w:rsidRDefault="00AF08B9" w:rsidP="00AF08B9">
      <w:pPr>
        <w:pStyle w:val="TEKSTIII"/>
        <w:rPr>
          <w:rFonts w:eastAsia="Arial MT"/>
          <w:szCs w:val="24"/>
        </w:rPr>
      </w:pPr>
      <w:r w:rsidRPr="002D0AF3">
        <w:rPr>
          <w:rFonts w:eastAsia="Arial MT"/>
          <w:szCs w:val="24"/>
        </w:rPr>
        <w:t>OBT</w:t>
      </w:r>
      <w:r w:rsidRPr="002D0AF3">
        <w:rPr>
          <w:rFonts w:eastAsia="Arial MT"/>
          <w:szCs w:val="24"/>
        </w:rPr>
        <w:tab/>
      </w:r>
      <w:r w:rsidRPr="002D0AF3">
        <w:rPr>
          <w:rFonts w:eastAsia="Arial MT"/>
          <w:szCs w:val="24"/>
        </w:rPr>
        <w:tab/>
        <w:t>Organizata Botërore e Tregtisë</w:t>
      </w:r>
    </w:p>
    <w:p w14:paraId="2EFFEDCD" w14:textId="77777777" w:rsidR="00D04B2D" w:rsidRPr="002D0AF3" w:rsidRDefault="00D04B2D" w:rsidP="00AF08B9">
      <w:pPr>
        <w:pStyle w:val="TEKSTIII"/>
        <w:rPr>
          <w:rFonts w:eastAsia="Arial MT"/>
          <w:szCs w:val="24"/>
        </w:rPr>
      </w:pPr>
    </w:p>
    <w:p w14:paraId="55C6BAF9" w14:textId="0C715305" w:rsidR="003806E0" w:rsidRPr="002D0AF3" w:rsidRDefault="003806E0" w:rsidP="003806E0">
      <w:pPr>
        <w:pStyle w:val="TEKSTIII"/>
        <w:jc w:val="center"/>
      </w:pPr>
      <w:bookmarkStart w:id="1" w:name="_Toc119667589"/>
      <w:r w:rsidRPr="002D0AF3">
        <w:t>HYRJE</w:t>
      </w:r>
      <w:bookmarkEnd w:id="1"/>
    </w:p>
    <w:p w14:paraId="43FFB5ED" w14:textId="77777777" w:rsidR="003806E0" w:rsidRPr="002D0AF3" w:rsidRDefault="003806E0" w:rsidP="003806E0">
      <w:pPr>
        <w:pStyle w:val="TEKSTIII"/>
        <w:jc w:val="center"/>
        <w:rPr>
          <w:rFonts w:eastAsia="Arial"/>
          <w:sz w:val="18"/>
          <w:szCs w:val="18"/>
        </w:rPr>
      </w:pPr>
    </w:p>
    <w:p w14:paraId="43F32C46" w14:textId="768FC3D9" w:rsidR="003806E0" w:rsidRPr="002D0AF3" w:rsidRDefault="003806E0" w:rsidP="003806E0">
      <w:pPr>
        <w:pStyle w:val="TEKSTIII"/>
        <w:jc w:val="center"/>
        <w:rPr>
          <w:rFonts w:eastAsia="Arial"/>
          <w:i/>
          <w:iCs/>
          <w:szCs w:val="18"/>
        </w:rPr>
      </w:pPr>
      <w:r w:rsidRPr="002D0AF3">
        <w:rPr>
          <w:rFonts w:eastAsia="Arial"/>
          <w:i/>
          <w:iCs/>
          <w:szCs w:val="18"/>
        </w:rPr>
        <w:t>Shqipëria pranon rëndësinë e faktit se shëndeti i njerëzve është i lidhur ngushtë me shëndetin e bimëve, kafshëve dhe mjedisin e përbashkët dhe se një politikë e qartë kombëtare për sigurinë agroushqimore është</w:t>
      </w:r>
    </w:p>
    <w:p w14:paraId="1F94A7DA" w14:textId="2B2E1B1D" w:rsidR="003806E0" w:rsidRPr="002D0AF3" w:rsidRDefault="003806E0" w:rsidP="003806E0">
      <w:pPr>
        <w:pStyle w:val="TEKSTIII"/>
        <w:jc w:val="center"/>
        <w:rPr>
          <w:rFonts w:eastAsia="Arial"/>
          <w:i/>
          <w:iCs/>
          <w:szCs w:val="18"/>
        </w:rPr>
      </w:pPr>
      <w:r w:rsidRPr="002D0AF3">
        <w:rPr>
          <w:rFonts w:eastAsia="Arial"/>
          <w:i/>
          <w:iCs/>
          <w:szCs w:val="18"/>
        </w:rPr>
        <w:t xml:space="preserve">themeli për zbatimin efektiv të parimeve të </w:t>
      </w:r>
      <w:r w:rsidR="0080408F" w:rsidRPr="002D0AF3">
        <w:rPr>
          <w:rFonts w:eastAsia="Arial"/>
          <w:i/>
          <w:iCs/>
          <w:szCs w:val="18"/>
        </w:rPr>
        <w:t>“</w:t>
      </w:r>
      <w:r w:rsidRPr="002D0AF3">
        <w:rPr>
          <w:rFonts w:eastAsia="Arial"/>
          <w:i/>
          <w:iCs/>
          <w:szCs w:val="18"/>
        </w:rPr>
        <w:t>One Health</w:t>
      </w:r>
      <w:r w:rsidR="0080408F" w:rsidRPr="002D0AF3">
        <w:rPr>
          <w:rFonts w:eastAsia="Arial"/>
          <w:i/>
          <w:iCs/>
          <w:szCs w:val="18"/>
        </w:rPr>
        <w:t xml:space="preserve">” </w:t>
      </w:r>
      <w:r w:rsidRPr="002D0AF3">
        <w:rPr>
          <w:rFonts w:eastAsia="Arial"/>
          <w:i/>
          <w:iCs/>
          <w:szCs w:val="18"/>
        </w:rPr>
        <w:t>përmes zinxhirit ushqimor nga ferma në tavolinë.</w:t>
      </w:r>
    </w:p>
    <w:p w14:paraId="24F81A62" w14:textId="77777777" w:rsidR="003806E0" w:rsidRPr="002D0AF3" w:rsidRDefault="003806E0" w:rsidP="003806E0">
      <w:pPr>
        <w:pStyle w:val="TEKSTIII"/>
        <w:jc w:val="center"/>
        <w:rPr>
          <w:sz w:val="18"/>
          <w:szCs w:val="18"/>
        </w:rPr>
      </w:pPr>
    </w:p>
    <w:p w14:paraId="5D18E051" w14:textId="68C33C3D" w:rsidR="003806E0" w:rsidRPr="002D0AF3" w:rsidRDefault="003806E0" w:rsidP="003806E0">
      <w:pPr>
        <w:pStyle w:val="TEKSTIII"/>
      </w:pPr>
      <w:r w:rsidRPr="002D0AF3">
        <w:t>Shqipëria, e vendosur në mënyrë strategjike në Gadishullin Ballkanik mes Azisë dhe Evropës, zotëron burime të shumta natyrore, një treg të konsiderueshëm me mundësi të mëdha investimi dhe ka potencial të fortë për zgjerim ekonomik.</w:t>
      </w:r>
    </w:p>
    <w:p w14:paraId="1E625E8A" w14:textId="2852C463" w:rsidR="003806E0" w:rsidRPr="002D0AF3" w:rsidRDefault="00A92ADE" w:rsidP="003806E0">
      <w:pPr>
        <w:pStyle w:val="TEKSTIII"/>
      </w:pPr>
      <w:r w:rsidRPr="002D0AF3">
        <w:rPr>
          <w:rFonts w:ascii="Arial" w:hAnsi="Arial" w:cs="Arial"/>
          <w:noProof/>
          <w:sz w:val="18"/>
          <w:szCs w:val="18"/>
          <w:lang w:val="en-US"/>
        </w:rPr>
        <w:drawing>
          <wp:anchor distT="0" distB="0" distL="114300" distR="114300" simplePos="0" relativeHeight="251658240" behindDoc="0" locked="0" layoutInCell="1" allowOverlap="1" wp14:anchorId="38F5D944" wp14:editId="45F9BF7C">
            <wp:simplePos x="0" y="0"/>
            <wp:positionH relativeFrom="column">
              <wp:posOffset>1391285</wp:posOffset>
            </wp:positionH>
            <wp:positionV relativeFrom="page">
              <wp:posOffset>5546090</wp:posOffset>
            </wp:positionV>
            <wp:extent cx="3152140" cy="2685415"/>
            <wp:effectExtent l="0" t="0" r="0" b="63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52140" cy="2685415"/>
                    </a:xfrm>
                    <a:prstGeom prst="rect">
                      <a:avLst/>
                    </a:prstGeom>
                    <a:noFill/>
                  </pic:spPr>
                </pic:pic>
              </a:graphicData>
            </a:graphic>
            <wp14:sizeRelH relativeFrom="margin">
              <wp14:pctWidth>0</wp14:pctWidth>
            </wp14:sizeRelH>
            <wp14:sizeRelV relativeFrom="margin">
              <wp14:pctHeight>0</wp14:pctHeight>
            </wp14:sizeRelV>
          </wp:anchor>
        </w:drawing>
      </w:r>
      <w:r w:rsidR="003806E0" w:rsidRPr="002D0AF3">
        <w:t xml:space="preserve">Aktualisht, bujqësia dhe sektorët e biznesit </w:t>
      </w:r>
      <w:r w:rsidR="005529A9" w:rsidRPr="002D0AF3">
        <w:t>agroushqimor</w:t>
      </w:r>
      <w:r w:rsidR="003806E0" w:rsidRPr="002D0AF3">
        <w:t xml:space="preserve"> japin një kontribut të rëndësishëm në ekonominë kombëtare. Në vitin 2019, prodhimi kryesor përfaqësonte afro 19% të PBB-së dhe 40% të punësimit kombëtar, ndërsa rreth 40% e popullsisë jetonte në zonat rurale, ku shumica e tyre punonin në bujqësi. Vlerësimet e Bankës Botërore</w:t>
      </w:r>
      <w:r w:rsidR="003806E0" w:rsidRPr="002D0AF3">
        <w:rPr>
          <w:rStyle w:val="FootnoteReference"/>
        </w:rPr>
        <w:footnoteReference w:id="2"/>
      </w:r>
      <w:r w:rsidR="003806E0" w:rsidRPr="002D0AF3">
        <w:rPr>
          <w:vertAlign w:val="superscript"/>
        </w:rPr>
        <w:t xml:space="preserve"> </w:t>
      </w:r>
      <w:r w:rsidR="003806E0" w:rsidRPr="002D0AF3">
        <w:t>tregojnë se bujqësia ushqimore është në mënyrë direkte dhe indirekte përgjegjës për pothuajse gjysmën e vendeve të punës në mbarë ekonominë në Shqipëri.</w:t>
      </w:r>
    </w:p>
    <w:p w14:paraId="728A8E73" w14:textId="06E2BE9B" w:rsidR="003806E0" w:rsidRPr="002D0AF3" w:rsidRDefault="003806E0" w:rsidP="003806E0">
      <w:pPr>
        <w:pStyle w:val="TEKSTIII"/>
      </w:pPr>
    </w:p>
    <w:p w14:paraId="3ED1A92D" w14:textId="0D660439" w:rsidR="003806E0" w:rsidRPr="002D0AF3" w:rsidRDefault="003806E0" w:rsidP="003806E0">
      <w:pPr>
        <w:pStyle w:val="TEKSTIII"/>
      </w:pPr>
      <w:r w:rsidRPr="002D0AF3">
        <w:t xml:space="preserve">Integrimi i Shqipërisë në ekonominë globale, veçanërisht për sektorin </w:t>
      </w:r>
      <w:r w:rsidR="005529A9" w:rsidRPr="002D0AF3">
        <w:t>agroushqimor</w:t>
      </w:r>
      <w:r w:rsidRPr="002D0AF3">
        <w:t xml:space="preserve"> është jetik, por sfidues. Aktualisht, aksesi i Shqipërisë në tregjet ndërkombëtare të ushqimit është ende i </w:t>
      </w:r>
      <w:r w:rsidRPr="002D0AF3">
        <w:lastRenderedPageBreak/>
        <w:t>kufizuar. Produktet kryesore shtazore të Shqipërisë, duke përfshirë qumështin, mishin e kuq dhe shpendët, akoma nuk lejohen në BE. Është tepër e rëndësishme që produktet shqiptare të kenë akses dhe të bëhen më konkurruese në tregjet e huaja.</w:t>
      </w:r>
    </w:p>
    <w:p w14:paraId="0E138161" w14:textId="595D88FF" w:rsidR="003806E0" w:rsidRPr="002D0AF3" w:rsidRDefault="003806E0" w:rsidP="003806E0">
      <w:pPr>
        <w:pStyle w:val="TEKSTIII"/>
      </w:pPr>
      <w:r w:rsidRPr="002D0AF3">
        <w:t xml:space="preserve">Forcimi i sistemit rregullator </w:t>
      </w:r>
      <w:r w:rsidR="005529A9" w:rsidRPr="002D0AF3">
        <w:t>agroushqimor</w:t>
      </w:r>
      <w:r w:rsidRPr="002D0AF3">
        <w:t xml:space="preserve"> në Shqipëri është i nevojshëm për të përmirësuar mbrojtjen e shëndetit të konsumatorëve, shëndetit të kafshëve dhe shëndetit të bimëve. Aktualisht, në sistemin rregullator shqiptar ka disa mangësi specifike, në veçanti baza e kufizuar e provave për fusha kyç, si</w:t>
      </w:r>
      <w:r w:rsidR="005E3D4D" w:rsidRPr="002D0AF3">
        <w:t>:</w:t>
      </w:r>
      <w:r w:rsidRPr="002D0AF3">
        <w:t xml:space="preserve"> i</w:t>
      </w:r>
      <w:r w:rsidR="005E3D4D" w:rsidRPr="002D0AF3">
        <w:t>.</w:t>
      </w:r>
      <w:r w:rsidRPr="002D0AF3">
        <w:t xml:space="preserve"> incidenca në nivel vendi e rreziqeve dhe sëmundjeve të shkaktuara nga ushqimi, duke përfshirë rreziqet dhe sëmundjet për shëndetin e kafshëve</w:t>
      </w:r>
      <w:r w:rsidR="005E3D4D" w:rsidRPr="002D0AF3">
        <w:t>;</w:t>
      </w:r>
      <w:r w:rsidRPr="002D0AF3">
        <w:t xml:space="preserve"> ii</w:t>
      </w:r>
      <w:r w:rsidR="005E3D4D" w:rsidRPr="002D0AF3">
        <w:t>.</w:t>
      </w:r>
      <w:r w:rsidRPr="002D0AF3">
        <w:t xml:space="preserve"> kostoja ekonomike e ushqimeve të pasigurta</w:t>
      </w:r>
      <w:r w:rsidR="005E3D4D" w:rsidRPr="002D0AF3">
        <w:t>;</w:t>
      </w:r>
      <w:r w:rsidRPr="002D0AF3">
        <w:t xml:space="preserve"> dhe iii</w:t>
      </w:r>
      <w:r w:rsidR="005E3D4D" w:rsidRPr="002D0AF3">
        <w:t>.</w:t>
      </w:r>
      <w:r w:rsidRPr="002D0AF3">
        <w:t xml:space="preserve"> efikasiteti i ndërhyrjeve në sigurinë ushqimore. Këto mangësi lidhen me numrin e skenarëve ekzistues, duke përfshirë faktorë institucionalë, si copëzimi i zinxhirëve të vlerave ushqimore dhe mandatet institucionale publike, si dhe mungesa e përfaqësimit të efektshëm të konsumatorëve dhe operatorëve të bizneseve ushqimore. Për të forcuar sistemin rregullator duhen adresuar një sërë sfidash specifike, që përfshijnë disponueshmërinë e të dhënave për informim të monitorimit dhe mbikëqyrjes me bazë risku, pikat e dobëta që ekzistojnë në sistemet e sigurisë ushqimore dhe të shëndetit të kafshëve</w:t>
      </w:r>
      <w:r w:rsidR="005E3D4D" w:rsidRPr="002D0AF3">
        <w:t>,</w:t>
      </w:r>
      <w:r w:rsidRPr="002D0AF3">
        <w:t xml:space="preserve"> lidhur me evidencat shkencore, infrastrukturën e nevojshme, burimet e trajnuara njerëzore, kulturën e sigurisë ushqimore dhe rregulloret e zbatueshme</w:t>
      </w:r>
      <w:r w:rsidR="00C33DE9">
        <w:t>.</w:t>
      </w:r>
    </w:p>
    <w:p w14:paraId="1D571C7D" w14:textId="4A94F0E1" w:rsidR="003806E0" w:rsidRPr="002D0AF3" w:rsidRDefault="003806E0" w:rsidP="003806E0">
      <w:pPr>
        <w:pStyle w:val="TEKSTIII"/>
      </w:pPr>
      <w:r w:rsidRPr="002D0AF3">
        <w:t xml:space="preserve">Qeveritë e Shqipërisë janë të përkushtuara për kapërcimin e këtyre sfidave dhe mbështesin vizionin e zhvillimit të sektorëve të ushqimit dhe bujqësisë për të qenë konkurrues, gjithëpërfshirës, i adaptueshëm dhe plotësisht i integruar në ekonominë globale. Siguria e furnizimit ushqimor mbështet ekonominë, tregtinë dhe turizmin e një vendi, kontribuon në sigurinë e ushqimit dhe të ushqyerit dhe stimulon zhvillimin e qëndrueshëm. Është e rëndësishme të theksohet që Shqipëria pranon se shëndeti i njerëzve është i lidhur ngushtë me shëndetin e bimëve, kafshëve dhe mjedisin e përbashkët dhe se një politikë kombëtare për sigurinë </w:t>
      </w:r>
      <w:r w:rsidR="005529A9" w:rsidRPr="002D0AF3">
        <w:t>agroushqimor</w:t>
      </w:r>
      <w:r w:rsidRPr="002D0AF3">
        <w:t>e është baza për zbatimin efektiv të parimeve</w:t>
      </w:r>
      <w:r w:rsidR="005E3D4D" w:rsidRPr="002D0AF3">
        <w:t xml:space="preserve"> </w:t>
      </w:r>
      <w:r w:rsidR="005E3D4D" w:rsidRPr="00A4304F">
        <w:rPr>
          <w:i/>
        </w:rPr>
        <w:t>“</w:t>
      </w:r>
      <w:r w:rsidRPr="00A4304F">
        <w:rPr>
          <w:i/>
        </w:rPr>
        <w:t>One health”</w:t>
      </w:r>
      <w:r w:rsidRPr="002D0AF3">
        <w:t xml:space="preserve"> përmes gjithë zinxhirit ushqimor nga ferma në tavolinë.</w:t>
      </w:r>
    </w:p>
    <w:p w14:paraId="31ECAE5E" w14:textId="47E737B2" w:rsidR="003806E0" w:rsidRPr="002D0AF3" w:rsidRDefault="003806E0" w:rsidP="003806E0">
      <w:pPr>
        <w:pStyle w:val="TEKSTIII"/>
      </w:pPr>
      <w:r w:rsidRPr="002D0AF3">
        <w:t>Kostoja ekonomike e ushqimeve të pasigurta, shpërthimeve të sëmundjeve të kafshëve ose bimëve merr forma të shumta dhe ka ndikime afatshkurtra dhe afatgjata. Shembuj të këtyre kostove përfshijnë kostot e shëndetit publik dhe humbjen e produktivitetit të lidhura me sëmundjet ushqimore dhe sëmundjet e kafshëve të fermave, ndërprerjet në tregjet ushqimore kur ndodhin shpërthime sëmundjesh, pasi konsumatorët shmangin produktet ushqimore të implikuara ose zgjedhin alternativa që perceptohen si më të sigurta. Ushqimi i pasigurt ndikon</w:t>
      </w:r>
      <w:r w:rsidR="005F2D2D" w:rsidRPr="002D0AF3">
        <w:t>,</w:t>
      </w:r>
      <w:r w:rsidRPr="002D0AF3">
        <w:t xml:space="preserve"> gjithashtu</w:t>
      </w:r>
      <w:r w:rsidR="005F2D2D" w:rsidRPr="002D0AF3">
        <w:t>,</w:t>
      </w:r>
      <w:r w:rsidRPr="002D0AF3">
        <w:t xml:space="preserve"> në furnizimet ushqimore dhe sigurinë ushqimore.</w:t>
      </w:r>
    </w:p>
    <w:p w14:paraId="5FEA2683" w14:textId="6E606769" w:rsidR="003806E0" w:rsidRPr="002D0AF3" w:rsidRDefault="003806E0" w:rsidP="003806E0">
      <w:pPr>
        <w:pStyle w:val="TEKSTIII"/>
      </w:pPr>
      <w:r w:rsidRPr="002D0AF3">
        <w:t xml:space="preserve">Kjo politikë konsideron hap kyç njohjen e faktit se siguria e ushqimit, ushqimit të kafshëve, shëndetit të bimëve dhe kafshëve është jetike për rritjen dhe transformimin e sektorit të bujqësisë në Shqipëri dhe mund të kontribuojë pozitivisht në integrimin e Shqipërisë në tregjet rajonale, tregjet e Bashkimit Evropian dhe ato ndërkombëtare. Zgjerimi i tregjeve vendore dhe ndërkombëtare mund të ndikojë ndjeshëm në rritjen ekonomike dhe prosperitetin në të gjithë sektorin </w:t>
      </w:r>
      <w:r w:rsidR="005529A9" w:rsidRPr="002D0AF3">
        <w:t>agroushqimor</w:t>
      </w:r>
      <w:r w:rsidRPr="002D0AF3">
        <w:t>.</w:t>
      </w:r>
    </w:p>
    <w:p w14:paraId="34D44BAD" w14:textId="5132C5BF" w:rsidR="003806E0" w:rsidRPr="002D0AF3" w:rsidRDefault="003806E0" w:rsidP="003806E0">
      <w:pPr>
        <w:pStyle w:val="TEKSTIII"/>
      </w:pPr>
      <w:r w:rsidRPr="002D0AF3">
        <w:t xml:space="preserve">Kjo politikë miraton qasjen </w:t>
      </w:r>
      <w:r w:rsidR="00A4304F" w:rsidRPr="00A4304F">
        <w:t>“</w:t>
      </w:r>
      <w:r w:rsidRPr="00A4304F">
        <w:t xml:space="preserve">Një </w:t>
      </w:r>
      <w:r w:rsidR="00A4304F" w:rsidRPr="00A4304F">
        <w:t>shëndet”</w:t>
      </w:r>
      <w:r w:rsidRPr="00A4304F">
        <w:t>,</w:t>
      </w:r>
      <w:r w:rsidRPr="002D0AF3">
        <w:t xml:space="preserve"> e cila i lejon qeverisë të zbulojë, parandalojë dhe reagojë ndaj sëmundjeve të reja në ndërfaqen njeri-kafshë-mjedis, në mënyrë që të trajtojë më efektivisht çështjet e shëndetit publik të lidhura me ushqimin. Mbrojtja e shëndetit dhe mirëqenies së kafshëve, shëndetit të bimëve dhe shëndetit të konsumatorëve rrit konkurrencën e produkteve </w:t>
      </w:r>
      <w:r w:rsidR="005529A9" w:rsidRPr="002D0AF3">
        <w:t>agroushqimor</w:t>
      </w:r>
      <w:r w:rsidRPr="002D0AF3">
        <w:t>e shqiptare</w:t>
      </w:r>
      <w:r w:rsidR="006D3418" w:rsidRPr="002D0AF3">
        <w:t>,</w:t>
      </w:r>
      <w:r w:rsidRPr="002D0AF3">
        <w:t xml:space="preserve"> si në tregun e brendshëm, ashtu edhe në atë të jashtëm.</w:t>
      </w:r>
    </w:p>
    <w:p w14:paraId="4F680EC1" w14:textId="41CBC619" w:rsidR="003806E0" w:rsidRPr="002D0AF3" w:rsidRDefault="003806E0" w:rsidP="003806E0">
      <w:pPr>
        <w:pStyle w:val="TEKSTIII"/>
      </w:pPr>
      <w:r w:rsidRPr="002D0AF3">
        <w:t xml:space="preserve">Për të siguruar një politikë progresive të sigurisë </w:t>
      </w:r>
      <w:r w:rsidR="005529A9" w:rsidRPr="002D0AF3">
        <w:t>agroushqimor</w:t>
      </w:r>
      <w:r w:rsidRPr="002D0AF3">
        <w:t>e, duhet të merren parasysh faktorët kryesorë të politikave brenda Shqipërisë dhe globalisht. Është e rëndësishme të theksohet se qëllimet e kësaj politike janë në përputhje me politikat dhe strategjitë kryesore kombëtare dhe ndërkombëtare.</w:t>
      </w:r>
    </w:p>
    <w:p w14:paraId="660AD2F5" w14:textId="77777777" w:rsidR="003806E0" w:rsidRPr="002D0AF3" w:rsidRDefault="003806E0" w:rsidP="003806E0">
      <w:pPr>
        <w:pStyle w:val="TEKSTIII"/>
      </w:pPr>
      <w:r w:rsidRPr="002D0AF3">
        <w:t>Në nivel kombëtar synimet e politikave përputhen me:</w:t>
      </w:r>
    </w:p>
    <w:p w14:paraId="484C00D5" w14:textId="01D92136" w:rsidR="003806E0" w:rsidRPr="002D0AF3" w:rsidRDefault="00792FF4" w:rsidP="003806E0">
      <w:pPr>
        <w:pStyle w:val="TEKSTIII"/>
      </w:pPr>
      <w:r w:rsidRPr="002D0AF3">
        <w:lastRenderedPageBreak/>
        <w:t xml:space="preserve">- </w:t>
      </w:r>
      <w:r w:rsidR="003806E0" w:rsidRPr="002D0AF3">
        <w:t>Strategjinë Ndërsektoriale për Bujqësinë, Zhvillimin Rural dhe Peshkimin 2022</w:t>
      </w:r>
      <w:r w:rsidRPr="002D0AF3">
        <w:t>–</w:t>
      </w:r>
      <w:r w:rsidR="003806E0" w:rsidRPr="002D0AF3">
        <w:t>2027 (SNBZHRP). Kjo politikë është veçanërisht e rëndësishme për realizimin e dy nga katër objektivat e përgjithsh</w:t>
      </w:r>
      <w:r w:rsidR="006D2A34">
        <w:t>ë</w:t>
      </w:r>
      <w:r w:rsidR="003806E0" w:rsidRPr="002D0AF3">
        <w:t>m të kësaj strategjie, të cilat janë: i</w:t>
      </w:r>
      <w:r w:rsidRPr="002D0AF3">
        <w:t xml:space="preserve">. </w:t>
      </w:r>
      <w:r w:rsidR="003806E0" w:rsidRPr="002D0AF3">
        <w:t xml:space="preserve">promovimi i prodhimit dhe </w:t>
      </w:r>
      <w:r w:rsidRPr="002D0AF3">
        <w:t xml:space="preserve">i </w:t>
      </w:r>
      <w:r w:rsidR="003806E0" w:rsidRPr="002D0AF3">
        <w:t xml:space="preserve">cilësisë së qëndrueshme të ushqimit nëpërmjet zhvillimit të një sektori konkurrues dhe inovativ </w:t>
      </w:r>
      <w:r w:rsidR="005529A9" w:rsidRPr="002D0AF3">
        <w:t>agroushqimor</w:t>
      </w:r>
      <w:r w:rsidRPr="002D0AF3">
        <w:t>;</w:t>
      </w:r>
      <w:r w:rsidR="003806E0" w:rsidRPr="002D0AF3">
        <w:rPr>
          <w:rStyle w:val="FootnoteReference"/>
        </w:rPr>
        <w:footnoteReference w:id="3"/>
      </w:r>
      <w:r w:rsidR="003E60DD" w:rsidRPr="002D0AF3">
        <w:t xml:space="preserve"> </w:t>
      </w:r>
      <w:r w:rsidR="003806E0" w:rsidRPr="002D0AF3">
        <w:t>dhe ii</w:t>
      </w:r>
      <w:r w:rsidRPr="002D0AF3">
        <w:t>.</w:t>
      </w:r>
      <w:r w:rsidR="003806E0" w:rsidRPr="002D0AF3">
        <w:t xml:space="preserve"> forcimi i kapacitetet institucionale dhe administrative drejt harmonizimit të </w:t>
      </w:r>
      <w:r w:rsidR="002D0AF3" w:rsidRPr="002D0AF3">
        <w:rPr>
          <w:i/>
        </w:rPr>
        <w:t>Acquis</w:t>
      </w:r>
      <w:r w:rsidRPr="002D0AF3">
        <w:rPr>
          <w:i/>
        </w:rPr>
        <w:t xml:space="preserve"> </w:t>
      </w:r>
      <w:r w:rsidR="003806E0" w:rsidRPr="002D0AF3">
        <w:rPr>
          <w:i/>
        </w:rPr>
        <w:t>Communautaire</w:t>
      </w:r>
      <w:r w:rsidR="003806E0" w:rsidRPr="002D0AF3">
        <w:t xml:space="preserve"> të BE-së në kapitujt përkatës. SNBZHRP-ja 2022</w:t>
      </w:r>
      <w:r w:rsidRPr="002D0AF3">
        <w:t>–</w:t>
      </w:r>
      <w:r w:rsidR="003806E0" w:rsidRPr="002D0AF3">
        <w:t>2027</w:t>
      </w:r>
      <w:r w:rsidR="003806E0" w:rsidRPr="002D0AF3">
        <w:rPr>
          <w:rStyle w:val="FootnoteReference"/>
        </w:rPr>
        <w:footnoteReference w:id="4"/>
      </w:r>
      <w:r w:rsidR="003E60DD" w:rsidRPr="002D0AF3">
        <w:t xml:space="preserve"> </w:t>
      </w:r>
      <w:r w:rsidR="003806E0" w:rsidRPr="002D0AF3">
        <w:t>është në përputhje me objektivat strategjikë të Strategjisë Kombëtare për Zhvillim dhe Integrim (SKZHI III) 2021–2030</w:t>
      </w:r>
      <w:r w:rsidRPr="002D0AF3">
        <w:t>,</w:t>
      </w:r>
      <w:r w:rsidR="003806E0" w:rsidRPr="002D0AF3">
        <w:t xml:space="preserve"> si dhe me vizionin, objektivat dhe prioritetet e Qeverisë së Shqipërisë 2030 (2021</w:t>
      </w:r>
      <w:r w:rsidRPr="002D0AF3">
        <w:t>–</w:t>
      </w:r>
      <w:r w:rsidR="003806E0" w:rsidRPr="002D0AF3">
        <w:t>2025).</w:t>
      </w:r>
    </w:p>
    <w:p w14:paraId="26C8C093" w14:textId="77777777" w:rsidR="003806E0" w:rsidRPr="002D0AF3" w:rsidRDefault="003806E0" w:rsidP="003806E0">
      <w:pPr>
        <w:pStyle w:val="TEKSTIII"/>
      </w:pPr>
      <w:r w:rsidRPr="002D0AF3">
        <w:t>Në nivel ndërkombëtar, synimet e politikave përputhen me:</w:t>
      </w:r>
    </w:p>
    <w:p w14:paraId="7E908F08" w14:textId="76930E65" w:rsidR="003806E0" w:rsidRPr="002D0AF3" w:rsidRDefault="00C77804" w:rsidP="003806E0">
      <w:pPr>
        <w:pStyle w:val="TEKSTIII"/>
      </w:pPr>
      <w:r w:rsidRPr="002D0AF3">
        <w:t xml:space="preserve">- </w:t>
      </w:r>
      <w:r w:rsidR="003806E0" w:rsidRPr="002D0AF3">
        <w:t>Objektivat e Kombeve të Bashkuara për Zhvillimin e Qëndrueshëm (OKBZHQ)</w:t>
      </w:r>
      <w:r w:rsidR="00F21ABA" w:rsidRPr="002D0AF3">
        <w:t>,</w:t>
      </w:r>
      <w:r w:rsidR="003806E0" w:rsidRPr="002D0AF3">
        <w:t xml:space="preserve"> të cilat përshkruajnë fushat e synuara për qeveritë ndërkombëtare, duke përfshirë qeverinë shqiptare, për arritjen e një të ardhmeje më të mirë dhe më të qëndrueshme për të gjithë. Ushqimet e mjaftueshme, të sigurta dhe ushqyese identifikohen qartë si të rëndësishme për të gjitha OZHQ-të, duke riafirmuar ndërvarësinë midis shëndetit dhe mirëqenies, të ushqyerit, padëmshmërisë ushqimore dhe sigurisë ushqimore. Në veçanti, OZHQ-ja 2 (</w:t>
      </w:r>
      <w:r w:rsidR="003C1F5B" w:rsidRPr="002D0AF3">
        <w:t xml:space="preserve">Zero </w:t>
      </w:r>
      <w:r w:rsidR="003806E0" w:rsidRPr="002D0AF3">
        <w:t>uri), OZHQ-ja 3 (Shëndet i mirë dhe mirëqenie) dhe OZHQ-ja 8 (Punë e denjë dhe rritje ekonomike). Siguria e ushqimit duhet</w:t>
      </w:r>
      <w:r w:rsidR="003C1F5B" w:rsidRPr="002D0AF3">
        <w:t>,</w:t>
      </w:r>
      <w:r w:rsidR="003806E0" w:rsidRPr="002D0AF3">
        <w:t xml:space="preserve"> gjithashtu</w:t>
      </w:r>
      <w:r w:rsidR="003C1F5B" w:rsidRPr="002D0AF3">
        <w:t>,</w:t>
      </w:r>
      <w:r w:rsidR="003806E0" w:rsidRPr="002D0AF3">
        <w:t xml:space="preserve"> të integrohet në arritjen e OZHQ-së 1 (Pa varfëri), OZHQ-së 12 (Konsum dhe prodhim i përgjegjshëm) dhe OZHQ-së 17 (Partneritete për qëllimet). Për më tepër, OZHQ-ja 6 (Uji i pastër dhe higj</w:t>
      </w:r>
      <w:r w:rsidR="003C1F5B" w:rsidRPr="002D0AF3">
        <w:t>i</w:t>
      </w:r>
      <w:r w:rsidR="003806E0" w:rsidRPr="002D0AF3">
        <w:t>ena publike) është gur themeli i sigurisë ushqimore.</w:t>
      </w:r>
    </w:p>
    <w:p w14:paraId="52D96932" w14:textId="2B1B508B" w:rsidR="003806E0" w:rsidRPr="002D0AF3" w:rsidRDefault="00C77804" w:rsidP="003806E0">
      <w:pPr>
        <w:pStyle w:val="TEKSTIII"/>
      </w:pPr>
      <w:r w:rsidRPr="002D0AF3">
        <w:t xml:space="preserve">- </w:t>
      </w:r>
      <w:r w:rsidR="003806E0" w:rsidRPr="002D0AF3">
        <w:t>Strategjia e OBSH-së për Sigurinë Ushqimore (2022</w:t>
      </w:r>
      <w:r w:rsidR="006861CA" w:rsidRPr="002D0AF3">
        <w:t>–</w:t>
      </w:r>
      <w:r w:rsidR="003806E0" w:rsidRPr="002D0AF3">
        <w:t xml:space="preserve">2030) – Drejt sistemeve më të forta të sigurisë ushqimore dhe bashkëpunimit global që synon forcimin e sistemeve të kontrollit të ushqimit, përdorimin e evidencave (të dhënave dhe shkencës) për të mbështetur vendimmarrjen dhe promovimin e angazhimit dhe partneriteteve të palëve të interesuara. Kjo politikë miraton parimet e bashkëpunimit dhe koordinimit ndërmjet qeverisë në zbatimin e qasjes </w:t>
      </w:r>
      <w:r w:rsidR="00971CAA">
        <w:t>“</w:t>
      </w:r>
      <w:r w:rsidR="003806E0" w:rsidRPr="002D0AF3">
        <w:t xml:space="preserve">Një </w:t>
      </w:r>
      <w:r w:rsidR="00971CAA" w:rsidRPr="002D0AF3">
        <w:t>shëndet</w:t>
      </w:r>
      <w:r w:rsidR="00971CAA">
        <w:t>”</w:t>
      </w:r>
      <w:r w:rsidR="003806E0" w:rsidRPr="002D0AF3">
        <w:t>.</w:t>
      </w:r>
    </w:p>
    <w:p w14:paraId="79A59068" w14:textId="3C8A1907" w:rsidR="003806E0" w:rsidRPr="002D0AF3" w:rsidRDefault="003806E0" w:rsidP="003806E0">
      <w:pPr>
        <w:pStyle w:val="TEKSTIII"/>
      </w:pPr>
      <w:r w:rsidRPr="002D0AF3">
        <w:t xml:space="preserve">Qeverive u kërkohet të tregojnë lidership në miratimin dhe zbatimin e politikave të sigurisë </w:t>
      </w:r>
      <w:r w:rsidR="005529A9" w:rsidRPr="002D0AF3">
        <w:t>agroushqimor</w:t>
      </w:r>
      <w:r w:rsidRPr="002D0AF3">
        <w:t xml:space="preserve">e, të cilat sigurojnë që çdo palë e interesuar të kuptojë dhe të luajë siç duhet rolin e tyre. Zbatimi efektiv i kësaj politike kërkon së pari, një kuptim të qartë të roleve dhe përgjegjësive të çdo pale të interesuar (siç përshkruhet në </w:t>
      </w:r>
      <w:r w:rsidR="00591319" w:rsidRPr="002D0AF3">
        <w:t xml:space="preserve">seksioni </w:t>
      </w:r>
      <w:r w:rsidRPr="002D0AF3">
        <w:t>4) dhe së dyti angazhimin e tyre në vijimësi për zbatimin e objektivave të politikës (</w:t>
      </w:r>
      <w:r w:rsidR="00591319" w:rsidRPr="002D0AF3">
        <w:t xml:space="preserve">seksioni </w:t>
      </w:r>
      <w:r w:rsidRPr="002D0AF3">
        <w:t>5) brenda kompetencave të tyre përkatëse përmes planeve të zbatimit të politikave (</w:t>
      </w:r>
      <w:r w:rsidR="00591319" w:rsidRPr="002D0AF3">
        <w:t xml:space="preserve">SHTOJCA </w:t>
      </w:r>
      <w:r w:rsidRPr="002D0AF3">
        <w:t>I).</w:t>
      </w:r>
    </w:p>
    <w:p w14:paraId="5FA1DF8A" w14:textId="53C10D3A" w:rsidR="003806E0" w:rsidRPr="002D0AF3" w:rsidRDefault="003806E0" w:rsidP="003806E0">
      <w:pPr>
        <w:pStyle w:val="TEKSTIII"/>
      </w:pPr>
      <w:r w:rsidRPr="002D0AF3">
        <w:t xml:space="preserve">Kjo politikë përcakton parimet kryesore të njohura ndërkombëtarisht, sipas të cilave sistemet e prodhimit </w:t>
      </w:r>
      <w:r w:rsidR="005529A9" w:rsidRPr="002D0AF3">
        <w:t>agroushqimor</w:t>
      </w:r>
      <w:r w:rsidRPr="002D0AF3">
        <w:t xml:space="preserve"> në Shqipëri duhet të rregullohen për të garantuar mbrojtjen e shëndetit të konsumatorit, shëndetin e kafshëve dhe bimëve, duke lehtësuar inovacionin dhe tregtinë. Këto përfshijnë parimet e transparencës, analizën e rrezikut, menaxhimin e krizave, vendimmarrjen e bazuar në shkencë, koordinimin dhe bashkëpunimin kombëtar dhe ndërkombëtar, ndërgjegjësimin e konsumatorëve dhe komunikimin me ta.</w:t>
      </w:r>
    </w:p>
    <w:p w14:paraId="6009916A" w14:textId="6EBBD570" w:rsidR="003806E0" w:rsidRPr="002D0AF3" w:rsidRDefault="003806E0" w:rsidP="003806E0">
      <w:pPr>
        <w:pStyle w:val="TEKSTIII"/>
      </w:pPr>
      <w:r w:rsidRPr="002D0AF3">
        <w:t>Ia vlen të theksojmë se komunikimi, koordinimi dhe bashkëpunimi i mirë mes të gjitha palëve të interesuara është thelbësor, duke përfshirë Ministrinë e Bujqësisë dhe Zhvillimit Rural (MBZHR), Autoritetin Kombëtar të Ushqimit (AKU), Institutin e Sigurisë Ushqimore dhe Veterinarisë (ISUV), Autoritetin Kombëtar të Veterinarisë dhe Mbrojtjes së Bimëve (AKVMB), Institutin për Shëndetin Publik, industrinë dhe konsumatorët. Shpërndarja e burimeve adekuate është gjithashtu thelbësore për të siguruar funksionimin efektiv të sistemit.</w:t>
      </w:r>
    </w:p>
    <w:p w14:paraId="6A1C7901" w14:textId="36D9CAFE" w:rsidR="003806E0" w:rsidRPr="002D0AF3" w:rsidRDefault="003806E0" w:rsidP="003806E0">
      <w:pPr>
        <w:pStyle w:val="TEKSTIII"/>
      </w:pPr>
      <w:r w:rsidRPr="002D0AF3">
        <w:lastRenderedPageBreak/>
        <w:t xml:space="preserve">Rritja e sistemeve të sigurisë </w:t>
      </w:r>
      <w:r w:rsidR="005529A9" w:rsidRPr="002D0AF3">
        <w:t>agroushqimor</w:t>
      </w:r>
      <w:r w:rsidRPr="002D0AF3">
        <w:t>e të Shqipërisë përfshin një sërë objektivash afatshkurt</w:t>
      </w:r>
      <w:r w:rsidR="00591319" w:rsidRPr="002D0AF3">
        <w:t>ë</w:t>
      </w:r>
      <w:r w:rsidRPr="002D0AF3">
        <w:t>r dhe afatgjat</w:t>
      </w:r>
      <w:r w:rsidR="00591319" w:rsidRPr="002D0AF3">
        <w:t>ë,</w:t>
      </w:r>
      <w:r w:rsidRPr="002D0AF3">
        <w:t xml:space="preserve"> të cil</w:t>
      </w:r>
      <w:r w:rsidR="00591319" w:rsidRPr="002D0AF3">
        <w:t>ë</w:t>
      </w:r>
      <w:r w:rsidRPr="002D0AF3">
        <w:t>t mund të jenë sfiduese për t</w:t>
      </w:r>
      <w:r w:rsidR="00591319" w:rsidRPr="002D0AF3">
        <w:t>’</w:t>
      </w:r>
      <w:r w:rsidRPr="002D0AF3">
        <w:t>u arritur, megjithatë janë investime të vlefshme që do të kontribuojnë në forcimin e reputacionit të Shqipërisë në nivel kombëtar dhe ndërkombëtar dhe do të ndikojnë pozitivisht në rritjen ekonomike.</w:t>
      </w:r>
    </w:p>
    <w:p w14:paraId="615B11F9" w14:textId="66AF68F9" w:rsidR="003806E0" w:rsidRPr="002D0AF3" w:rsidRDefault="003806E0" w:rsidP="003806E0">
      <w:pPr>
        <w:pStyle w:val="TEKSTIII"/>
      </w:pPr>
      <w:r w:rsidRPr="002D0AF3">
        <w:t xml:space="preserve">Kjo Politikë Kombëtare e Sigurisë </w:t>
      </w:r>
      <w:r w:rsidR="005529A9" w:rsidRPr="002D0AF3">
        <w:t>Agroushqimor</w:t>
      </w:r>
      <w:r w:rsidRPr="002D0AF3">
        <w:t>e do të rishikohet periodikisht dhe do të përditësohet sipas nevojës për të pasqyruar zhvillimet e reja që ndikojnë në sigurinë e ushqimeve dhe ushqimeve për kafshë ose në shëndetin e bimëve ose kafshëve.</w:t>
      </w:r>
    </w:p>
    <w:p w14:paraId="038A5A1D" w14:textId="77777777" w:rsidR="007C60EA" w:rsidRPr="002D0AF3" w:rsidRDefault="007C60EA" w:rsidP="007C60EA">
      <w:pPr>
        <w:pStyle w:val="TEKSTIII"/>
        <w:jc w:val="center"/>
        <w:rPr>
          <w:b/>
        </w:rPr>
      </w:pPr>
      <w:bookmarkStart w:id="2" w:name="_Toc119667590"/>
    </w:p>
    <w:p w14:paraId="76A5A641" w14:textId="4A93060E" w:rsidR="00D04279" w:rsidRPr="002D0AF3" w:rsidRDefault="00D04279" w:rsidP="007C60EA">
      <w:pPr>
        <w:pStyle w:val="TEKSTIII"/>
        <w:jc w:val="center"/>
        <w:rPr>
          <w:b/>
        </w:rPr>
      </w:pPr>
      <w:r w:rsidRPr="002D0AF3">
        <w:rPr>
          <w:b/>
        </w:rPr>
        <w:t xml:space="preserve">Vizioni i </w:t>
      </w:r>
      <w:r w:rsidR="004031C7" w:rsidRPr="002D0AF3">
        <w:rPr>
          <w:b/>
        </w:rPr>
        <w:t>politikave</w:t>
      </w:r>
      <w:bookmarkEnd w:id="2"/>
    </w:p>
    <w:p w14:paraId="4BE7FDA3" w14:textId="77777777" w:rsidR="00D04279" w:rsidRPr="002D0AF3" w:rsidRDefault="00D04279" w:rsidP="00D04279">
      <w:pPr>
        <w:spacing w:after="0" w:line="240" w:lineRule="auto"/>
        <w:jc w:val="center"/>
        <w:rPr>
          <w:rFonts w:ascii="Garamond" w:hAnsi="Garamond" w:cs="Arial"/>
          <w:i/>
          <w:iCs/>
          <w:sz w:val="24"/>
          <w:szCs w:val="24"/>
        </w:rPr>
      </w:pPr>
    </w:p>
    <w:p w14:paraId="1DFA232B" w14:textId="2AB149DF" w:rsidR="00D04279" w:rsidRPr="002D0AF3" w:rsidRDefault="00D04279" w:rsidP="00D04279">
      <w:pPr>
        <w:spacing w:after="0" w:line="240" w:lineRule="auto"/>
        <w:jc w:val="center"/>
        <w:rPr>
          <w:rFonts w:ascii="Garamond" w:hAnsi="Garamond" w:cs="Arial"/>
          <w:i/>
          <w:iCs/>
          <w:sz w:val="24"/>
          <w:szCs w:val="24"/>
        </w:rPr>
      </w:pPr>
      <w:r w:rsidRPr="002D0AF3">
        <w:rPr>
          <w:rFonts w:ascii="Garamond" w:hAnsi="Garamond" w:cs="Arial"/>
          <w:i/>
          <w:iCs/>
          <w:sz w:val="24"/>
          <w:szCs w:val="24"/>
        </w:rPr>
        <w:t xml:space="preserve">Për të siguruar një politikë progresive të sigurisë </w:t>
      </w:r>
      <w:r w:rsidR="005529A9" w:rsidRPr="002D0AF3">
        <w:rPr>
          <w:rFonts w:ascii="Garamond" w:hAnsi="Garamond" w:cs="Arial"/>
          <w:i/>
          <w:iCs/>
          <w:sz w:val="24"/>
          <w:szCs w:val="24"/>
        </w:rPr>
        <w:t>agroushqimor</w:t>
      </w:r>
      <w:r w:rsidRPr="002D0AF3">
        <w:rPr>
          <w:rFonts w:ascii="Garamond" w:hAnsi="Garamond" w:cs="Arial"/>
          <w:i/>
          <w:iCs/>
          <w:sz w:val="24"/>
          <w:szCs w:val="24"/>
        </w:rPr>
        <w:t>e,</w:t>
      </w:r>
    </w:p>
    <w:p w14:paraId="2023F101" w14:textId="77777777" w:rsidR="00D04279" w:rsidRPr="002D0AF3" w:rsidRDefault="00D04279" w:rsidP="00D04279">
      <w:pPr>
        <w:spacing w:after="0" w:line="240" w:lineRule="auto"/>
        <w:jc w:val="center"/>
        <w:rPr>
          <w:rFonts w:ascii="Garamond" w:hAnsi="Garamond" w:cs="Arial"/>
          <w:i/>
          <w:iCs/>
          <w:sz w:val="24"/>
          <w:szCs w:val="24"/>
        </w:rPr>
      </w:pPr>
      <w:r w:rsidRPr="002D0AF3">
        <w:rPr>
          <w:rFonts w:ascii="Garamond" w:hAnsi="Garamond" w:cs="Arial"/>
          <w:i/>
          <w:iCs/>
          <w:sz w:val="24"/>
          <w:szCs w:val="24"/>
        </w:rPr>
        <w:t>duhet të merren parasysh nxitësit kryesorë të politikave brenda Shqipërisë dhe globalisht.</w:t>
      </w:r>
    </w:p>
    <w:p w14:paraId="1DE178AD" w14:textId="77777777" w:rsidR="00D04279" w:rsidRPr="002D0AF3" w:rsidRDefault="00D04279" w:rsidP="00D04279">
      <w:pPr>
        <w:spacing w:after="0" w:line="240" w:lineRule="auto"/>
        <w:jc w:val="center"/>
        <w:rPr>
          <w:rFonts w:ascii="Garamond" w:hAnsi="Garamond" w:cs="Arial"/>
          <w:i/>
          <w:iCs/>
          <w:sz w:val="24"/>
          <w:szCs w:val="24"/>
        </w:rPr>
      </w:pPr>
      <w:r w:rsidRPr="002D0AF3">
        <w:rPr>
          <w:rFonts w:ascii="Garamond" w:hAnsi="Garamond" w:cs="Arial"/>
          <w:i/>
          <w:iCs/>
          <w:sz w:val="24"/>
          <w:szCs w:val="24"/>
        </w:rPr>
        <w:t>Është e rëndësishme të theksojmë se qëllimet e kësaj politike janë përafruar me politikat dhe strategjitë kryesore kombëtare dhe ndërkombëtare.</w:t>
      </w:r>
    </w:p>
    <w:p w14:paraId="279A78A9" w14:textId="77777777" w:rsidR="00D04279" w:rsidRPr="002D0AF3" w:rsidRDefault="00D04279" w:rsidP="00D04279">
      <w:pPr>
        <w:spacing w:after="0" w:line="240" w:lineRule="auto"/>
        <w:rPr>
          <w:rFonts w:ascii="Garamond" w:hAnsi="Garamond" w:cs="Arial"/>
          <w:sz w:val="24"/>
          <w:szCs w:val="24"/>
        </w:rPr>
      </w:pPr>
    </w:p>
    <w:p w14:paraId="6C13C621" w14:textId="327B2356" w:rsidR="00D04279" w:rsidRPr="002D0AF3" w:rsidRDefault="00D04279" w:rsidP="00D04279">
      <w:pPr>
        <w:pStyle w:val="TEKSTIII"/>
      </w:pPr>
      <w:r w:rsidRPr="002D0AF3">
        <w:t xml:space="preserve">Vizioni për Politikën Kombëtare të Sigurisë </w:t>
      </w:r>
      <w:r w:rsidR="005529A9" w:rsidRPr="002D0AF3">
        <w:t>Agroushqimor</w:t>
      </w:r>
      <w:r w:rsidRPr="002D0AF3">
        <w:t xml:space="preserve">e është të kontribuojë në mbrojtjen e shëndetit të konsumatorit, shëndetit dhe mirëqenies së kafshëve dhe </w:t>
      </w:r>
      <w:r w:rsidR="004031C7" w:rsidRPr="002D0AF3">
        <w:t xml:space="preserve">të </w:t>
      </w:r>
      <w:r w:rsidRPr="002D0AF3">
        <w:t xml:space="preserve">shëndetit të bimëve, duke aplikuar një qasje bashkëpunuese dhe integruese për forcimin e pajtueshmërisë dhe rregullimin e sektorit </w:t>
      </w:r>
      <w:r w:rsidR="005529A9" w:rsidRPr="002D0AF3">
        <w:t>agroushqimor</w:t>
      </w:r>
      <w:r w:rsidRPr="002D0AF3">
        <w:t xml:space="preserve">. Në arritjen e këtij vizioni, parashikohet që qeveria shqiptare dhe organet përkatëse qeveritare të marrin pjesë aktive në procesin e përafrimit me </w:t>
      </w:r>
      <w:r w:rsidR="002D0AF3" w:rsidRPr="002D0AF3">
        <w:rPr>
          <w:i/>
        </w:rPr>
        <w:t>acquis</w:t>
      </w:r>
      <w:r w:rsidRPr="002D0AF3">
        <w:t xml:space="preserve"> të BE-së në rrugën e tyre drejt anëtarësimit në BE dhe të angazhohen me organizmat ndërkombëtarë për të siguruar përafrim me rregullat e Organizatës Botërore të Tregtisë (OBT) për tregtinë ndërkombëtare.</w:t>
      </w:r>
    </w:p>
    <w:p w14:paraId="102F037E" w14:textId="2658393F" w:rsidR="00D04279" w:rsidRPr="002D0AF3" w:rsidRDefault="004031C7" w:rsidP="00D04279">
      <w:pPr>
        <w:pStyle w:val="TEKSTIII"/>
        <w:rPr>
          <w:szCs w:val="24"/>
        </w:rPr>
      </w:pPr>
      <w:r w:rsidRPr="002D0AF3">
        <w:rPr>
          <w:rFonts w:ascii="Arial" w:hAnsi="Arial" w:cs="Arial"/>
          <w:noProof/>
          <w:sz w:val="18"/>
          <w:szCs w:val="18"/>
          <w:lang w:val="en-US"/>
        </w:rPr>
        <w:drawing>
          <wp:anchor distT="0" distB="0" distL="114300" distR="114300" simplePos="0" relativeHeight="251658241" behindDoc="0" locked="0" layoutInCell="1" allowOverlap="1" wp14:anchorId="66842851" wp14:editId="3DA1F1EF">
            <wp:simplePos x="0" y="0"/>
            <wp:positionH relativeFrom="column">
              <wp:posOffset>1836420</wp:posOffset>
            </wp:positionH>
            <wp:positionV relativeFrom="page">
              <wp:posOffset>4982845</wp:posOffset>
            </wp:positionV>
            <wp:extent cx="2457450" cy="214249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7450" cy="2142490"/>
                    </a:xfrm>
                    <a:prstGeom prst="rect">
                      <a:avLst/>
                    </a:prstGeom>
                    <a:noFill/>
                  </pic:spPr>
                </pic:pic>
              </a:graphicData>
            </a:graphic>
            <wp14:sizeRelH relativeFrom="margin">
              <wp14:pctWidth>0</wp14:pctWidth>
            </wp14:sizeRelH>
            <wp14:sizeRelV relativeFrom="margin">
              <wp14:pctHeight>0</wp14:pctHeight>
            </wp14:sizeRelV>
          </wp:anchor>
        </w:drawing>
      </w:r>
    </w:p>
    <w:p w14:paraId="35E095D6" w14:textId="03E10FCF" w:rsidR="00643D72" w:rsidRPr="002D0AF3" w:rsidRDefault="00643D72" w:rsidP="00D04279">
      <w:pPr>
        <w:pStyle w:val="TEKSTIII"/>
        <w:rPr>
          <w:szCs w:val="24"/>
        </w:rPr>
      </w:pPr>
      <w:r w:rsidRPr="002D0AF3">
        <w:rPr>
          <w:rFonts w:ascii="Arial" w:hAnsi="Arial" w:cs="Arial"/>
          <w:noProof/>
          <w:sz w:val="18"/>
          <w:szCs w:val="18"/>
          <w:lang w:val="en-US"/>
        </w:rPr>
        <w:drawing>
          <wp:inline distT="0" distB="0" distL="0" distR="0" wp14:anchorId="6C281C3D" wp14:editId="59D03829">
            <wp:extent cx="5712460" cy="151193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2460" cy="1511935"/>
                    </a:xfrm>
                    <a:prstGeom prst="rect">
                      <a:avLst/>
                    </a:prstGeom>
                    <a:noFill/>
                  </pic:spPr>
                </pic:pic>
              </a:graphicData>
            </a:graphic>
          </wp:inline>
        </w:drawing>
      </w:r>
    </w:p>
    <w:p w14:paraId="24075B3B" w14:textId="77777777" w:rsidR="00643D72" w:rsidRPr="002D0AF3" w:rsidRDefault="00643D72" w:rsidP="00D04279">
      <w:pPr>
        <w:pStyle w:val="TEKSTIII"/>
        <w:rPr>
          <w:szCs w:val="24"/>
        </w:rPr>
      </w:pPr>
    </w:p>
    <w:p w14:paraId="43CFB090" w14:textId="77777777" w:rsidR="00124CD5" w:rsidRPr="002D0AF3" w:rsidRDefault="00124CD5" w:rsidP="007C60EA">
      <w:pPr>
        <w:pStyle w:val="TEKSTIII"/>
        <w:jc w:val="center"/>
        <w:rPr>
          <w:b/>
          <w:szCs w:val="24"/>
        </w:rPr>
      </w:pPr>
      <w:bookmarkStart w:id="3" w:name="_Toc119667591"/>
    </w:p>
    <w:p w14:paraId="70BA7344" w14:textId="1D96F8B3" w:rsidR="007C60EA" w:rsidRPr="002D0AF3" w:rsidRDefault="007C60EA" w:rsidP="007C60EA">
      <w:pPr>
        <w:pStyle w:val="TEKSTIII"/>
        <w:jc w:val="center"/>
        <w:rPr>
          <w:b/>
          <w:szCs w:val="24"/>
        </w:rPr>
      </w:pPr>
      <w:r w:rsidRPr="002D0AF3">
        <w:rPr>
          <w:b/>
          <w:szCs w:val="24"/>
        </w:rPr>
        <w:lastRenderedPageBreak/>
        <w:t xml:space="preserve">Fushëveprimi i </w:t>
      </w:r>
      <w:r w:rsidR="00124CD5" w:rsidRPr="002D0AF3">
        <w:rPr>
          <w:b/>
          <w:szCs w:val="24"/>
        </w:rPr>
        <w:t>politikave</w:t>
      </w:r>
      <w:bookmarkEnd w:id="3"/>
    </w:p>
    <w:p w14:paraId="3BE4E5C6" w14:textId="77777777" w:rsidR="007C60EA" w:rsidRPr="002D0AF3" w:rsidRDefault="007C60EA" w:rsidP="007C60EA">
      <w:pPr>
        <w:pStyle w:val="TEKSTIII"/>
        <w:rPr>
          <w:szCs w:val="24"/>
        </w:rPr>
      </w:pPr>
    </w:p>
    <w:p w14:paraId="574FB053" w14:textId="043DD2E4" w:rsidR="007C60EA" w:rsidRPr="002D0AF3" w:rsidRDefault="007C60EA" w:rsidP="007C60EA">
      <w:pPr>
        <w:pStyle w:val="TEKSTIII"/>
        <w:rPr>
          <w:szCs w:val="24"/>
        </w:rPr>
      </w:pPr>
      <w:r w:rsidRPr="002D0AF3">
        <w:rPr>
          <w:szCs w:val="24"/>
        </w:rPr>
        <w:t xml:space="preserve">Kjo politikë miraton qasjen </w:t>
      </w:r>
      <w:r w:rsidR="00124CD5" w:rsidRPr="002D0AF3">
        <w:rPr>
          <w:i/>
          <w:szCs w:val="24"/>
        </w:rPr>
        <w:t>“</w:t>
      </w:r>
      <w:r w:rsidRPr="002D0AF3">
        <w:rPr>
          <w:i/>
          <w:szCs w:val="24"/>
        </w:rPr>
        <w:t>One Health</w:t>
      </w:r>
      <w:r w:rsidR="00124CD5" w:rsidRPr="002D0AF3">
        <w:rPr>
          <w:i/>
          <w:szCs w:val="24"/>
        </w:rPr>
        <w:t>”,</w:t>
      </w:r>
      <w:r w:rsidRPr="002D0AF3">
        <w:rPr>
          <w:szCs w:val="24"/>
        </w:rPr>
        <w:t xml:space="preserve"> e cila njeh ndërlidhjet midis shëndetit të njerëzve, kafshëve dhe mjedisit. Kjo politikë mbulon të gjitha fazat përgjatë zinxhirit nga ferma në tavolinë, duke përfshirë sigurinë e ushqimit dhe ushqimit të kafshëve, shëndetin dhe mirëqenien e kafshëve dhe shëndetin e bimëve.</w:t>
      </w:r>
    </w:p>
    <w:p w14:paraId="4747FCD7" w14:textId="77777777" w:rsidR="00D062C3" w:rsidRPr="002D0AF3" w:rsidRDefault="00D062C3" w:rsidP="00D062C3">
      <w:pPr>
        <w:pStyle w:val="TEKSTIII"/>
        <w:jc w:val="center"/>
        <w:rPr>
          <w:i/>
          <w:iCs/>
          <w:szCs w:val="24"/>
        </w:rPr>
      </w:pPr>
    </w:p>
    <w:p w14:paraId="272C405D" w14:textId="1F4C2584" w:rsidR="007C60EA" w:rsidRPr="002D0AF3" w:rsidRDefault="007C60EA" w:rsidP="00D062C3">
      <w:pPr>
        <w:pStyle w:val="TEKSTIII"/>
        <w:jc w:val="center"/>
        <w:rPr>
          <w:i/>
          <w:iCs/>
          <w:szCs w:val="24"/>
        </w:rPr>
      </w:pPr>
      <w:r w:rsidRPr="002D0AF3">
        <w:rPr>
          <w:i/>
          <w:iCs/>
          <w:szCs w:val="24"/>
        </w:rPr>
        <w:t>Figura 2.1: Institucionet qeveritare përgjegjëse për politik</w:t>
      </w:r>
      <w:r w:rsidR="00124CD5" w:rsidRPr="002D0AF3">
        <w:rPr>
          <w:i/>
          <w:iCs/>
          <w:szCs w:val="24"/>
        </w:rPr>
        <w:t>ë</w:t>
      </w:r>
      <w:r w:rsidRPr="002D0AF3">
        <w:rPr>
          <w:i/>
          <w:iCs/>
          <w:szCs w:val="24"/>
        </w:rPr>
        <w:t xml:space="preserve">bërjen që lidhet me </w:t>
      </w:r>
      <w:r w:rsidR="00124CD5" w:rsidRPr="002D0AF3">
        <w:rPr>
          <w:i/>
          <w:iCs/>
          <w:szCs w:val="24"/>
        </w:rPr>
        <w:t>qasjen “</w:t>
      </w:r>
      <w:r w:rsidRPr="002D0AF3">
        <w:rPr>
          <w:i/>
          <w:iCs/>
          <w:szCs w:val="24"/>
        </w:rPr>
        <w:t>One Health</w:t>
      </w:r>
      <w:r w:rsidR="00124CD5" w:rsidRPr="002D0AF3">
        <w:rPr>
          <w:i/>
          <w:iCs/>
          <w:szCs w:val="24"/>
        </w:rPr>
        <w:t>”</w:t>
      </w:r>
      <w:r w:rsidRPr="002D0AF3">
        <w:rPr>
          <w:i/>
          <w:iCs/>
          <w:szCs w:val="24"/>
        </w:rPr>
        <w:t xml:space="preserve"> në rregullimin e tyre të sektorit </w:t>
      </w:r>
      <w:r w:rsidR="005529A9" w:rsidRPr="002D0AF3">
        <w:rPr>
          <w:i/>
          <w:iCs/>
          <w:szCs w:val="24"/>
        </w:rPr>
        <w:t>agroushqimor</w:t>
      </w:r>
      <w:r w:rsidRPr="002D0AF3">
        <w:rPr>
          <w:i/>
          <w:iCs/>
          <w:szCs w:val="24"/>
        </w:rPr>
        <w:t xml:space="preserve"> (d.m.th. njerëz/konsumatorë të shëndetshëm, mjedis i shëndetshëm dhe kafshë të shëndetshme).</w:t>
      </w:r>
    </w:p>
    <w:p w14:paraId="67ADEBF3" w14:textId="77777777" w:rsidR="007C60EA" w:rsidRPr="002D0AF3" w:rsidRDefault="007C60EA" w:rsidP="007C60EA">
      <w:pPr>
        <w:jc w:val="center"/>
        <w:rPr>
          <w:rFonts w:ascii="Arial" w:hAnsi="Arial" w:cs="Arial"/>
          <w:sz w:val="18"/>
          <w:szCs w:val="18"/>
        </w:rPr>
      </w:pPr>
      <w:r w:rsidRPr="002D0AF3">
        <w:rPr>
          <w:rFonts w:ascii="Arial" w:eastAsia="Arial" w:hAnsi="Arial" w:cs="Times New Roman"/>
          <w:noProof/>
          <w:sz w:val="18"/>
          <w:lang w:val="en-US"/>
        </w:rPr>
        <w:drawing>
          <wp:inline distT="0" distB="0" distL="0" distR="0" wp14:anchorId="0E7C6434" wp14:editId="22AB40A7">
            <wp:extent cx="4456430" cy="2641600"/>
            <wp:effectExtent l="0" t="0" r="127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b="11432"/>
                    <a:stretch/>
                  </pic:blipFill>
                  <pic:spPr bwMode="auto">
                    <a:xfrm>
                      <a:off x="0" y="0"/>
                      <a:ext cx="4457729" cy="2642370"/>
                    </a:xfrm>
                    <a:prstGeom prst="rect">
                      <a:avLst/>
                    </a:prstGeom>
                    <a:noFill/>
                    <a:ln>
                      <a:noFill/>
                    </a:ln>
                    <a:extLst>
                      <a:ext uri="{53640926-AAD7-44D8-BBD7-CCE9431645EC}">
                        <a14:shadowObscured xmlns:a14="http://schemas.microsoft.com/office/drawing/2010/main"/>
                      </a:ext>
                    </a:extLst>
                  </pic:spPr>
                </pic:pic>
              </a:graphicData>
            </a:graphic>
          </wp:inline>
        </w:drawing>
      </w:r>
    </w:p>
    <w:p w14:paraId="1641C403" w14:textId="46230727" w:rsidR="007C60EA" w:rsidRPr="002D0AF3" w:rsidRDefault="007C60EA" w:rsidP="007C60EA">
      <w:pPr>
        <w:pStyle w:val="TEKSTIII"/>
      </w:pPr>
      <w:r w:rsidRPr="002D0AF3">
        <w:t xml:space="preserve">Ministria e Bujqësisë dhe Zhvillimit Rural drejton zbatimin e kësaj politike, në bashkëpunim me departamentet kryesore ministrore, veçanërisht Ministrinë e Shëndetësisë dhe Mbrojtjes Sociale dhe Ministrinë e Turizmit dhe Mjedisit. Një sërë organesh qeveritare në varësi të këtyre ministrive përfshihen në fushëveprimin e kësaj politike dhe janë përgjegjëse për zbatimin e saj siç përshkruhet në </w:t>
      </w:r>
      <w:r w:rsidR="00124CD5" w:rsidRPr="002D0AF3">
        <w:t xml:space="preserve">seksionin </w:t>
      </w:r>
      <w:r w:rsidRPr="002D0AF3">
        <w:t>4.</w:t>
      </w:r>
    </w:p>
    <w:p w14:paraId="74096ECB" w14:textId="4C1F0FA4" w:rsidR="007C60EA" w:rsidRPr="002D0AF3" w:rsidRDefault="007C60EA" w:rsidP="007C60EA">
      <w:pPr>
        <w:pStyle w:val="TEKSTIII"/>
      </w:pPr>
      <w:r w:rsidRPr="002D0AF3">
        <w:t xml:space="preserve">Zbatimi do të arrihet përmes një qasjeje të koordinuar dhe bashkëpunuese ndërmjet organeve përkatëse qeveritare. MBZHR-ja është përgjegjëse për drejtimin e një qasjeje të koordinuar dhe bashkëpunuese drejt zbatimit të politikave. Një plan i zbatimit të politikave që përshkruan veprimet që duhen ndërmarrë për të arritur objektivat e politikës është përfshirë në </w:t>
      </w:r>
      <w:r w:rsidR="00D062C3" w:rsidRPr="002D0AF3">
        <w:t xml:space="preserve">shtojcën </w:t>
      </w:r>
      <w:r w:rsidRPr="002D0AF3">
        <w:t>I. MBZHR-ja do të monitorojë zbatimin e këtij plani dhe do të përditësojë sipas nevojës në bashkëpunim me organet e tjera përkatëse qeveritare.</w:t>
      </w:r>
    </w:p>
    <w:p w14:paraId="777EF43E" w14:textId="77777777" w:rsidR="00CE12E8" w:rsidRPr="002D0AF3" w:rsidRDefault="00CE12E8" w:rsidP="00CE12E8">
      <w:pPr>
        <w:pStyle w:val="TEKSTIII"/>
        <w:jc w:val="center"/>
        <w:rPr>
          <w:b/>
          <w:szCs w:val="24"/>
        </w:rPr>
      </w:pPr>
      <w:bookmarkStart w:id="4" w:name="_Toc119586626"/>
      <w:bookmarkStart w:id="5" w:name="_Toc119667592"/>
    </w:p>
    <w:p w14:paraId="506C9C00" w14:textId="0FA40037" w:rsidR="00CE12E8" w:rsidRPr="002D0AF3" w:rsidRDefault="00CE12E8" w:rsidP="00CE12E8">
      <w:pPr>
        <w:pStyle w:val="TEKSTIII"/>
        <w:jc w:val="center"/>
        <w:rPr>
          <w:b/>
          <w:szCs w:val="24"/>
        </w:rPr>
      </w:pPr>
      <w:r w:rsidRPr="002D0AF3">
        <w:rPr>
          <w:b/>
          <w:szCs w:val="24"/>
        </w:rPr>
        <w:t xml:space="preserve">Palët e </w:t>
      </w:r>
      <w:r w:rsidR="00D062C3" w:rsidRPr="002D0AF3">
        <w:rPr>
          <w:b/>
          <w:szCs w:val="24"/>
        </w:rPr>
        <w:t>interesuara</w:t>
      </w:r>
      <w:bookmarkEnd w:id="4"/>
      <w:bookmarkEnd w:id="5"/>
    </w:p>
    <w:p w14:paraId="71A9896F" w14:textId="77777777" w:rsidR="00CE12E8" w:rsidRPr="002D0AF3" w:rsidRDefault="00CE12E8" w:rsidP="00CE12E8">
      <w:pPr>
        <w:pStyle w:val="TEKSTIII"/>
        <w:rPr>
          <w:rFonts w:eastAsia="Arial"/>
          <w:i/>
          <w:iCs/>
          <w:szCs w:val="24"/>
        </w:rPr>
      </w:pPr>
    </w:p>
    <w:p w14:paraId="100A5493" w14:textId="481CD6DE" w:rsidR="00CE12E8" w:rsidRPr="002D0AF3" w:rsidRDefault="00CE12E8" w:rsidP="00CE12E8">
      <w:pPr>
        <w:pStyle w:val="TEKSTIII"/>
        <w:jc w:val="center"/>
        <w:rPr>
          <w:rFonts w:eastAsia="Arial"/>
          <w:i/>
          <w:iCs/>
          <w:szCs w:val="24"/>
        </w:rPr>
      </w:pPr>
      <w:r w:rsidRPr="002D0AF3">
        <w:rPr>
          <w:rFonts w:eastAsia="Arial"/>
          <w:i/>
          <w:iCs/>
          <w:szCs w:val="24"/>
        </w:rPr>
        <w:t xml:space="preserve">Organet rregullatore shqiptare do të angazhohen me operatorët e biznesit </w:t>
      </w:r>
      <w:r w:rsidR="005529A9" w:rsidRPr="002D0AF3">
        <w:rPr>
          <w:rFonts w:eastAsia="Arial"/>
          <w:i/>
          <w:iCs/>
          <w:szCs w:val="24"/>
        </w:rPr>
        <w:t>agroushqimor</w:t>
      </w:r>
      <w:r w:rsidRPr="002D0AF3">
        <w:rPr>
          <w:rFonts w:eastAsia="Arial"/>
          <w:i/>
          <w:iCs/>
          <w:szCs w:val="24"/>
        </w:rPr>
        <w:t>,</w:t>
      </w:r>
    </w:p>
    <w:p w14:paraId="775B3895" w14:textId="58A7D78E" w:rsidR="00CE12E8" w:rsidRPr="002D0AF3" w:rsidRDefault="00CE12E8" w:rsidP="00CE12E8">
      <w:pPr>
        <w:pStyle w:val="TEKSTIII"/>
        <w:jc w:val="center"/>
        <w:rPr>
          <w:rFonts w:eastAsia="Arial"/>
          <w:i/>
          <w:iCs/>
          <w:szCs w:val="24"/>
        </w:rPr>
      </w:pPr>
      <w:r w:rsidRPr="002D0AF3">
        <w:rPr>
          <w:rFonts w:eastAsia="Arial"/>
          <w:i/>
          <w:iCs/>
          <w:szCs w:val="24"/>
        </w:rPr>
        <w:t>konsumatorët dhe palët e tjera të interesuara gjatë zhvillimit të masave të reja ligjore</w:t>
      </w:r>
    </w:p>
    <w:p w14:paraId="01969A47" w14:textId="77777777" w:rsidR="00CE12E8" w:rsidRPr="002D0AF3" w:rsidRDefault="00CE12E8" w:rsidP="00CE12E8">
      <w:pPr>
        <w:pStyle w:val="TEKSTIII"/>
        <w:jc w:val="center"/>
        <w:rPr>
          <w:rFonts w:eastAsia="Arial"/>
          <w:i/>
          <w:iCs/>
          <w:szCs w:val="24"/>
        </w:rPr>
      </w:pPr>
      <w:r w:rsidRPr="002D0AF3">
        <w:rPr>
          <w:rFonts w:eastAsia="Arial"/>
          <w:i/>
          <w:iCs/>
          <w:szCs w:val="24"/>
        </w:rPr>
        <w:t>dhe do të ftohen të kontribuojnë në procesin e vendimmarrjes.</w:t>
      </w:r>
    </w:p>
    <w:p w14:paraId="09A949DF" w14:textId="77777777" w:rsidR="00CE12E8" w:rsidRPr="002D0AF3" w:rsidRDefault="00CE12E8" w:rsidP="00CE12E8">
      <w:pPr>
        <w:pStyle w:val="TEKSTIII"/>
        <w:jc w:val="center"/>
        <w:rPr>
          <w:szCs w:val="24"/>
        </w:rPr>
      </w:pPr>
    </w:p>
    <w:p w14:paraId="3E83ACB5" w14:textId="6CA5203F" w:rsidR="00CE12E8" w:rsidRPr="002D0AF3" w:rsidRDefault="00CE12E8" w:rsidP="00CE12E8">
      <w:pPr>
        <w:pStyle w:val="TEKSTIII"/>
        <w:rPr>
          <w:szCs w:val="24"/>
        </w:rPr>
      </w:pPr>
      <w:r w:rsidRPr="002D0AF3">
        <w:rPr>
          <w:szCs w:val="24"/>
        </w:rPr>
        <w:t>Kjo politikë ka disa palë të interesuara të cilat mund të ndahen kryesisht në tr</w:t>
      </w:r>
      <w:r w:rsidR="00D062C3" w:rsidRPr="002D0AF3">
        <w:rPr>
          <w:szCs w:val="24"/>
        </w:rPr>
        <w:t>i</w:t>
      </w:r>
      <w:r w:rsidRPr="002D0AF3">
        <w:rPr>
          <w:szCs w:val="24"/>
        </w:rPr>
        <w:t xml:space="preserve"> kategori kryesore.</w:t>
      </w:r>
    </w:p>
    <w:p w14:paraId="03B44FC3" w14:textId="09CFBF04" w:rsidR="00CE12E8" w:rsidRPr="002D0AF3" w:rsidRDefault="002C0DA7" w:rsidP="002C0DA7">
      <w:pPr>
        <w:pStyle w:val="TEKSTIII"/>
        <w:ind w:firstLine="0"/>
      </w:pPr>
      <w:r w:rsidRPr="002D0AF3">
        <w:rPr>
          <w:b/>
          <w:bCs/>
          <w:noProof/>
          <w:lang w:val="en-US"/>
        </w:rPr>
        <w:drawing>
          <wp:anchor distT="0" distB="0" distL="114300" distR="114300" simplePos="0" relativeHeight="251658244" behindDoc="0" locked="0" layoutInCell="1" allowOverlap="1" wp14:anchorId="042E51D1" wp14:editId="03131AFC">
            <wp:simplePos x="0" y="0"/>
            <wp:positionH relativeFrom="column">
              <wp:posOffset>171450</wp:posOffset>
            </wp:positionH>
            <wp:positionV relativeFrom="paragraph">
              <wp:posOffset>6350</wp:posOffset>
            </wp:positionV>
            <wp:extent cx="230505" cy="230505"/>
            <wp:effectExtent l="0" t="0" r="0" b="0"/>
            <wp:wrapThrough wrapText="bothSides">
              <wp:wrapPolygon edited="0">
                <wp:start x="3570" y="0"/>
                <wp:lineTo x="0" y="5355"/>
                <wp:lineTo x="0" y="19636"/>
                <wp:lineTo x="19636" y="19636"/>
                <wp:lineTo x="19636" y="5355"/>
                <wp:lineTo x="16066" y="0"/>
                <wp:lineTo x="357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505" cy="230505"/>
                    </a:xfrm>
                    <a:prstGeom prst="rect">
                      <a:avLst/>
                    </a:prstGeom>
                    <a:noFill/>
                  </pic:spPr>
                </pic:pic>
              </a:graphicData>
            </a:graphic>
            <wp14:sizeRelH relativeFrom="margin">
              <wp14:pctWidth>0</wp14:pctWidth>
            </wp14:sizeRelH>
            <wp14:sizeRelV relativeFrom="margin">
              <wp14:pctHeight>0</wp14:pctHeight>
            </wp14:sizeRelV>
          </wp:anchor>
        </w:drawing>
      </w:r>
      <w:r w:rsidR="00CE12E8" w:rsidRPr="002D0AF3">
        <w:rPr>
          <w:b/>
          <w:bCs/>
        </w:rPr>
        <w:t xml:space="preserve">Rregullatorët </w:t>
      </w:r>
      <w:r w:rsidR="00CE12E8" w:rsidRPr="002D0AF3">
        <w:t xml:space="preserve">– organet qeveritare përgjegjëse për zhvillimin dhe zbatimin e politikave dhe legjislacionit </w:t>
      </w:r>
      <w:r w:rsidR="005529A9" w:rsidRPr="002D0AF3">
        <w:t>agroushqimor</w:t>
      </w:r>
      <w:r w:rsidR="00CE12E8" w:rsidRPr="002D0AF3">
        <w:t xml:space="preserve"> janë nxitës të kësaj politike dhe kyç për zbatimin e saj.</w:t>
      </w:r>
    </w:p>
    <w:p w14:paraId="2760D935" w14:textId="05E1E73C" w:rsidR="00CE12E8" w:rsidRPr="002D0AF3" w:rsidRDefault="002C0DA7" w:rsidP="002C0DA7">
      <w:pPr>
        <w:pStyle w:val="TEKSTIII"/>
        <w:ind w:firstLine="0"/>
      </w:pPr>
      <w:r w:rsidRPr="002D0AF3">
        <w:rPr>
          <w:b/>
          <w:bCs/>
          <w:noProof/>
          <w:lang w:val="en-US"/>
        </w:rPr>
        <w:lastRenderedPageBreak/>
        <w:drawing>
          <wp:anchor distT="0" distB="0" distL="114300" distR="114300" simplePos="0" relativeHeight="251658242" behindDoc="0" locked="0" layoutInCell="1" allowOverlap="1" wp14:anchorId="698D2769" wp14:editId="40FC4E09">
            <wp:simplePos x="0" y="0"/>
            <wp:positionH relativeFrom="column">
              <wp:posOffset>0</wp:posOffset>
            </wp:positionH>
            <wp:positionV relativeFrom="paragraph">
              <wp:posOffset>6350</wp:posOffset>
            </wp:positionV>
            <wp:extent cx="279400" cy="279400"/>
            <wp:effectExtent l="0" t="0" r="6350" b="63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pic:spPr>
                </pic:pic>
              </a:graphicData>
            </a:graphic>
            <wp14:sizeRelH relativeFrom="margin">
              <wp14:pctWidth>0</wp14:pctWidth>
            </wp14:sizeRelH>
            <wp14:sizeRelV relativeFrom="margin">
              <wp14:pctHeight>0</wp14:pctHeight>
            </wp14:sizeRelV>
          </wp:anchor>
        </w:drawing>
      </w:r>
      <w:r w:rsidR="00CE12E8" w:rsidRPr="002D0AF3">
        <w:rPr>
          <w:b/>
          <w:bCs/>
        </w:rPr>
        <w:t xml:space="preserve">Bizneset </w:t>
      </w:r>
      <w:r w:rsidR="005529A9" w:rsidRPr="002D0AF3">
        <w:rPr>
          <w:b/>
          <w:bCs/>
        </w:rPr>
        <w:t>Agroushqimor</w:t>
      </w:r>
      <w:r w:rsidR="00CE12E8" w:rsidRPr="002D0AF3">
        <w:rPr>
          <w:b/>
          <w:bCs/>
        </w:rPr>
        <w:t>e</w:t>
      </w:r>
      <w:r w:rsidR="00CE12E8" w:rsidRPr="002D0AF3">
        <w:t xml:space="preserve"> – të gjithë sektorët brenda industrisë </w:t>
      </w:r>
      <w:r w:rsidR="005529A9" w:rsidRPr="002D0AF3">
        <w:t>agroushqimor</w:t>
      </w:r>
      <w:r w:rsidR="00CE12E8" w:rsidRPr="002D0AF3">
        <w:t xml:space="preserve">e janë palët kryesore të interesuara dhe kanë përgjegjësi për të garantuar shëndetin dhe mirëqenien e kafshëve, shëndetin e bimëve, mbrojtjen e mjedisit dhe sigurinë e ushqimit për kafshët dhe ushqimin. Angazhimi i fermerëve dhe biznesit </w:t>
      </w:r>
      <w:r w:rsidR="005529A9" w:rsidRPr="002D0AF3">
        <w:t>agroushqimor</w:t>
      </w:r>
      <w:r w:rsidR="00CE12E8" w:rsidRPr="002D0AF3">
        <w:t xml:space="preserve"> me organet qeveritare</w:t>
      </w:r>
      <w:r w:rsidR="00D062C3" w:rsidRPr="002D0AF3">
        <w:t>,</w:t>
      </w:r>
      <w:r w:rsidR="00CE12E8" w:rsidRPr="002D0AF3">
        <w:t xml:space="preserve"> në fusha të tilla si: sëmundjet e kafshëve dhe bimëve, mirëqenia e kafshëve, çështjet e sigurisë ushqimore dhe sigurisë ushqimore për kafshët, zhvillimi i legjislacionit dhe vendimmarrja, është i rëndësishëm për të rritur efektivitetin e sistemit të kontrollit të sigurisë </w:t>
      </w:r>
      <w:r w:rsidR="005529A9" w:rsidRPr="002D0AF3">
        <w:t>agroushqimor</w:t>
      </w:r>
      <w:r w:rsidR="00CE12E8" w:rsidRPr="002D0AF3">
        <w:t>e.</w:t>
      </w:r>
    </w:p>
    <w:p w14:paraId="5F5C985D" w14:textId="64D995DE" w:rsidR="00CE12E8" w:rsidRPr="002D0AF3" w:rsidRDefault="00CE12E8" w:rsidP="00CE12E8">
      <w:pPr>
        <w:pStyle w:val="TEKSTIII"/>
        <w:rPr>
          <w:rFonts w:eastAsia="Arial"/>
        </w:rPr>
      </w:pPr>
      <w:r w:rsidRPr="002D0AF3">
        <w:rPr>
          <w:rFonts w:ascii="Arial" w:hAnsi="Arial" w:cs="Arial"/>
          <w:noProof/>
          <w:sz w:val="18"/>
          <w:szCs w:val="18"/>
          <w:lang w:val="en-US"/>
        </w:rPr>
        <w:drawing>
          <wp:anchor distT="0" distB="0" distL="114300" distR="114300" simplePos="0" relativeHeight="251658246" behindDoc="0" locked="1" layoutInCell="1" allowOverlap="1" wp14:anchorId="1CC0304B" wp14:editId="1FD79A3C">
            <wp:simplePos x="0" y="0"/>
            <wp:positionH relativeFrom="column">
              <wp:posOffset>1139825</wp:posOffset>
            </wp:positionH>
            <wp:positionV relativeFrom="page">
              <wp:posOffset>4138295</wp:posOffset>
            </wp:positionV>
            <wp:extent cx="3175000" cy="2272030"/>
            <wp:effectExtent l="0" t="0" r="635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75000" cy="2272030"/>
                    </a:xfrm>
                    <a:prstGeom prst="rect">
                      <a:avLst/>
                    </a:prstGeom>
                    <a:noFill/>
                  </pic:spPr>
                </pic:pic>
              </a:graphicData>
            </a:graphic>
            <wp14:sizeRelH relativeFrom="margin">
              <wp14:pctWidth>0</wp14:pctWidth>
            </wp14:sizeRelH>
            <wp14:sizeRelV relativeFrom="margin">
              <wp14:pctHeight>0</wp14:pctHeight>
            </wp14:sizeRelV>
          </wp:anchor>
        </w:drawing>
      </w:r>
      <w:r w:rsidRPr="002D0AF3">
        <w:rPr>
          <w:rFonts w:eastAsia="Arial"/>
          <w:b/>
        </w:rPr>
        <w:t>Konsumatorët</w:t>
      </w:r>
      <w:r w:rsidRPr="002D0AF3">
        <w:rPr>
          <w:rFonts w:eastAsia="Arial"/>
        </w:rPr>
        <w:t xml:space="preserve"> – konsumatorët janë palë e interesuar e rëndësishme të kësaj politike. Qeveritë kanë përgjegjësinë të mbrojnë shëndetin e këtyre konsumatorëve. Konsumatorët kanë rolin e tyre në angazhimin me organet qeveritare, drejtpërdrejt ose nëpërmjet shoqatave, për të rritur ndërgjegjësimin e tyre për çështjet e sigurisë ushqimore dhe për të fuqizuar veten për të marrë vendime të informuara</w:t>
      </w:r>
      <w:r w:rsidR="00D062C3" w:rsidRPr="002D0AF3">
        <w:rPr>
          <w:rFonts w:eastAsia="Arial"/>
        </w:rPr>
        <w:t>,</w:t>
      </w:r>
      <w:r w:rsidRPr="002D0AF3">
        <w:rPr>
          <w:rFonts w:eastAsia="Arial"/>
        </w:rPr>
        <w:t xml:space="preserve"> në lidhje me ushqimet që konsumojnë dhe praktikat higjienike. Konsumatorët inkurajohen të shprehin pikëpamjet e tyre mbi politikat dhe legjislacionin e ardhshëm përmes pjesëmarrjes së tyre në konsultimet e qeverisë.</w:t>
      </w:r>
    </w:p>
    <w:p w14:paraId="7E4E06F1" w14:textId="5C86B29B" w:rsidR="00CE12E8" w:rsidRPr="002D0AF3" w:rsidRDefault="00CE12E8" w:rsidP="00CE12E8">
      <w:pPr>
        <w:pStyle w:val="TEKSTIII"/>
      </w:pPr>
      <w:r w:rsidRPr="002D0AF3">
        <w:t>Niveli i angazhimit të secilit prej këtyre palëve të interesuara mund të ndahet në tr</w:t>
      </w:r>
      <w:r w:rsidR="00D062C3" w:rsidRPr="002D0AF3">
        <w:t>i</w:t>
      </w:r>
      <w:r w:rsidRPr="002D0AF3">
        <w:t xml:space="preserve"> kategori kryesore: të përfshirë; me ndikim të madh dhe të interesuar. Tabela 3.1 më poshtë liston palët kryesore të interesuara dhe nivelin e tyre të angazhimit:</w:t>
      </w:r>
    </w:p>
    <w:p w14:paraId="3A055A52" w14:textId="7AF7DD0E" w:rsidR="00CE12E8" w:rsidRPr="002D0AF3" w:rsidRDefault="00CE12E8" w:rsidP="00CE12E8">
      <w:pPr>
        <w:jc w:val="both"/>
        <w:rPr>
          <w:rFonts w:ascii="Arial" w:hAnsi="Arial" w:cs="Arial"/>
          <w:i/>
          <w:iCs/>
          <w:sz w:val="18"/>
          <w:szCs w:val="18"/>
        </w:rPr>
      </w:pPr>
      <w:r w:rsidRPr="002D0AF3">
        <w:rPr>
          <w:rFonts w:eastAsia="Arial"/>
          <w:b/>
          <w:noProof/>
          <w:lang w:val="en-US"/>
        </w:rPr>
        <w:drawing>
          <wp:anchor distT="0" distB="0" distL="114300" distR="114300" simplePos="0" relativeHeight="251658243" behindDoc="0" locked="0" layoutInCell="1" allowOverlap="1" wp14:anchorId="64456111" wp14:editId="0F826396">
            <wp:simplePos x="0" y="0"/>
            <wp:positionH relativeFrom="column">
              <wp:posOffset>2606675</wp:posOffset>
            </wp:positionH>
            <wp:positionV relativeFrom="paragraph">
              <wp:posOffset>121920</wp:posOffset>
            </wp:positionV>
            <wp:extent cx="719455" cy="714375"/>
            <wp:effectExtent l="0" t="0" r="444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19455" cy="714375"/>
                    </a:xfrm>
                    <a:prstGeom prst="rect">
                      <a:avLst/>
                    </a:prstGeom>
                    <a:noFill/>
                  </pic:spPr>
                </pic:pic>
              </a:graphicData>
            </a:graphic>
            <wp14:sizeRelH relativeFrom="margin">
              <wp14:pctWidth>0</wp14:pctWidth>
            </wp14:sizeRelH>
            <wp14:sizeRelV relativeFrom="margin">
              <wp14:pctHeight>0</wp14:pctHeight>
            </wp14:sizeRelV>
          </wp:anchor>
        </w:drawing>
      </w:r>
    </w:p>
    <w:p w14:paraId="126D3F9E" w14:textId="77777777" w:rsidR="00CE12E8" w:rsidRPr="002D0AF3" w:rsidRDefault="00CE12E8" w:rsidP="00D062C3">
      <w:pPr>
        <w:pStyle w:val="TEKSTIII"/>
        <w:jc w:val="center"/>
        <w:rPr>
          <w:i/>
        </w:rPr>
      </w:pPr>
      <w:r w:rsidRPr="002D0AF3">
        <w:rPr>
          <w:i/>
          <w:noProof/>
          <w:lang w:val="en-US"/>
        </w:rPr>
        <w:lastRenderedPageBreak/>
        <w:drawing>
          <wp:anchor distT="0" distB="0" distL="114300" distR="114300" simplePos="0" relativeHeight="251658245" behindDoc="0" locked="0" layoutInCell="1" allowOverlap="1" wp14:anchorId="0CD3CBA0" wp14:editId="749CFFE6">
            <wp:simplePos x="0" y="0"/>
            <wp:positionH relativeFrom="column">
              <wp:posOffset>-48260</wp:posOffset>
            </wp:positionH>
            <wp:positionV relativeFrom="paragraph">
              <wp:posOffset>313690</wp:posOffset>
            </wp:positionV>
            <wp:extent cx="5895340" cy="5807075"/>
            <wp:effectExtent l="0" t="0" r="0" b="317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34855"/>
                    <a:stretch/>
                  </pic:blipFill>
                  <pic:spPr bwMode="auto">
                    <a:xfrm>
                      <a:off x="0" y="0"/>
                      <a:ext cx="5895340" cy="5807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D0AF3">
        <w:rPr>
          <w:i/>
        </w:rPr>
        <w:t>Tabela 3.1: Lista e palëve kryesore të interesuara</w:t>
      </w:r>
    </w:p>
    <w:p w14:paraId="4103F8CD" w14:textId="77777777" w:rsidR="00CE12E8" w:rsidRPr="002D0AF3" w:rsidRDefault="00CE12E8">
      <w:pPr>
        <w:pStyle w:val="TEKSTIII"/>
        <w:rPr>
          <w:szCs w:val="24"/>
        </w:rPr>
      </w:pPr>
    </w:p>
    <w:p w14:paraId="19C0EED5" w14:textId="77777777" w:rsidR="004E645A" w:rsidRPr="002D0AF3" w:rsidRDefault="004E645A">
      <w:pPr>
        <w:pStyle w:val="TEKSTIII"/>
        <w:rPr>
          <w:szCs w:val="24"/>
        </w:rPr>
      </w:pPr>
    </w:p>
    <w:p w14:paraId="199714B5" w14:textId="77777777" w:rsidR="004E645A" w:rsidRPr="002D0AF3" w:rsidRDefault="004E645A">
      <w:pPr>
        <w:pStyle w:val="TEKSTIII"/>
        <w:rPr>
          <w:szCs w:val="24"/>
        </w:rPr>
      </w:pPr>
    </w:p>
    <w:p w14:paraId="5402277D" w14:textId="77777777" w:rsidR="004E645A" w:rsidRPr="002D0AF3" w:rsidRDefault="004E645A">
      <w:pPr>
        <w:pStyle w:val="TEKSTIII"/>
        <w:rPr>
          <w:szCs w:val="24"/>
        </w:rPr>
      </w:pPr>
    </w:p>
    <w:p w14:paraId="71B1C80A" w14:textId="77777777" w:rsidR="004E645A" w:rsidRPr="002D0AF3" w:rsidRDefault="004E645A">
      <w:pPr>
        <w:pStyle w:val="TEKSTIII"/>
        <w:rPr>
          <w:szCs w:val="24"/>
        </w:rPr>
      </w:pPr>
    </w:p>
    <w:p w14:paraId="4C541B79" w14:textId="77777777" w:rsidR="004E645A" w:rsidRPr="002D0AF3" w:rsidRDefault="004E645A">
      <w:pPr>
        <w:pStyle w:val="TEKSTIII"/>
        <w:rPr>
          <w:szCs w:val="24"/>
        </w:rPr>
      </w:pPr>
    </w:p>
    <w:p w14:paraId="51AEC3E7" w14:textId="77777777" w:rsidR="004E645A" w:rsidRPr="002D0AF3" w:rsidRDefault="004E645A">
      <w:pPr>
        <w:pStyle w:val="TEKSTIII"/>
        <w:rPr>
          <w:szCs w:val="24"/>
        </w:rPr>
      </w:pPr>
    </w:p>
    <w:p w14:paraId="389E51AE" w14:textId="77777777" w:rsidR="004E645A" w:rsidRPr="002D0AF3" w:rsidRDefault="004E645A">
      <w:pPr>
        <w:pStyle w:val="TEKSTIII"/>
        <w:rPr>
          <w:szCs w:val="24"/>
        </w:rPr>
      </w:pPr>
    </w:p>
    <w:p w14:paraId="2CB0551B" w14:textId="77777777" w:rsidR="004E645A" w:rsidRPr="002D0AF3" w:rsidRDefault="004E645A">
      <w:pPr>
        <w:pStyle w:val="TEKSTIII"/>
        <w:rPr>
          <w:szCs w:val="24"/>
        </w:rPr>
      </w:pPr>
    </w:p>
    <w:p w14:paraId="03BDBEEF" w14:textId="77777777" w:rsidR="004E645A" w:rsidRPr="002D0AF3" w:rsidRDefault="004E645A">
      <w:pPr>
        <w:pStyle w:val="TEKSTIII"/>
        <w:rPr>
          <w:szCs w:val="24"/>
        </w:rPr>
      </w:pPr>
    </w:p>
    <w:p w14:paraId="21528D4D" w14:textId="77777777" w:rsidR="004E645A" w:rsidRPr="002D0AF3" w:rsidRDefault="004E645A">
      <w:pPr>
        <w:pStyle w:val="TEKSTIII"/>
        <w:rPr>
          <w:szCs w:val="24"/>
        </w:rPr>
      </w:pPr>
    </w:p>
    <w:p w14:paraId="77037878" w14:textId="77777777" w:rsidR="004E645A" w:rsidRPr="002D0AF3" w:rsidRDefault="004E645A">
      <w:pPr>
        <w:pStyle w:val="TEKSTIII"/>
        <w:rPr>
          <w:szCs w:val="24"/>
        </w:rPr>
      </w:pPr>
    </w:p>
    <w:p w14:paraId="16399F4B" w14:textId="2215CC9F" w:rsidR="004E645A" w:rsidRPr="002D0AF3" w:rsidRDefault="004E645A" w:rsidP="004E645A">
      <w:pPr>
        <w:pStyle w:val="TEKSTIII"/>
        <w:jc w:val="center"/>
        <w:rPr>
          <w:b/>
          <w:szCs w:val="24"/>
        </w:rPr>
      </w:pPr>
      <w:bookmarkStart w:id="6" w:name="_Toc119667593"/>
      <w:r w:rsidRPr="002D0AF3">
        <w:rPr>
          <w:b/>
          <w:szCs w:val="24"/>
        </w:rPr>
        <w:lastRenderedPageBreak/>
        <w:t xml:space="preserve">Rolet </w:t>
      </w:r>
      <w:r w:rsidR="00D062C3" w:rsidRPr="002D0AF3">
        <w:rPr>
          <w:b/>
          <w:szCs w:val="24"/>
        </w:rPr>
        <w:t>dhe</w:t>
      </w:r>
      <w:r w:rsidRPr="002D0AF3">
        <w:rPr>
          <w:b/>
          <w:szCs w:val="24"/>
        </w:rPr>
        <w:t xml:space="preserve"> </w:t>
      </w:r>
      <w:r w:rsidR="00D062C3" w:rsidRPr="002D0AF3">
        <w:rPr>
          <w:b/>
          <w:szCs w:val="24"/>
        </w:rPr>
        <w:t>përgjegjësitë</w:t>
      </w:r>
      <w:bookmarkEnd w:id="6"/>
    </w:p>
    <w:p w14:paraId="3BA0B931" w14:textId="77777777" w:rsidR="004E645A" w:rsidRPr="002D0AF3" w:rsidRDefault="004E645A" w:rsidP="004E645A">
      <w:pPr>
        <w:pStyle w:val="TEKSTIII"/>
        <w:rPr>
          <w:szCs w:val="24"/>
        </w:rPr>
      </w:pPr>
    </w:p>
    <w:p w14:paraId="0653E1C0" w14:textId="5192556C" w:rsidR="004E645A" w:rsidRPr="002D0AF3" w:rsidRDefault="004E645A" w:rsidP="004E645A">
      <w:pPr>
        <w:pStyle w:val="TEKSTIII"/>
        <w:jc w:val="center"/>
        <w:rPr>
          <w:i/>
          <w:iCs/>
          <w:szCs w:val="24"/>
        </w:rPr>
      </w:pPr>
      <w:r w:rsidRPr="002D0AF3">
        <w:rPr>
          <w:i/>
          <w:iCs/>
          <w:szCs w:val="24"/>
        </w:rPr>
        <w:t>Kërkohet një qasje e integruar efektive</w:t>
      </w:r>
      <w:r w:rsidR="002F3CE5" w:rsidRPr="002D0AF3">
        <w:rPr>
          <w:i/>
          <w:iCs/>
          <w:szCs w:val="24"/>
        </w:rPr>
        <w:t>,</w:t>
      </w:r>
      <w:r w:rsidRPr="002D0AF3">
        <w:rPr>
          <w:i/>
          <w:iCs/>
          <w:szCs w:val="24"/>
        </w:rPr>
        <w:t xml:space="preserve"> e cila mund të arrihet përmes bashkëpunimit dhe koordinimit të hapur dhe transparent ndërmjet organeve përkatëse rregullatore në fazat kyçe të aktiviteteve të kontrollit zyrtar</w:t>
      </w:r>
    </w:p>
    <w:p w14:paraId="5B082750" w14:textId="77777777" w:rsidR="004E645A" w:rsidRPr="002D0AF3" w:rsidRDefault="004E645A" w:rsidP="004E645A">
      <w:pPr>
        <w:pStyle w:val="TEKSTIII"/>
        <w:rPr>
          <w:i/>
          <w:iCs/>
          <w:szCs w:val="24"/>
        </w:rPr>
      </w:pPr>
    </w:p>
    <w:p w14:paraId="62D91A7A" w14:textId="46BF68DF" w:rsidR="004E645A" w:rsidRPr="002D0AF3" w:rsidRDefault="004E645A" w:rsidP="004E645A">
      <w:pPr>
        <w:pStyle w:val="TEKSTIII"/>
        <w:rPr>
          <w:szCs w:val="24"/>
        </w:rPr>
      </w:pPr>
      <w:r w:rsidRPr="002D0AF3">
        <w:rPr>
          <w:szCs w:val="24"/>
        </w:rPr>
        <w:t>Ministria e Bujqësisë dhe Zhvillimit Rural është autoriteti qendror kompetent përgjegjës për zhvillimin e politikave dhe legjislacionit</w:t>
      </w:r>
      <w:r w:rsidR="002F3CE5" w:rsidRPr="002D0AF3">
        <w:rPr>
          <w:szCs w:val="24"/>
        </w:rPr>
        <w:t>,</w:t>
      </w:r>
      <w:r w:rsidRPr="002D0AF3">
        <w:rPr>
          <w:szCs w:val="24"/>
        </w:rPr>
        <w:t xml:space="preserve"> si dhe për mbikëqyrjen e zbatimit të legjislacionit </w:t>
      </w:r>
      <w:r w:rsidR="005529A9" w:rsidRPr="002D0AF3">
        <w:rPr>
          <w:szCs w:val="24"/>
        </w:rPr>
        <w:t>agroushqimor</w:t>
      </w:r>
      <w:r w:rsidRPr="002D0AF3">
        <w:rPr>
          <w:szCs w:val="24"/>
        </w:rPr>
        <w:t xml:space="preserve"> në të gjithë zinxhirin </w:t>
      </w:r>
      <w:r w:rsidR="005529A9" w:rsidRPr="002D0AF3">
        <w:rPr>
          <w:szCs w:val="24"/>
        </w:rPr>
        <w:t>agroushqimor</w:t>
      </w:r>
      <w:r w:rsidRPr="002D0AF3">
        <w:rPr>
          <w:szCs w:val="24"/>
        </w:rPr>
        <w:t xml:space="preserve">. Institutet kyçe të krijuara në kuadër të kësaj </w:t>
      </w:r>
      <w:r w:rsidR="002F3CE5" w:rsidRPr="002D0AF3">
        <w:rPr>
          <w:szCs w:val="24"/>
        </w:rPr>
        <w:t xml:space="preserve">ministrie </w:t>
      </w:r>
      <w:r w:rsidRPr="002D0AF3">
        <w:rPr>
          <w:szCs w:val="24"/>
        </w:rPr>
        <w:t>janë:</w:t>
      </w:r>
    </w:p>
    <w:p w14:paraId="3DD9A22C" w14:textId="48062463" w:rsidR="004E645A" w:rsidRPr="002D0AF3" w:rsidRDefault="00C7395A" w:rsidP="004E645A">
      <w:pPr>
        <w:pStyle w:val="TEKSTIII"/>
        <w:rPr>
          <w:szCs w:val="24"/>
        </w:rPr>
      </w:pPr>
      <w:r w:rsidRPr="002D0AF3">
        <w:rPr>
          <w:rFonts w:ascii="Arial" w:hAnsi="Arial" w:cs="Arial"/>
          <w:i/>
          <w:iCs/>
          <w:noProof/>
          <w:sz w:val="18"/>
          <w:szCs w:val="18"/>
          <w:lang w:val="en-US"/>
        </w:rPr>
        <w:drawing>
          <wp:anchor distT="0" distB="0" distL="114300" distR="114300" simplePos="0" relativeHeight="251658248" behindDoc="0" locked="0" layoutInCell="1" allowOverlap="1" wp14:anchorId="0F0CB144" wp14:editId="5110A3C6">
            <wp:simplePos x="0" y="0"/>
            <wp:positionH relativeFrom="column">
              <wp:posOffset>1539875</wp:posOffset>
            </wp:positionH>
            <wp:positionV relativeFrom="page">
              <wp:posOffset>3447415</wp:posOffset>
            </wp:positionV>
            <wp:extent cx="2851785" cy="2427605"/>
            <wp:effectExtent l="0" t="0" r="571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1785" cy="2427605"/>
                    </a:xfrm>
                    <a:prstGeom prst="rect">
                      <a:avLst/>
                    </a:prstGeom>
                    <a:noFill/>
                  </pic:spPr>
                </pic:pic>
              </a:graphicData>
            </a:graphic>
            <wp14:sizeRelH relativeFrom="margin">
              <wp14:pctWidth>0</wp14:pctWidth>
            </wp14:sizeRelH>
            <wp14:sizeRelV relativeFrom="margin">
              <wp14:pctHeight>0</wp14:pctHeight>
            </wp14:sizeRelV>
          </wp:anchor>
        </w:drawing>
      </w:r>
      <w:r w:rsidR="00776430" w:rsidRPr="002D0AF3">
        <w:rPr>
          <w:szCs w:val="24"/>
        </w:rPr>
        <w:t xml:space="preserve">- </w:t>
      </w:r>
      <w:r w:rsidR="004E645A" w:rsidRPr="002D0AF3">
        <w:rPr>
          <w:szCs w:val="24"/>
        </w:rPr>
        <w:t>Autoriteti Kombëtar i Ushqimit (AKU), i cili është autoriteti kompetent i caktuar për kontrollet zyrtare për ushqimin dhe ushqimin e kafshëve. AKU-ja është gjithashtu përgjegjëse për kontrollet zyrtare të ushqimeve të importuara, ushqimeve për kafshët, kafshëve të gjalla, medikamenteve veterinare, produkteve për mbrojtjen e bimëve dhe inputeve bujqësore në pikat e ndryshme të kontrollit kufitar (PKK) dhe operon një rrjet laboratorësh zyrtarë.</w:t>
      </w:r>
    </w:p>
    <w:p w14:paraId="424497A9" w14:textId="27717E47" w:rsidR="004E645A" w:rsidRPr="002D0AF3" w:rsidRDefault="004E645A" w:rsidP="004E645A">
      <w:pPr>
        <w:pStyle w:val="TEKSTIII"/>
        <w:rPr>
          <w:szCs w:val="24"/>
        </w:rPr>
      </w:pPr>
    </w:p>
    <w:p w14:paraId="6D127F9E" w14:textId="7DC2F925" w:rsidR="004E645A" w:rsidRPr="002D0AF3" w:rsidRDefault="00E747E2" w:rsidP="004E645A">
      <w:pPr>
        <w:pStyle w:val="TEKSTIII"/>
        <w:rPr>
          <w:szCs w:val="24"/>
        </w:rPr>
      </w:pPr>
      <w:r w:rsidRPr="002D0AF3">
        <w:rPr>
          <w:szCs w:val="24"/>
        </w:rPr>
        <w:t xml:space="preserve">- </w:t>
      </w:r>
      <w:r w:rsidR="004E645A" w:rsidRPr="002D0AF3">
        <w:rPr>
          <w:szCs w:val="24"/>
        </w:rPr>
        <w:t>Instituti i Sigurisë Ushqimore dhe Veterinarisë (ISUV)</w:t>
      </w:r>
      <w:r w:rsidR="00C7395A" w:rsidRPr="002D0AF3">
        <w:rPr>
          <w:szCs w:val="24"/>
        </w:rPr>
        <w:t>,</w:t>
      </w:r>
      <w:r w:rsidR="004E645A" w:rsidRPr="002D0AF3">
        <w:rPr>
          <w:szCs w:val="24"/>
        </w:rPr>
        <w:t xml:space="preserve"> i cili ofron shërbime qendrore laboratorike dhe vepron si laborator kombëtar referencë për analiza specifike. ISUV-i ka aftësi analitike, kimike dhe mikrobiologjike në fushat e shëndetit të kafshëve, shëndetit të bimëve dhe sigurisë ushqimore.</w:t>
      </w:r>
    </w:p>
    <w:p w14:paraId="682BFA69" w14:textId="0667B6B4" w:rsidR="004E645A" w:rsidRPr="002D0AF3" w:rsidRDefault="00E747E2" w:rsidP="004E645A">
      <w:pPr>
        <w:pStyle w:val="TEKSTIII"/>
        <w:rPr>
          <w:szCs w:val="24"/>
        </w:rPr>
      </w:pPr>
      <w:r w:rsidRPr="002D0AF3">
        <w:rPr>
          <w:szCs w:val="24"/>
        </w:rPr>
        <w:t xml:space="preserve">- </w:t>
      </w:r>
      <w:r w:rsidR="004E645A" w:rsidRPr="002D0AF3">
        <w:rPr>
          <w:szCs w:val="24"/>
        </w:rPr>
        <w:t>Autoriteti Kombëtar i Veterinarisë dhe Mbrojtjes së Bimëve (AKVMB)</w:t>
      </w:r>
      <w:r w:rsidR="00C7395A" w:rsidRPr="002D0AF3">
        <w:rPr>
          <w:szCs w:val="24"/>
        </w:rPr>
        <w:t>,</w:t>
      </w:r>
      <w:r w:rsidR="004E645A" w:rsidRPr="002D0AF3">
        <w:rPr>
          <w:szCs w:val="24"/>
        </w:rPr>
        <w:t xml:space="preserve"> i cili është autoriteti kompetent i caktuar për zbatimin e shërbimeve veterinare dhe kontrolleve zyrtare</w:t>
      </w:r>
      <w:r w:rsidR="00C7395A" w:rsidRPr="002D0AF3">
        <w:rPr>
          <w:szCs w:val="24"/>
        </w:rPr>
        <w:t>,</w:t>
      </w:r>
      <w:r w:rsidR="004E645A" w:rsidRPr="002D0AF3">
        <w:rPr>
          <w:szCs w:val="24"/>
        </w:rPr>
        <w:t xml:space="preserve"> në lidhje me shëndetin e kafshëve, mirëqenien e kafshëve dhe shëndetin e bimëve.</w:t>
      </w:r>
    </w:p>
    <w:p w14:paraId="7D0AE65A" w14:textId="53D8CDB6" w:rsidR="004E645A" w:rsidRPr="002D0AF3" w:rsidRDefault="00E747E2" w:rsidP="004E645A">
      <w:pPr>
        <w:pStyle w:val="TEKSTIII"/>
        <w:rPr>
          <w:szCs w:val="24"/>
        </w:rPr>
      </w:pPr>
      <w:r w:rsidRPr="002D0AF3">
        <w:rPr>
          <w:szCs w:val="24"/>
        </w:rPr>
        <w:t xml:space="preserve">- </w:t>
      </w:r>
      <w:r w:rsidR="004E645A" w:rsidRPr="002D0AF3">
        <w:rPr>
          <w:szCs w:val="24"/>
        </w:rPr>
        <w:t>Enti Shtetëror i Farave dhe Fidanëve</w:t>
      </w:r>
      <w:r w:rsidR="00C7395A" w:rsidRPr="002D0AF3">
        <w:rPr>
          <w:szCs w:val="24"/>
        </w:rPr>
        <w:t>,</w:t>
      </w:r>
      <w:r w:rsidR="004E645A" w:rsidRPr="002D0AF3">
        <w:rPr>
          <w:szCs w:val="24"/>
        </w:rPr>
        <w:t xml:space="preserve"> i cili ka përgjegjësi për materialet e shumimit të bimëve.</w:t>
      </w:r>
    </w:p>
    <w:p w14:paraId="53098CE2" w14:textId="48E77306" w:rsidR="004E645A" w:rsidRPr="002D0AF3" w:rsidRDefault="00E747E2" w:rsidP="004E645A">
      <w:pPr>
        <w:pStyle w:val="TEKSTIII"/>
        <w:rPr>
          <w:szCs w:val="24"/>
        </w:rPr>
      </w:pPr>
      <w:r w:rsidRPr="002D0AF3">
        <w:rPr>
          <w:szCs w:val="24"/>
        </w:rPr>
        <w:t xml:space="preserve">- </w:t>
      </w:r>
      <w:r w:rsidR="004E645A" w:rsidRPr="002D0AF3">
        <w:rPr>
          <w:szCs w:val="24"/>
        </w:rPr>
        <w:t>Qendrat e Transferimit të Teknologjive Bujqësore (QTTB) (Fushë</w:t>
      </w:r>
      <w:r w:rsidR="00C7395A" w:rsidRPr="002D0AF3">
        <w:rPr>
          <w:szCs w:val="24"/>
        </w:rPr>
        <w:t>-</w:t>
      </w:r>
      <w:r w:rsidR="004E645A" w:rsidRPr="002D0AF3">
        <w:rPr>
          <w:szCs w:val="24"/>
        </w:rPr>
        <w:t>Krujë) që ofrojnë shërbime laboratorike, si laborator kombëtar referimi për analizën e produkteve të plehrave.</w:t>
      </w:r>
    </w:p>
    <w:p w14:paraId="1DEC0DB1" w14:textId="7CB86481" w:rsidR="004E645A" w:rsidRPr="002D0AF3" w:rsidRDefault="004E645A" w:rsidP="004E645A">
      <w:pPr>
        <w:pStyle w:val="TEKSTIII"/>
        <w:rPr>
          <w:szCs w:val="24"/>
        </w:rPr>
      </w:pPr>
      <w:r w:rsidRPr="002D0AF3">
        <w:rPr>
          <w:szCs w:val="24"/>
        </w:rPr>
        <w:t>Ministria e Shëndetësisë dhe Mbrojtjes Sociale është palë kryesore e interesuara që mban përgjegjësi për shëndetin publik. Instituti i Shëndetit Publik punon ngushtë me AKU-në, AKVMB-në dhe ISUV-in</w:t>
      </w:r>
      <w:r w:rsidR="004030ED" w:rsidRPr="002D0AF3">
        <w:rPr>
          <w:szCs w:val="24"/>
        </w:rPr>
        <w:t>,</w:t>
      </w:r>
      <w:r w:rsidRPr="002D0AF3">
        <w:rPr>
          <w:szCs w:val="24"/>
        </w:rPr>
        <w:t xml:space="preserve"> në fusha të tilla si</w:t>
      </w:r>
      <w:r w:rsidR="004030ED" w:rsidRPr="002D0AF3">
        <w:rPr>
          <w:szCs w:val="24"/>
        </w:rPr>
        <w:t>:</w:t>
      </w:r>
      <w:r w:rsidRPr="002D0AF3">
        <w:rPr>
          <w:szCs w:val="24"/>
        </w:rPr>
        <w:t xml:space="preserve"> mbikëqyrja e shpërthimeve të shkaktuara nga ushqimi, prevalencën e sëmundjeve zoonotike dhe sëmundjet ndërkufitare prioritare.</w:t>
      </w:r>
    </w:p>
    <w:p w14:paraId="03D5EEE2" w14:textId="77777777" w:rsidR="004E645A" w:rsidRPr="002D0AF3" w:rsidRDefault="004E645A" w:rsidP="004E645A">
      <w:pPr>
        <w:pStyle w:val="TEKSTIII"/>
        <w:rPr>
          <w:szCs w:val="24"/>
        </w:rPr>
      </w:pPr>
      <w:r w:rsidRPr="002D0AF3">
        <w:rPr>
          <w:szCs w:val="24"/>
        </w:rPr>
        <w:t>Ministria e Shëndetësisë dhe Mbrojtjes Sociale është pala kryesore e interesuara përgjegjës për shëndetin publik. Instituti për Shëndetin Publik punon ngushtë me AKU-në dhe ISUV-in në fusha të tilla si mbikëqyrja e shpërthimeve të sëmundjeve të shkaktuara nga ushqimi dhe prevalenca e sëmundjeve zoonotike.</w:t>
      </w:r>
    </w:p>
    <w:p w14:paraId="413A14B1" w14:textId="420C8770" w:rsidR="004E645A" w:rsidRPr="002D0AF3" w:rsidRDefault="004E645A" w:rsidP="004E645A">
      <w:pPr>
        <w:pStyle w:val="TEKSTIII"/>
        <w:rPr>
          <w:szCs w:val="24"/>
        </w:rPr>
      </w:pPr>
      <w:r w:rsidRPr="002D0AF3">
        <w:rPr>
          <w:szCs w:val="24"/>
        </w:rPr>
        <w:lastRenderedPageBreak/>
        <w:t>MTM</w:t>
      </w:r>
      <w:r w:rsidR="004030ED" w:rsidRPr="002D0AF3">
        <w:rPr>
          <w:szCs w:val="24"/>
        </w:rPr>
        <w:t>-ja</w:t>
      </w:r>
      <w:r w:rsidRPr="002D0AF3">
        <w:rPr>
          <w:szCs w:val="24"/>
        </w:rPr>
        <w:t xml:space="preserve"> është pala kryesore e interesuar përgjegjëse për shëndetin mjedisor dhe bashkëpunon me MBZHR-në dhe AKVMB-në</w:t>
      </w:r>
      <w:r w:rsidR="004072BC" w:rsidRPr="002D0AF3">
        <w:rPr>
          <w:szCs w:val="24"/>
        </w:rPr>
        <w:t>,</w:t>
      </w:r>
      <w:r w:rsidRPr="002D0AF3">
        <w:rPr>
          <w:szCs w:val="24"/>
        </w:rPr>
        <w:t xml:space="preserve"> në fusha të tilla si</w:t>
      </w:r>
      <w:r w:rsidR="004072BC" w:rsidRPr="002D0AF3">
        <w:rPr>
          <w:szCs w:val="24"/>
        </w:rPr>
        <w:t>:</w:t>
      </w:r>
      <w:r w:rsidRPr="002D0AF3">
        <w:rPr>
          <w:szCs w:val="24"/>
        </w:rPr>
        <w:t xml:space="preserve"> monitorimi mjedisor që mund të ndikojnë në shëndetin e bimëve, shëndetin e kafshëve ose sigurinë e ushqimit dhe ushqimit për kafshët.</w:t>
      </w:r>
    </w:p>
    <w:p w14:paraId="6C3893CE" w14:textId="4CCB06CE" w:rsidR="004E645A" w:rsidRPr="002D0AF3" w:rsidRDefault="004E645A" w:rsidP="004E645A">
      <w:pPr>
        <w:pStyle w:val="TEKSTIII"/>
        <w:rPr>
          <w:szCs w:val="24"/>
        </w:rPr>
      </w:pPr>
      <w:r w:rsidRPr="002D0AF3">
        <w:rPr>
          <w:szCs w:val="24"/>
        </w:rPr>
        <w:t>Ministritë shqiptare dhe organet qeveritare përkatëse</w:t>
      </w:r>
      <w:r w:rsidR="004072BC" w:rsidRPr="002D0AF3">
        <w:rPr>
          <w:szCs w:val="24"/>
        </w:rPr>
        <w:t>,</w:t>
      </w:r>
      <w:r w:rsidRPr="002D0AF3">
        <w:rPr>
          <w:szCs w:val="24"/>
        </w:rPr>
        <w:t xml:space="preserve"> të cilat janë direkt dhe indirekt përgjegjëse për rregullimin e sigurisë </w:t>
      </w:r>
      <w:r w:rsidR="005529A9" w:rsidRPr="002D0AF3">
        <w:rPr>
          <w:szCs w:val="24"/>
        </w:rPr>
        <w:t>agroushqimor</w:t>
      </w:r>
      <w:r w:rsidRPr="002D0AF3">
        <w:rPr>
          <w:szCs w:val="24"/>
        </w:rPr>
        <w:t xml:space="preserve">e janë paraqitur në </w:t>
      </w:r>
      <w:r w:rsidR="004072BC" w:rsidRPr="002D0AF3">
        <w:rPr>
          <w:szCs w:val="24"/>
        </w:rPr>
        <w:t xml:space="preserve">figurën </w:t>
      </w:r>
      <w:r w:rsidRPr="002D0AF3">
        <w:rPr>
          <w:szCs w:val="24"/>
        </w:rPr>
        <w:t>CXG4.1 më poshtë:</w:t>
      </w:r>
    </w:p>
    <w:p w14:paraId="23D6C3FF" w14:textId="77777777" w:rsidR="00776430" w:rsidRPr="002D0AF3" w:rsidRDefault="00776430" w:rsidP="004E645A">
      <w:pPr>
        <w:jc w:val="both"/>
        <w:rPr>
          <w:rFonts w:ascii="Arial" w:hAnsi="Arial" w:cs="Arial"/>
          <w:i/>
          <w:iCs/>
          <w:sz w:val="16"/>
          <w:szCs w:val="16"/>
        </w:rPr>
      </w:pPr>
    </w:p>
    <w:p w14:paraId="518B26F1" w14:textId="23D0EEB2" w:rsidR="004E645A" w:rsidRPr="002D0AF3" w:rsidRDefault="001B0FDB" w:rsidP="004072BC">
      <w:pPr>
        <w:pStyle w:val="TEKSTIII"/>
        <w:jc w:val="center"/>
        <w:rPr>
          <w:i/>
          <w:sz w:val="18"/>
          <w:szCs w:val="18"/>
        </w:rPr>
      </w:pPr>
      <w:r w:rsidRPr="002D0AF3">
        <w:rPr>
          <w:i/>
          <w:noProof/>
          <w:lang w:val="en-US"/>
        </w:rPr>
        <w:drawing>
          <wp:anchor distT="0" distB="0" distL="114300" distR="114300" simplePos="0" relativeHeight="251658247" behindDoc="0" locked="0" layoutInCell="1" allowOverlap="1" wp14:anchorId="6261D4F9" wp14:editId="040A67E0">
            <wp:simplePos x="0" y="0"/>
            <wp:positionH relativeFrom="column">
              <wp:posOffset>40640</wp:posOffset>
            </wp:positionH>
            <wp:positionV relativeFrom="page">
              <wp:posOffset>2470150</wp:posOffset>
            </wp:positionV>
            <wp:extent cx="5601970" cy="379349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601970" cy="3793490"/>
                    </a:xfrm>
                    <a:prstGeom prst="rect">
                      <a:avLst/>
                    </a:prstGeom>
                    <a:noFill/>
                  </pic:spPr>
                </pic:pic>
              </a:graphicData>
            </a:graphic>
            <wp14:sizeRelH relativeFrom="margin">
              <wp14:pctWidth>0</wp14:pctWidth>
            </wp14:sizeRelH>
            <wp14:sizeRelV relativeFrom="margin">
              <wp14:pctHeight>0</wp14:pctHeight>
            </wp14:sizeRelV>
          </wp:anchor>
        </w:drawing>
      </w:r>
      <w:r w:rsidR="004E645A" w:rsidRPr="002D0AF3">
        <w:rPr>
          <w:i/>
        </w:rPr>
        <w:t>Figura 4.1: Ministritë shqiptare dhe organet qeveritare përkatëse</w:t>
      </w:r>
      <w:r w:rsidR="004072BC" w:rsidRPr="002D0AF3">
        <w:rPr>
          <w:i/>
        </w:rPr>
        <w:t>,</w:t>
      </w:r>
      <w:r w:rsidR="004E645A" w:rsidRPr="002D0AF3">
        <w:rPr>
          <w:i/>
        </w:rPr>
        <w:t xml:space="preserve"> të cilat janë direkt ose indirekt përgjegjëse për rregullimin e sigurisë </w:t>
      </w:r>
      <w:r w:rsidR="005529A9" w:rsidRPr="002D0AF3">
        <w:rPr>
          <w:i/>
        </w:rPr>
        <w:t>agroushqimor</w:t>
      </w:r>
      <w:r w:rsidR="004E645A" w:rsidRPr="002D0AF3">
        <w:rPr>
          <w:i/>
        </w:rPr>
        <w:t>e</w:t>
      </w:r>
      <w:r w:rsidR="004E645A" w:rsidRPr="002D0AF3">
        <w:rPr>
          <w:i/>
          <w:sz w:val="18"/>
          <w:szCs w:val="18"/>
        </w:rPr>
        <w:t>.</w:t>
      </w:r>
    </w:p>
    <w:p w14:paraId="5B3187F5" w14:textId="75252CE1" w:rsidR="004E645A" w:rsidRPr="002D0AF3" w:rsidRDefault="004E645A">
      <w:pPr>
        <w:pStyle w:val="TEKSTIII"/>
        <w:rPr>
          <w:szCs w:val="24"/>
        </w:rPr>
      </w:pPr>
    </w:p>
    <w:p w14:paraId="4893962F" w14:textId="5C765273" w:rsidR="00EF4A7A" w:rsidRPr="002D0AF3" w:rsidRDefault="00EF4A7A" w:rsidP="00EF4A7A">
      <w:pPr>
        <w:pStyle w:val="Heading1"/>
        <w:spacing w:before="0" w:line="240" w:lineRule="auto"/>
        <w:ind w:firstLine="284"/>
        <w:jc w:val="center"/>
        <w:rPr>
          <w:rFonts w:ascii="Garamond" w:hAnsi="Garamond" w:cs="Arial"/>
          <w:b/>
          <w:bCs/>
          <w:color w:val="auto"/>
          <w:sz w:val="24"/>
          <w:szCs w:val="24"/>
          <w:lang w:val="sq-AL"/>
        </w:rPr>
      </w:pPr>
      <w:bookmarkStart w:id="7" w:name="_Toc119667594"/>
      <w:r w:rsidRPr="002D0AF3">
        <w:rPr>
          <w:rFonts w:ascii="Garamond" w:hAnsi="Garamond" w:cs="Arial"/>
          <w:b/>
          <w:bCs/>
          <w:color w:val="auto"/>
          <w:sz w:val="24"/>
          <w:szCs w:val="24"/>
          <w:lang w:val="sq-AL"/>
        </w:rPr>
        <w:t xml:space="preserve">Qëllimet e </w:t>
      </w:r>
      <w:r w:rsidR="004072BC" w:rsidRPr="002D0AF3">
        <w:rPr>
          <w:rFonts w:ascii="Garamond" w:hAnsi="Garamond" w:cs="Arial"/>
          <w:b/>
          <w:bCs/>
          <w:color w:val="auto"/>
          <w:sz w:val="24"/>
          <w:szCs w:val="24"/>
          <w:lang w:val="sq-AL"/>
        </w:rPr>
        <w:t>politikave</w:t>
      </w:r>
      <w:bookmarkEnd w:id="7"/>
    </w:p>
    <w:p w14:paraId="60F55739" w14:textId="77777777" w:rsidR="00EF4A7A" w:rsidRPr="002D0AF3" w:rsidRDefault="00EF4A7A" w:rsidP="00EF4A7A">
      <w:pPr>
        <w:spacing w:after="0" w:line="240" w:lineRule="auto"/>
        <w:ind w:firstLine="284"/>
        <w:jc w:val="center"/>
        <w:rPr>
          <w:rFonts w:ascii="Garamond" w:hAnsi="Garamond" w:cs="Arial"/>
          <w:b/>
          <w:bCs/>
          <w:sz w:val="24"/>
          <w:szCs w:val="24"/>
        </w:rPr>
      </w:pPr>
    </w:p>
    <w:p w14:paraId="3F2010DB" w14:textId="094A6143" w:rsidR="00EF4A7A" w:rsidRPr="002D0AF3" w:rsidRDefault="00EF4A7A" w:rsidP="00EF4A7A">
      <w:pPr>
        <w:spacing w:after="0" w:line="240" w:lineRule="auto"/>
        <w:ind w:firstLine="284"/>
        <w:jc w:val="center"/>
        <w:rPr>
          <w:rFonts w:ascii="Garamond" w:hAnsi="Garamond" w:cs="Arial"/>
          <w:i/>
          <w:iCs/>
          <w:sz w:val="24"/>
          <w:szCs w:val="24"/>
        </w:rPr>
      </w:pPr>
      <w:r w:rsidRPr="002D0AF3">
        <w:rPr>
          <w:rFonts w:ascii="Garamond" w:hAnsi="Garamond" w:cs="Arial"/>
          <w:i/>
          <w:iCs/>
          <w:sz w:val="24"/>
          <w:szCs w:val="24"/>
        </w:rPr>
        <w:t xml:space="preserve">Kjo politikë identifikon një </w:t>
      </w:r>
      <w:r w:rsidR="004072BC" w:rsidRPr="002D0AF3">
        <w:rPr>
          <w:rFonts w:ascii="Garamond" w:hAnsi="Garamond" w:cs="Arial"/>
          <w:i/>
          <w:iCs/>
          <w:sz w:val="24"/>
          <w:szCs w:val="24"/>
        </w:rPr>
        <w:t>“</w:t>
      </w:r>
      <w:r w:rsidRPr="002D0AF3">
        <w:rPr>
          <w:rFonts w:ascii="Garamond" w:hAnsi="Garamond" w:cs="Arial"/>
          <w:i/>
          <w:iCs/>
          <w:sz w:val="24"/>
          <w:szCs w:val="24"/>
        </w:rPr>
        <w:t>objektiv të përgjithshëm</w:t>
      </w:r>
      <w:r w:rsidR="004072BC" w:rsidRPr="002D0AF3">
        <w:rPr>
          <w:rFonts w:ascii="Garamond" w:hAnsi="Garamond" w:cs="Arial"/>
          <w:i/>
          <w:iCs/>
          <w:sz w:val="24"/>
          <w:szCs w:val="24"/>
        </w:rPr>
        <w:t>”,</w:t>
      </w:r>
      <w:r w:rsidRPr="002D0AF3">
        <w:rPr>
          <w:rFonts w:ascii="Garamond" w:hAnsi="Garamond" w:cs="Arial"/>
          <w:i/>
          <w:iCs/>
          <w:sz w:val="24"/>
          <w:szCs w:val="24"/>
        </w:rPr>
        <w:t xml:space="preserve"> i cili konsiston në kontributin</w:t>
      </w:r>
    </w:p>
    <w:p w14:paraId="4C3371A8" w14:textId="77777777" w:rsidR="00EF4A7A" w:rsidRPr="002D0AF3" w:rsidRDefault="00EF4A7A" w:rsidP="00EF4A7A">
      <w:pPr>
        <w:spacing w:after="0" w:line="240" w:lineRule="auto"/>
        <w:ind w:firstLine="284"/>
        <w:jc w:val="center"/>
        <w:rPr>
          <w:rFonts w:ascii="Garamond" w:hAnsi="Garamond" w:cs="Arial"/>
          <w:i/>
          <w:iCs/>
          <w:sz w:val="24"/>
          <w:szCs w:val="24"/>
        </w:rPr>
      </w:pPr>
      <w:r w:rsidRPr="002D0AF3">
        <w:rPr>
          <w:rFonts w:ascii="Garamond" w:hAnsi="Garamond" w:cs="Arial"/>
          <w:i/>
          <w:iCs/>
          <w:sz w:val="24"/>
          <w:szCs w:val="24"/>
        </w:rPr>
        <w:t>e mbrojtjes së shëndetit të konsumatorit, shëndetit të kafshëve dhe bimëve brenda Shqipërisë,</w:t>
      </w:r>
    </w:p>
    <w:p w14:paraId="6C9C1A89" w14:textId="77777777" w:rsidR="00EF4A7A" w:rsidRPr="002D0AF3" w:rsidRDefault="00EF4A7A" w:rsidP="00EF4A7A">
      <w:pPr>
        <w:spacing w:after="0" w:line="240" w:lineRule="auto"/>
        <w:ind w:firstLine="284"/>
        <w:jc w:val="center"/>
        <w:rPr>
          <w:rFonts w:ascii="Garamond" w:hAnsi="Garamond" w:cs="Arial"/>
          <w:i/>
          <w:iCs/>
          <w:sz w:val="24"/>
          <w:szCs w:val="24"/>
        </w:rPr>
      </w:pPr>
      <w:r w:rsidRPr="002D0AF3">
        <w:rPr>
          <w:rFonts w:ascii="Garamond" w:hAnsi="Garamond" w:cs="Arial"/>
          <w:i/>
          <w:iCs/>
          <w:sz w:val="24"/>
          <w:szCs w:val="24"/>
        </w:rPr>
        <w:t>duke lehtësuar inovacionin dhe tregtinë e biznesit.</w:t>
      </w:r>
    </w:p>
    <w:p w14:paraId="3BB2F82D" w14:textId="77777777" w:rsidR="00EF4A7A" w:rsidRPr="002D0AF3" w:rsidRDefault="00EF4A7A" w:rsidP="00EF4A7A">
      <w:pPr>
        <w:spacing w:after="0" w:line="240" w:lineRule="auto"/>
        <w:ind w:firstLine="284"/>
        <w:rPr>
          <w:rFonts w:ascii="Garamond" w:hAnsi="Garamond" w:cs="Arial"/>
          <w:i/>
          <w:iCs/>
          <w:sz w:val="24"/>
          <w:szCs w:val="24"/>
        </w:rPr>
      </w:pPr>
    </w:p>
    <w:p w14:paraId="5BE79A4E" w14:textId="5FC1E604"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Kjo politikë identifikon një “objektiv të përgjithshëm” që konsiston</w:t>
      </w:r>
      <w:r w:rsidR="003E60DD" w:rsidRPr="002D0AF3">
        <w:rPr>
          <w:rFonts w:ascii="Garamond" w:hAnsi="Garamond" w:cs="Arial"/>
          <w:sz w:val="24"/>
          <w:szCs w:val="24"/>
        </w:rPr>
        <w:t xml:space="preserve"> </w:t>
      </w:r>
      <w:r w:rsidRPr="002D0AF3">
        <w:rPr>
          <w:rFonts w:ascii="Garamond" w:hAnsi="Garamond" w:cs="Arial"/>
          <w:sz w:val="24"/>
          <w:szCs w:val="24"/>
        </w:rPr>
        <w:t>në mbrojtjen e shëndetit të konsumatorit, shëndetit të kafshëve dhe bimëve në Shqipëri, duke lehtësuar inovacionin dhe tregtinë e biznesit. Ka shumë faktorë që ndikojnë në mbrojtjen e shëndetit të konsumatorit, shëndetit të kafshëve dhe shëndetit të bimëve, disa prej të cilëve përfshihen në objektin e kësaj politike dhe faktorë të tjerë jashtë kompetencës së politikës (p.sh.</w:t>
      </w:r>
      <w:r w:rsidR="002C0DA7" w:rsidRPr="002D0AF3">
        <w:rPr>
          <w:rFonts w:ascii="Garamond" w:hAnsi="Garamond" w:cs="Arial"/>
          <w:sz w:val="24"/>
          <w:szCs w:val="24"/>
        </w:rPr>
        <w:t>,</w:t>
      </w:r>
      <w:r w:rsidRPr="002D0AF3">
        <w:rPr>
          <w:rFonts w:ascii="Garamond" w:hAnsi="Garamond" w:cs="Arial"/>
          <w:sz w:val="24"/>
          <w:szCs w:val="24"/>
        </w:rPr>
        <w:t xml:space="preserve"> ofrimi i kujdesit shëndetësor, kushtet mjedisore).</w:t>
      </w:r>
    </w:p>
    <w:p w14:paraId="5F1798DF" w14:textId="62DB3515"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Politika përshkruan katër qëllime politike dhe 14 nënobjektiva</w:t>
      </w:r>
      <w:r w:rsidR="002C0DA7" w:rsidRPr="002D0AF3">
        <w:rPr>
          <w:rFonts w:ascii="Garamond" w:hAnsi="Garamond" w:cs="Arial"/>
          <w:sz w:val="24"/>
          <w:szCs w:val="24"/>
        </w:rPr>
        <w:t>,</w:t>
      </w:r>
      <w:r w:rsidRPr="002D0AF3">
        <w:rPr>
          <w:rFonts w:ascii="Garamond" w:hAnsi="Garamond" w:cs="Arial"/>
          <w:sz w:val="24"/>
          <w:szCs w:val="24"/>
        </w:rPr>
        <w:t xml:space="preserve"> si një grup veprimesh të ndërlidhura të nevojshme për realizimin e këtij objektivi.</w:t>
      </w:r>
    </w:p>
    <w:p w14:paraId="27508A7D" w14:textId="0EDD96D1" w:rsidR="00EF4A7A" w:rsidRPr="002D0AF3" w:rsidRDefault="002C0DA7" w:rsidP="00EF4A7A">
      <w:pPr>
        <w:spacing w:after="0" w:line="240" w:lineRule="auto"/>
        <w:ind w:firstLine="284"/>
        <w:jc w:val="both"/>
        <w:rPr>
          <w:rFonts w:ascii="Garamond" w:hAnsi="Garamond" w:cs="Arial"/>
          <w:sz w:val="24"/>
          <w:szCs w:val="24"/>
        </w:rPr>
      </w:pPr>
      <w:r w:rsidRPr="002D0AF3">
        <w:rPr>
          <w:rFonts w:ascii="Arial" w:hAnsi="Arial"/>
          <w:i/>
          <w:iCs/>
          <w:noProof/>
          <w:sz w:val="18"/>
          <w:szCs w:val="18"/>
          <w:lang w:val="en-US"/>
        </w:rPr>
        <w:lastRenderedPageBreak/>
        <w:drawing>
          <wp:anchor distT="0" distB="0" distL="114300" distR="114300" simplePos="0" relativeHeight="251658249" behindDoc="0" locked="0" layoutInCell="1" allowOverlap="1" wp14:anchorId="0ED7CB0A" wp14:editId="02DCBA85">
            <wp:simplePos x="0" y="0"/>
            <wp:positionH relativeFrom="column">
              <wp:posOffset>1641475</wp:posOffset>
            </wp:positionH>
            <wp:positionV relativeFrom="page">
              <wp:posOffset>788035</wp:posOffset>
            </wp:positionV>
            <wp:extent cx="2640330" cy="2085340"/>
            <wp:effectExtent l="0" t="0" r="762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40330" cy="2085340"/>
                    </a:xfrm>
                    <a:prstGeom prst="rect">
                      <a:avLst/>
                    </a:prstGeom>
                    <a:noFill/>
                  </pic:spPr>
                </pic:pic>
              </a:graphicData>
            </a:graphic>
            <wp14:sizeRelH relativeFrom="margin">
              <wp14:pctWidth>0</wp14:pctWidth>
            </wp14:sizeRelH>
            <wp14:sizeRelV relativeFrom="margin">
              <wp14:pctHeight>0</wp14:pctHeight>
            </wp14:sizeRelV>
          </wp:anchor>
        </w:drawing>
      </w:r>
      <w:r w:rsidR="00EF4A7A" w:rsidRPr="002D0AF3">
        <w:rPr>
          <w:rFonts w:ascii="Garamond" w:hAnsi="Garamond" w:cs="Arial"/>
          <w:sz w:val="24"/>
          <w:szCs w:val="24"/>
        </w:rPr>
        <w:t>Objekti i kësaj politike përfshihet në kompetencën e një sërë organeve qeveritare, prandaj për zbatimin e suksesshëm të qëllimeve të politikës, është thelbësore që të zbatohet një qasje e integruar ndërmjet organeve qeveritare përkatëse. Qëllimet e përgjithshme të politikës dhe nënobjektivat përshkruhen më poshtë. Planet e zbatimit për çdo qëllim të politikës paraqiten në Shtojcën I.</w:t>
      </w:r>
    </w:p>
    <w:p w14:paraId="57DDB154" w14:textId="3A4E2BFC" w:rsidR="00EF4A7A" w:rsidRPr="002D0AF3" w:rsidRDefault="00EF4A7A" w:rsidP="00EF4A7A">
      <w:pPr>
        <w:pStyle w:val="TEKSTIII"/>
      </w:pPr>
    </w:p>
    <w:p w14:paraId="6EE8CE23" w14:textId="77777777" w:rsidR="00EF4A7A" w:rsidRPr="002D0AF3" w:rsidRDefault="00EF4A7A" w:rsidP="00EF4A7A">
      <w:pPr>
        <w:pStyle w:val="Heading2"/>
        <w:spacing w:before="0" w:line="240" w:lineRule="auto"/>
        <w:ind w:firstLine="284"/>
        <w:jc w:val="center"/>
        <w:rPr>
          <w:rFonts w:ascii="Garamond" w:hAnsi="Garamond" w:cs="Arial"/>
          <w:color w:val="auto"/>
          <w:sz w:val="24"/>
          <w:szCs w:val="24"/>
        </w:rPr>
      </w:pPr>
      <w:bookmarkStart w:id="8" w:name="_Toc119667595"/>
      <w:r w:rsidRPr="002D0AF3">
        <w:rPr>
          <w:rFonts w:ascii="Garamond" w:hAnsi="Garamond" w:cs="Arial"/>
          <w:color w:val="auto"/>
          <w:sz w:val="24"/>
          <w:szCs w:val="24"/>
        </w:rPr>
        <w:t>Qëllimi i Politikave 1: Forcimi i Kornizës Legjislative dhe Administrative</w:t>
      </w:r>
      <w:bookmarkEnd w:id="8"/>
    </w:p>
    <w:p w14:paraId="69327AC8" w14:textId="77777777" w:rsidR="00EF4A7A" w:rsidRPr="002D0AF3" w:rsidRDefault="00EF4A7A" w:rsidP="00EF4A7A">
      <w:pPr>
        <w:jc w:val="center"/>
        <w:rPr>
          <w:rFonts w:ascii="Arial" w:eastAsia="Arial" w:hAnsi="Arial" w:cs="Times New Roman"/>
          <w:b/>
          <w:bCs/>
          <w:sz w:val="18"/>
        </w:rPr>
      </w:pPr>
      <w:bookmarkStart w:id="9" w:name="_Toc161512507"/>
      <w:bookmarkStart w:id="10" w:name="_Toc763802807"/>
      <w:bookmarkStart w:id="11" w:name="_Toc413699754"/>
      <w:bookmarkStart w:id="12" w:name="_Toc2088437660"/>
      <w:bookmarkStart w:id="13" w:name="_Toc774715007"/>
      <w:bookmarkStart w:id="14" w:name="_Toc1649876869"/>
      <w:bookmarkStart w:id="15" w:name="_Toc102674834"/>
    </w:p>
    <w:p w14:paraId="0638043D" w14:textId="618A5CFA" w:rsidR="00EF4A7A" w:rsidRPr="002D0AF3" w:rsidRDefault="00EF4A7A" w:rsidP="00EF4A7A">
      <w:pPr>
        <w:pStyle w:val="TEKSTIII"/>
        <w:rPr>
          <w:b/>
        </w:rPr>
      </w:pPr>
      <w:r w:rsidRPr="002D0AF3">
        <w:rPr>
          <w:b/>
        </w:rPr>
        <w:t xml:space="preserve">Krijimi dhe Ruajtja enjë Kuadri Transparent Legjislativ dhe Administrativ të Përafruar me </w:t>
      </w:r>
      <w:r w:rsidR="006D2A34" w:rsidRPr="002D0AF3">
        <w:rPr>
          <w:b/>
          <w:i/>
        </w:rPr>
        <w:t>acquis</w:t>
      </w:r>
      <w:r w:rsidR="006D2A34" w:rsidRPr="002D0AF3">
        <w:rPr>
          <w:b/>
        </w:rPr>
        <w:t xml:space="preserve"> </w:t>
      </w:r>
      <w:r w:rsidRPr="002D0AF3">
        <w:rPr>
          <w:b/>
        </w:rPr>
        <w:t>të BE-së dhe Kërkesat Ndërkombëtare.</w:t>
      </w:r>
    </w:p>
    <w:bookmarkEnd w:id="9"/>
    <w:bookmarkEnd w:id="10"/>
    <w:bookmarkEnd w:id="11"/>
    <w:bookmarkEnd w:id="12"/>
    <w:bookmarkEnd w:id="13"/>
    <w:bookmarkEnd w:id="14"/>
    <w:bookmarkEnd w:id="15"/>
    <w:p w14:paraId="0D74F39E" w14:textId="22CA70D3" w:rsidR="00EF4A7A" w:rsidRPr="002D0AF3" w:rsidRDefault="002C0DA7" w:rsidP="002C0DA7">
      <w:pPr>
        <w:spacing w:after="0" w:line="240" w:lineRule="auto"/>
        <w:jc w:val="both"/>
        <w:rPr>
          <w:rFonts w:ascii="Garamond" w:hAnsi="Garamond" w:cs="Arial"/>
          <w:sz w:val="24"/>
          <w:szCs w:val="24"/>
        </w:rPr>
      </w:pPr>
      <w:r w:rsidRPr="002D0AF3">
        <w:rPr>
          <w:noProof/>
          <w:lang w:val="en-US"/>
        </w:rPr>
        <w:drawing>
          <wp:anchor distT="0" distB="0" distL="114300" distR="114300" simplePos="0" relativeHeight="251658250" behindDoc="1" locked="0" layoutInCell="1" allowOverlap="1" wp14:anchorId="522FAECD" wp14:editId="5F1A2146">
            <wp:simplePos x="0" y="0"/>
            <wp:positionH relativeFrom="column">
              <wp:posOffset>25400</wp:posOffset>
            </wp:positionH>
            <wp:positionV relativeFrom="paragraph">
              <wp:posOffset>45720</wp:posOffset>
            </wp:positionV>
            <wp:extent cx="371475" cy="374650"/>
            <wp:effectExtent l="0" t="0" r="9525" b="6350"/>
            <wp:wrapTight wrapText="bothSides">
              <wp:wrapPolygon edited="0">
                <wp:start x="0" y="0"/>
                <wp:lineTo x="0" y="20868"/>
                <wp:lineTo x="21046" y="20868"/>
                <wp:lineTo x="2104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71475" cy="374650"/>
                    </a:xfrm>
                    <a:prstGeom prst="rect">
                      <a:avLst/>
                    </a:prstGeom>
                    <a:noFill/>
                  </pic:spPr>
                </pic:pic>
              </a:graphicData>
            </a:graphic>
            <wp14:sizeRelH relativeFrom="page">
              <wp14:pctWidth>0</wp14:pctWidth>
            </wp14:sizeRelH>
            <wp14:sizeRelV relativeFrom="page">
              <wp14:pctHeight>0</wp14:pctHeight>
            </wp14:sizeRelV>
          </wp:anchor>
        </w:drawing>
      </w:r>
      <w:r w:rsidR="00EF4A7A" w:rsidRPr="002D0AF3">
        <w:rPr>
          <w:rFonts w:ascii="Garamond" w:hAnsi="Garamond" w:cs="Arial"/>
          <w:sz w:val="24"/>
          <w:szCs w:val="24"/>
        </w:rPr>
        <w:t xml:space="preserve">Si vend kandidat për anëtarësim të plotë në Bashkimin Evropian (BE), Shqipëria është e angazhuar për të transpozuar dhe zbatuar plotësisht </w:t>
      </w:r>
      <w:r w:rsidR="002D0AF3" w:rsidRPr="002D0AF3">
        <w:rPr>
          <w:rFonts w:ascii="Garamond" w:hAnsi="Garamond" w:cs="Arial"/>
          <w:i/>
          <w:sz w:val="24"/>
          <w:szCs w:val="24"/>
        </w:rPr>
        <w:t>acquis</w:t>
      </w:r>
      <w:r w:rsidRPr="002D0AF3">
        <w:rPr>
          <w:rFonts w:ascii="Garamond" w:hAnsi="Garamond" w:cs="Arial"/>
          <w:sz w:val="24"/>
          <w:szCs w:val="24"/>
        </w:rPr>
        <w:t xml:space="preserve"> </w:t>
      </w:r>
      <w:r w:rsidR="00EF4A7A" w:rsidRPr="002D0AF3">
        <w:rPr>
          <w:rFonts w:ascii="Garamond" w:hAnsi="Garamond" w:cs="Arial"/>
          <w:sz w:val="24"/>
          <w:szCs w:val="24"/>
        </w:rPr>
        <w:t xml:space="preserve">të BE-së. Legjislacioni i BE-së për sigurinë ushqimore, shëndetin e kafshëve dhe shëndetin e bimëve, siç përshkruhet në </w:t>
      </w:r>
      <w:r w:rsidRPr="002D0AF3">
        <w:rPr>
          <w:rFonts w:ascii="Garamond" w:hAnsi="Garamond" w:cs="Arial"/>
          <w:sz w:val="24"/>
          <w:szCs w:val="24"/>
        </w:rPr>
        <w:t xml:space="preserve">kapitullin </w:t>
      </w:r>
      <w:r w:rsidR="00EF4A7A" w:rsidRPr="002D0AF3">
        <w:rPr>
          <w:rFonts w:ascii="Garamond" w:hAnsi="Garamond" w:cs="Arial"/>
          <w:sz w:val="24"/>
          <w:szCs w:val="24"/>
        </w:rPr>
        <w:t xml:space="preserve">12 të </w:t>
      </w:r>
      <w:r w:rsidR="002D0AF3" w:rsidRPr="002D0AF3">
        <w:rPr>
          <w:rFonts w:ascii="Garamond" w:hAnsi="Garamond" w:cs="Arial"/>
          <w:i/>
          <w:sz w:val="24"/>
          <w:szCs w:val="24"/>
        </w:rPr>
        <w:t>acquis</w:t>
      </w:r>
      <w:r w:rsidRPr="002D0AF3">
        <w:rPr>
          <w:rFonts w:ascii="Garamond" w:hAnsi="Garamond" w:cs="Arial"/>
          <w:sz w:val="24"/>
          <w:szCs w:val="24"/>
        </w:rPr>
        <w:t xml:space="preserve"> </w:t>
      </w:r>
      <w:r w:rsidR="00EF4A7A" w:rsidRPr="002D0AF3">
        <w:rPr>
          <w:rFonts w:ascii="Garamond" w:hAnsi="Garamond" w:cs="Arial"/>
          <w:sz w:val="24"/>
          <w:szCs w:val="24"/>
        </w:rPr>
        <w:t>të BE-së, përbëhet nga më shumë se 440 pjesë legjislacioni. Kapitulli 12 përfshin grupin e burimeve, bujqësisë dhe kohezionit të kapitujve të negociatave, i cili përfshin gjithashtu kapitujt 11, 13, 22, 33. Për arritjen e një përafrimi të plotë, kërkohet një punë e konsiderueshme legjislative. Kjo do të kërkojë rritje të kapaciteteve të institucioneve dhe agjencive të përfshira në politikëbërje dhe në zbatimin e kontrolleve zyrtare.</w:t>
      </w:r>
    </w:p>
    <w:p w14:paraId="1315AB98" w14:textId="12272854" w:rsidR="00EF4A7A" w:rsidRPr="002D0AF3" w:rsidRDefault="00EF4A7A" w:rsidP="00EF4A7A">
      <w:pPr>
        <w:pStyle w:val="TEKSTIII"/>
      </w:pPr>
      <w:r w:rsidRPr="002D0AF3">
        <w:t xml:space="preserve">Ministria e Bujqësisë dhe Zhvillimit Rural (MBZHR) ka përgjegjësinë për zhvillimin e politikave dhe legjislacionit dhe ka bërë progres në procesin e transpozimit të BE-së. Organe të tjera </w:t>
      </w:r>
      <w:r w:rsidR="00823A56" w:rsidRPr="002D0AF3">
        <w:t>rregullatorë,</w:t>
      </w:r>
      <w:r w:rsidRPr="002D0AF3">
        <w:t xml:space="preserve"> si Instituti i Sigurisë Ushqimore dhe Veterinarisë (ISUV), Autoriteti Kombëtar i Ushqimit (AKU) dhe Autoriteti Kombëtar i Veterinarisë dhe Mbrojtjes së Bimëve (AKVMB), të cilët kanë përgjegjësinë për zbatimin e këtij legjislacioni, janë të angazhuar aktivisht në këtë proces transpozimi.</w:t>
      </w:r>
    </w:p>
    <w:p w14:paraId="416497AC" w14:textId="77777777" w:rsidR="00EF4A7A" w:rsidRPr="002D0AF3" w:rsidRDefault="00EF4A7A" w:rsidP="00EF4A7A">
      <w:pPr>
        <w:pStyle w:val="TEKSTIII"/>
      </w:pPr>
      <w:r w:rsidRPr="002D0AF3">
        <w:t>Gjatë gjithë këtij procesi, Ministria e Bujqësisë dhe Zhvillimit Rural angazhohet për të siguruar një komunikim efektiv me të gjitha palët e interesuara, duke përfshirë konsumatorët, operatorët e biznesit ushqimor dhe palët e tjera të interesuara në nivel kombëtar, rajonal dhe lokal.</w:t>
      </w:r>
    </w:p>
    <w:p w14:paraId="4B1B76D4" w14:textId="77777777" w:rsidR="00EF4A7A" w:rsidRPr="002D0AF3" w:rsidRDefault="00EF4A7A" w:rsidP="00EF4A7A">
      <w:pPr>
        <w:pStyle w:val="TEKSTIII"/>
        <w:rPr>
          <w:rFonts w:cs="Arial"/>
          <w:szCs w:val="24"/>
        </w:rPr>
      </w:pPr>
    </w:p>
    <w:p w14:paraId="77AA7895" w14:textId="0342D405"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Në kuadër të këtij qëllimi të politikës përcaktohen katër nënobjektivat e mëposhtëm:</w:t>
      </w:r>
    </w:p>
    <w:p w14:paraId="61E0D69A" w14:textId="77777777" w:rsidR="00EF4A7A" w:rsidRPr="002D0AF3" w:rsidRDefault="00EF4A7A" w:rsidP="00471072">
      <w:pPr>
        <w:spacing w:after="0" w:line="240" w:lineRule="auto"/>
        <w:jc w:val="center"/>
        <w:rPr>
          <w:rFonts w:ascii="Garamond" w:hAnsi="Garamond" w:cs="Arial"/>
          <w:sz w:val="24"/>
          <w:szCs w:val="24"/>
        </w:rPr>
      </w:pPr>
      <w:r w:rsidRPr="002D0AF3">
        <w:rPr>
          <w:rFonts w:ascii="Garamond" w:hAnsi="Garamond" w:cs="Arial"/>
          <w:noProof/>
          <w:sz w:val="24"/>
          <w:szCs w:val="24"/>
          <w:lang w:val="en-US"/>
        </w:rPr>
        <w:drawing>
          <wp:inline distT="0" distB="0" distL="0" distR="0" wp14:anchorId="2EE23501" wp14:editId="37183D62">
            <wp:extent cx="5730875" cy="1151255"/>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BEBA8EAE-BF5A-486C-A8C5-ECC9F3942E4B}">
                          <a14:imgProps xmlns:a14="http://schemas.microsoft.com/office/drawing/2010/main">
                            <a14:imgLayer r:embed="rId2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730875" cy="1151255"/>
                    </a:xfrm>
                    <a:prstGeom prst="rect">
                      <a:avLst/>
                    </a:prstGeom>
                    <a:noFill/>
                  </pic:spPr>
                </pic:pic>
              </a:graphicData>
            </a:graphic>
          </wp:inline>
        </w:drawing>
      </w:r>
    </w:p>
    <w:p w14:paraId="74B4C713" w14:textId="77777777" w:rsidR="00471072" w:rsidRPr="002D0AF3" w:rsidRDefault="00471072" w:rsidP="00EF4A7A">
      <w:pPr>
        <w:spacing w:after="0" w:line="240" w:lineRule="auto"/>
        <w:ind w:firstLine="284"/>
        <w:jc w:val="both"/>
        <w:rPr>
          <w:rFonts w:ascii="Garamond" w:hAnsi="Garamond" w:cs="Arial"/>
          <w:b/>
          <w:bCs/>
          <w:sz w:val="24"/>
          <w:szCs w:val="24"/>
        </w:rPr>
      </w:pPr>
    </w:p>
    <w:p w14:paraId="0995B022" w14:textId="666381DA"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lastRenderedPageBreak/>
        <w:t xml:space="preserve">NËNOBJEKTIVI 1: VAZHDIMI I </w:t>
      </w:r>
      <w:r w:rsidR="00823A56" w:rsidRPr="002D0AF3">
        <w:rPr>
          <w:rFonts w:ascii="Garamond" w:hAnsi="Garamond" w:cs="Arial"/>
          <w:bCs/>
          <w:sz w:val="24"/>
          <w:szCs w:val="24"/>
        </w:rPr>
        <w:t>PËRAFRIMIT</w:t>
      </w:r>
      <w:r w:rsidRPr="002D0AF3">
        <w:rPr>
          <w:rFonts w:ascii="Garamond" w:hAnsi="Garamond" w:cs="Arial"/>
          <w:bCs/>
          <w:sz w:val="24"/>
          <w:szCs w:val="24"/>
        </w:rPr>
        <w:t xml:space="preserve"> TË LEGJISLACIONIT SHQIPTAR ME </w:t>
      </w:r>
      <w:r w:rsidR="002D0AF3" w:rsidRPr="002D0AF3">
        <w:rPr>
          <w:rFonts w:ascii="Garamond" w:hAnsi="Garamond" w:cs="Arial"/>
          <w:bCs/>
          <w:i/>
          <w:sz w:val="24"/>
          <w:szCs w:val="24"/>
        </w:rPr>
        <w:t>ACQUIS</w:t>
      </w:r>
      <w:r w:rsidRPr="002D0AF3">
        <w:rPr>
          <w:rFonts w:ascii="Garamond" w:hAnsi="Garamond" w:cs="Arial"/>
          <w:bCs/>
          <w:sz w:val="24"/>
          <w:szCs w:val="24"/>
        </w:rPr>
        <w:t xml:space="preserve"> E BE-</w:t>
      </w:r>
      <w:r w:rsidR="00823A56" w:rsidRPr="002D0AF3">
        <w:rPr>
          <w:rFonts w:ascii="Garamond" w:hAnsi="Garamond" w:cs="Arial"/>
          <w:bCs/>
          <w:sz w:val="24"/>
          <w:szCs w:val="24"/>
        </w:rPr>
        <w:t>së</w:t>
      </w:r>
      <w:r w:rsidRPr="002D0AF3">
        <w:rPr>
          <w:rFonts w:ascii="Garamond" w:hAnsi="Garamond" w:cs="Arial"/>
          <w:bCs/>
          <w:sz w:val="24"/>
          <w:szCs w:val="24"/>
        </w:rPr>
        <w:t xml:space="preserve"> DHE KËRKESAT NDËRKOMBËTARE</w:t>
      </w:r>
    </w:p>
    <w:p w14:paraId="4E92C831" w14:textId="23C95A71"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Plani kombëtar i Shqipërisë për Integrimin në BE (2022</w:t>
      </w:r>
      <w:r w:rsidR="009429BA" w:rsidRPr="002D0AF3">
        <w:rPr>
          <w:rFonts w:ascii="Garamond" w:hAnsi="Garamond" w:cs="Arial"/>
          <w:sz w:val="24"/>
          <w:szCs w:val="24"/>
        </w:rPr>
        <w:t>–</w:t>
      </w:r>
      <w:r w:rsidRPr="002D0AF3">
        <w:rPr>
          <w:rFonts w:ascii="Garamond" w:hAnsi="Garamond" w:cs="Arial"/>
          <w:sz w:val="24"/>
          <w:szCs w:val="24"/>
        </w:rPr>
        <w:t>2024) dhe analiza e mangësive legjislative (AML) janë mjete të përdorura nga MBZHR-ja për të monitoruar dhe për t</w:t>
      </w:r>
      <w:r w:rsidR="009429BA" w:rsidRPr="002D0AF3">
        <w:rPr>
          <w:rFonts w:ascii="Garamond" w:hAnsi="Garamond" w:cs="Arial"/>
          <w:sz w:val="24"/>
          <w:szCs w:val="24"/>
        </w:rPr>
        <w:t>’</w:t>
      </w:r>
      <w:r w:rsidRPr="002D0AF3">
        <w:rPr>
          <w:rFonts w:ascii="Garamond" w:hAnsi="Garamond" w:cs="Arial"/>
          <w:sz w:val="24"/>
          <w:szCs w:val="24"/>
        </w:rPr>
        <w:t>i dhënë prioritet zhvillimit të legjislacionit shqiptar</w:t>
      </w:r>
      <w:r w:rsidR="009429BA" w:rsidRPr="002D0AF3">
        <w:rPr>
          <w:rFonts w:ascii="Garamond" w:hAnsi="Garamond" w:cs="Arial"/>
          <w:sz w:val="24"/>
          <w:szCs w:val="24"/>
        </w:rPr>
        <w:t>,</w:t>
      </w:r>
      <w:r w:rsidRPr="002D0AF3">
        <w:rPr>
          <w:rFonts w:ascii="Garamond" w:hAnsi="Garamond" w:cs="Arial"/>
          <w:sz w:val="24"/>
          <w:szCs w:val="24"/>
        </w:rPr>
        <w:t xml:space="preserve"> në përputhje me kërkesat e </w:t>
      </w:r>
      <w:r w:rsidR="002D0AF3" w:rsidRPr="002D0AF3">
        <w:rPr>
          <w:rFonts w:ascii="Garamond" w:hAnsi="Garamond" w:cs="Arial"/>
          <w:i/>
          <w:sz w:val="24"/>
          <w:szCs w:val="24"/>
        </w:rPr>
        <w:t>acquis</w:t>
      </w:r>
      <w:r w:rsidRPr="002D0AF3">
        <w:rPr>
          <w:rFonts w:ascii="Garamond" w:hAnsi="Garamond" w:cs="Arial"/>
          <w:sz w:val="24"/>
          <w:szCs w:val="24"/>
        </w:rPr>
        <w:t xml:space="preserve"> të BE-së. Analiza e mangësive institucionale dhe administrative (AMIA) përdoret për të vlerësuar mangësitë në kuadrin institucional që duhet të rregullohen gjatë gjithë procesit të anëtarësimit në BE. Nevojitet përmirësimi i mëtejshëm i AML-së për të kontribuar në zhvillimin e një strategjie dhe plani veprimi që mund të shërbejë si mjet për monitorimin e progresit gjatë zbatimit dhe respektimit të </w:t>
      </w:r>
      <w:r w:rsidR="002D0AF3" w:rsidRPr="002D0AF3">
        <w:rPr>
          <w:rFonts w:ascii="Garamond" w:hAnsi="Garamond" w:cs="Arial"/>
          <w:i/>
          <w:sz w:val="24"/>
          <w:szCs w:val="24"/>
        </w:rPr>
        <w:t>acquis</w:t>
      </w:r>
      <w:r w:rsidRPr="002D0AF3">
        <w:rPr>
          <w:rFonts w:ascii="Garamond" w:hAnsi="Garamond" w:cs="Arial"/>
          <w:sz w:val="24"/>
          <w:szCs w:val="24"/>
        </w:rPr>
        <w:t xml:space="preserve"> të BE-së.</w:t>
      </w:r>
    </w:p>
    <w:p w14:paraId="7016D059" w14:textId="7EE46E33"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Transpozimi i legjislacionit kryesor horizontal të BE-së po bën përparim të dukshëm</w:t>
      </w:r>
      <w:r w:rsidR="00A44B5D" w:rsidRPr="002D0AF3">
        <w:rPr>
          <w:rFonts w:ascii="Garamond" w:hAnsi="Garamond" w:cs="Arial"/>
          <w:sz w:val="24"/>
          <w:szCs w:val="24"/>
        </w:rPr>
        <w:t>,</w:t>
      </w:r>
      <w:r w:rsidRPr="002D0AF3">
        <w:rPr>
          <w:rFonts w:ascii="Garamond" w:hAnsi="Garamond" w:cs="Arial"/>
          <w:sz w:val="24"/>
          <w:szCs w:val="24"/>
        </w:rPr>
        <w:t xml:space="preserve"> në lidhje me hartimin e ligjeve të reja për kontrollet zyrtare, shëndetin e kafshëve dhe shëndetin e bimëve të cilat parashikohen të zbatohen nga mesi i vitit 2023 e në vazhdim. Ky hap hedh bazat për të transpozuar në mënyrë të vazhdueshme legjislacionin horizontal dhe vertikal, i cili do të mbështesë besimin në standardet dhe sistemin rregullator të Shqipërisë dhe do të rrisë potencialin për të zgjeruar eksportet në tregjet ekzistuese dhe në tregjet e reja.</w:t>
      </w:r>
    </w:p>
    <w:p w14:paraId="3643CA4A" w14:textId="4565C395"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Zbatimi i </w:t>
      </w:r>
      <w:r w:rsidR="002D0AF3" w:rsidRPr="002D0AF3">
        <w:rPr>
          <w:rFonts w:ascii="Garamond" w:hAnsi="Garamond" w:cs="Arial"/>
          <w:i/>
          <w:sz w:val="24"/>
          <w:szCs w:val="24"/>
        </w:rPr>
        <w:t>acquis</w:t>
      </w:r>
      <w:r w:rsidRPr="002D0AF3">
        <w:rPr>
          <w:rFonts w:ascii="Garamond" w:hAnsi="Garamond" w:cs="Arial"/>
          <w:sz w:val="24"/>
          <w:szCs w:val="24"/>
        </w:rPr>
        <w:t xml:space="preserve"> do të kërkojë planifikim dhe bashkëpunim të ngushtë mes MBZHR-së dhe të gjitha agjencive përgjegjëse për kryerjen e kontrolleve zyrtare, përkatësisht Institutit të Sigurisë Ushqimore dhe Veterinarisë (ISUV), Autoritetit Kombëtar të Ushqimit (AKU) dhe Autoritetit Kombëtar të Veterinarisë dhe Mbrojtjes së Bimëve (AKVMB).</w:t>
      </w:r>
    </w:p>
    <w:p w14:paraId="61B43858" w14:textId="1C64A6CC"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t>NËNOBJEKTIVI 2: KRIJIMI I TË GJITHA FUNKSIONEVE PËR NJË SISTEM EFEKTIV TË KONTROLLIT ZYRTAR</w:t>
      </w:r>
    </w:p>
    <w:p w14:paraId="59E28266" w14:textId="368A9C10"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Kjo politikë miraton parimin e konceptit </w:t>
      </w:r>
      <w:r w:rsidR="00A44B5D" w:rsidRPr="002D0AF3">
        <w:rPr>
          <w:rFonts w:ascii="Garamond" w:hAnsi="Garamond" w:cs="Arial"/>
          <w:i/>
          <w:sz w:val="24"/>
          <w:szCs w:val="24"/>
        </w:rPr>
        <w:t xml:space="preserve">“One Health”, </w:t>
      </w:r>
      <w:r w:rsidRPr="002D0AF3">
        <w:rPr>
          <w:rFonts w:ascii="Garamond" w:hAnsi="Garamond" w:cs="Arial"/>
          <w:sz w:val="24"/>
          <w:szCs w:val="24"/>
        </w:rPr>
        <w:t>i cili pranon se shëndeti i njerëzve është i lidhur me shëndetin e kafshëve, bimëve dhe mjedisin</w:t>
      </w:r>
      <w:r w:rsidRPr="002D0AF3">
        <w:rPr>
          <w:rFonts w:ascii="Garamond" w:hAnsi="Garamond"/>
          <w:sz w:val="24"/>
          <w:szCs w:val="24"/>
          <w:vertAlign w:val="superscript"/>
        </w:rPr>
        <w:footnoteReference w:id="5"/>
      </w:r>
      <w:r w:rsidRPr="002D0AF3">
        <w:rPr>
          <w:rFonts w:ascii="Garamond" w:hAnsi="Garamond" w:cs="Arial"/>
          <w:sz w:val="24"/>
          <w:szCs w:val="24"/>
        </w:rPr>
        <w:t xml:space="preserve"> .</w:t>
      </w:r>
    </w:p>
    <w:p w14:paraId="61B17B9D" w14:textId="1D7AAF23"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Shqipëria po përpiqet ta miratojë këtë parim, duke synuar të sigurojë një qasje koherente dhe të integruar të zbatueshme brenda sistemit kombëtar të kontrollit </w:t>
      </w:r>
      <w:r w:rsidR="005529A9" w:rsidRPr="002D0AF3">
        <w:rPr>
          <w:rFonts w:ascii="Garamond" w:hAnsi="Garamond" w:cs="Arial"/>
          <w:sz w:val="24"/>
          <w:szCs w:val="24"/>
        </w:rPr>
        <w:t>agroushqimor</w:t>
      </w:r>
      <w:r w:rsidRPr="002D0AF3">
        <w:rPr>
          <w:rFonts w:ascii="Garamond" w:hAnsi="Garamond" w:cs="Arial"/>
          <w:sz w:val="24"/>
          <w:szCs w:val="24"/>
        </w:rPr>
        <w:t xml:space="preserve"> dhe që kontrollet zyrtare të mbulojnë çdo pikë të zinxhirit </w:t>
      </w:r>
      <w:r w:rsidR="005529A9" w:rsidRPr="002D0AF3">
        <w:rPr>
          <w:rFonts w:ascii="Garamond" w:hAnsi="Garamond" w:cs="Arial"/>
          <w:sz w:val="24"/>
          <w:szCs w:val="24"/>
        </w:rPr>
        <w:t>agroushqimor</w:t>
      </w:r>
      <w:r w:rsidRPr="002D0AF3">
        <w:rPr>
          <w:rFonts w:ascii="Garamond" w:hAnsi="Garamond" w:cs="Arial"/>
          <w:sz w:val="24"/>
          <w:szCs w:val="24"/>
        </w:rPr>
        <w:t xml:space="preserve">. Sistemet kombëtare të kontrollit </w:t>
      </w:r>
      <w:r w:rsidR="005529A9" w:rsidRPr="002D0AF3">
        <w:rPr>
          <w:rFonts w:ascii="Garamond" w:hAnsi="Garamond" w:cs="Arial"/>
          <w:sz w:val="24"/>
          <w:szCs w:val="24"/>
        </w:rPr>
        <w:t>agroushqimor</w:t>
      </w:r>
      <w:r w:rsidRPr="002D0AF3">
        <w:rPr>
          <w:rFonts w:ascii="Garamond" w:hAnsi="Garamond" w:cs="Arial"/>
          <w:sz w:val="24"/>
          <w:szCs w:val="24"/>
        </w:rPr>
        <w:t xml:space="preserve"> luajnë një rol kryesor në mbrojtjen e shëndetit të konsumatorëve dhe sigurimin e praktikave të drejta të tregtisë së ushqimit</w:t>
      </w:r>
      <w:r w:rsidRPr="002D0AF3">
        <w:rPr>
          <w:rFonts w:ascii="Garamond" w:hAnsi="Garamond"/>
          <w:sz w:val="24"/>
          <w:szCs w:val="24"/>
          <w:vertAlign w:val="superscript"/>
        </w:rPr>
        <w:footnoteReference w:id="6"/>
      </w:r>
      <w:r w:rsidRPr="002D0AF3">
        <w:rPr>
          <w:rFonts w:ascii="Garamond" w:hAnsi="Garamond" w:cs="Arial"/>
          <w:sz w:val="24"/>
          <w:szCs w:val="24"/>
          <w:vertAlign w:val="superscript"/>
        </w:rPr>
        <w:t>.</w:t>
      </w:r>
      <w:r w:rsidRPr="002D0AF3">
        <w:rPr>
          <w:rFonts w:ascii="Garamond" w:hAnsi="Garamond" w:cs="Arial"/>
          <w:sz w:val="24"/>
          <w:szCs w:val="24"/>
        </w:rPr>
        <w:t xml:space="preserve"> </w:t>
      </w:r>
    </w:p>
    <w:p w14:paraId="70E019D6" w14:textId="29A46266" w:rsidR="00EF4A7A" w:rsidRPr="002D0AF3" w:rsidRDefault="00EF4A7A" w:rsidP="00B421E9">
      <w:pPr>
        <w:pStyle w:val="TEKSTIII"/>
      </w:pPr>
      <w:r w:rsidRPr="002D0AF3">
        <w:t xml:space="preserve">Forcimi i sistemit kombëtar të kontrollit </w:t>
      </w:r>
      <w:r w:rsidR="005529A9" w:rsidRPr="002D0AF3">
        <w:t>agroushqimor</w:t>
      </w:r>
      <w:r w:rsidRPr="002D0AF3">
        <w:t xml:space="preserve"> është një përgjegjësi e përbashkët që përfshin palë të ndryshme të interesit, duke përfshirë organet qeveritare, industrinë ushqimore dhe konsumatorët. Kapaciteti i një sistemi kombëtar të kontrollit </w:t>
      </w:r>
      <w:r w:rsidR="005529A9" w:rsidRPr="002D0AF3">
        <w:t>agroushqimor</w:t>
      </w:r>
      <w:r w:rsidRPr="002D0AF3">
        <w:t xml:space="preserve"> lidhet me aftësinë e tij për të kryer funksionet e duhura në mënyrë efektive, efikase dhe të qëndrueshme për të arritur objektivat e tij. Një sistem i fortë rregullator është i nevojshëm për të ndërtuar besimin dhe sigurinë te palët e jashtme të interesuara. Parimet kryesore për arritjen e kësaj, të përshkruara në </w:t>
      </w:r>
      <w:r w:rsidR="00A44B5D" w:rsidRPr="002D0AF3">
        <w:t xml:space="preserve">figurën </w:t>
      </w:r>
      <w:r w:rsidRPr="002D0AF3">
        <w:t>5.1, përfshijnë transparencën, pavarësinë, zbatimin proporcional dhe analizën e rrezikut.</w:t>
      </w:r>
    </w:p>
    <w:p w14:paraId="4C1C0644" w14:textId="1CBDB2EE" w:rsidR="00B421E9" w:rsidRPr="002D0AF3" w:rsidRDefault="00B421E9" w:rsidP="00E337B9">
      <w:pPr>
        <w:spacing w:after="0" w:line="240" w:lineRule="auto"/>
        <w:ind w:firstLine="284"/>
        <w:jc w:val="center"/>
        <w:rPr>
          <w:rFonts w:ascii="Garamond" w:hAnsi="Garamond" w:cs="Arial"/>
          <w:i/>
          <w:iCs/>
          <w:sz w:val="24"/>
          <w:szCs w:val="24"/>
        </w:rPr>
      </w:pPr>
      <w:r w:rsidRPr="00C33DE9">
        <w:rPr>
          <w:rFonts w:ascii="Garamond" w:hAnsi="Garamond" w:cs="Arial"/>
          <w:i/>
          <w:iCs/>
          <w:sz w:val="24"/>
          <w:szCs w:val="24"/>
        </w:rPr>
        <w:t xml:space="preserve">Figura 5.1: Shtyllat për ndërtimin e besimit dhe sigurisë në sistemin rregullator </w:t>
      </w:r>
      <w:r w:rsidR="005529A9" w:rsidRPr="00C33DE9">
        <w:rPr>
          <w:rFonts w:ascii="Garamond" w:hAnsi="Garamond" w:cs="Arial"/>
          <w:i/>
          <w:iCs/>
          <w:sz w:val="24"/>
          <w:szCs w:val="24"/>
        </w:rPr>
        <w:t>agroushqimor</w:t>
      </w:r>
    </w:p>
    <w:p w14:paraId="642E6748" w14:textId="3459C73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Element</w:t>
      </w:r>
      <w:r w:rsidR="006D2A34">
        <w:rPr>
          <w:rFonts w:ascii="Garamond" w:hAnsi="Garamond" w:cs="Arial"/>
          <w:sz w:val="24"/>
          <w:szCs w:val="24"/>
        </w:rPr>
        <w:t>e</w:t>
      </w:r>
      <w:r w:rsidRPr="002D0AF3">
        <w:rPr>
          <w:rFonts w:ascii="Garamond" w:hAnsi="Garamond" w:cs="Arial"/>
          <w:sz w:val="24"/>
          <w:szCs w:val="24"/>
        </w:rPr>
        <w:t xml:space="preserve">t kryesore të nevojshme për forcimin e sistemit kombëtar të kontrollit </w:t>
      </w:r>
      <w:r w:rsidR="005529A9" w:rsidRPr="002D0AF3">
        <w:rPr>
          <w:rFonts w:ascii="Garamond" w:hAnsi="Garamond" w:cs="Arial"/>
          <w:sz w:val="24"/>
          <w:szCs w:val="24"/>
        </w:rPr>
        <w:t>agroushqimor</w:t>
      </w:r>
      <w:r w:rsidRPr="002D0AF3">
        <w:rPr>
          <w:rFonts w:ascii="Garamond" w:hAnsi="Garamond" w:cs="Arial"/>
          <w:sz w:val="24"/>
          <w:szCs w:val="24"/>
        </w:rPr>
        <w:t xml:space="preserve"> përfshijnë:</w:t>
      </w:r>
    </w:p>
    <w:p w14:paraId="397AB28A" w14:textId="0BFB4621" w:rsidR="00EF4A7A" w:rsidRPr="002D0AF3" w:rsidRDefault="00EF4A7A" w:rsidP="00B421E9">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Një qasje e integruar efektive: Kjo mund të arrihet përmes bashkëpunimit dhe koordinimit të hapur dhe transparent ndërmjet organeve rregullatore përkatëse në fazat kyçe të aktiviteteve të </w:t>
      </w:r>
      <w:r w:rsidRPr="002D0AF3">
        <w:rPr>
          <w:rFonts w:ascii="Garamond" w:hAnsi="Garamond" w:cs="Arial"/>
          <w:sz w:val="24"/>
          <w:szCs w:val="24"/>
        </w:rPr>
        <w:lastRenderedPageBreak/>
        <w:t>kontrollit zyrtar, në veçanti në hartimin e politikave dhe legjislacionit, si dhe në fazat e planifikimi</w:t>
      </w:r>
      <w:r w:rsidR="00B421E9" w:rsidRPr="002D0AF3">
        <w:rPr>
          <w:rFonts w:ascii="Garamond" w:hAnsi="Garamond" w:cs="Arial"/>
          <w:sz w:val="24"/>
          <w:szCs w:val="24"/>
        </w:rPr>
        <w:t xml:space="preserve">t, zbatimit dhe raportimit. Një </w:t>
      </w:r>
      <w:r w:rsidRPr="002D0AF3">
        <w:rPr>
          <w:rFonts w:ascii="Garamond" w:hAnsi="Garamond" w:cs="Arial"/>
          <w:sz w:val="24"/>
          <w:szCs w:val="24"/>
        </w:rPr>
        <w:t xml:space="preserve">qasje e integruar do të ndihmojë për të siguruar reduktimin e dublikimit të punës ndërmjet organeve qeveritare dhe do të rezultojë në përdorim më efikas të burimeve njerëzore dhe financiare. Përveç kësaj, të gjithë palët kryesore të interesit, brenda sistemit kombëtar të kontrollit </w:t>
      </w:r>
      <w:r w:rsidR="005529A9" w:rsidRPr="002D0AF3">
        <w:rPr>
          <w:rFonts w:ascii="Garamond" w:hAnsi="Garamond" w:cs="Arial"/>
          <w:sz w:val="24"/>
          <w:szCs w:val="24"/>
        </w:rPr>
        <w:t>agroushqimor</w:t>
      </w:r>
      <w:r w:rsidRPr="002D0AF3">
        <w:rPr>
          <w:rFonts w:ascii="Garamond" w:hAnsi="Garamond" w:cs="Arial"/>
          <w:sz w:val="24"/>
          <w:szCs w:val="24"/>
        </w:rPr>
        <w:t>, duhet të kenë role dhe përgjegjësi specifike të përcaktuara qartë për të siguruar një zinxhir të qartë komandimi.</w:t>
      </w:r>
    </w:p>
    <w:p w14:paraId="33203A24" w14:textId="35FD36E2"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Laboratorë dhe </w:t>
      </w:r>
      <w:r w:rsidRPr="00C33DE9">
        <w:rPr>
          <w:rFonts w:ascii="Garamond" w:hAnsi="Garamond" w:cs="Arial"/>
          <w:sz w:val="24"/>
          <w:szCs w:val="24"/>
        </w:rPr>
        <w:t>inspektorat</w:t>
      </w:r>
      <w:r w:rsidRPr="002D0AF3">
        <w:rPr>
          <w:rFonts w:ascii="Garamond" w:hAnsi="Garamond" w:cs="Arial"/>
          <w:sz w:val="24"/>
          <w:szCs w:val="24"/>
        </w:rPr>
        <w:t xml:space="preserve"> zyrtar me burime adekuate: Një sistem kombëtar i kontrollit </w:t>
      </w:r>
      <w:r w:rsidR="005529A9" w:rsidRPr="002D0AF3">
        <w:rPr>
          <w:rFonts w:ascii="Garamond" w:hAnsi="Garamond" w:cs="Arial"/>
          <w:sz w:val="24"/>
          <w:szCs w:val="24"/>
        </w:rPr>
        <w:t>agroushqimor</w:t>
      </w:r>
      <w:r w:rsidRPr="002D0AF3">
        <w:rPr>
          <w:rFonts w:ascii="Garamond" w:hAnsi="Garamond" w:cs="Arial"/>
          <w:sz w:val="24"/>
          <w:szCs w:val="24"/>
        </w:rPr>
        <w:t xml:space="preserve"> duhet të ketë burime të mjaftueshme dhe të përshtatshme për të mundësuar përmbushjen e objektivave të sistemit në mënyrë të qëndrueshme. Në mënyrë të veçantë,</w:t>
      </w:r>
    </w:p>
    <w:p w14:paraId="76634108" w14:textId="29D3A083"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Lehtësimi i progresit të vazhdueshëm drejt akreditimit të metodave analitike prioritare dhe krijimi </w:t>
      </w:r>
      <w:r w:rsidR="00CF0071" w:rsidRPr="002D0AF3">
        <w:rPr>
          <w:rFonts w:ascii="Garamond" w:hAnsi="Garamond" w:cs="Arial"/>
          <w:sz w:val="24"/>
          <w:szCs w:val="24"/>
        </w:rPr>
        <w:t>i</w:t>
      </w:r>
      <w:r w:rsidRPr="002D0AF3">
        <w:rPr>
          <w:rFonts w:ascii="Garamond" w:hAnsi="Garamond" w:cs="Arial"/>
          <w:sz w:val="24"/>
          <w:szCs w:val="24"/>
        </w:rPr>
        <w:t xml:space="preserve"> vazhdueshëm i laboratorëve zyrtarë për të siguruar përmbushjen e programeve kombëtare të monitorimit dhe </w:t>
      </w:r>
      <w:r w:rsidR="00CF0071" w:rsidRPr="002D0AF3">
        <w:rPr>
          <w:rFonts w:ascii="Garamond" w:hAnsi="Garamond" w:cs="Arial"/>
          <w:sz w:val="24"/>
          <w:szCs w:val="24"/>
        </w:rPr>
        <w:t xml:space="preserve">të </w:t>
      </w:r>
      <w:r w:rsidRPr="002D0AF3">
        <w:rPr>
          <w:rFonts w:ascii="Garamond" w:hAnsi="Garamond" w:cs="Arial"/>
          <w:sz w:val="24"/>
          <w:szCs w:val="24"/>
        </w:rPr>
        <w:t>mostrave zyrtare sipas nevojës.</w:t>
      </w:r>
    </w:p>
    <w:p w14:paraId="58C2B475"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Sigurimi i pajisjeve adekuate për kryerjen e aktiviteteve të kontrollit zyrtar (duke përfshirë inspektimet, auditimet dhe marrjen e mostrave).</w:t>
      </w:r>
    </w:p>
    <w:p w14:paraId="6B698091" w14:textId="77777777" w:rsidR="00B421E9" w:rsidRPr="002D0AF3" w:rsidRDefault="00B421E9" w:rsidP="00EF4A7A">
      <w:pPr>
        <w:spacing w:after="0" w:line="240" w:lineRule="auto"/>
        <w:ind w:firstLine="284"/>
        <w:jc w:val="both"/>
        <w:rPr>
          <w:rFonts w:ascii="Garamond" w:hAnsi="Garamond" w:cs="Arial"/>
          <w:sz w:val="24"/>
          <w:szCs w:val="24"/>
        </w:rPr>
      </w:pPr>
    </w:p>
    <w:p w14:paraId="3165C5F4" w14:textId="754B78E3" w:rsidR="00B421E9" w:rsidRPr="002D0AF3" w:rsidRDefault="00B421E9" w:rsidP="00CF0071">
      <w:pPr>
        <w:spacing w:after="0" w:line="240" w:lineRule="auto"/>
        <w:ind w:firstLine="284"/>
        <w:jc w:val="center"/>
        <w:rPr>
          <w:rFonts w:ascii="Garamond" w:hAnsi="Garamond" w:cs="Arial"/>
          <w:sz w:val="24"/>
          <w:szCs w:val="24"/>
        </w:rPr>
      </w:pPr>
      <w:r w:rsidRPr="002D0AF3">
        <w:rPr>
          <w:rFonts w:ascii="Garamond" w:hAnsi="Garamond" w:cs="Arial"/>
          <w:noProof/>
          <w:sz w:val="24"/>
          <w:szCs w:val="24"/>
          <w:lang w:val="en-US"/>
        </w:rPr>
        <w:drawing>
          <wp:inline distT="0" distB="0" distL="0" distR="0" wp14:anchorId="63C88A2E" wp14:editId="5C80A264">
            <wp:extent cx="4816686" cy="2927445"/>
            <wp:effectExtent l="0" t="0" r="317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17864" cy="2928161"/>
                    </a:xfrm>
                    <a:prstGeom prst="rect">
                      <a:avLst/>
                    </a:prstGeom>
                    <a:noFill/>
                  </pic:spPr>
                </pic:pic>
              </a:graphicData>
            </a:graphic>
          </wp:inline>
        </w:drawing>
      </w:r>
    </w:p>
    <w:p w14:paraId="4091E3B7" w14:textId="7D8AC5C2"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Parimi i Analizës së Rrezikut: Globalizimi në rritje i tregtisë </w:t>
      </w:r>
      <w:r w:rsidR="005529A9" w:rsidRPr="002D0AF3">
        <w:rPr>
          <w:rFonts w:ascii="Garamond" w:hAnsi="Garamond" w:cs="Arial"/>
          <w:sz w:val="24"/>
          <w:szCs w:val="24"/>
        </w:rPr>
        <w:t>agroushqimor</w:t>
      </w:r>
      <w:r w:rsidRPr="002D0AF3">
        <w:rPr>
          <w:rFonts w:ascii="Garamond" w:hAnsi="Garamond" w:cs="Arial"/>
          <w:sz w:val="24"/>
          <w:szCs w:val="24"/>
        </w:rPr>
        <w:t>e, urbanizimi, ndryshimi i modeleve të konsumit, intensifikimi i bujqësisë, rritja e nivelit të udhëtimeve dhe turizmit dhe llojet e reja të prodhimit dhe sistemeve të prodhimit janë vetëm disa nga tendencat që kanë ndikim serioz mbi sigurinë e ushqimeve në shumë vende. Për më tepër, ndikimet nga ndryshimet klimatike dhe rritja e lëvizjeve të njerëzve, kafshëve dhe bimëve po çojnë në rritjen e rreziqeve për shëndetin e bimëve dhe shëndetin e kafshëve</w:t>
      </w:r>
      <w:r w:rsidR="00CF0071" w:rsidRPr="002D0AF3">
        <w:rPr>
          <w:rFonts w:ascii="Garamond" w:hAnsi="Garamond" w:cs="Arial"/>
          <w:sz w:val="24"/>
          <w:szCs w:val="24"/>
        </w:rPr>
        <w:t>,</w:t>
      </w:r>
      <w:r w:rsidRPr="002D0AF3">
        <w:rPr>
          <w:rFonts w:ascii="Garamond" w:hAnsi="Garamond" w:cs="Arial"/>
          <w:sz w:val="24"/>
          <w:szCs w:val="24"/>
        </w:rPr>
        <w:t xml:space="preserve"> për shkak të përhapjes së insekteve të dëmsh</w:t>
      </w:r>
      <w:r w:rsidR="00CF0071" w:rsidRPr="002D0AF3">
        <w:rPr>
          <w:rFonts w:ascii="Garamond" w:hAnsi="Garamond" w:cs="Arial"/>
          <w:sz w:val="24"/>
          <w:szCs w:val="24"/>
        </w:rPr>
        <w:t>me</w:t>
      </w:r>
      <w:r w:rsidRPr="002D0AF3">
        <w:rPr>
          <w:rFonts w:ascii="Garamond" w:hAnsi="Garamond" w:cs="Arial"/>
          <w:sz w:val="24"/>
          <w:szCs w:val="24"/>
        </w:rPr>
        <w:t xml:space="preserve"> dhe sëmundjeve të reja. Aktivitetet brenda sistemit kombëtar të kontrollit të sigurisë </w:t>
      </w:r>
      <w:r w:rsidR="005529A9" w:rsidRPr="002D0AF3">
        <w:rPr>
          <w:rFonts w:ascii="Garamond" w:hAnsi="Garamond" w:cs="Arial"/>
          <w:sz w:val="24"/>
          <w:szCs w:val="24"/>
        </w:rPr>
        <w:t>agroushqimor</w:t>
      </w:r>
      <w:r w:rsidRPr="002D0AF3">
        <w:rPr>
          <w:rFonts w:ascii="Garamond" w:hAnsi="Garamond" w:cs="Arial"/>
          <w:sz w:val="24"/>
          <w:szCs w:val="24"/>
        </w:rPr>
        <w:t xml:space="preserve">e duhet të bazohen në parimet e rrezikut, duke marrë parasysh provat dhe informacionin shkencor, sipas rastit. Kontrollet zyrtare duhet të kryhen rregullisht nga autoritetet kompetente mbi bazën e rrezikut dhe sipas periudhave të përshtatshme për të verifikuar pajtueshmërinë nga operatorët e biznesit </w:t>
      </w:r>
      <w:r w:rsidR="005529A9" w:rsidRPr="002D0AF3">
        <w:rPr>
          <w:rFonts w:ascii="Garamond" w:hAnsi="Garamond" w:cs="Arial"/>
          <w:sz w:val="24"/>
          <w:szCs w:val="24"/>
        </w:rPr>
        <w:t>agroushqimor</w:t>
      </w:r>
      <w:r w:rsidRPr="002D0AF3">
        <w:rPr>
          <w:rFonts w:ascii="Garamond" w:hAnsi="Garamond" w:cs="Arial"/>
          <w:sz w:val="24"/>
          <w:szCs w:val="24"/>
        </w:rPr>
        <w:t>. Të gjitha masat e zbatimit të kontrollit të bazuar në rrezik duhet të ndërmerren në mënyrë të pavarur, objektive dhe transparente.</w:t>
      </w:r>
    </w:p>
    <w:p w14:paraId="37D9BCF2" w14:textId="47E631FC"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Konsistenca e zbatimit: Konsistenca në zbatimin e legjislacionit </w:t>
      </w:r>
      <w:r w:rsidR="005529A9" w:rsidRPr="002D0AF3">
        <w:rPr>
          <w:rFonts w:ascii="Garamond" w:hAnsi="Garamond" w:cs="Arial"/>
          <w:sz w:val="24"/>
          <w:szCs w:val="24"/>
        </w:rPr>
        <w:t>agroushqimor</w:t>
      </w:r>
      <w:r w:rsidRPr="002D0AF3">
        <w:rPr>
          <w:rFonts w:ascii="Garamond" w:hAnsi="Garamond" w:cs="Arial"/>
          <w:sz w:val="24"/>
          <w:szCs w:val="24"/>
        </w:rPr>
        <w:t xml:space="preserve"> në të gjitha nivelet administrative është thelbësore për të siguruar mbrojtjen e mirëqenies së kafshëve, shëndetit të bimëve dhe konsumatorëve në të gjithë Shqipërinë në mënyrë adekuate. Inspektimet dhe aktivitetet </w:t>
      </w:r>
      <w:r w:rsidRPr="002D0AF3">
        <w:rPr>
          <w:rFonts w:ascii="Garamond" w:hAnsi="Garamond" w:cs="Arial"/>
          <w:sz w:val="24"/>
          <w:szCs w:val="24"/>
        </w:rPr>
        <w:lastRenderedPageBreak/>
        <w:t>e tjera zyrtare duhet të kryhen në mënyrë konsistente në të gjithë vendin</w:t>
      </w:r>
      <w:r w:rsidR="00926316" w:rsidRPr="002D0AF3">
        <w:rPr>
          <w:rFonts w:ascii="Garamond" w:hAnsi="Garamond" w:cs="Arial"/>
          <w:sz w:val="24"/>
          <w:szCs w:val="24"/>
        </w:rPr>
        <w:t>,</w:t>
      </w:r>
      <w:r w:rsidRPr="002D0AF3">
        <w:rPr>
          <w:rFonts w:ascii="Garamond" w:hAnsi="Garamond" w:cs="Arial"/>
          <w:sz w:val="24"/>
          <w:szCs w:val="24"/>
        </w:rPr>
        <w:t xml:space="preserve"> duke marrë parasysh sigurimin e rregullimeve fleksibël</w:t>
      </w:r>
      <w:r w:rsidR="00926316" w:rsidRPr="002D0AF3">
        <w:rPr>
          <w:rFonts w:ascii="Garamond" w:hAnsi="Garamond" w:cs="Arial"/>
          <w:sz w:val="24"/>
          <w:szCs w:val="24"/>
        </w:rPr>
        <w:t>,</w:t>
      </w:r>
      <w:r w:rsidRPr="002D0AF3">
        <w:rPr>
          <w:rFonts w:ascii="Garamond" w:hAnsi="Garamond" w:cs="Arial"/>
          <w:sz w:val="24"/>
          <w:szCs w:val="24"/>
        </w:rPr>
        <w:t xml:space="preserve"> sipas legjislacionit për aktivitete specifike biznesi</w:t>
      </w:r>
      <w:r w:rsidR="00926316" w:rsidRPr="002D0AF3">
        <w:rPr>
          <w:rFonts w:ascii="Garamond" w:hAnsi="Garamond" w:cs="Arial"/>
          <w:sz w:val="24"/>
          <w:szCs w:val="24"/>
        </w:rPr>
        <w:t>,</w:t>
      </w:r>
      <w:r w:rsidRPr="002D0AF3">
        <w:rPr>
          <w:rFonts w:ascii="Garamond" w:hAnsi="Garamond" w:cs="Arial"/>
          <w:sz w:val="24"/>
          <w:szCs w:val="24"/>
        </w:rPr>
        <w:t xml:space="preserve"> duke garantuar drejtësi dhe transparencë për të gjitha bizneset.</w:t>
      </w:r>
    </w:p>
    <w:p w14:paraId="3732651C" w14:textId="77A7F243"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Planifikimi i </w:t>
      </w:r>
      <w:r w:rsidR="00926316" w:rsidRPr="002D0AF3">
        <w:rPr>
          <w:rFonts w:ascii="Garamond" w:hAnsi="Garamond" w:cs="Arial"/>
          <w:sz w:val="24"/>
          <w:szCs w:val="24"/>
        </w:rPr>
        <w:t>kontigjencave</w:t>
      </w:r>
      <w:r w:rsidRPr="002D0AF3">
        <w:rPr>
          <w:rFonts w:ascii="Garamond" w:hAnsi="Garamond" w:cs="Arial"/>
          <w:sz w:val="24"/>
          <w:szCs w:val="24"/>
        </w:rPr>
        <w:t>: Planet e kontigjencave ose planet e menaxhimit të krizave janë thelbësore dhe duhet të jen</w:t>
      </w:r>
      <w:r w:rsidR="00DC0344" w:rsidRPr="002D0AF3">
        <w:rPr>
          <w:rFonts w:ascii="Garamond" w:hAnsi="Garamond" w:cs="Arial"/>
          <w:sz w:val="24"/>
          <w:szCs w:val="24"/>
        </w:rPr>
        <w:t>ë</w:t>
      </w:r>
      <w:r w:rsidRPr="002D0AF3">
        <w:rPr>
          <w:rFonts w:ascii="Garamond" w:hAnsi="Garamond" w:cs="Arial"/>
          <w:sz w:val="24"/>
          <w:szCs w:val="24"/>
        </w:rPr>
        <w:t xml:space="preserve"> funksionale në rast emergjence. Të gjitha organet përkatëse duhet të sigurojnë</w:t>
      </w:r>
      <w:r w:rsidR="003E60DD" w:rsidRPr="002D0AF3">
        <w:rPr>
          <w:rFonts w:ascii="Garamond" w:hAnsi="Garamond" w:cs="Arial"/>
          <w:sz w:val="24"/>
          <w:szCs w:val="24"/>
        </w:rPr>
        <w:t xml:space="preserve"> </w:t>
      </w:r>
      <w:r w:rsidRPr="002D0AF3">
        <w:rPr>
          <w:rFonts w:ascii="Garamond" w:hAnsi="Garamond" w:cs="Arial"/>
          <w:sz w:val="24"/>
          <w:szCs w:val="24"/>
        </w:rPr>
        <w:t xml:space="preserve">plane të kontigjencave në nivelet e duhura për trajtimin e sëmundjeve të shëndetit të kafshëve dhe </w:t>
      </w:r>
      <w:r w:rsidR="00DC0344" w:rsidRPr="002D0AF3">
        <w:rPr>
          <w:rFonts w:ascii="Garamond" w:hAnsi="Garamond" w:cs="Arial"/>
          <w:sz w:val="24"/>
          <w:szCs w:val="24"/>
        </w:rPr>
        <w:t xml:space="preserve">të </w:t>
      </w:r>
      <w:r w:rsidRPr="002D0AF3">
        <w:rPr>
          <w:rFonts w:ascii="Garamond" w:hAnsi="Garamond" w:cs="Arial"/>
          <w:sz w:val="24"/>
          <w:szCs w:val="24"/>
        </w:rPr>
        <w:t>bimëve dhe shpërthimeve të sëmundjeve të ushqimit, krizave të lidhura me ushqimin dhe incidenteve të rëndësishme të sigurisë ushqimore. Planet duhet të jenë të përshtatshme dhe të zbatohen në mënyrë efektive dhe t</w:t>
      </w:r>
      <w:r w:rsidR="00DC0344" w:rsidRPr="002D0AF3">
        <w:rPr>
          <w:rFonts w:ascii="Garamond" w:hAnsi="Garamond" w:cs="Arial"/>
          <w:sz w:val="24"/>
          <w:szCs w:val="24"/>
        </w:rPr>
        <w:t>’</w:t>
      </w:r>
      <w:r w:rsidRPr="002D0AF3">
        <w:rPr>
          <w:rFonts w:ascii="Garamond" w:hAnsi="Garamond" w:cs="Arial"/>
          <w:sz w:val="24"/>
          <w:szCs w:val="24"/>
        </w:rPr>
        <w:t>i nënshtrohen rishikimit dhe stafi duhet të trajnohet për funksionimin dhe ushtrimin e këtyre planeve të kontigjencave.</w:t>
      </w:r>
    </w:p>
    <w:p w14:paraId="5B6E6D30" w14:textId="0105E0D7"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t>NËNOBJEKTIVI 3: KRIJIMI I NJË SISTEM MONITORIMI EFEKTIV PËR KONTROLLET ZYRTARE PËR TË MUNDËSUAR PËRMIRËSIME TË VAZHDUESHME</w:t>
      </w:r>
    </w:p>
    <w:p w14:paraId="365FA7CD" w14:textId="7D22D968"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Sistemi kombëtar i kontrollit </w:t>
      </w:r>
      <w:r w:rsidR="005529A9" w:rsidRPr="002D0AF3">
        <w:rPr>
          <w:rFonts w:ascii="Garamond" w:hAnsi="Garamond" w:cs="Arial"/>
          <w:sz w:val="24"/>
          <w:szCs w:val="24"/>
        </w:rPr>
        <w:t>agroushqimor</w:t>
      </w:r>
      <w:r w:rsidRPr="002D0AF3">
        <w:rPr>
          <w:rFonts w:ascii="Garamond" w:hAnsi="Garamond" w:cs="Arial"/>
          <w:sz w:val="24"/>
          <w:szCs w:val="24"/>
        </w:rPr>
        <w:t xml:space="preserve"> duhet të ketë kapacitetin dhe aftësinë për të monitoruar dhe </w:t>
      </w:r>
      <w:r w:rsidR="00816CEE" w:rsidRPr="002D0AF3">
        <w:rPr>
          <w:rFonts w:ascii="Garamond" w:hAnsi="Garamond" w:cs="Arial"/>
          <w:sz w:val="24"/>
          <w:szCs w:val="24"/>
        </w:rPr>
        <w:t xml:space="preserve">për të </w:t>
      </w:r>
      <w:r w:rsidRPr="002D0AF3">
        <w:rPr>
          <w:rFonts w:ascii="Garamond" w:hAnsi="Garamond" w:cs="Arial"/>
          <w:sz w:val="24"/>
          <w:szCs w:val="24"/>
        </w:rPr>
        <w:t>raportuar mbi performancën e tij në arritjen e objektivit të përcaktuar dhe t</w:t>
      </w:r>
      <w:r w:rsidR="00816CEE" w:rsidRPr="002D0AF3">
        <w:rPr>
          <w:rFonts w:ascii="Garamond" w:hAnsi="Garamond" w:cs="Arial"/>
          <w:sz w:val="24"/>
          <w:szCs w:val="24"/>
        </w:rPr>
        <w:t>’u</w:t>
      </w:r>
      <w:r w:rsidRPr="002D0AF3">
        <w:rPr>
          <w:rFonts w:ascii="Garamond" w:hAnsi="Garamond" w:cs="Arial"/>
          <w:sz w:val="24"/>
          <w:szCs w:val="24"/>
        </w:rPr>
        <w:t xml:space="preserve"> nënshtrohet përmirësimeve të vazhdueshme aty ku është e nevojshme.</w:t>
      </w:r>
    </w:p>
    <w:p w14:paraId="0EB52364" w14:textId="14ADA9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Monitorimi dhe rishikimi i performancës i mundëson rregullatorit të kuptojë pikat e forta dhe të dobëta brenda sistemeve. Përveç kësaj, duhet të rishikohen ndryshimet në mënyrën se si kryhen kontrollet zyrtare duke marrë parasysh përparimet në shkencë dhe teknologji. Është e rëndësishme që sistemi kombëtar i kontrollit </w:t>
      </w:r>
      <w:r w:rsidR="005529A9" w:rsidRPr="002D0AF3">
        <w:rPr>
          <w:rFonts w:ascii="Garamond" w:hAnsi="Garamond" w:cs="Arial"/>
          <w:sz w:val="24"/>
          <w:szCs w:val="24"/>
        </w:rPr>
        <w:t>agroushqimor</w:t>
      </w:r>
      <w:r w:rsidRPr="002D0AF3">
        <w:rPr>
          <w:rFonts w:ascii="Garamond" w:hAnsi="Garamond" w:cs="Arial"/>
          <w:sz w:val="24"/>
          <w:szCs w:val="24"/>
        </w:rPr>
        <w:t xml:space="preserve"> të demonstrojë aftësinë e tij për t</w:t>
      </w:r>
      <w:r w:rsidR="00D729E0" w:rsidRPr="002D0AF3">
        <w:rPr>
          <w:rFonts w:ascii="Garamond" w:hAnsi="Garamond" w:cs="Arial"/>
          <w:sz w:val="24"/>
          <w:szCs w:val="24"/>
        </w:rPr>
        <w:t>’</w:t>
      </w:r>
      <w:r w:rsidRPr="002D0AF3">
        <w:rPr>
          <w:rFonts w:ascii="Garamond" w:hAnsi="Garamond" w:cs="Arial"/>
          <w:sz w:val="24"/>
          <w:szCs w:val="24"/>
        </w:rPr>
        <w:t>u përshtatur sipas rrethanave.</w:t>
      </w:r>
    </w:p>
    <w:p w14:paraId="561B647B" w14:textId="38E51481"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Një sistem efektiv kombëtar i kontrollit </w:t>
      </w:r>
      <w:r w:rsidR="005529A9" w:rsidRPr="002D0AF3">
        <w:rPr>
          <w:rFonts w:ascii="Garamond" w:hAnsi="Garamond" w:cs="Arial"/>
          <w:sz w:val="24"/>
          <w:szCs w:val="24"/>
        </w:rPr>
        <w:t>agroushqimor</w:t>
      </w:r>
      <w:r w:rsidRPr="002D0AF3">
        <w:rPr>
          <w:rFonts w:ascii="Garamond" w:hAnsi="Garamond" w:cs="Arial"/>
          <w:sz w:val="24"/>
          <w:szCs w:val="24"/>
        </w:rPr>
        <w:t xml:space="preserve"> mund të përdorë qasje të ndryshme, element</w:t>
      </w:r>
      <w:r w:rsidR="006D2A34">
        <w:rPr>
          <w:rFonts w:ascii="Garamond" w:hAnsi="Garamond" w:cs="Arial"/>
          <w:sz w:val="24"/>
          <w:szCs w:val="24"/>
        </w:rPr>
        <w:t>e</w:t>
      </w:r>
      <w:r w:rsidRPr="002D0AF3">
        <w:rPr>
          <w:rFonts w:ascii="Garamond" w:hAnsi="Garamond" w:cs="Arial"/>
          <w:sz w:val="24"/>
          <w:szCs w:val="24"/>
        </w:rPr>
        <w:t xml:space="preserve"> thelbësor</w:t>
      </w:r>
      <w:r w:rsidR="006D2A34">
        <w:rPr>
          <w:rFonts w:ascii="Garamond" w:hAnsi="Garamond" w:cs="Arial"/>
          <w:sz w:val="24"/>
          <w:szCs w:val="24"/>
        </w:rPr>
        <w:t>e</w:t>
      </w:r>
      <w:r w:rsidRPr="002D0AF3">
        <w:rPr>
          <w:rFonts w:ascii="Garamond" w:hAnsi="Garamond" w:cs="Arial"/>
          <w:sz w:val="24"/>
          <w:szCs w:val="24"/>
        </w:rPr>
        <w:t xml:space="preserve"> dhe komponentë të ndryshëm, sipas rrethanave kombëtare dhe siç përshkruhet në Parimet dhe Udhëzimet për Sistemet Kombëtare të Kontrollit të Ushqimit (CXG 82-2013).</w:t>
      </w:r>
    </w:p>
    <w:p w14:paraId="73EAA284" w14:textId="657CD75B"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Shqipëria njeh rëndësinë e rishikimit të sistemit zyrtar të kontrollit në mënyrë që të sigurojë rivlerësimin dhe forcimin e sistemit në mënyrë të vazhdueshme. Shqipëria është e përkushtuar ndaj një procesi përmirësimi të vazhdueshëm nëpërmjet zbatimit të element</w:t>
      </w:r>
      <w:r w:rsidR="00D729E0" w:rsidRPr="002D0AF3">
        <w:rPr>
          <w:rFonts w:ascii="Garamond" w:hAnsi="Garamond" w:cs="Arial"/>
          <w:sz w:val="24"/>
          <w:szCs w:val="24"/>
        </w:rPr>
        <w:t>e</w:t>
      </w:r>
      <w:r w:rsidRPr="002D0AF3">
        <w:rPr>
          <w:rFonts w:ascii="Garamond" w:hAnsi="Garamond" w:cs="Arial"/>
          <w:sz w:val="24"/>
          <w:szCs w:val="24"/>
        </w:rPr>
        <w:t>ve të mëposht</w:t>
      </w:r>
      <w:r w:rsidR="00D729E0" w:rsidRPr="002D0AF3">
        <w:rPr>
          <w:rFonts w:ascii="Garamond" w:hAnsi="Garamond" w:cs="Arial"/>
          <w:sz w:val="24"/>
          <w:szCs w:val="24"/>
        </w:rPr>
        <w:t>me,</w:t>
      </w:r>
      <w:r w:rsidRPr="002D0AF3">
        <w:rPr>
          <w:rFonts w:ascii="Garamond" w:hAnsi="Garamond" w:cs="Arial"/>
          <w:sz w:val="24"/>
          <w:szCs w:val="24"/>
        </w:rPr>
        <w:t xml:space="preserve"> siç përshkruhet në </w:t>
      </w:r>
      <w:r w:rsidR="00D729E0" w:rsidRPr="00C33DE9">
        <w:rPr>
          <w:rFonts w:ascii="Garamond" w:hAnsi="Garamond" w:cs="Arial"/>
          <w:sz w:val="24"/>
          <w:szCs w:val="24"/>
        </w:rPr>
        <w:t xml:space="preserve">figurën </w:t>
      </w:r>
      <w:r w:rsidRPr="00C33DE9">
        <w:rPr>
          <w:rFonts w:ascii="Garamond" w:hAnsi="Garamond" w:cs="Arial"/>
          <w:sz w:val="24"/>
          <w:szCs w:val="24"/>
        </w:rPr>
        <w:t>5.2 m</w:t>
      </w:r>
      <w:r w:rsidRPr="002D0AF3">
        <w:rPr>
          <w:rFonts w:ascii="Garamond" w:hAnsi="Garamond" w:cs="Arial"/>
          <w:sz w:val="24"/>
          <w:szCs w:val="24"/>
        </w:rPr>
        <w:t>ë poshtë:</w:t>
      </w:r>
    </w:p>
    <w:p w14:paraId="6A93777C" w14:textId="6EBDEBE2"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Verifikimi i </w:t>
      </w:r>
      <w:r w:rsidR="00D729E0" w:rsidRPr="002D0AF3">
        <w:rPr>
          <w:rFonts w:ascii="Garamond" w:hAnsi="Garamond" w:cs="Arial"/>
          <w:sz w:val="24"/>
          <w:szCs w:val="24"/>
        </w:rPr>
        <w:t xml:space="preserve">kontrollit të brendshëm </w:t>
      </w:r>
      <w:r w:rsidRPr="002D0AF3">
        <w:rPr>
          <w:rFonts w:ascii="Garamond" w:hAnsi="Garamond" w:cs="Arial"/>
          <w:sz w:val="24"/>
          <w:szCs w:val="24"/>
        </w:rPr>
        <w:t>(p.sh. kontrollet mbikëqyrëse) i cili duhet të funksionojë në mënyrë të vazhdueshme dhe</w:t>
      </w:r>
      <w:r w:rsidR="00D729E0" w:rsidRPr="002D0AF3">
        <w:rPr>
          <w:rFonts w:ascii="Garamond" w:hAnsi="Garamond" w:cs="Arial"/>
          <w:sz w:val="24"/>
          <w:szCs w:val="24"/>
        </w:rPr>
        <w:t xml:space="preserve"> auditimi i brendshëm, </w:t>
      </w:r>
      <w:r w:rsidRPr="002D0AF3">
        <w:rPr>
          <w:rFonts w:ascii="Garamond" w:hAnsi="Garamond" w:cs="Arial"/>
          <w:sz w:val="24"/>
          <w:szCs w:val="24"/>
        </w:rPr>
        <w:t>i cili duhet të sigurojë mbulim adekuat të të gjitha fushave përkatëse të aktivitetit dhe të të gjitha autoriteteve kompetente përkatëse në periudha të përshtatshme të bazuar në rrezik.</w:t>
      </w:r>
    </w:p>
    <w:p w14:paraId="070F330B" w14:textId="77777777" w:rsidR="00D729E0" w:rsidRPr="002D0AF3" w:rsidRDefault="00D729E0" w:rsidP="00EF4A7A">
      <w:pPr>
        <w:spacing w:after="0" w:line="240" w:lineRule="auto"/>
        <w:ind w:firstLine="284"/>
        <w:jc w:val="both"/>
        <w:rPr>
          <w:rFonts w:ascii="Garamond" w:hAnsi="Garamond" w:cs="Arial"/>
          <w:sz w:val="24"/>
          <w:szCs w:val="24"/>
        </w:rPr>
      </w:pPr>
    </w:p>
    <w:p w14:paraId="365BCA2E" w14:textId="5D004758" w:rsidR="00EF4A7A" w:rsidRPr="002D0AF3" w:rsidRDefault="00EF4A7A" w:rsidP="00D729E0">
      <w:pPr>
        <w:spacing w:after="0" w:line="240" w:lineRule="auto"/>
        <w:ind w:firstLine="284"/>
        <w:jc w:val="center"/>
        <w:rPr>
          <w:rFonts w:ascii="Garamond" w:hAnsi="Garamond" w:cs="Arial"/>
          <w:sz w:val="24"/>
          <w:szCs w:val="24"/>
        </w:rPr>
      </w:pPr>
      <w:r w:rsidRPr="00C33DE9">
        <w:rPr>
          <w:rFonts w:ascii="Garamond" w:hAnsi="Garamond" w:cs="Arial"/>
          <w:i/>
          <w:iCs/>
          <w:sz w:val="24"/>
          <w:szCs w:val="24"/>
        </w:rPr>
        <w:t xml:space="preserve">Figura: </w:t>
      </w:r>
      <w:r w:rsidRPr="002D0AF3">
        <w:rPr>
          <w:rFonts w:ascii="Garamond" w:hAnsi="Garamond" w:cs="Arial"/>
          <w:i/>
          <w:iCs/>
          <w:sz w:val="24"/>
          <w:szCs w:val="24"/>
        </w:rPr>
        <w:t>Mekanizmat e përmirësimit të vazhdueshëm për sigurimin e rishikimit efektiv të kontrolleve zyrtare</w:t>
      </w:r>
    </w:p>
    <w:p w14:paraId="3B95B28E" w14:textId="02866D3B" w:rsidR="00D729E0" w:rsidRPr="002D0AF3" w:rsidRDefault="00D729E0" w:rsidP="00D729E0">
      <w:pPr>
        <w:spacing w:after="0" w:line="240" w:lineRule="auto"/>
        <w:ind w:firstLine="284"/>
        <w:jc w:val="center"/>
        <w:rPr>
          <w:rFonts w:ascii="Garamond" w:hAnsi="Garamond" w:cs="Arial"/>
          <w:b/>
          <w:bCs/>
          <w:sz w:val="24"/>
          <w:szCs w:val="24"/>
          <w:lang w:eastAsia="sq-AL"/>
        </w:rPr>
      </w:pPr>
      <w:r w:rsidRPr="002D0AF3">
        <w:rPr>
          <w:rFonts w:ascii="Garamond" w:hAnsi="Garamond" w:cs="Arial"/>
          <w:b/>
          <w:bCs/>
          <w:noProof/>
          <w:sz w:val="24"/>
          <w:szCs w:val="24"/>
          <w:lang w:val="en-US"/>
        </w:rPr>
        <w:drawing>
          <wp:inline distT="0" distB="0" distL="0" distR="0" wp14:anchorId="7A1918D1" wp14:editId="2FDA0676">
            <wp:extent cx="4862936" cy="2559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1">
                      <a:extLst>
                        <a:ext uri="{28A0092B-C50C-407E-A947-70E740481C1C}">
                          <a14:useLocalDpi xmlns:a14="http://schemas.microsoft.com/office/drawing/2010/main" val="0"/>
                        </a:ext>
                      </a:extLst>
                    </a:blip>
                    <a:srcRect b="15336"/>
                    <a:stretch/>
                  </pic:blipFill>
                  <pic:spPr bwMode="auto">
                    <a:xfrm>
                      <a:off x="0" y="0"/>
                      <a:ext cx="4882334" cy="2569258"/>
                    </a:xfrm>
                    <a:prstGeom prst="rect">
                      <a:avLst/>
                    </a:prstGeom>
                    <a:noFill/>
                    <a:ln>
                      <a:noFill/>
                    </a:ln>
                    <a:extLst>
                      <a:ext uri="{53640926-AAD7-44D8-BBD7-CCE9431645EC}">
                        <a14:shadowObscured xmlns:a14="http://schemas.microsoft.com/office/drawing/2010/main"/>
                      </a:ext>
                    </a:extLst>
                  </pic:spPr>
                </pic:pic>
              </a:graphicData>
            </a:graphic>
          </wp:inline>
        </w:drawing>
      </w:r>
    </w:p>
    <w:p w14:paraId="0822CDFC" w14:textId="7FA6A0C6"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lastRenderedPageBreak/>
        <w:t>NËNOBJEKTIVI 4: TRANSPARENCA DHE ANGAZHIMI I PALËVE TË INTERESUARA</w:t>
      </w:r>
    </w:p>
    <w:p w14:paraId="3A44EC6D"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Transparenca është e rëndësishme për të ndërtuar dhe ruajtur besimin në integritetin e sistemit rregullator. Sigurimi i sistemit transparent në sytë e palëve të tjera të interesuara është një mënyrë për të nxitur besimin dhe për të ndihmuar në shpërndarjen e informacionit, veçanërisht në ndarjen e praktikave më të mira me organet e tjera rregullatore dhe palët e interesuara të industrisë.</w:t>
      </w:r>
    </w:p>
    <w:p w14:paraId="012EEE10" w14:textId="552F359D"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Rregullatorët e Shqipërisë kanë përgjegjësi për kryerjen e aktiviteteve të tyre në një shkallë të lartë transparence, veçanërisht duke dhënë informacionin përkatës në kohën e duhur. Publiku duhet të ketë akses në legjislacion, në informacionin që lidhet me aktivitetet e kontrollit të autoritetit kompetent dhe efektivitetin e tyre, në informacionin mbi rreziqet e ushqimit ose </w:t>
      </w:r>
      <w:r w:rsidR="00BD24EC" w:rsidRPr="002D0AF3">
        <w:rPr>
          <w:rFonts w:ascii="Garamond" w:hAnsi="Garamond" w:cs="Arial"/>
          <w:sz w:val="24"/>
          <w:szCs w:val="24"/>
        </w:rPr>
        <w:t xml:space="preserve">të </w:t>
      </w:r>
      <w:r w:rsidRPr="002D0AF3">
        <w:rPr>
          <w:rFonts w:ascii="Garamond" w:hAnsi="Garamond" w:cs="Arial"/>
          <w:sz w:val="24"/>
          <w:szCs w:val="24"/>
        </w:rPr>
        <w:t>ushqimit për kafshët</w:t>
      </w:r>
      <w:r w:rsidR="00BD24EC" w:rsidRPr="002D0AF3">
        <w:rPr>
          <w:rFonts w:ascii="Garamond" w:hAnsi="Garamond" w:cs="Arial"/>
          <w:sz w:val="24"/>
          <w:szCs w:val="24"/>
        </w:rPr>
        <w:t>,</w:t>
      </w:r>
      <w:r w:rsidRPr="002D0AF3">
        <w:rPr>
          <w:rFonts w:ascii="Garamond" w:hAnsi="Garamond" w:cs="Arial"/>
          <w:sz w:val="24"/>
          <w:szCs w:val="24"/>
        </w:rPr>
        <w:t xml:space="preserve"> kur ka raste të tilla, dhe në masat që duhen marrë për të parandaluar, reduktuar ose eliminuar këto rreziqe. Shqipëria duhet të balancojë nevojën për transparencë kundër rrezikut të dobësimit të aftësisë së sistemit të kontrollit për të arritur objektivat e tij. </w:t>
      </w:r>
    </w:p>
    <w:p w14:paraId="006F94D6" w14:textId="26590B8B"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Çdo organ rregullator brenda sistemit shqiptar të kontrollit </w:t>
      </w:r>
      <w:r w:rsidR="005529A9" w:rsidRPr="002D0AF3">
        <w:rPr>
          <w:rFonts w:ascii="Garamond" w:hAnsi="Garamond" w:cs="Arial"/>
          <w:sz w:val="24"/>
          <w:szCs w:val="24"/>
        </w:rPr>
        <w:t>agroushqimor</w:t>
      </w:r>
      <w:r w:rsidRPr="002D0AF3">
        <w:rPr>
          <w:rFonts w:ascii="Garamond" w:hAnsi="Garamond" w:cs="Arial"/>
          <w:sz w:val="24"/>
          <w:szCs w:val="24"/>
        </w:rPr>
        <w:t xml:space="preserve"> do të përpiqet të promovojë transparencën brenda kompetencave të tyre rregullatore nëpërmjet objektivave të mëposhtëm;</w:t>
      </w:r>
    </w:p>
    <w:p w14:paraId="53AD91FC" w14:textId="00A916A8"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Angazhimi për të siguruar që operatorët e biznesit </w:t>
      </w:r>
      <w:r w:rsidR="005529A9" w:rsidRPr="002D0AF3">
        <w:rPr>
          <w:rFonts w:ascii="Garamond" w:hAnsi="Garamond" w:cs="Arial"/>
          <w:sz w:val="24"/>
          <w:szCs w:val="24"/>
        </w:rPr>
        <w:t>agroushqimor</w:t>
      </w:r>
      <w:r w:rsidRPr="002D0AF3">
        <w:rPr>
          <w:rFonts w:ascii="Garamond" w:hAnsi="Garamond" w:cs="Arial"/>
          <w:sz w:val="24"/>
          <w:szCs w:val="24"/>
        </w:rPr>
        <w:t xml:space="preserve"> të kenë akses në legjislacionin përkatës, standardet, udhëzimet dhe informacionin e nevojshëm për të lehtësuar dhe ndërtuar pajtueshmërinë. </w:t>
      </w:r>
    </w:p>
    <w:p w14:paraId="44C65762" w14:textId="5A231E69"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Zhvillimi dhe zbatimi i masave të sigurisë </w:t>
      </w:r>
      <w:r w:rsidR="005529A9" w:rsidRPr="002D0AF3">
        <w:rPr>
          <w:rFonts w:ascii="Garamond" w:hAnsi="Garamond" w:cs="Arial"/>
          <w:sz w:val="24"/>
          <w:szCs w:val="24"/>
        </w:rPr>
        <w:t>agroushqimor</w:t>
      </w:r>
      <w:r w:rsidRPr="002D0AF3">
        <w:rPr>
          <w:rFonts w:ascii="Garamond" w:hAnsi="Garamond" w:cs="Arial"/>
          <w:sz w:val="24"/>
          <w:szCs w:val="24"/>
        </w:rPr>
        <w:t>e shqiptare do të ndërmerret në mënyrë transparente.</w:t>
      </w:r>
    </w:p>
    <w:p w14:paraId="08132C3D" w14:textId="4690CE0C"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Organet rregullatore do të angazhohen me operatorët e biznesit </w:t>
      </w:r>
      <w:r w:rsidR="005529A9" w:rsidRPr="002D0AF3">
        <w:rPr>
          <w:rFonts w:ascii="Garamond" w:hAnsi="Garamond" w:cs="Arial"/>
          <w:sz w:val="24"/>
          <w:szCs w:val="24"/>
        </w:rPr>
        <w:t>agroushqimor</w:t>
      </w:r>
      <w:r w:rsidRPr="002D0AF3">
        <w:rPr>
          <w:rFonts w:ascii="Garamond" w:hAnsi="Garamond" w:cs="Arial"/>
          <w:sz w:val="24"/>
          <w:szCs w:val="24"/>
        </w:rPr>
        <w:t>, konsumatorët dhe palët e tjera të interesuara gjatë zhvillimit të masave të reja ligjore dhe do të ftohen të kontribuojnë në procesin e vendimmarrjes.</w:t>
      </w:r>
    </w:p>
    <w:p w14:paraId="6294C745"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Të dhëna lehtësisht të aksesueshme mbi rezultatet e kontrolleve zyrtare dhe veprimeve të zbatimit.</w:t>
      </w:r>
    </w:p>
    <w:p w14:paraId="1F28CEE6" w14:textId="1EB2B81D" w:rsidR="00EF4A7A" w:rsidRPr="002D0AF3" w:rsidRDefault="00EF4A7A" w:rsidP="00EF4A7A">
      <w:pPr>
        <w:pStyle w:val="Heading2"/>
        <w:spacing w:before="0" w:line="240" w:lineRule="auto"/>
        <w:ind w:firstLine="284"/>
        <w:jc w:val="both"/>
        <w:rPr>
          <w:rFonts w:ascii="Garamond" w:hAnsi="Garamond" w:cs="Arial"/>
          <w:color w:val="auto"/>
          <w:sz w:val="24"/>
          <w:szCs w:val="24"/>
        </w:rPr>
      </w:pPr>
      <w:bookmarkStart w:id="16" w:name="_Toc119667596"/>
      <w:r w:rsidRPr="002D0AF3">
        <w:rPr>
          <w:rFonts w:ascii="Garamond" w:hAnsi="Garamond" w:cs="Arial"/>
          <w:color w:val="auto"/>
          <w:sz w:val="24"/>
          <w:szCs w:val="24"/>
        </w:rPr>
        <w:t>Qëllimi i Politikave 2: Rritja e Efektivi</w:t>
      </w:r>
      <w:r w:rsidR="00FB1F4A" w:rsidRPr="002D0AF3">
        <w:rPr>
          <w:rFonts w:ascii="Garamond" w:hAnsi="Garamond" w:cs="Arial"/>
          <w:color w:val="auto"/>
          <w:sz w:val="24"/>
          <w:szCs w:val="24"/>
        </w:rPr>
        <w:t>tetit të Sistemit të Kontrollit</w:t>
      </w:r>
      <w:r w:rsidRPr="002D0AF3">
        <w:rPr>
          <w:rFonts w:ascii="Garamond" w:hAnsi="Garamond" w:cs="Arial"/>
          <w:color w:val="auto"/>
          <w:sz w:val="24"/>
          <w:szCs w:val="24"/>
        </w:rPr>
        <w:t xml:space="preserve"> </w:t>
      </w:r>
      <w:r w:rsidR="005529A9" w:rsidRPr="002D0AF3">
        <w:rPr>
          <w:rFonts w:ascii="Garamond" w:hAnsi="Garamond" w:cs="Arial"/>
          <w:color w:val="auto"/>
          <w:sz w:val="24"/>
          <w:szCs w:val="24"/>
        </w:rPr>
        <w:t>Agroushqimor</w:t>
      </w:r>
      <w:bookmarkEnd w:id="16"/>
      <w:r w:rsidRPr="002D0AF3">
        <w:rPr>
          <w:rFonts w:ascii="Garamond" w:hAnsi="Garamond" w:cs="Arial"/>
          <w:color w:val="auto"/>
          <w:sz w:val="24"/>
          <w:szCs w:val="24"/>
        </w:rPr>
        <w:t xml:space="preserve"> </w:t>
      </w:r>
    </w:p>
    <w:p w14:paraId="11756230" w14:textId="6BE70931" w:rsidR="00FB1F4A" w:rsidRPr="002D0AF3" w:rsidRDefault="00FB1F4A" w:rsidP="00FB1F4A">
      <w:pPr>
        <w:pStyle w:val="TEKSTIII"/>
        <w:rPr>
          <w:b/>
        </w:rPr>
      </w:pPr>
      <w:r w:rsidRPr="002D0AF3">
        <w:rPr>
          <w:b/>
        </w:rPr>
        <w:t xml:space="preserve">Sigurimi i një </w:t>
      </w:r>
      <w:r w:rsidR="00E776C4" w:rsidRPr="002D0AF3">
        <w:rPr>
          <w:b/>
        </w:rPr>
        <w:t>sistemi kontrolli të fortë dhe të bazuar në shkencë me burime të mjaftueshme për menaxhimin dhe zbatimin e kontrolleve zyrtare.</w:t>
      </w:r>
    </w:p>
    <w:p w14:paraId="4530E764" w14:textId="2BACB77D" w:rsidR="00EF4A7A" w:rsidRPr="002D0AF3" w:rsidRDefault="00572BB4" w:rsidP="00572BB4">
      <w:pPr>
        <w:spacing w:after="0" w:line="240" w:lineRule="auto"/>
        <w:jc w:val="both"/>
        <w:rPr>
          <w:rFonts w:ascii="Garamond" w:hAnsi="Garamond" w:cs="Arial"/>
          <w:sz w:val="24"/>
          <w:szCs w:val="24"/>
        </w:rPr>
      </w:pPr>
      <w:r w:rsidRPr="002D0AF3">
        <w:rPr>
          <w:rFonts w:ascii="Garamond" w:hAnsi="Garamond" w:cs="Arial"/>
          <w:noProof/>
          <w:sz w:val="24"/>
          <w:szCs w:val="24"/>
          <w:lang w:val="en-US"/>
        </w:rPr>
        <w:drawing>
          <wp:anchor distT="0" distB="0" distL="114300" distR="114300" simplePos="0" relativeHeight="251658251" behindDoc="1" locked="0" layoutInCell="1" allowOverlap="1" wp14:anchorId="6A4B9116" wp14:editId="4073FD95">
            <wp:simplePos x="0" y="0"/>
            <wp:positionH relativeFrom="column">
              <wp:posOffset>107950</wp:posOffset>
            </wp:positionH>
            <wp:positionV relativeFrom="paragraph">
              <wp:posOffset>6350</wp:posOffset>
            </wp:positionV>
            <wp:extent cx="317500" cy="314325"/>
            <wp:effectExtent l="0" t="0" r="6350" b="9525"/>
            <wp:wrapTight wrapText="bothSides">
              <wp:wrapPolygon edited="0">
                <wp:start x="0" y="0"/>
                <wp:lineTo x="0" y="20945"/>
                <wp:lineTo x="20736" y="20945"/>
                <wp:lineTo x="2073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7500" cy="314325"/>
                    </a:xfrm>
                    <a:prstGeom prst="rect">
                      <a:avLst/>
                    </a:prstGeom>
                    <a:noFill/>
                  </pic:spPr>
                </pic:pic>
              </a:graphicData>
            </a:graphic>
            <wp14:sizeRelH relativeFrom="margin">
              <wp14:pctWidth>0</wp14:pctWidth>
            </wp14:sizeRelH>
            <wp14:sizeRelV relativeFrom="margin">
              <wp14:pctHeight>0</wp14:pctHeight>
            </wp14:sizeRelV>
          </wp:anchor>
        </w:drawing>
      </w:r>
      <w:r w:rsidR="00EF4A7A" w:rsidRPr="002D0AF3">
        <w:rPr>
          <w:rFonts w:ascii="Garamond" w:hAnsi="Garamond" w:cs="Arial"/>
          <w:sz w:val="24"/>
          <w:szCs w:val="24"/>
        </w:rPr>
        <w:t xml:space="preserve">Një sistem efektiv i Sigurisë </w:t>
      </w:r>
      <w:r w:rsidR="005529A9" w:rsidRPr="002D0AF3">
        <w:rPr>
          <w:rFonts w:ascii="Garamond" w:hAnsi="Garamond" w:cs="Arial"/>
          <w:sz w:val="24"/>
          <w:szCs w:val="24"/>
        </w:rPr>
        <w:t>Agroushqimor</w:t>
      </w:r>
      <w:r w:rsidR="00EF4A7A" w:rsidRPr="002D0AF3">
        <w:rPr>
          <w:rFonts w:ascii="Garamond" w:hAnsi="Garamond" w:cs="Arial"/>
          <w:sz w:val="24"/>
          <w:szCs w:val="24"/>
        </w:rPr>
        <w:t>e mund të arrihet vetëm nëpërmjet kontrolleve zyrtare të bazuara në shkencë, shpërndarjes së burimeve të mjaftueshme dhe bashkëpunimit ndërmjet të gjitha palëve të interesuara.</w:t>
      </w:r>
    </w:p>
    <w:p w14:paraId="5A3FAE89" w14:textId="5169A001"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Investimi për zhvillimin e burimeve njerëzore të Shqipërisë dhe trajnimi i stafit zyrtar të kontrollit për t</w:t>
      </w:r>
      <w:r w:rsidR="001544EF" w:rsidRPr="002D0AF3">
        <w:rPr>
          <w:rFonts w:ascii="Garamond" w:hAnsi="Garamond" w:cs="Arial"/>
          <w:sz w:val="24"/>
          <w:szCs w:val="24"/>
        </w:rPr>
        <w:t>’</w:t>
      </w:r>
      <w:r w:rsidRPr="002D0AF3">
        <w:rPr>
          <w:rFonts w:ascii="Garamond" w:hAnsi="Garamond" w:cs="Arial"/>
          <w:sz w:val="24"/>
          <w:szCs w:val="24"/>
        </w:rPr>
        <w:t>u siguruar që kanë njohuritë për kryerjen e detyrave të tyre, do të ndihmojë në përmbushjen e objektivave për të ndërtuar dhe zbatuar një sistem kombëtar kontrolli të bazuar në shkencë, rregullore dhe bashkëpunim për ofrimin e kontrolleve</w:t>
      </w:r>
      <w:r w:rsidR="003E60DD" w:rsidRPr="002D0AF3">
        <w:rPr>
          <w:rFonts w:ascii="Garamond" w:hAnsi="Garamond" w:cs="Arial"/>
          <w:sz w:val="24"/>
          <w:szCs w:val="24"/>
        </w:rPr>
        <w:t xml:space="preserve"> </w:t>
      </w:r>
      <w:r w:rsidRPr="002D0AF3">
        <w:rPr>
          <w:rFonts w:ascii="Garamond" w:hAnsi="Garamond" w:cs="Arial"/>
          <w:sz w:val="24"/>
          <w:szCs w:val="24"/>
        </w:rPr>
        <w:t xml:space="preserve">të sigurisë </w:t>
      </w:r>
      <w:r w:rsidR="005529A9" w:rsidRPr="002D0AF3">
        <w:rPr>
          <w:rFonts w:ascii="Garamond" w:hAnsi="Garamond" w:cs="Arial"/>
          <w:sz w:val="24"/>
          <w:szCs w:val="24"/>
        </w:rPr>
        <w:t>agroushqimor</w:t>
      </w:r>
      <w:r w:rsidRPr="002D0AF3">
        <w:rPr>
          <w:rFonts w:ascii="Garamond" w:hAnsi="Garamond" w:cs="Arial"/>
          <w:sz w:val="24"/>
          <w:szCs w:val="24"/>
        </w:rPr>
        <w:t>e që në fund mbrojnë konsumatorët.</w:t>
      </w:r>
    </w:p>
    <w:p w14:paraId="64F343A0" w14:textId="0AE26E43" w:rsidR="00FB1F4A" w:rsidRPr="002D0AF3" w:rsidRDefault="00FB1F4A" w:rsidP="00EF4A7A">
      <w:pPr>
        <w:spacing w:after="0" w:line="240" w:lineRule="auto"/>
        <w:ind w:firstLine="284"/>
        <w:jc w:val="both"/>
        <w:rPr>
          <w:rFonts w:ascii="Garamond" w:hAnsi="Garamond" w:cs="Arial"/>
          <w:sz w:val="24"/>
          <w:szCs w:val="24"/>
        </w:rPr>
      </w:pPr>
    </w:p>
    <w:p w14:paraId="5817A2EC" w14:textId="23CB402F"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Katër nënobjektivat e mëposhtëm përcaktohen sipas këtij qëllimi të politikave:</w:t>
      </w:r>
    </w:p>
    <w:p w14:paraId="1DD219D1" w14:textId="77777777" w:rsidR="00EF4A7A" w:rsidRPr="002D0AF3" w:rsidRDefault="00EF4A7A" w:rsidP="00FB1F4A">
      <w:pPr>
        <w:spacing w:after="0" w:line="240" w:lineRule="auto"/>
        <w:jc w:val="center"/>
        <w:rPr>
          <w:rFonts w:ascii="Garamond" w:hAnsi="Garamond" w:cs="Arial"/>
          <w:sz w:val="24"/>
          <w:szCs w:val="24"/>
        </w:rPr>
      </w:pPr>
      <w:r w:rsidRPr="002D0AF3">
        <w:rPr>
          <w:rFonts w:ascii="Garamond" w:hAnsi="Garamond" w:cs="Arial"/>
          <w:noProof/>
          <w:sz w:val="24"/>
          <w:szCs w:val="24"/>
          <w:lang w:val="en-US"/>
        </w:rPr>
        <w:drawing>
          <wp:inline distT="0" distB="0" distL="0" distR="0" wp14:anchorId="1F1F4ED3" wp14:editId="317B1A4D">
            <wp:extent cx="5730876" cy="1044054"/>
            <wp:effectExtent l="0" t="0" r="3175" b="3810"/>
            <wp:docPr id="7399" name="Picture 7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3">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t="24691" b="12346"/>
                    <a:stretch/>
                  </pic:blipFill>
                  <pic:spPr bwMode="auto">
                    <a:xfrm>
                      <a:off x="0" y="0"/>
                      <a:ext cx="5759972" cy="1049355"/>
                    </a:xfrm>
                    <a:prstGeom prst="rect">
                      <a:avLst/>
                    </a:prstGeom>
                    <a:noFill/>
                    <a:ln>
                      <a:noFill/>
                    </a:ln>
                    <a:extLst>
                      <a:ext uri="{53640926-AAD7-44D8-BBD7-CCE9431645EC}">
                        <a14:shadowObscured xmlns:a14="http://schemas.microsoft.com/office/drawing/2010/main"/>
                      </a:ext>
                    </a:extLst>
                  </pic:spPr>
                </pic:pic>
              </a:graphicData>
            </a:graphic>
          </wp:inline>
        </w:drawing>
      </w:r>
    </w:p>
    <w:p w14:paraId="203537DA" w14:textId="77777777" w:rsidR="00EF4A7A" w:rsidRPr="002D0AF3" w:rsidRDefault="00EF4A7A" w:rsidP="00EF4A7A">
      <w:pPr>
        <w:spacing w:after="0" w:line="240" w:lineRule="auto"/>
        <w:ind w:firstLine="284"/>
        <w:rPr>
          <w:rFonts w:ascii="Garamond" w:hAnsi="Garamond" w:cs="Arial"/>
          <w:sz w:val="24"/>
          <w:szCs w:val="24"/>
        </w:rPr>
      </w:pPr>
    </w:p>
    <w:p w14:paraId="34AC6044" w14:textId="1958869A"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lastRenderedPageBreak/>
        <w:t>NËNOBJEKTIVI 1: SIGURIMI I NIVELEVE DHE KOMPETENCAVE TË MJAFTUESHME TË STAFIT NË TË GJITHA ORGANET RREGULLATORË</w:t>
      </w:r>
    </w:p>
    <w:p w14:paraId="53F5E1C6" w14:textId="6E17E018"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Kapaciteti i një sistemi kombëtar të kontrollit </w:t>
      </w:r>
      <w:r w:rsidR="005529A9" w:rsidRPr="002D0AF3">
        <w:rPr>
          <w:rFonts w:ascii="Garamond" w:hAnsi="Garamond" w:cs="Arial"/>
          <w:sz w:val="24"/>
          <w:szCs w:val="24"/>
        </w:rPr>
        <w:t>agroushqimor</w:t>
      </w:r>
      <w:r w:rsidRPr="002D0AF3">
        <w:rPr>
          <w:rFonts w:ascii="Garamond" w:hAnsi="Garamond" w:cs="Arial"/>
          <w:sz w:val="24"/>
          <w:szCs w:val="24"/>
        </w:rPr>
        <w:t xml:space="preserve"> lidhet me aftësinë e tij për të kryer funksionet e duhura në mënyrë efektive, efikase dhe të qëndrueshme, në mënyrë që të arrihen objektivat e tij.</w:t>
      </w:r>
    </w:p>
    <w:p w14:paraId="1AE3574D" w14:textId="53F37A5B"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Një sistem kombëtar kontrolli duhet të ketë burime të mjaftueshme dhe të përshtatshme për të mundësuar përmbushjen e objektivave të sistemit në një mënyrë të qëndrueshme. Ndërtimi i kapaciteteve të burimeve njerëzore do të kontribuojë për t’u siguruar që zyrtarët të kenë njohuri në fushat e tyre dhe të kuptojnë rolin rregullator dhe përgjegjësitë e tyre. Të gjithë zyrtarët duhet të trajnohen në përputhje me rolin e tyre specifik në zbatimin e sigurisë </w:t>
      </w:r>
      <w:r w:rsidR="005529A9" w:rsidRPr="002D0AF3">
        <w:rPr>
          <w:rFonts w:ascii="Garamond" w:hAnsi="Garamond" w:cs="Arial"/>
          <w:sz w:val="24"/>
          <w:szCs w:val="24"/>
        </w:rPr>
        <w:t>agroushqimor</w:t>
      </w:r>
      <w:r w:rsidRPr="002D0AF3">
        <w:rPr>
          <w:rFonts w:ascii="Garamond" w:hAnsi="Garamond" w:cs="Arial"/>
          <w:sz w:val="24"/>
          <w:szCs w:val="24"/>
        </w:rPr>
        <w:t xml:space="preserve">e. Zyrtarët kompetentë në të gjitha nivelet administrative kontribuojnë në rritjen e besimit te rregullatori nëpërmjet transparencës dhe vazhdimësisë në zbatimin e ligjit për sigurinë </w:t>
      </w:r>
      <w:r w:rsidR="005529A9" w:rsidRPr="002D0AF3">
        <w:rPr>
          <w:rFonts w:ascii="Garamond" w:hAnsi="Garamond" w:cs="Arial"/>
          <w:sz w:val="24"/>
          <w:szCs w:val="24"/>
        </w:rPr>
        <w:t>agroushqimor</w:t>
      </w:r>
      <w:r w:rsidRPr="002D0AF3">
        <w:rPr>
          <w:rFonts w:ascii="Garamond" w:hAnsi="Garamond" w:cs="Arial"/>
          <w:sz w:val="24"/>
          <w:szCs w:val="24"/>
        </w:rPr>
        <w:t>e.</w:t>
      </w:r>
    </w:p>
    <w:p w14:paraId="1E98EDCE"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Shqipëria njeh rëndësinë e zhvillimit dhe mbajtjes së kompetencave brenda sistemit të kontrollit dhe angazhohet për forcimin e kësaj fushe nëpërmjet zhvillimit të:</w:t>
      </w:r>
    </w:p>
    <w:p w14:paraId="6BE7C097" w14:textId="2FE44A8B" w:rsidR="00EF4A7A" w:rsidRPr="002D0AF3" w:rsidRDefault="00FB1F4A" w:rsidP="00FB1F4A">
      <w:pPr>
        <w:pStyle w:val="TEKSTIII"/>
      </w:pPr>
      <w:r w:rsidRPr="002D0AF3">
        <w:t xml:space="preserve">- </w:t>
      </w:r>
      <w:r w:rsidR="00EF4A7A" w:rsidRPr="002D0AF3">
        <w:t xml:space="preserve">Një rrjeti inspektorësh kompetentë brenda Shqipërisë, që është thelbësor për zbatimin efektiv të bazuar në rrezik. </w:t>
      </w:r>
    </w:p>
    <w:p w14:paraId="34D44902" w14:textId="640C773B" w:rsidR="00EF4A7A" w:rsidRPr="002D0AF3" w:rsidRDefault="00FB1F4A" w:rsidP="00FB1F4A">
      <w:pPr>
        <w:pStyle w:val="TEKSTIII"/>
      </w:pPr>
      <w:r w:rsidRPr="002D0AF3">
        <w:t xml:space="preserve">- </w:t>
      </w:r>
      <w:r w:rsidR="00EF4A7A" w:rsidRPr="002D0AF3">
        <w:t>Një rrjeti laboratorësh zyrtarë, me kapacitet për të vepruar në përputhje me standardet ndërkombëtare, është thelbësor për të mbështetur inspektimin zyrtar dhe aktivitetet e zbatimit.</w:t>
      </w:r>
    </w:p>
    <w:p w14:paraId="37601B96" w14:textId="521DF416"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t>NËNOBJEKTIVI 2: FORCIMI I MENAXHIMIT TË TË DHËNAVE NË SISTEMIN E KONTROLLIT DHE LIDHJA E MJEDISIT, E SISTEMEVE TË SHËNDETIT TË KAFSHËVE DHE TË SHËNDETIT PUBLIK PËR MBROJTJE MË TË MADHE TË KONSUMATORIT</w:t>
      </w:r>
    </w:p>
    <w:p w14:paraId="497A9DA9" w14:textId="17195533"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Disponueshmëria e informacionit të besueshëm dhe të përditësuar është thelbësore për të forcuar sistemin kombëtar të kontrollit </w:t>
      </w:r>
      <w:r w:rsidR="005529A9" w:rsidRPr="002D0AF3">
        <w:rPr>
          <w:rFonts w:ascii="Garamond" w:hAnsi="Garamond" w:cs="Arial"/>
          <w:sz w:val="24"/>
          <w:szCs w:val="24"/>
        </w:rPr>
        <w:t>agroushqimor</w:t>
      </w:r>
      <w:r w:rsidRPr="002D0AF3">
        <w:rPr>
          <w:rFonts w:ascii="Garamond" w:hAnsi="Garamond" w:cs="Arial"/>
          <w:sz w:val="24"/>
          <w:szCs w:val="24"/>
        </w:rPr>
        <w:t>. Monitorimi i të dhënave kryesore prej rregullatorëve nga monitorimi i mjedisit, mbikëqyrja e shëndetit të kafshëve dhe shëndeti publik është thelbësor për të informuar masat që të merren me rreziqet ekzistuese dhe ato në zhvillim.</w:t>
      </w:r>
    </w:p>
    <w:p w14:paraId="7FFF4704" w14:textId="4EF1CA59"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Përmirësimi i sistemeve të menaxhimit të informacionit elektronik në të gjitha nivelet administrative brenda vendit është thelbësor për fushat kyçe të rregullimit</w:t>
      </w:r>
      <w:r w:rsidR="00624629" w:rsidRPr="002D0AF3">
        <w:rPr>
          <w:rFonts w:ascii="Garamond" w:hAnsi="Garamond" w:cs="Arial"/>
          <w:sz w:val="24"/>
          <w:szCs w:val="24"/>
        </w:rPr>
        <w:t>,</w:t>
      </w:r>
      <w:r w:rsidRPr="002D0AF3">
        <w:rPr>
          <w:rFonts w:ascii="Garamond" w:hAnsi="Garamond" w:cs="Arial"/>
          <w:sz w:val="24"/>
          <w:szCs w:val="24"/>
        </w:rPr>
        <w:t xml:space="preserve"> duke përfshirë vlerësimin e rrezikut, menaxhimin e rrezikut dhe komunikimin e rrezikut dhe hartimin e programeve vjetore të kontrollit, të bazuara në rrezik (inspektime dhe marrje kampionësh.</w:t>
      </w:r>
    </w:p>
    <w:p w14:paraId="7F54507F"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Shqipëria synon të forcojë këto fusha nëpërmjet:</w:t>
      </w:r>
    </w:p>
    <w:p w14:paraId="60A115A4" w14:textId="3A46CD07" w:rsidR="00EF4A7A" w:rsidRPr="002D0AF3" w:rsidRDefault="00FB1F4A" w:rsidP="00FB1F4A">
      <w:pPr>
        <w:pStyle w:val="TEKSTIII"/>
      </w:pPr>
      <w:r w:rsidRPr="002D0AF3">
        <w:t xml:space="preserve">- </w:t>
      </w:r>
      <w:r w:rsidR="00EF4A7A" w:rsidRPr="002D0AF3">
        <w:t xml:space="preserve">Krijimit të mekanizmave të shkëmbimit të të dhënave brenda dhe ndërmjet organeve rregullatore dhe agjencive të tjera </w:t>
      </w:r>
    </w:p>
    <w:p w14:paraId="1EC81803" w14:textId="2ACDA720" w:rsidR="00EF4A7A" w:rsidRPr="002D0AF3" w:rsidRDefault="00FB1F4A" w:rsidP="00FB1F4A">
      <w:pPr>
        <w:pStyle w:val="TEKSTIII"/>
      </w:pPr>
      <w:r w:rsidRPr="002D0AF3">
        <w:t xml:space="preserve">- </w:t>
      </w:r>
      <w:r w:rsidR="00EF4A7A" w:rsidRPr="002D0AF3">
        <w:t xml:space="preserve">Përmirësimeve të vazhdueshme të sistemeve kyçe të informacionit si sistemit </w:t>
      </w:r>
      <w:r w:rsidR="00624629" w:rsidRPr="002D0AF3">
        <w:rPr>
          <w:i/>
        </w:rPr>
        <w:t>e</w:t>
      </w:r>
      <w:r w:rsidR="00EF4A7A" w:rsidRPr="002D0AF3">
        <w:rPr>
          <w:i/>
        </w:rPr>
        <w:t>-</w:t>
      </w:r>
      <w:r w:rsidR="00624629" w:rsidRPr="002D0AF3">
        <w:rPr>
          <w:i/>
        </w:rPr>
        <w:t>Inspektorat</w:t>
      </w:r>
      <w:r w:rsidR="00EF4A7A" w:rsidRPr="002D0AF3">
        <w:rPr>
          <w:i/>
        </w:rPr>
        <w:t>,</w:t>
      </w:r>
      <w:r w:rsidR="00EF4A7A" w:rsidRPr="002D0AF3">
        <w:t xml:space="preserve"> sistemit të identifikimit dhe lëvizjes së kafshëve dhe sistemit të menaxhimit të informacionit laboratorik</w:t>
      </w:r>
    </w:p>
    <w:p w14:paraId="2F96CFE4" w14:textId="2E91412E"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t>NËNOBJEKTIVI 3: SIGURIMI I KAPACITETEVE PROFESIONALE DHE ORGANIZATIVE PËR TË GJITHA ORGANIZATAT E PËRFSHIRA PËR ZBATIMIN E SISTEMIT ZYRTAR TË KONTROLLIT</w:t>
      </w:r>
    </w:p>
    <w:p w14:paraId="47B235B8" w14:textId="468B4193"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Të gjitha </w:t>
      </w:r>
      <w:r w:rsidR="00624629" w:rsidRPr="002D0AF3">
        <w:rPr>
          <w:rFonts w:ascii="Garamond" w:hAnsi="Garamond" w:cs="Arial"/>
          <w:sz w:val="24"/>
          <w:szCs w:val="24"/>
        </w:rPr>
        <w:t xml:space="preserve">autoritetet kompetente </w:t>
      </w:r>
      <w:r w:rsidRPr="002D0AF3">
        <w:rPr>
          <w:rFonts w:ascii="Garamond" w:hAnsi="Garamond" w:cs="Arial"/>
          <w:sz w:val="24"/>
          <w:szCs w:val="24"/>
        </w:rPr>
        <w:t xml:space="preserve">të përfshira në sistemin </w:t>
      </w:r>
      <w:r w:rsidR="005529A9" w:rsidRPr="002D0AF3">
        <w:rPr>
          <w:rFonts w:ascii="Garamond" w:hAnsi="Garamond" w:cs="Arial"/>
          <w:sz w:val="24"/>
          <w:szCs w:val="24"/>
        </w:rPr>
        <w:t>agroushqimor</w:t>
      </w:r>
      <w:r w:rsidRPr="002D0AF3">
        <w:rPr>
          <w:rFonts w:ascii="Garamond" w:hAnsi="Garamond" w:cs="Arial"/>
          <w:sz w:val="24"/>
          <w:szCs w:val="24"/>
        </w:rPr>
        <w:t xml:space="preserve"> duhet të forcojnë kapacitetet organizative dhe njerëzit e tyre për të siguruar një sistem të fortë sigurie </w:t>
      </w:r>
      <w:r w:rsidR="005529A9" w:rsidRPr="002D0AF3">
        <w:rPr>
          <w:rFonts w:ascii="Garamond" w:hAnsi="Garamond" w:cs="Arial"/>
          <w:sz w:val="24"/>
          <w:szCs w:val="24"/>
        </w:rPr>
        <w:t>agroushqimor</w:t>
      </w:r>
      <w:r w:rsidRPr="002D0AF3">
        <w:rPr>
          <w:rFonts w:ascii="Garamond" w:hAnsi="Garamond" w:cs="Arial"/>
          <w:sz w:val="24"/>
          <w:szCs w:val="24"/>
        </w:rPr>
        <w:t>e dhe një sistem zyrtar kontrolli.</w:t>
      </w:r>
    </w:p>
    <w:p w14:paraId="1AC3B028" w14:textId="6D0F55DF"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Për të zhvilluar kapacitetet profesionale dhe organizative, Shqipëria angazhohet</w:t>
      </w:r>
      <w:r w:rsidR="00B14BAA" w:rsidRPr="002D0AF3">
        <w:rPr>
          <w:rFonts w:ascii="Garamond" w:hAnsi="Garamond" w:cs="Arial"/>
          <w:sz w:val="24"/>
          <w:szCs w:val="24"/>
        </w:rPr>
        <w:t>,</w:t>
      </w:r>
      <w:r w:rsidRPr="002D0AF3">
        <w:rPr>
          <w:rFonts w:ascii="Garamond" w:hAnsi="Garamond" w:cs="Arial"/>
          <w:sz w:val="24"/>
          <w:szCs w:val="24"/>
        </w:rPr>
        <w:t xml:space="preserve"> për:</w:t>
      </w:r>
    </w:p>
    <w:p w14:paraId="6049BFFA" w14:textId="005E3344" w:rsidR="00EF4A7A" w:rsidRPr="002D0AF3" w:rsidRDefault="00FB1F4A" w:rsidP="00FB1F4A">
      <w:pPr>
        <w:pStyle w:val="TEKSTIII"/>
      </w:pPr>
      <w:r w:rsidRPr="002D0AF3">
        <w:t xml:space="preserve">- </w:t>
      </w:r>
      <w:r w:rsidR="00EF4A7A" w:rsidRPr="002D0AF3">
        <w:t>Përmirësim të aftësive, njohurive dhe performancës së stafit të kontrollit zyrtar përmes trajnimeve</w:t>
      </w:r>
      <w:r w:rsidR="00B14BAA" w:rsidRPr="002D0AF3">
        <w:t>;</w:t>
      </w:r>
    </w:p>
    <w:p w14:paraId="0856C4AC" w14:textId="38E176DE" w:rsidR="00EF4A7A" w:rsidRPr="002D0AF3" w:rsidRDefault="00FB1F4A" w:rsidP="00FB1F4A">
      <w:pPr>
        <w:pStyle w:val="TEKSTIII"/>
      </w:pPr>
      <w:r w:rsidRPr="002D0AF3">
        <w:t xml:space="preserve">- </w:t>
      </w:r>
      <w:r w:rsidR="00EF4A7A" w:rsidRPr="002D0AF3">
        <w:t>Përmirësim të kapaciteteve organizative përmes politikave, planeve,</w:t>
      </w:r>
      <w:r w:rsidRPr="002D0AF3">
        <w:t xml:space="preserve"> legjislacionit dhe roleve dhe </w:t>
      </w:r>
      <w:r w:rsidR="00EF4A7A" w:rsidRPr="002D0AF3">
        <w:t>përgjegjësive të qarta</w:t>
      </w:r>
      <w:r w:rsidR="00B14BAA" w:rsidRPr="002D0AF3">
        <w:t>;</w:t>
      </w:r>
    </w:p>
    <w:p w14:paraId="03C3AEB7" w14:textId="3C9A0136" w:rsidR="00EF4A7A" w:rsidRPr="002D0AF3" w:rsidRDefault="00FB1F4A" w:rsidP="00FB1F4A">
      <w:pPr>
        <w:pStyle w:val="TEKSTIII"/>
      </w:pPr>
      <w:r w:rsidRPr="002D0AF3">
        <w:lastRenderedPageBreak/>
        <w:t xml:space="preserve">- </w:t>
      </w:r>
      <w:r w:rsidR="00EF4A7A" w:rsidRPr="002D0AF3">
        <w:t>Përmirësim të komunikimit dhe bashkëpunimit ndërmjet agjencive zyrtare për të punuar së bashku për të arritur të njëjtat qëllime</w:t>
      </w:r>
      <w:r w:rsidR="00B14BAA" w:rsidRPr="002D0AF3">
        <w:t>.</w:t>
      </w:r>
    </w:p>
    <w:p w14:paraId="051246C0" w14:textId="77777777" w:rsidR="00EF4A7A" w:rsidRPr="002D0AF3" w:rsidRDefault="00EF4A7A" w:rsidP="00EF4A7A">
      <w:pPr>
        <w:spacing w:after="0" w:line="240" w:lineRule="auto"/>
        <w:ind w:firstLine="284"/>
        <w:jc w:val="both"/>
        <w:rPr>
          <w:rFonts w:ascii="Garamond" w:hAnsi="Garamond" w:cs="Arial"/>
          <w:sz w:val="24"/>
          <w:szCs w:val="24"/>
        </w:rPr>
      </w:pPr>
    </w:p>
    <w:p w14:paraId="2930E3EE" w14:textId="7B2D3F51"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t>NËNOBJEKTIVI 4: VENDOSJA E BASHKËPUNIMIT TË FORTË DHE EFEKTIV KOMBËTAR DHE NDËRKOMBËTAR, DHE SHKËMBIMI I INFORMACIONIT PËR TË SIGURUAR QASJE TË INTEGRUAR EFEKTIVE NDAJ PLANIFIKIMIT, ZBATIMIT DHE MONITORIMIT</w:t>
      </w:r>
    </w:p>
    <w:p w14:paraId="7A1BB838" w14:textId="789DA84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Një sistem efektiv i sigurisë </w:t>
      </w:r>
      <w:r w:rsidR="005529A9" w:rsidRPr="002D0AF3">
        <w:rPr>
          <w:rFonts w:ascii="Garamond" w:hAnsi="Garamond" w:cs="Arial"/>
          <w:sz w:val="24"/>
          <w:szCs w:val="24"/>
        </w:rPr>
        <w:t>agroushqimor</w:t>
      </w:r>
      <w:r w:rsidRPr="002D0AF3">
        <w:rPr>
          <w:rFonts w:ascii="Garamond" w:hAnsi="Garamond" w:cs="Arial"/>
          <w:sz w:val="24"/>
          <w:szCs w:val="24"/>
        </w:rPr>
        <w:t>e mund të arrihet vetëm përmes bashkëpunimit ndërmjet të gjithë aktorëve. Angazhimi i përforcuar midis palëve të interesuara është jetik për të garantuar që kërkesat dhe mundësitë që një sistem efektiv i sigurisë ushqimore mund të sjellë, të kuptohen, diskutohen dhe hapat për të forcuar sistemin të ndërmerren në mënyrë të drejtë, të dakordësuar dhe transparente.</w:t>
      </w:r>
    </w:p>
    <w:p w14:paraId="147746D0"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Shqipëria synon të përmirësojë bashkëpunimin duke:</w:t>
      </w:r>
    </w:p>
    <w:p w14:paraId="3EE466D0" w14:textId="3E2ECFF1" w:rsidR="00EF4A7A" w:rsidRPr="002D0AF3" w:rsidRDefault="00697823" w:rsidP="00697823">
      <w:pPr>
        <w:pStyle w:val="TEKSTIII"/>
      </w:pPr>
      <w:r w:rsidRPr="002D0AF3">
        <w:t xml:space="preserve">- </w:t>
      </w:r>
      <w:r w:rsidR="00EF4A7A" w:rsidRPr="002D0AF3">
        <w:t>Krijimi i një grupi pune për të lehtësuar bashkëpunimin ndërmjet MBZHR</w:t>
      </w:r>
      <w:r w:rsidR="00B14BAA" w:rsidRPr="002D0AF3">
        <w:t>-së</w:t>
      </w:r>
      <w:r w:rsidR="00EF4A7A" w:rsidRPr="002D0AF3">
        <w:t>, AKU</w:t>
      </w:r>
      <w:r w:rsidR="00B14BAA" w:rsidRPr="002D0AF3">
        <w:t>-së</w:t>
      </w:r>
      <w:r w:rsidR="00EF4A7A" w:rsidRPr="002D0AF3">
        <w:t>, AKVMB</w:t>
      </w:r>
      <w:r w:rsidR="00B14BAA" w:rsidRPr="002D0AF3">
        <w:t>-së</w:t>
      </w:r>
      <w:r w:rsidR="00EF4A7A" w:rsidRPr="002D0AF3">
        <w:t>, ISUV</w:t>
      </w:r>
      <w:r w:rsidR="00B14BAA" w:rsidRPr="002D0AF3">
        <w:t>-së</w:t>
      </w:r>
      <w:r w:rsidR="00EF4A7A" w:rsidRPr="002D0AF3">
        <w:t xml:space="preserve"> MBZHR</w:t>
      </w:r>
      <w:r w:rsidR="00B14BAA" w:rsidRPr="002D0AF3">
        <w:t>-së</w:t>
      </w:r>
      <w:r w:rsidR="00EF4A7A" w:rsidRPr="002D0AF3">
        <w:t>, AKU</w:t>
      </w:r>
      <w:r w:rsidR="00B14BAA" w:rsidRPr="002D0AF3">
        <w:t>-së</w:t>
      </w:r>
      <w:r w:rsidR="00EF4A7A" w:rsidRPr="002D0AF3">
        <w:t xml:space="preserve"> dhe mbështetjen e planifikimit të programeve vjetore</w:t>
      </w:r>
      <w:r w:rsidR="003E60DD" w:rsidRPr="002D0AF3">
        <w:t xml:space="preserve"> </w:t>
      </w:r>
      <w:r w:rsidR="00EF4A7A" w:rsidRPr="002D0AF3">
        <w:t>kontrollit të bazuara në rrezik (inspektime dhe marrjes së kampioneve)</w:t>
      </w:r>
      <w:r w:rsidR="007E1C88" w:rsidRPr="002D0AF3">
        <w:t>;</w:t>
      </w:r>
    </w:p>
    <w:p w14:paraId="5B491DD1" w14:textId="3C6FB793" w:rsidR="00EF4A7A" w:rsidRPr="002D0AF3" w:rsidRDefault="00697823" w:rsidP="00697823">
      <w:pPr>
        <w:pStyle w:val="TEKSTIII"/>
      </w:pPr>
      <w:r w:rsidRPr="002D0AF3">
        <w:t xml:space="preserve">- </w:t>
      </w:r>
      <w:r w:rsidR="00EF4A7A" w:rsidRPr="002D0AF3">
        <w:t>Zhvillimi i një protokolli ndërinstitucional/institucional për t</w:t>
      </w:r>
      <w:r w:rsidR="007E1C88" w:rsidRPr="002D0AF3">
        <w:t>’</w:t>
      </w:r>
      <w:r w:rsidR="00EF4A7A" w:rsidRPr="002D0AF3">
        <w:t xml:space="preserve">u marrë me krizat </w:t>
      </w:r>
      <w:r w:rsidR="005529A9" w:rsidRPr="002D0AF3">
        <w:t>agroushqimor</w:t>
      </w:r>
      <w:r w:rsidR="00EF4A7A" w:rsidRPr="002D0AF3">
        <w:t>e/situatat emergjente</w:t>
      </w:r>
      <w:r w:rsidR="007E1C88" w:rsidRPr="002D0AF3">
        <w:t>;</w:t>
      </w:r>
    </w:p>
    <w:p w14:paraId="1F09B61E" w14:textId="1D079088" w:rsidR="00EF4A7A" w:rsidRPr="002D0AF3" w:rsidRDefault="00697823" w:rsidP="00697823">
      <w:pPr>
        <w:pStyle w:val="TEKSTIII"/>
      </w:pPr>
      <w:r w:rsidRPr="002D0AF3">
        <w:t xml:space="preserve">- </w:t>
      </w:r>
      <w:r w:rsidR="00EF4A7A" w:rsidRPr="002D0AF3">
        <w:t>Angazhimi dhe pjesëmarrja në forume në nivel ndërkombëtar</w:t>
      </w:r>
      <w:r w:rsidR="007E1C88" w:rsidRPr="002D0AF3">
        <w:t>,</w:t>
      </w:r>
      <w:r w:rsidR="00EF4A7A" w:rsidRPr="002D0AF3">
        <w:t xml:space="preserve"> për shembull</w:t>
      </w:r>
      <w:r w:rsidR="007E1C88" w:rsidRPr="002D0AF3">
        <w:t>,</w:t>
      </w:r>
      <w:r w:rsidR="00EF4A7A" w:rsidRPr="002D0AF3">
        <w:t xml:space="preserve"> OBSH, OBSHK, INFOSAN, AESU, dhe CodexAlimentarius.</w:t>
      </w:r>
    </w:p>
    <w:p w14:paraId="529C528C" w14:textId="77777777" w:rsidR="00EF4A7A" w:rsidRPr="002D0AF3" w:rsidRDefault="00EF4A7A" w:rsidP="00EF4A7A">
      <w:pPr>
        <w:pStyle w:val="Heading2"/>
        <w:spacing w:before="0" w:line="240" w:lineRule="auto"/>
        <w:ind w:firstLine="284"/>
        <w:jc w:val="both"/>
        <w:rPr>
          <w:rFonts w:ascii="Garamond" w:hAnsi="Garamond" w:cs="Arial"/>
          <w:color w:val="auto"/>
          <w:sz w:val="24"/>
          <w:szCs w:val="24"/>
        </w:rPr>
      </w:pPr>
      <w:bookmarkStart w:id="17" w:name="_Toc119667597"/>
    </w:p>
    <w:p w14:paraId="5217A0CC" w14:textId="6EA2C69B" w:rsidR="00EF4A7A" w:rsidRPr="002D0AF3" w:rsidRDefault="00EF4A7A" w:rsidP="00EF4A7A">
      <w:pPr>
        <w:pStyle w:val="Heading2"/>
        <w:spacing w:before="0" w:line="240" w:lineRule="auto"/>
        <w:ind w:firstLine="284"/>
        <w:jc w:val="both"/>
        <w:rPr>
          <w:rFonts w:ascii="Garamond" w:hAnsi="Garamond" w:cs="Arial"/>
          <w:color w:val="auto"/>
          <w:sz w:val="24"/>
          <w:szCs w:val="24"/>
        </w:rPr>
      </w:pPr>
      <w:r w:rsidRPr="002D0AF3">
        <w:rPr>
          <w:rFonts w:ascii="Garamond" w:hAnsi="Garamond" w:cs="Arial"/>
          <w:color w:val="auto"/>
          <w:sz w:val="24"/>
          <w:szCs w:val="24"/>
        </w:rPr>
        <w:t xml:space="preserve">Qëllimi i </w:t>
      </w:r>
      <w:r w:rsidR="007E1C88" w:rsidRPr="002D0AF3">
        <w:rPr>
          <w:rFonts w:ascii="Garamond" w:hAnsi="Garamond" w:cs="Arial"/>
          <w:color w:val="auto"/>
          <w:sz w:val="24"/>
          <w:szCs w:val="24"/>
        </w:rPr>
        <w:t xml:space="preserve">politikave </w:t>
      </w:r>
      <w:r w:rsidRPr="002D0AF3">
        <w:rPr>
          <w:rFonts w:ascii="Garamond" w:hAnsi="Garamond" w:cs="Arial"/>
          <w:color w:val="auto"/>
          <w:sz w:val="24"/>
          <w:szCs w:val="24"/>
        </w:rPr>
        <w:t xml:space="preserve">3: Forcimi i </w:t>
      </w:r>
      <w:r w:rsidR="007E1C88" w:rsidRPr="002D0AF3">
        <w:rPr>
          <w:rFonts w:ascii="Garamond" w:hAnsi="Garamond" w:cs="Arial"/>
          <w:color w:val="auto"/>
          <w:sz w:val="24"/>
          <w:szCs w:val="24"/>
        </w:rPr>
        <w:t xml:space="preserve">pajtueshmërisë </w:t>
      </w:r>
      <w:r w:rsidRPr="002D0AF3">
        <w:rPr>
          <w:rFonts w:ascii="Garamond" w:hAnsi="Garamond" w:cs="Arial"/>
          <w:color w:val="auto"/>
          <w:sz w:val="24"/>
          <w:szCs w:val="24"/>
        </w:rPr>
        <w:t xml:space="preserve">në të gjithë </w:t>
      </w:r>
      <w:r w:rsidR="007E1C88" w:rsidRPr="002D0AF3">
        <w:rPr>
          <w:rFonts w:ascii="Garamond" w:hAnsi="Garamond" w:cs="Arial"/>
          <w:color w:val="auto"/>
          <w:sz w:val="24"/>
          <w:szCs w:val="24"/>
        </w:rPr>
        <w:t>sektorin agroushqimor</w:t>
      </w:r>
      <w:bookmarkEnd w:id="17"/>
    </w:p>
    <w:p w14:paraId="30CAE35B" w14:textId="4558C1FE" w:rsidR="00EF4A7A" w:rsidRPr="002D0AF3" w:rsidRDefault="00EF4A7A" w:rsidP="00EF4A7A">
      <w:pPr>
        <w:spacing w:after="0" w:line="240" w:lineRule="auto"/>
        <w:ind w:firstLine="284"/>
        <w:jc w:val="both"/>
        <w:rPr>
          <w:rFonts w:ascii="Garamond" w:hAnsi="Garamond" w:cs="Arial"/>
          <w:b/>
          <w:bCs/>
          <w:sz w:val="24"/>
          <w:szCs w:val="24"/>
        </w:rPr>
      </w:pPr>
      <w:r w:rsidRPr="002D0AF3">
        <w:rPr>
          <w:rFonts w:ascii="Garamond" w:hAnsi="Garamond" w:cs="Arial"/>
          <w:b/>
          <w:bCs/>
          <w:sz w:val="24"/>
          <w:szCs w:val="24"/>
        </w:rPr>
        <w:t xml:space="preserve">Sektori </w:t>
      </w:r>
      <w:r w:rsidR="007E1C88" w:rsidRPr="002D0AF3">
        <w:rPr>
          <w:rFonts w:ascii="Garamond" w:hAnsi="Garamond" w:cs="Arial"/>
          <w:b/>
          <w:bCs/>
          <w:sz w:val="24"/>
          <w:szCs w:val="24"/>
        </w:rPr>
        <w:t>ushqimor</w:t>
      </w:r>
    </w:p>
    <w:p w14:paraId="7280F2D9" w14:textId="6C725408"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Bizneset </w:t>
      </w:r>
      <w:r w:rsidR="005529A9" w:rsidRPr="002D0AF3">
        <w:rPr>
          <w:rFonts w:ascii="Garamond" w:hAnsi="Garamond" w:cs="Arial"/>
          <w:sz w:val="24"/>
          <w:szCs w:val="24"/>
        </w:rPr>
        <w:t>agroushqimor</w:t>
      </w:r>
      <w:r w:rsidRPr="002D0AF3">
        <w:rPr>
          <w:rFonts w:ascii="Garamond" w:hAnsi="Garamond" w:cs="Arial"/>
          <w:sz w:val="24"/>
          <w:szCs w:val="24"/>
        </w:rPr>
        <w:t xml:space="preserve">e në Shqipëri kanë përgjegjësinë parësore dhe ligjore për të siguruar që ushqimi që hedhin në treg të jetë i sigurt. Rritja e kulturës së sigurisë ushqimore dhe angazhimit të bizneseve </w:t>
      </w:r>
      <w:r w:rsidR="005529A9" w:rsidRPr="002D0AF3">
        <w:rPr>
          <w:rFonts w:ascii="Garamond" w:hAnsi="Garamond" w:cs="Arial"/>
          <w:sz w:val="24"/>
          <w:szCs w:val="24"/>
        </w:rPr>
        <w:t>agroushqimor</w:t>
      </w:r>
      <w:r w:rsidRPr="002D0AF3">
        <w:rPr>
          <w:rFonts w:ascii="Garamond" w:hAnsi="Garamond" w:cs="Arial"/>
          <w:sz w:val="24"/>
          <w:szCs w:val="24"/>
        </w:rPr>
        <w:t>e është e dobishme për rregullatorin, konsumatorin dhe vetë biznesin. Demonstrimi i përkushtimit për hedhjen e ushqimit të sigurt në tregun vend</w:t>
      </w:r>
      <w:r w:rsidR="00A51455" w:rsidRPr="002D0AF3">
        <w:rPr>
          <w:rFonts w:ascii="Garamond" w:hAnsi="Garamond" w:cs="Arial"/>
          <w:sz w:val="24"/>
          <w:szCs w:val="24"/>
        </w:rPr>
        <w:t>ë</w:t>
      </w:r>
      <w:r w:rsidRPr="002D0AF3">
        <w:rPr>
          <w:rFonts w:ascii="Garamond" w:hAnsi="Garamond" w:cs="Arial"/>
          <w:sz w:val="24"/>
          <w:szCs w:val="24"/>
        </w:rPr>
        <w:t>s dhe atë ndërkombëtar mund të çojë në rritjen e besimit të konsumatorëve, rritjen e besimit nga organet qeveritare, njohjen si liderë të industrisë dhe rritje të mundësive të tregut.</w:t>
      </w:r>
    </w:p>
    <w:p w14:paraId="57F15209" w14:textId="30A16969"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Ndërhyrjet e qeverisë për rritjen e angazhimit për sigurinë ushqimore mund të përfshijnë mekanizma të thjeshtë si angazhimi i hapur, transparent dhe i vazhdueshëm dhe shkëmbimi i informacionit me industrinë për çështjet rregullatore dhe mekanizma me më shumë burime intensive, si mbështetja dhe asistenca për ndërmarrjet e vogla dhe të mesme (NVM) për t</w:t>
      </w:r>
      <w:r w:rsidR="00A51455" w:rsidRPr="002D0AF3">
        <w:rPr>
          <w:rFonts w:ascii="Garamond" w:hAnsi="Garamond" w:cs="Arial"/>
          <w:sz w:val="24"/>
          <w:szCs w:val="24"/>
        </w:rPr>
        <w:t>’</w:t>
      </w:r>
      <w:r w:rsidRPr="002D0AF3">
        <w:rPr>
          <w:rFonts w:ascii="Garamond" w:hAnsi="Garamond" w:cs="Arial"/>
          <w:sz w:val="24"/>
          <w:szCs w:val="24"/>
        </w:rPr>
        <w:t xml:space="preserve">i ndihmuar ato për arritjen e përputhshmërisë me kërkesat kombëtare të sigurisë </w:t>
      </w:r>
      <w:r w:rsidR="005529A9" w:rsidRPr="002D0AF3">
        <w:rPr>
          <w:rFonts w:ascii="Garamond" w:hAnsi="Garamond" w:cs="Arial"/>
          <w:sz w:val="24"/>
          <w:szCs w:val="24"/>
        </w:rPr>
        <w:t>agroushqimor</w:t>
      </w:r>
      <w:r w:rsidRPr="002D0AF3">
        <w:rPr>
          <w:rFonts w:ascii="Garamond" w:hAnsi="Garamond" w:cs="Arial"/>
          <w:sz w:val="24"/>
          <w:szCs w:val="24"/>
        </w:rPr>
        <w:t>e.</w:t>
      </w:r>
    </w:p>
    <w:p w14:paraId="5FE50FFD" w14:textId="57E2AA76"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Tre nënobjektivat e mëposhtëm përcaktohen nën këtë qëllim të politikave: </w:t>
      </w:r>
    </w:p>
    <w:p w14:paraId="20B1304F" w14:textId="2DB246F6"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sz w:val="24"/>
          <w:szCs w:val="24"/>
        </w:rPr>
        <w:t xml:space="preserve"> </w:t>
      </w:r>
      <w:r w:rsidRPr="002D0AF3">
        <w:rPr>
          <w:rFonts w:ascii="Garamond" w:hAnsi="Garamond" w:cs="Arial"/>
          <w:bCs/>
          <w:sz w:val="24"/>
          <w:szCs w:val="24"/>
        </w:rPr>
        <w:t xml:space="preserve">NËNOBJEKTIVI 1: KRIJIMI I BASHKËPUNIMIT TË AFËRT ME SEKTORIN </w:t>
      </w:r>
      <w:r w:rsidR="005529A9" w:rsidRPr="002D0AF3">
        <w:rPr>
          <w:rFonts w:ascii="Garamond" w:hAnsi="Garamond" w:cs="Arial"/>
          <w:bCs/>
          <w:sz w:val="24"/>
          <w:szCs w:val="24"/>
        </w:rPr>
        <w:t>AGROUSHQIMOR</w:t>
      </w:r>
    </w:p>
    <w:p w14:paraId="48970052" w14:textId="3F48E692"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Niveli i lartë i angazhimit dhe shkëmbimi i informacionit është thelbësor për të siguruar që bizneset </w:t>
      </w:r>
      <w:r w:rsidR="005529A9" w:rsidRPr="002D0AF3">
        <w:rPr>
          <w:rFonts w:ascii="Garamond" w:hAnsi="Garamond" w:cs="Arial"/>
          <w:sz w:val="24"/>
          <w:szCs w:val="24"/>
        </w:rPr>
        <w:t>agroushqimor</w:t>
      </w:r>
      <w:r w:rsidRPr="002D0AF3">
        <w:rPr>
          <w:rFonts w:ascii="Garamond" w:hAnsi="Garamond" w:cs="Arial"/>
          <w:sz w:val="24"/>
          <w:szCs w:val="24"/>
        </w:rPr>
        <w:t>e në Shqipëri të kenë akses në informacionin e përditësuar dhe të saktë për t</w:t>
      </w:r>
      <w:r w:rsidR="004C08A7" w:rsidRPr="002D0AF3">
        <w:rPr>
          <w:rFonts w:ascii="Garamond" w:hAnsi="Garamond" w:cs="Arial"/>
          <w:sz w:val="24"/>
          <w:szCs w:val="24"/>
        </w:rPr>
        <w:t>’</w:t>
      </w:r>
      <w:r w:rsidRPr="002D0AF3">
        <w:rPr>
          <w:rFonts w:ascii="Garamond" w:hAnsi="Garamond" w:cs="Arial"/>
          <w:sz w:val="24"/>
          <w:szCs w:val="24"/>
        </w:rPr>
        <w:t xml:space="preserve">i ndihmuar ata që të sigurojnë që ushqime të pasigurta të mos hidhen në treg. Është e rëndësishme që sektori </w:t>
      </w:r>
      <w:r w:rsidR="005529A9" w:rsidRPr="002D0AF3">
        <w:rPr>
          <w:rFonts w:ascii="Garamond" w:hAnsi="Garamond" w:cs="Arial"/>
          <w:sz w:val="24"/>
          <w:szCs w:val="24"/>
        </w:rPr>
        <w:t>agroushqimor</w:t>
      </w:r>
      <w:r w:rsidRPr="002D0AF3">
        <w:rPr>
          <w:rFonts w:ascii="Garamond" w:hAnsi="Garamond" w:cs="Arial"/>
          <w:sz w:val="24"/>
          <w:szCs w:val="24"/>
        </w:rPr>
        <w:t xml:space="preserve"> të ketë një platformë për të ngritur çdo problem që ata përjetojnë, në mënyrë që çështjet të shqyrtohen dhe bizneset të mund të mbështeten dhe drejtohen aty ku është e mundur. Mekanizmat për komunikimin e informacionit, në veçanti, gjatë periudhave të krizave ose situatave emergjente janë thelbësore për të garantuar që masat korrigjuese veprojnë në kohën e duhur.</w:t>
      </w:r>
    </w:p>
    <w:p w14:paraId="63F4176A" w14:textId="6AC23A1D"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MBZHR-ja merr përsipër të angazhohet në mënyrë aktive me aktorët kryesorë për të nxitur dhe promovuar kulturën e sigurisë ushqimore dhe pajtueshmëri brenda industrisë </w:t>
      </w:r>
      <w:r w:rsidR="005529A9" w:rsidRPr="002D0AF3">
        <w:rPr>
          <w:rFonts w:ascii="Garamond" w:hAnsi="Garamond" w:cs="Arial"/>
          <w:sz w:val="24"/>
          <w:szCs w:val="24"/>
        </w:rPr>
        <w:t>agroushqimor</w:t>
      </w:r>
      <w:r w:rsidRPr="002D0AF3">
        <w:rPr>
          <w:rFonts w:ascii="Garamond" w:hAnsi="Garamond" w:cs="Arial"/>
          <w:sz w:val="24"/>
          <w:szCs w:val="24"/>
        </w:rPr>
        <w:t>e të Shqipërisë</w:t>
      </w:r>
      <w:r w:rsidR="004C08A7" w:rsidRPr="002D0AF3">
        <w:rPr>
          <w:rFonts w:ascii="Garamond" w:hAnsi="Garamond" w:cs="Arial"/>
          <w:sz w:val="24"/>
          <w:szCs w:val="24"/>
        </w:rPr>
        <w:t>.</w:t>
      </w:r>
    </w:p>
    <w:p w14:paraId="121BF71C" w14:textId="383C6AE3"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lastRenderedPageBreak/>
        <w:t>NËNOBJEKTIVI 2: KRIJIMI I NJË QASJEJE TË KOMUNIKIMIT EFEKTIV PËR TË SIGURUAR INFORMACION TË PËRDITËSUAR DHE KËSHILLA PRAKTIKE PËR SEKTORIN MBI PËRMIRËSIMIN E SIGURISË USHQIMORE DHE TË PLOTËSIMIN E STANDARDEVE TË SIGURISË USHQIMORE</w:t>
      </w:r>
    </w:p>
    <w:p w14:paraId="55E3A4B1" w14:textId="1D6782F3"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Si organ qeveritar, MBZHR-ja duhet të sigurojë komunikim të mirë me palët e interesit, veçanërisht për të siguruar që sektori </w:t>
      </w:r>
      <w:r w:rsidR="005529A9" w:rsidRPr="002D0AF3">
        <w:rPr>
          <w:rFonts w:ascii="Garamond" w:hAnsi="Garamond" w:cs="Arial"/>
          <w:sz w:val="24"/>
          <w:szCs w:val="24"/>
        </w:rPr>
        <w:t>agroushqimor</w:t>
      </w:r>
      <w:r w:rsidRPr="002D0AF3">
        <w:rPr>
          <w:rFonts w:ascii="Garamond" w:hAnsi="Garamond" w:cs="Arial"/>
          <w:sz w:val="24"/>
          <w:szCs w:val="24"/>
        </w:rPr>
        <w:t xml:space="preserve"> të mbahet i përditësuar dhe të informohet rregullisht për çdo fushë që përbën interes për ta.</w:t>
      </w:r>
    </w:p>
    <w:p w14:paraId="19320AFF" w14:textId="7F1E99B2"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MBZHR-ja dhe autoritetet e tjera kompetente përpiqen të bashkëpunojnë në fushatat e sigurisë </w:t>
      </w:r>
      <w:r w:rsidR="005529A9" w:rsidRPr="002D0AF3">
        <w:rPr>
          <w:rFonts w:ascii="Garamond" w:hAnsi="Garamond" w:cs="Arial"/>
          <w:sz w:val="24"/>
          <w:szCs w:val="24"/>
        </w:rPr>
        <w:t>agroushqimor</w:t>
      </w:r>
      <w:r w:rsidRPr="002D0AF3">
        <w:rPr>
          <w:rFonts w:ascii="Garamond" w:hAnsi="Garamond" w:cs="Arial"/>
          <w:sz w:val="24"/>
          <w:szCs w:val="24"/>
        </w:rPr>
        <w:t>e dhe të punojnë së bashku për të siguruar që mesazhet të arrijnë te</w:t>
      </w:r>
      <w:r w:rsidR="004C08A7" w:rsidRPr="002D0AF3">
        <w:rPr>
          <w:rFonts w:ascii="Garamond" w:hAnsi="Garamond" w:cs="Arial"/>
          <w:sz w:val="24"/>
          <w:szCs w:val="24"/>
        </w:rPr>
        <w:t xml:space="preserve"> </w:t>
      </w:r>
      <w:r w:rsidRPr="002D0AF3">
        <w:rPr>
          <w:rFonts w:ascii="Garamond" w:hAnsi="Garamond" w:cs="Arial"/>
          <w:sz w:val="24"/>
          <w:szCs w:val="24"/>
        </w:rPr>
        <w:t>palët e duhura të interesit. Trajnimet dhe seminaret janë mjete të rëndësishme të komunikimit të mesazheve dhe duhet të përdoren për të ndihmuar bizneset ushqimore të përmirësojnë sigurinë ushqimore dhe standardet e sigurisë ushqimore.</w:t>
      </w:r>
    </w:p>
    <w:p w14:paraId="2FDC934F" w14:textId="428F4102"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MBZHR-ja dhe autoritetet e tjera kompetente përdorin faqet e tyre të internetit dhe venë në përdorim faqet e medi</w:t>
      </w:r>
      <w:r w:rsidR="006D2A34">
        <w:rPr>
          <w:rFonts w:ascii="Garamond" w:hAnsi="Garamond" w:cs="Arial"/>
          <w:sz w:val="24"/>
          <w:szCs w:val="24"/>
        </w:rPr>
        <w:t>e</w:t>
      </w:r>
      <w:r w:rsidRPr="002D0AF3">
        <w:rPr>
          <w:rFonts w:ascii="Garamond" w:hAnsi="Garamond" w:cs="Arial"/>
          <w:sz w:val="24"/>
          <w:szCs w:val="24"/>
        </w:rPr>
        <w:t xml:space="preserve">ve sociale si mjete komunikimi për të ndërvepruar në mënyrë proaktive me sektorin </w:t>
      </w:r>
      <w:r w:rsidR="005529A9" w:rsidRPr="002D0AF3">
        <w:rPr>
          <w:rFonts w:ascii="Garamond" w:hAnsi="Garamond" w:cs="Arial"/>
          <w:sz w:val="24"/>
          <w:szCs w:val="24"/>
        </w:rPr>
        <w:t>agroushqimor</w:t>
      </w:r>
      <w:r w:rsidRPr="002D0AF3">
        <w:rPr>
          <w:rFonts w:ascii="Garamond" w:hAnsi="Garamond" w:cs="Arial"/>
          <w:sz w:val="24"/>
          <w:szCs w:val="24"/>
        </w:rPr>
        <w:t xml:space="preserve"> dhe për të ndërtuar një komunitet informues për këtë sektor.</w:t>
      </w:r>
    </w:p>
    <w:p w14:paraId="3C0BF9CB" w14:textId="2A37608C"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MBZHR-ja do të vazhdojë të ndërtojë marrëdhënie me medi</w:t>
      </w:r>
      <w:r w:rsidR="004C08A7" w:rsidRPr="002D0AF3">
        <w:rPr>
          <w:rFonts w:ascii="Garamond" w:hAnsi="Garamond" w:cs="Arial"/>
          <w:sz w:val="24"/>
          <w:szCs w:val="24"/>
        </w:rPr>
        <w:t>e</w:t>
      </w:r>
      <w:r w:rsidRPr="002D0AF3">
        <w:rPr>
          <w:rFonts w:ascii="Garamond" w:hAnsi="Garamond" w:cs="Arial"/>
          <w:sz w:val="24"/>
          <w:szCs w:val="24"/>
        </w:rPr>
        <w:t>n dhe të nxjerrë njoftime për shtyp për t</w:t>
      </w:r>
      <w:r w:rsidR="004055F4" w:rsidRPr="002D0AF3">
        <w:rPr>
          <w:rFonts w:ascii="Garamond" w:hAnsi="Garamond" w:cs="Arial"/>
          <w:sz w:val="24"/>
          <w:szCs w:val="24"/>
        </w:rPr>
        <w:t>’</w:t>
      </w:r>
      <w:r w:rsidRPr="002D0AF3">
        <w:rPr>
          <w:rFonts w:ascii="Garamond" w:hAnsi="Garamond" w:cs="Arial"/>
          <w:sz w:val="24"/>
          <w:szCs w:val="24"/>
        </w:rPr>
        <w:t xml:space="preserve">i komunikuar industrisë informacion mbi sigurinë </w:t>
      </w:r>
      <w:r w:rsidR="005529A9" w:rsidRPr="002D0AF3">
        <w:rPr>
          <w:rFonts w:ascii="Garamond" w:hAnsi="Garamond" w:cs="Arial"/>
          <w:sz w:val="24"/>
          <w:szCs w:val="24"/>
        </w:rPr>
        <w:t>agroushqimor</w:t>
      </w:r>
      <w:r w:rsidRPr="002D0AF3">
        <w:rPr>
          <w:rFonts w:ascii="Garamond" w:hAnsi="Garamond" w:cs="Arial"/>
          <w:sz w:val="24"/>
          <w:szCs w:val="24"/>
        </w:rPr>
        <w:t>e.</w:t>
      </w:r>
    </w:p>
    <w:p w14:paraId="327AAE26" w14:textId="2DF11B78"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MBZHR</w:t>
      </w:r>
      <w:r w:rsidR="004055F4" w:rsidRPr="002D0AF3">
        <w:rPr>
          <w:rFonts w:ascii="Garamond" w:hAnsi="Garamond" w:cs="Arial"/>
          <w:sz w:val="24"/>
          <w:szCs w:val="24"/>
        </w:rPr>
        <w:t>-ja</w:t>
      </w:r>
      <w:r w:rsidRPr="002D0AF3">
        <w:rPr>
          <w:rFonts w:ascii="Garamond" w:hAnsi="Garamond" w:cs="Arial"/>
          <w:sz w:val="24"/>
          <w:szCs w:val="24"/>
        </w:rPr>
        <w:t xml:space="preserve"> angazhohet të krijojë grupet e industrisë për të ndihmuar në arritjen e pajtueshmërisë me ligjin e ushqimit dhe për të ruajtur standarde të larta</w:t>
      </w:r>
    </w:p>
    <w:p w14:paraId="363320CC" w14:textId="694966ED" w:rsidR="00EF4A7A" w:rsidRPr="0011254B" w:rsidRDefault="00EF4A7A" w:rsidP="00EF4A7A">
      <w:pPr>
        <w:spacing w:after="0" w:line="240" w:lineRule="auto"/>
        <w:ind w:firstLine="284"/>
        <w:jc w:val="both"/>
        <w:rPr>
          <w:rFonts w:ascii="Garamond" w:hAnsi="Garamond" w:cs="Arial"/>
          <w:bCs/>
          <w:sz w:val="24"/>
          <w:szCs w:val="24"/>
        </w:rPr>
      </w:pPr>
      <w:r w:rsidRPr="0011254B">
        <w:rPr>
          <w:rFonts w:ascii="Garamond" w:hAnsi="Garamond" w:cs="Arial"/>
          <w:bCs/>
          <w:sz w:val="24"/>
          <w:szCs w:val="24"/>
        </w:rPr>
        <w:t>NËNOBJEKTIVI 3: PËRMIRËSIMI I EKSPERTIZËS TEKNIKE TË OPERATORËVE MBI ZBATIMIN E STANDARDEVE TË SIGURISË USHQIMORE</w:t>
      </w:r>
    </w:p>
    <w:p w14:paraId="627E0EDE"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Rritja e ndërgjegjësimit se si të garantohet siguria ushqimore ndihmon në forcimin e praktikave të industrisë ushqimore.</w:t>
      </w:r>
    </w:p>
    <w:p w14:paraId="190D55E8" w14:textId="6EB6D41D"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Seminaret dhe </w:t>
      </w:r>
      <w:r w:rsidR="00817616" w:rsidRPr="002D0AF3">
        <w:rPr>
          <w:rFonts w:ascii="Garamond" w:hAnsi="Garamond" w:cs="Arial"/>
          <w:sz w:val="24"/>
          <w:szCs w:val="24"/>
        </w:rPr>
        <w:t>u</w:t>
      </w:r>
      <w:r w:rsidRPr="002D0AF3">
        <w:rPr>
          <w:rFonts w:ascii="Garamond" w:hAnsi="Garamond" w:cs="Arial"/>
          <w:sz w:val="24"/>
          <w:szCs w:val="24"/>
        </w:rPr>
        <w:t xml:space="preserve">ebinaret janë një mënyrë e dobishme për t’ua përcjellë njohuritë dhe ekspertizën teknike grupeve më të mëdha. MBZHR-ja planifikon seminare dhe </w:t>
      </w:r>
      <w:r w:rsidR="00817616" w:rsidRPr="002D0AF3">
        <w:rPr>
          <w:rFonts w:ascii="Garamond" w:hAnsi="Garamond" w:cs="Arial"/>
          <w:sz w:val="24"/>
          <w:szCs w:val="24"/>
        </w:rPr>
        <w:t>u</w:t>
      </w:r>
      <w:r w:rsidRPr="002D0AF3">
        <w:rPr>
          <w:rFonts w:ascii="Garamond" w:hAnsi="Garamond" w:cs="Arial"/>
          <w:sz w:val="24"/>
          <w:szCs w:val="24"/>
        </w:rPr>
        <w:t xml:space="preserve">ebinare të synuara gjatë gjithë vitit, ku sektori </w:t>
      </w:r>
      <w:r w:rsidR="005529A9" w:rsidRPr="002D0AF3">
        <w:rPr>
          <w:rFonts w:ascii="Garamond" w:hAnsi="Garamond" w:cs="Arial"/>
          <w:sz w:val="24"/>
          <w:szCs w:val="24"/>
        </w:rPr>
        <w:t>agroushqimor</w:t>
      </w:r>
      <w:r w:rsidRPr="002D0AF3">
        <w:rPr>
          <w:rFonts w:ascii="Garamond" w:hAnsi="Garamond" w:cs="Arial"/>
          <w:sz w:val="24"/>
          <w:szCs w:val="24"/>
        </w:rPr>
        <w:t xml:space="preserve"> mund të marrë pjesë për të përmirësuar aftësitë në fusha të caktuara, për t'i ndihmuar ata në përputhje me legjislacionin për ushqimin dhe arritjen e standardeve të larta </w:t>
      </w:r>
    </w:p>
    <w:p w14:paraId="2FA57767" w14:textId="77777777" w:rsidR="00EF4A7A" w:rsidRPr="002D0AF3" w:rsidRDefault="00EF4A7A" w:rsidP="00EF4A7A">
      <w:pPr>
        <w:spacing w:after="0" w:line="240" w:lineRule="auto"/>
        <w:ind w:firstLine="284"/>
        <w:rPr>
          <w:rFonts w:ascii="Garamond" w:hAnsi="Garamond" w:cs="Arial"/>
          <w:sz w:val="24"/>
          <w:szCs w:val="24"/>
        </w:rPr>
      </w:pPr>
    </w:p>
    <w:p w14:paraId="79E28740" w14:textId="69C606C9" w:rsidR="00EF4A7A" w:rsidRPr="002D0AF3" w:rsidRDefault="00EF4A7A" w:rsidP="00EF4A7A">
      <w:pPr>
        <w:pStyle w:val="Heading2"/>
        <w:spacing w:before="0" w:line="240" w:lineRule="auto"/>
        <w:ind w:firstLine="284"/>
        <w:jc w:val="both"/>
        <w:rPr>
          <w:rFonts w:ascii="Garamond" w:hAnsi="Garamond" w:cs="Arial"/>
          <w:color w:val="auto"/>
          <w:sz w:val="24"/>
          <w:szCs w:val="24"/>
        </w:rPr>
      </w:pPr>
      <w:bookmarkStart w:id="18" w:name="_Toc119667598"/>
      <w:r w:rsidRPr="002D0AF3">
        <w:rPr>
          <w:rFonts w:ascii="Garamond" w:hAnsi="Garamond" w:cs="Arial"/>
          <w:color w:val="auto"/>
          <w:sz w:val="24"/>
          <w:szCs w:val="24"/>
        </w:rPr>
        <w:t xml:space="preserve">Qëllimi i politikave 4: Fuqizimi i </w:t>
      </w:r>
      <w:r w:rsidR="00817616" w:rsidRPr="002D0AF3">
        <w:rPr>
          <w:rFonts w:ascii="Garamond" w:hAnsi="Garamond" w:cs="Arial"/>
          <w:color w:val="auto"/>
          <w:sz w:val="24"/>
          <w:szCs w:val="24"/>
        </w:rPr>
        <w:t xml:space="preserve">konsumatorit </w:t>
      </w:r>
      <w:r w:rsidRPr="002D0AF3">
        <w:rPr>
          <w:rFonts w:ascii="Garamond" w:hAnsi="Garamond" w:cs="Arial"/>
          <w:color w:val="auto"/>
          <w:sz w:val="24"/>
          <w:szCs w:val="24"/>
        </w:rPr>
        <w:t>për të marrë vendime të informuara</w:t>
      </w:r>
      <w:bookmarkEnd w:id="18"/>
    </w:p>
    <w:p w14:paraId="7691AA78" w14:textId="77777777" w:rsidR="00EF4A7A" w:rsidRPr="002D0AF3" w:rsidRDefault="00EF4A7A" w:rsidP="00EF4A7A">
      <w:pPr>
        <w:spacing w:after="0" w:line="240" w:lineRule="auto"/>
        <w:ind w:firstLine="284"/>
        <w:jc w:val="both"/>
        <w:rPr>
          <w:rFonts w:ascii="Garamond" w:hAnsi="Garamond" w:cs="Arial"/>
          <w:b/>
          <w:bCs/>
          <w:sz w:val="24"/>
          <w:szCs w:val="24"/>
        </w:rPr>
      </w:pPr>
      <w:r w:rsidRPr="002D0AF3">
        <w:rPr>
          <w:rFonts w:ascii="Garamond" w:hAnsi="Garamond" w:cs="Arial"/>
          <w:b/>
          <w:bCs/>
          <w:sz w:val="24"/>
          <w:szCs w:val="24"/>
        </w:rPr>
        <w:t>Vendimet</w:t>
      </w:r>
    </w:p>
    <w:p w14:paraId="4D45A8BE" w14:textId="5F689638"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Të gjitha organet zyrtare të kontrollit përgjegjëse për sigurinë ushqimore në Shqipëri janë të angazhuar për të rregulluar në mënyrë efikase, të harmonizuar dhe të qëndrueshme, në mënyrë që të garantojnë mbrojtjen e të gjitha grupeve të konsumatorëve, të rinj dhe të vjetër, në të gjithë vendin. Konsumatorët</w:t>
      </w:r>
      <w:r w:rsidR="00257E84" w:rsidRPr="002D0AF3">
        <w:rPr>
          <w:rFonts w:ascii="Garamond" w:hAnsi="Garamond" w:cs="Arial"/>
          <w:sz w:val="24"/>
          <w:szCs w:val="24"/>
        </w:rPr>
        <w:t>,</w:t>
      </w:r>
      <w:r w:rsidRPr="002D0AF3">
        <w:rPr>
          <w:rFonts w:ascii="Garamond" w:hAnsi="Garamond" w:cs="Arial"/>
          <w:sz w:val="24"/>
          <w:szCs w:val="24"/>
        </w:rPr>
        <w:t xml:space="preserve"> gjithashtu</w:t>
      </w:r>
      <w:r w:rsidR="00257E84" w:rsidRPr="002D0AF3">
        <w:rPr>
          <w:rFonts w:ascii="Garamond" w:hAnsi="Garamond" w:cs="Arial"/>
          <w:sz w:val="24"/>
          <w:szCs w:val="24"/>
        </w:rPr>
        <w:t>,</w:t>
      </w:r>
      <w:r w:rsidRPr="002D0AF3">
        <w:rPr>
          <w:rFonts w:ascii="Garamond" w:hAnsi="Garamond" w:cs="Arial"/>
          <w:sz w:val="24"/>
          <w:szCs w:val="24"/>
        </w:rPr>
        <w:t xml:space="preserve"> luajnë një rol të rëndësishëm në sistemin e sigurisë ushqimore</w:t>
      </w:r>
      <w:r w:rsidR="00257E84" w:rsidRPr="002D0AF3">
        <w:rPr>
          <w:rFonts w:ascii="Garamond" w:hAnsi="Garamond" w:cs="Arial"/>
          <w:sz w:val="24"/>
          <w:szCs w:val="24"/>
        </w:rPr>
        <w:t>,</w:t>
      </w:r>
      <w:r w:rsidRPr="002D0AF3">
        <w:rPr>
          <w:rFonts w:ascii="Garamond" w:hAnsi="Garamond" w:cs="Arial"/>
          <w:sz w:val="24"/>
          <w:szCs w:val="24"/>
        </w:rPr>
        <w:t xml:space="preserve"> pasi praktikat dhe sjellja e tyre mund të ndikojnë në shkallën e sëmundjeve të shkaktuara nga ushqimi. Konsumimi i ushqimeve të pasigurta mund të shkaktojë efekte të menjëhershme, akute negative shëndetësore ose në disa raste efekte të heshtura kronike, më afatgjata.</w:t>
      </w:r>
    </w:p>
    <w:p w14:paraId="04676834" w14:textId="07AC3DC2"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Komunikimi dhe edukimi efektiv i rrezikut mund t</w:t>
      </w:r>
      <w:r w:rsidR="00257E84" w:rsidRPr="002D0AF3">
        <w:rPr>
          <w:rFonts w:ascii="Garamond" w:hAnsi="Garamond" w:cs="Arial"/>
          <w:sz w:val="24"/>
          <w:szCs w:val="24"/>
        </w:rPr>
        <w:t>’</w:t>
      </w:r>
      <w:r w:rsidRPr="002D0AF3">
        <w:rPr>
          <w:rFonts w:ascii="Garamond" w:hAnsi="Garamond" w:cs="Arial"/>
          <w:sz w:val="24"/>
          <w:szCs w:val="24"/>
        </w:rPr>
        <w:t>i fuqizojë konsumatorët të bëjnë zgjedhje të sigurta dhe të shëndetshme ushqimore. Në Shqipëri, MBZHR-ja dhe Autoriteti Kombëtar i Ushqimit (AKF) janë përgjegjës për angazhimin aktiv me konsumatorët për të ofruar informacion të saktë dhe mesazhe të synuara mbi sigurinë ushqimore në mënyrë që të minimizohen rreziqet që lidhen me ushqimin e trajtuar, përgatitur dhe konsumuar në shtëpi dhe si të bëhen zgjedhje më të mira ushqimore</w:t>
      </w:r>
    </w:p>
    <w:p w14:paraId="0E154AF1" w14:textId="759623F2"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Angazhimi proaktiv midis organeve rregullatore dhe medi</w:t>
      </w:r>
      <w:r w:rsidR="00257E84" w:rsidRPr="002D0AF3">
        <w:rPr>
          <w:rFonts w:ascii="Garamond" w:hAnsi="Garamond" w:cs="Arial"/>
          <w:sz w:val="24"/>
          <w:szCs w:val="24"/>
        </w:rPr>
        <w:t>e</w:t>
      </w:r>
      <w:r w:rsidRPr="002D0AF3">
        <w:rPr>
          <w:rFonts w:ascii="Garamond" w:hAnsi="Garamond" w:cs="Arial"/>
          <w:sz w:val="24"/>
          <w:szCs w:val="24"/>
        </w:rPr>
        <w:t xml:space="preserve">s është i nevojshëm për të siguruar që media të ketë akses në informacion të saktë dhe në kohë, që të reduktohet rreziku i informacionit të rremë dhe potencialisht të dëmshëm që arrin te konsumatori. Kjo është sfiduese duke pasur parasysh numrin e lartë të platformave të </w:t>
      </w:r>
      <w:r w:rsidRPr="006D2A34">
        <w:rPr>
          <w:rFonts w:ascii="Garamond" w:hAnsi="Garamond" w:cs="Arial"/>
          <w:sz w:val="24"/>
          <w:szCs w:val="24"/>
        </w:rPr>
        <w:t>medi</w:t>
      </w:r>
      <w:r w:rsidR="00ED1041" w:rsidRPr="006D2A34">
        <w:rPr>
          <w:rFonts w:ascii="Garamond" w:hAnsi="Garamond" w:cs="Arial"/>
          <w:sz w:val="24"/>
          <w:szCs w:val="24"/>
        </w:rPr>
        <w:t>e</w:t>
      </w:r>
      <w:r w:rsidRPr="006D2A34">
        <w:rPr>
          <w:rFonts w:ascii="Garamond" w:hAnsi="Garamond" w:cs="Arial"/>
          <w:sz w:val="24"/>
          <w:szCs w:val="24"/>
        </w:rPr>
        <w:t>ve</w:t>
      </w:r>
      <w:r w:rsidRPr="002D0AF3">
        <w:rPr>
          <w:rFonts w:ascii="Garamond" w:hAnsi="Garamond" w:cs="Arial"/>
          <w:sz w:val="24"/>
          <w:szCs w:val="24"/>
        </w:rPr>
        <w:t xml:space="preserve"> sociale dhe medi</w:t>
      </w:r>
      <w:r w:rsidR="00ED1041" w:rsidRPr="002D0AF3">
        <w:rPr>
          <w:rFonts w:ascii="Garamond" w:hAnsi="Garamond" w:cs="Arial"/>
          <w:sz w:val="24"/>
          <w:szCs w:val="24"/>
        </w:rPr>
        <w:t>e</w:t>
      </w:r>
      <w:r w:rsidRPr="002D0AF3">
        <w:rPr>
          <w:rFonts w:ascii="Garamond" w:hAnsi="Garamond" w:cs="Arial"/>
          <w:sz w:val="24"/>
          <w:szCs w:val="24"/>
        </w:rPr>
        <w:t xml:space="preserve">ve të tjera që shpërndajnë informacion, veçanërisht gjatë situatave të krizës ushqimore. </w:t>
      </w:r>
    </w:p>
    <w:p w14:paraId="61E8ADEE" w14:textId="1BEDEAA2"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lastRenderedPageBreak/>
        <w:t xml:space="preserve">Tre nënobjektivat e mëposhtëm përcaktohen nën këtë objektiv politike: </w:t>
      </w:r>
    </w:p>
    <w:p w14:paraId="6C3A27CD" w14:textId="23400F1A" w:rsidR="00EF4A7A" w:rsidRPr="002D0AF3" w:rsidRDefault="00EF4A7A" w:rsidP="000C0DB8">
      <w:pPr>
        <w:spacing w:after="0" w:line="240" w:lineRule="auto"/>
        <w:ind w:firstLine="284"/>
        <w:jc w:val="both"/>
        <w:rPr>
          <w:rFonts w:ascii="Garamond" w:hAnsi="Garamond" w:cs="Arial"/>
          <w:bCs/>
          <w:sz w:val="24"/>
          <w:szCs w:val="24"/>
        </w:rPr>
      </w:pPr>
      <w:r w:rsidRPr="002D0AF3">
        <w:rPr>
          <w:rFonts w:ascii="Garamond" w:hAnsi="Garamond" w:cs="Arial"/>
          <w:sz w:val="24"/>
          <w:szCs w:val="24"/>
        </w:rPr>
        <w:t xml:space="preserve"> </w:t>
      </w:r>
      <w:r w:rsidRPr="002D0AF3">
        <w:rPr>
          <w:rFonts w:ascii="Garamond" w:hAnsi="Garamond" w:cs="Arial"/>
          <w:bCs/>
          <w:sz w:val="24"/>
          <w:szCs w:val="24"/>
        </w:rPr>
        <w:t>NËNOBJEKTIVI 1: RRITJEN E ANGAZHIMIT ME KONSUMATORËT PËR T’I FORCUAR TË BË</w:t>
      </w:r>
      <w:r w:rsidR="007A183A" w:rsidRPr="002D0AF3">
        <w:rPr>
          <w:rFonts w:ascii="Garamond" w:hAnsi="Garamond" w:cs="Arial"/>
          <w:bCs/>
          <w:sz w:val="24"/>
          <w:szCs w:val="24"/>
        </w:rPr>
        <w:t>J</w:t>
      </w:r>
      <w:r w:rsidRPr="002D0AF3">
        <w:rPr>
          <w:rFonts w:ascii="Garamond" w:hAnsi="Garamond" w:cs="Arial"/>
          <w:bCs/>
          <w:sz w:val="24"/>
          <w:szCs w:val="24"/>
        </w:rPr>
        <w:t xml:space="preserve">NË ZGJEDHJE USHQIMORE TË SIGURTA DHE TË SHËNDETSHME </w:t>
      </w:r>
    </w:p>
    <w:p w14:paraId="0E15E4F4" w14:textId="033919CD"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Sigurimi i konsumatorëve se mund të mbështeten te organet rregullatore për t</w:t>
      </w:r>
      <w:r w:rsidR="00AE3627" w:rsidRPr="002D0AF3">
        <w:rPr>
          <w:rFonts w:ascii="Garamond" w:hAnsi="Garamond" w:cs="Arial"/>
          <w:sz w:val="24"/>
          <w:szCs w:val="24"/>
        </w:rPr>
        <w:t>’</w:t>
      </w:r>
      <w:r w:rsidRPr="002D0AF3">
        <w:rPr>
          <w:rFonts w:ascii="Garamond" w:hAnsi="Garamond" w:cs="Arial"/>
          <w:sz w:val="24"/>
          <w:szCs w:val="24"/>
        </w:rPr>
        <w:t>u ofruar atyre informacion të qartë dhe të saktë në mënyrë të hapur, transparente dhe në kohë, ndihmon në ndërtimin e besimit te sistemi i kontrollit të ushqimit në Shqipëri. Ndërtimi i burimeve të qëndrueshme dhe të besueshme të informacionit i pajis konsumatorët me njohuri dhe mënyra se si të praktikojnë zakone të mira të sigurisë ushqimore brenda dhe jashtë shtëpie</w:t>
      </w:r>
      <w:r w:rsidR="00AE3627" w:rsidRPr="002D0AF3">
        <w:rPr>
          <w:rFonts w:ascii="Garamond" w:hAnsi="Garamond" w:cs="Arial"/>
          <w:sz w:val="24"/>
          <w:szCs w:val="24"/>
        </w:rPr>
        <w:t>.</w:t>
      </w:r>
    </w:p>
    <w:p w14:paraId="78FD1351" w14:textId="005DA9F4"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AKU</w:t>
      </w:r>
      <w:r w:rsidR="00E6453D" w:rsidRPr="002D0AF3">
        <w:rPr>
          <w:rFonts w:ascii="Garamond" w:hAnsi="Garamond" w:cs="Arial"/>
          <w:sz w:val="24"/>
          <w:szCs w:val="24"/>
        </w:rPr>
        <w:t xml:space="preserve">-ja </w:t>
      </w:r>
      <w:r w:rsidRPr="002D0AF3">
        <w:rPr>
          <w:rFonts w:ascii="Garamond" w:hAnsi="Garamond" w:cs="Arial"/>
          <w:sz w:val="24"/>
          <w:szCs w:val="24"/>
        </w:rPr>
        <w:t>është përgjegjëse për komunikimin e informacionit te konsumatorët mbi sigurinë ushqimore dhe rreziqet e identifikuara. Kjo synohet të arrihet duke:</w:t>
      </w:r>
    </w:p>
    <w:p w14:paraId="1FDB10D9" w14:textId="5851C6C5" w:rsidR="00EF4A7A" w:rsidRPr="002D0AF3" w:rsidRDefault="000C0DB8" w:rsidP="000C0DB8">
      <w:pPr>
        <w:pStyle w:val="TEKSTIII"/>
      </w:pPr>
      <w:r w:rsidRPr="002D0AF3">
        <w:t xml:space="preserve">- </w:t>
      </w:r>
      <w:r w:rsidR="00EF4A7A" w:rsidRPr="002D0AF3">
        <w:t>Publikuar sinjalizime për tërheqjet e produkteve në faqen e saj të internetit dhe kanalet e medi</w:t>
      </w:r>
      <w:r w:rsidR="006D2A34">
        <w:t>e</w:t>
      </w:r>
      <w:r w:rsidR="00EF4A7A" w:rsidRPr="002D0AF3">
        <w:t>ve sociale për të njoftuar konsumatorët rreth rreziqeve të identifikuara</w:t>
      </w:r>
      <w:r w:rsidR="00DF3100" w:rsidRPr="002D0AF3">
        <w:t>,</w:t>
      </w:r>
      <w:r w:rsidR="00EF4A7A" w:rsidRPr="002D0AF3">
        <w:t xml:space="preserve"> në lidhje me ushqimet e hedhura në treg në Shqipëri. Këto sinjalizime përcaktojnë qartë atë që dihet për ushqimin (përfshirë emrin e produktit, kodet e serisë/prodhimit, madhësinë e enës, datat e jetëgjatësisë etj.), rrezikun, riskun dhe veprimin specifik të kërkuar</w:t>
      </w:r>
      <w:r w:rsidR="00DF3100" w:rsidRPr="002D0AF3">
        <w:t>;</w:t>
      </w:r>
    </w:p>
    <w:p w14:paraId="32222994" w14:textId="20AE7775" w:rsidR="00EF4A7A" w:rsidRPr="002D0AF3" w:rsidRDefault="000C0DB8" w:rsidP="000C0DB8">
      <w:pPr>
        <w:pStyle w:val="TEKSTIII"/>
      </w:pPr>
      <w:r w:rsidRPr="002D0AF3">
        <w:t xml:space="preserve">- </w:t>
      </w:r>
      <w:r w:rsidR="00EF4A7A" w:rsidRPr="002D0AF3">
        <w:t>Mbajtur konsumatorët të përditësuar gjatë situatave të krizave ushqimore, duke u ofruar atyre informacion të saktë dhe në kohë përmes medi</w:t>
      </w:r>
      <w:r w:rsidR="00DF3100" w:rsidRPr="002D0AF3">
        <w:t>e</w:t>
      </w:r>
      <w:r w:rsidR="00EF4A7A" w:rsidRPr="002D0AF3">
        <w:t>ve të tilla</w:t>
      </w:r>
      <w:r w:rsidR="00DF3100" w:rsidRPr="002D0AF3">
        <w:t>,</w:t>
      </w:r>
      <w:r w:rsidR="00EF4A7A" w:rsidRPr="002D0AF3">
        <w:t xml:space="preserve"> si</w:t>
      </w:r>
      <w:r w:rsidR="00DF3100" w:rsidRPr="002D0AF3">
        <w:t>:</w:t>
      </w:r>
      <w:r w:rsidR="00EF4A7A" w:rsidRPr="002D0AF3">
        <w:t xml:space="preserve"> TV, radio, shtyp, faqet e internetit dhe medi</w:t>
      </w:r>
      <w:r w:rsidR="00DF3100" w:rsidRPr="002D0AF3">
        <w:t>e</w:t>
      </w:r>
      <w:r w:rsidR="00EF4A7A" w:rsidRPr="002D0AF3">
        <w:t>t sociale.</w:t>
      </w:r>
    </w:p>
    <w:p w14:paraId="2CCD372C" w14:textId="77777777"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t>NËNOBJEKTIVI 2: RRITJA E NDËRGJEGJËSIMIT PËR SIGURINË USHQIMORE NËPËRMJET EDUKIMIT DHE FUSHATAVE TË NDËRGJEGJËSIMIT PUBLIK</w:t>
      </w:r>
    </w:p>
    <w:p w14:paraId="57CA6807" w14:textId="637FD1FA"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Rritja e ndërgjegjësimit për praktikat e mira të higjienës ushqimore dhe çështjet që lidhen me sigurinë ushqimore</w:t>
      </w:r>
      <w:r w:rsidR="003E60DD" w:rsidRPr="002D0AF3">
        <w:rPr>
          <w:rFonts w:ascii="Garamond" w:hAnsi="Garamond" w:cs="Arial"/>
          <w:sz w:val="24"/>
          <w:szCs w:val="24"/>
        </w:rPr>
        <w:t xml:space="preserve"> </w:t>
      </w:r>
      <w:r w:rsidRPr="002D0AF3">
        <w:rPr>
          <w:rFonts w:ascii="Garamond" w:hAnsi="Garamond" w:cs="Arial"/>
          <w:sz w:val="24"/>
          <w:szCs w:val="24"/>
        </w:rPr>
        <w:t>kontribuon në uljen e incidencës së sëmundjeve që vijnë nga ushqimi. Përfshirja e programeve të sigurisë ushqimore në shkolla është thelbësore për të sjellë ndryshime në sjelljen e popullatës së re. Angazhimi aktiv për të arritur konsumatorët kryhet përmes fushatave reklamuese, intervistave televizive, postimeve në medi</w:t>
      </w:r>
      <w:r w:rsidR="00EC4DCA" w:rsidRPr="002D0AF3">
        <w:rPr>
          <w:rFonts w:ascii="Garamond" w:hAnsi="Garamond" w:cs="Arial"/>
          <w:sz w:val="24"/>
          <w:szCs w:val="24"/>
        </w:rPr>
        <w:t>e</w:t>
      </w:r>
      <w:r w:rsidRPr="002D0AF3">
        <w:rPr>
          <w:rFonts w:ascii="Garamond" w:hAnsi="Garamond" w:cs="Arial"/>
          <w:sz w:val="24"/>
          <w:szCs w:val="24"/>
        </w:rPr>
        <w:t>t sociale, ndërveprimit në panaire dhe ngjarjeve të tjera publike.</w:t>
      </w:r>
    </w:p>
    <w:p w14:paraId="0B05B49B" w14:textId="39A74B26"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MBZHR-ja përkushtohet për rritjen e ndërgjegjësimit të publikut</w:t>
      </w:r>
      <w:r w:rsidR="00EC4DCA" w:rsidRPr="002D0AF3">
        <w:rPr>
          <w:rFonts w:ascii="Garamond" w:hAnsi="Garamond" w:cs="Arial"/>
          <w:sz w:val="24"/>
          <w:szCs w:val="24"/>
        </w:rPr>
        <w:t>,</w:t>
      </w:r>
      <w:r w:rsidRPr="002D0AF3">
        <w:rPr>
          <w:rFonts w:ascii="Garamond" w:hAnsi="Garamond" w:cs="Arial"/>
          <w:sz w:val="24"/>
          <w:szCs w:val="24"/>
        </w:rPr>
        <w:t xml:space="preserve"> duke:</w:t>
      </w:r>
    </w:p>
    <w:p w14:paraId="74EE4C89" w14:textId="0E83E3EB" w:rsidR="00EF4A7A" w:rsidRPr="002D0AF3" w:rsidRDefault="000C0DB8" w:rsidP="000C0DB8">
      <w:pPr>
        <w:pStyle w:val="TEKSTIII"/>
      </w:pPr>
      <w:r w:rsidRPr="002D0AF3">
        <w:t xml:space="preserve">- </w:t>
      </w:r>
      <w:r w:rsidR="00EF4A7A" w:rsidRPr="002D0AF3">
        <w:t>Punuar me AKU-në,</w:t>
      </w:r>
      <w:r w:rsidR="00EC4DCA" w:rsidRPr="002D0AF3">
        <w:t xml:space="preserve"> </w:t>
      </w:r>
      <w:r w:rsidR="00EF4A7A" w:rsidRPr="002D0AF3">
        <w:t>AKVMB-në, ISUV-</w:t>
      </w:r>
      <w:r w:rsidR="00EC4DCA" w:rsidRPr="002D0AF3">
        <w:t>në</w:t>
      </w:r>
      <w:r w:rsidR="00EF4A7A" w:rsidRPr="002D0AF3">
        <w:t>, ISHP-</w:t>
      </w:r>
      <w:r w:rsidR="00EC4DCA" w:rsidRPr="002D0AF3">
        <w:t>në</w:t>
      </w:r>
      <w:r w:rsidR="00EF4A7A" w:rsidRPr="002D0AF3">
        <w:t xml:space="preserve"> dhe organe të tjera rregullatore për të zhvilluar fushata të rregullta ndërgjegjësimi publik për të ofruar mesazhe dhe informacione të synuara për sigurinë ushqimore për konsumatorët</w:t>
      </w:r>
      <w:r w:rsidR="000401CF" w:rsidRPr="002D0AF3">
        <w:t>;</w:t>
      </w:r>
    </w:p>
    <w:p w14:paraId="74FB26BE" w14:textId="74CB672B" w:rsidR="00EF4A7A" w:rsidRPr="002D0AF3" w:rsidRDefault="000C0DB8" w:rsidP="000C0DB8">
      <w:pPr>
        <w:pStyle w:val="TEKSTIII"/>
      </w:pPr>
      <w:r w:rsidRPr="002D0AF3">
        <w:t xml:space="preserve">- </w:t>
      </w:r>
      <w:r w:rsidR="00EF4A7A" w:rsidRPr="002D0AF3">
        <w:t>Punuar me AKU-në, Ministrinë e Arsimit dhe institucione të tjera arsimore për të zhvilluar dhe integruar programet e sigurisë ushqimore në kurrikulat shkollore</w:t>
      </w:r>
      <w:r w:rsidR="000401CF" w:rsidRPr="002D0AF3">
        <w:t>;</w:t>
      </w:r>
    </w:p>
    <w:p w14:paraId="620A3458" w14:textId="3A41C153" w:rsidR="00EF4A7A" w:rsidRPr="002D0AF3" w:rsidRDefault="000C0DB8" w:rsidP="000C0DB8">
      <w:pPr>
        <w:pStyle w:val="TEKSTIII"/>
      </w:pPr>
      <w:r w:rsidRPr="002D0AF3">
        <w:t xml:space="preserve">- </w:t>
      </w:r>
      <w:r w:rsidR="00EF4A7A" w:rsidRPr="002D0AF3">
        <w:t>Organizuar ngjarje publike për të bashkëvepruar me konsumatorët</w:t>
      </w:r>
      <w:r w:rsidR="000401CF" w:rsidRPr="002D0AF3">
        <w:t>.</w:t>
      </w:r>
    </w:p>
    <w:p w14:paraId="1F74EED7" w14:textId="197D694F" w:rsidR="00EF4A7A" w:rsidRPr="002D0AF3" w:rsidRDefault="00EF4A7A" w:rsidP="00EF4A7A">
      <w:pPr>
        <w:spacing w:after="0" w:line="240" w:lineRule="auto"/>
        <w:ind w:firstLine="284"/>
        <w:jc w:val="both"/>
        <w:rPr>
          <w:rFonts w:ascii="Garamond" w:hAnsi="Garamond" w:cs="Arial"/>
          <w:bCs/>
          <w:sz w:val="24"/>
          <w:szCs w:val="24"/>
        </w:rPr>
      </w:pPr>
      <w:r w:rsidRPr="002D0AF3">
        <w:rPr>
          <w:rFonts w:ascii="Garamond" w:hAnsi="Garamond" w:cs="Arial"/>
          <w:bCs/>
          <w:sz w:val="24"/>
          <w:szCs w:val="24"/>
        </w:rPr>
        <w:t>NËNOBJEKTIVI 3: ANGAZHIMI PROAKTIV ME MEDI</w:t>
      </w:r>
      <w:r w:rsidR="000401CF" w:rsidRPr="002D0AF3">
        <w:rPr>
          <w:rFonts w:ascii="Garamond" w:hAnsi="Garamond" w:cs="Arial"/>
          <w:bCs/>
          <w:sz w:val="24"/>
          <w:szCs w:val="24"/>
        </w:rPr>
        <w:t>E</w:t>
      </w:r>
      <w:r w:rsidRPr="002D0AF3">
        <w:rPr>
          <w:rFonts w:ascii="Garamond" w:hAnsi="Garamond" w:cs="Arial"/>
          <w:bCs/>
          <w:sz w:val="24"/>
          <w:szCs w:val="24"/>
        </w:rPr>
        <w:t>T PËR TË SIGURUAR KOMUNIKIM TË SAKTË DHE NË KOHË</w:t>
      </w:r>
    </w:p>
    <w:p w14:paraId="63FB6686" w14:textId="76B89054"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MBZHR</w:t>
      </w:r>
      <w:r w:rsidR="000401CF" w:rsidRPr="002D0AF3">
        <w:rPr>
          <w:rFonts w:ascii="Garamond" w:hAnsi="Garamond" w:cs="Arial"/>
          <w:sz w:val="24"/>
          <w:szCs w:val="24"/>
        </w:rPr>
        <w:t>-ja</w:t>
      </w:r>
      <w:r w:rsidRPr="002D0AF3">
        <w:rPr>
          <w:rFonts w:ascii="Garamond" w:hAnsi="Garamond" w:cs="Arial"/>
          <w:sz w:val="24"/>
          <w:szCs w:val="24"/>
        </w:rPr>
        <w:t>, AKU</w:t>
      </w:r>
      <w:r w:rsidR="000401CF" w:rsidRPr="002D0AF3">
        <w:rPr>
          <w:rFonts w:ascii="Garamond" w:hAnsi="Garamond" w:cs="Arial"/>
          <w:sz w:val="24"/>
          <w:szCs w:val="24"/>
        </w:rPr>
        <w:t>-ja</w:t>
      </w:r>
      <w:r w:rsidRPr="002D0AF3">
        <w:rPr>
          <w:rFonts w:ascii="Garamond" w:hAnsi="Garamond" w:cs="Arial"/>
          <w:sz w:val="24"/>
          <w:szCs w:val="24"/>
        </w:rPr>
        <w:t xml:space="preserve"> dhe organe të tjera rregullatore angazhohen të punojnë ngushtë me medi</w:t>
      </w:r>
      <w:r w:rsidR="000401CF" w:rsidRPr="002D0AF3">
        <w:rPr>
          <w:rFonts w:ascii="Garamond" w:hAnsi="Garamond" w:cs="Arial"/>
          <w:sz w:val="24"/>
          <w:szCs w:val="24"/>
        </w:rPr>
        <w:t>e</w:t>
      </w:r>
      <w:r w:rsidRPr="002D0AF3">
        <w:rPr>
          <w:rFonts w:ascii="Garamond" w:hAnsi="Garamond" w:cs="Arial"/>
          <w:sz w:val="24"/>
          <w:szCs w:val="24"/>
        </w:rPr>
        <w:t>t për të siguruar që ato të kenë akses në informacionin e saktë nëpërmjet burimeve të qëndrueshme dhe të besueshme.</w:t>
      </w:r>
    </w:p>
    <w:p w14:paraId="3E991A44" w14:textId="4280585E"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MBZHR</w:t>
      </w:r>
      <w:r w:rsidR="000401CF" w:rsidRPr="002D0AF3">
        <w:rPr>
          <w:rFonts w:ascii="Garamond" w:hAnsi="Garamond" w:cs="Arial"/>
          <w:sz w:val="24"/>
          <w:szCs w:val="24"/>
        </w:rPr>
        <w:t>-ja</w:t>
      </w:r>
      <w:r w:rsidRPr="002D0AF3">
        <w:rPr>
          <w:rFonts w:ascii="Garamond" w:hAnsi="Garamond" w:cs="Arial"/>
          <w:sz w:val="24"/>
          <w:szCs w:val="24"/>
        </w:rPr>
        <w:t>, AKU</w:t>
      </w:r>
      <w:r w:rsidR="00932E98" w:rsidRPr="002D0AF3">
        <w:rPr>
          <w:rFonts w:ascii="Garamond" w:hAnsi="Garamond" w:cs="Arial"/>
          <w:sz w:val="24"/>
          <w:szCs w:val="24"/>
        </w:rPr>
        <w:t>-ja</w:t>
      </w:r>
      <w:r w:rsidRPr="002D0AF3">
        <w:rPr>
          <w:rFonts w:ascii="Garamond" w:hAnsi="Garamond" w:cs="Arial"/>
          <w:sz w:val="24"/>
          <w:szCs w:val="24"/>
        </w:rPr>
        <w:t xml:space="preserve"> dhe organe të tjera rregullatore përkatëse angazhohen që:</w:t>
      </w:r>
    </w:p>
    <w:p w14:paraId="129178A6" w14:textId="61489431" w:rsidR="00EF4A7A" w:rsidRPr="002D0AF3" w:rsidRDefault="000C0DB8" w:rsidP="000C0DB8">
      <w:pPr>
        <w:pStyle w:val="TEKSTIII"/>
      </w:pPr>
      <w:r w:rsidRPr="002D0AF3">
        <w:t xml:space="preserve">- </w:t>
      </w:r>
      <w:r w:rsidR="00EF4A7A" w:rsidRPr="002D0AF3">
        <w:t>Të vendosin qartë detajet e kontaktit për pyetjet e medi</w:t>
      </w:r>
      <w:r w:rsidR="00B90780" w:rsidRPr="002D0AF3">
        <w:t>e</w:t>
      </w:r>
      <w:r w:rsidR="00EF4A7A" w:rsidRPr="002D0AF3">
        <w:t>s në faqet përkatëse të internetit dhe të gjitha kanalet e komunikimit të lidhura me to</w:t>
      </w:r>
      <w:r w:rsidR="00B90780" w:rsidRPr="002D0AF3">
        <w:t>;</w:t>
      </w:r>
    </w:p>
    <w:p w14:paraId="71CE38E4" w14:textId="38393B35" w:rsidR="00EF4A7A" w:rsidRPr="002D0AF3" w:rsidRDefault="000C0DB8" w:rsidP="000C0DB8">
      <w:pPr>
        <w:pStyle w:val="TEKSTIII"/>
      </w:pPr>
      <w:r w:rsidRPr="002D0AF3">
        <w:t xml:space="preserve">- </w:t>
      </w:r>
      <w:r w:rsidR="00EF4A7A" w:rsidRPr="002D0AF3">
        <w:t>T’iu përgjigjen pyetjeve të medi</w:t>
      </w:r>
      <w:r w:rsidR="006D2A34">
        <w:t>e</w:t>
      </w:r>
      <w:r w:rsidR="00EF4A7A" w:rsidRPr="002D0AF3">
        <w:t>s në mënyrë të qartë dhe në kohë</w:t>
      </w:r>
      <w:r w:rsidR="00B90780" w:rsidRPr="002D0AF3">
        <w:t>;</w:t>
      </w:r>
    </w:p>
    <w:p w14:paraId="0F6972B3" w14:textId="79111F0B" w:rsidR="00EF4A7A" w:rsidRPr="002D0AF3" w:rsidRDefault="000C0DB8" w:rsidP="000C0DB8">
      <w:pPr>
        <w:pStyle w:val="TEKSTIII"/>
      </w:pPr>
      <w:r w:rsidRPr="002D0AF3">
        <w:t xml:space="preserve">- </w:t>
      </w:r>
      <w:r w:rsidR="00EF4A7A" w:rsidRPr="002D0AF3">
        <w:t>Të zvogëlojnë rrezikun e informacionit të rremë dhe potencialisht të dëmshëm që arrin konsumatorët</w:t>
      </w:r>
      <w:r w:rsidR="00B90780" w:rsidRPr="002D0AF3">
        <w:t>,</w:t>
      </w:r>
      <w:r w:rsidR="00EF4A7A" w:rsidRPr="002D0AF3">
        <w:t xml:space="preserve"> duke nxjerrë njoftime për shtyp dhe ku është e përshtatshme të mbajnë konferenca shtypi</w:t>
      </w:r>
      <w:r w:rsidR="00B90780" w:rsidRPr="002D0AF3">
        <w:t>,</w:t>
      </w:r>
      <w:r w:rsidR="00EF4A7A" w:rsidRPr="002D0AF3">
        <w:t xml:space="preserve"> ku përfaqësuesit e medi</w:t>
      </w:r>
      <w:r w:rsidR="00B90780" w:rsidRPr="002D0AF3">
        <w:t>e</w:t>
      </w:r>
      <w:r w:rsidR="00EF4A7A" w:rsidRPr="002D0AF3">
        <w:t>ve mund të marrin informacion mbi incidentet/çështjet e sigurisë ushqimore drejtpërdrejt nga burimi</w:t>
      </w:r>
      <w:r w:rsidR="00C33DE9">
        <w:t>.</w:t>
      </w:r>
      <w:bookmarkStart w:id="19" w:name="_GoBack"/>
      <w:bookmarkEnd w:id="19"/>
    </w:p>
    <w:p w14:paraId="0EF368CC" w14:textId="77777777" w:rsidR="006E0DE9" w:rsidRPr="002D0AF3" w:rsidRDefault="006E0DE9" w:rsidP="006E0DE9">
      <w:pPr>
        <w:pStyle w:val="TEKSTIII"/>
      </w:pPr>
      <w:bookmarkStart w:id="20" w:name="_Toc119667599"/>
    </w:p>
    <w:p w14:paraId="5E7E9F0E" w14:textId="77777777" w:rsidR="00B90780" w:rsidRPr="002D0AF3" w:rsidRDefault="00B90780" w:rsidP="006E0DE9">
      <w:pPr>
        <w:pStyle w:val="TEKSTIII"/>
        <w:jc w:val="center"/>
        <w:rPr>
          <w:b/>
        </w:rPr>
      </w:pPr>
    </w:p>
    <w:p w14:paraId="54597559" w14:textId="3C067335" w:rsidR="00EF4A7A" w:rsidRPr="002D0AF3" w:rsidRDefault="00EF4A7A" w:rsidP="006E0DE9">
      <w:pPr>
        <w:pStyle w:val="TEKSTIII"/>
        <w:jc w:val="center"/>
        <w:rPr>
          <w:b/>
        </w:rPr>
      </w:pPr>
      <w:r w:rsidRPr="002D0AF3">
        <w:rPr>
          <w:b/>
        </w:rPr>
        <w:lastRenderedPageBreak/>
        <w:t>Referenca</w:t>
      </w:r>
      <w:bookmarkEnd w:id="20"/>
    </w:p>
    <w:p w14:paraId="06F7BA17" w14:textId="4C05A0B7" w:rsidR="00EF4A7A" w:rsidRPr="002D0AF3" w:rsidRDefault="00EF4A7A" w:rsidP="006E0DE9">
      <w:pPr>
        <w:pStyle w:val="TEKSTIII"/>
      </w:pPr>
    </w:p>
    <w:p w14:paraId="68AAC744" w14:textId="3C22C734" w:rsidR="00EF4A7A" w:rsidRPr="002D0AF3" w:rsidRDefault="00EF4A7A" w:rsidP="006E0DE9">
      <w:pPr>
        <w:pStyle w:val="TEKSTIII"/>
      </w:pPr>
      <w:r w:rsidRPr="002D0AF3">
        <w:t xml:space="preserve">CXG 82-2013: PARIMET DHE UDHËZIMET PËR SISTEMET KOMBËTARE TË KONTROLLIT USHQIMOR, </w:t>
      </w:r>
      <w:r w:rsidR="00B90780" w:rsidRPr="002D0AF3">
        <w:t xml:space="preserve">CODEX ALIMENTARIUM, </w:t>
      </w:r>
      <w:r w:rsidRPr="002D0AF3">
        <w:t xml:space="preserve">CAC-GL 82-2013. </w:t>
      </w:r>
      <w:hyperlink r:id="rId35">
        <w:r w:rsidRPr="002D0AF3">
          <w:rPr>
            <w:u w:color="009ED1"/>
          </w:rPr>
          <w:t>PRINCIPLES</w:t>
        </w:r>
        <w:r w:rsidRPr="002D0AF3">
          <w:rPr>
            <w:spacing w:val="-4"/>
            <w:u w:color="009ED1"/>
          </w:rPr>
          <w:t xml:space="preserve"> </w:t>
        </w:r>
        <w:r w:rsidRPr="002D0AF3">
          <w:rPr>
            <w:u w:color="009ED1"/>
          </w:rPr>
          <w:t>AND</w:t>
        </w:r>
        <w:r w:rsidRPr="002D0AF3">
          <w:rPr>
            <w:spacing w:val="-3"/>
            <w:u w:color="009ED1"/>
          </w:rPr>
          <w:t xml:space="preserve"> </w:t>
        </w:r>
        <w:r w:rsidRPr="002D0AF3">
          <w:rPr>
            <w:u w:color="009ED1"/>
          </w:rPr>
          <w:t>GUIDELINES</w:t>
        </w:r>
        <w:r w:rsidRPr="002D0AF3">
          <w:rPr>
            <w:spacing w:val="-4"/>
            <w:u w:color="009ED1"/>
          </w:rPr>
          <w:t xml:space="preserve"> </w:t>
        </w:r>
        <w:r w:rsidRPr="002D0AF3">
          <w:rPr>
            <w:u w:color="009ED1"/>
          </w:rPr>
          <w:t>FOR</w:t>
        </w:r>
        <w:r w:rsidRPr="002D0AF3">
          <w:rPr>
            <w:spacing w:val="-3"/>
            <w:u w:color="009ED1"/>
          </w:rPr>
          <w:t xml:space="preserve"> </w:t>
        </w:r>
        <w:r w:rsidRPr="002D0AF3">
          <w:rPr>
            <w:u w:color="009ED1"/>
          </w:rPr>
          <w:t>NATIONAL</w:t>
        </w:r>
        <w:r w:rsidRPr="002D0AF3">
          <w:rPr>
            <w:spacing w:val="-4"/>
            <w:u w:color="009ED1"/>
          </w:rPr>
          <w:t xml:space="preserve"> </w:t>
        </w:r>
        <w:r w:rsidRPr="002D0AF3">
          <w:rPr>
            <w:u w:color="009ED1"/>
          </w:rPr>
          <w:t>FOOD</w:t>
        </w:r>
        <w:r w:rsidRPr="002D0AF3">
          <w:rPr>
            <w:spacing w:val="-4"/>
            <w:u w:color="009ED1"/>
          </w:rPr>
          <w:t xml:space="preserve"> </w:t>
        </w:r>
        <w:r w:rsidRPr="002D0AF3">
          <w:rPr>
            <w:u w:color="009ED1"/>
          </w:rPr>
          <w:t>CONTROL</w:t>
        </w:r>
      </w:hyperlink>
      <w:hyperlink r:id="rId36">
        <w:r w:rsidRPr="002D0AF3">
          <w:rPr>
            <w:u w:color="009ED1"/>
          </w:rPr>
          <w:t>SYSTEMS,</w:t>
        </w:r>
        <w:r w:rsidRPr="002D0AF3">
          <w:rPr>
            <w:spacing w:val="-7"/>
            <w:u w:color="009ED1"/>
          </w:rPr>
          <w:t xml:space="preserve"> </w:t>
        </w:r>
        <w:r w:rsidRPr="002D0AF3">
          <w:rPr>
            <w:u w:color="009ED1"/>
          </w:rPr>
          <w:t>Codex</w:t>
        </w:r>
        <w:r w:rsidRPr="002D0AF3">
          <w:rPr>
            <w:spacing w:val="-7"/>
            <w:u w:color="009ED1"/>
          </w:rPr>
          <w:t xml:space="preserve"> </w:t>
        </w:r>
        <w:r w:rsidRPr="002D0AF3">
          <w:rPr>
            <w:u w:color="009ED1"/>
          </w:rPr>
          <w:t>Alimentarium,</w:t>
        </w:r>
        <w:r w:rsidRPr="002D0AF3">
          <w:rPr>
            <w:spacing w:val="-7"/>
            <w:u w:color="009ED1"/>
          </w:rPr>
          <w:t xml:space="preserve"> </w:t>
        </w:r>
        <w:r w:rsidRPr="002D0AF3">
          <w:rPr>
            <w:u w:color="009ED1"/>
          </w:rPr>
          <w:t>CAC-GL</w:t>
        </w:r>
        <w:r w:rsidRPr="002D0AF3">
          <w:rPr>
            <w:spacing w:val="-7"/>
            <w:u w:color="009ED1"/>
          </w:rPr>
          <w:t xml:space="preserve"> </w:t>
        </w:r>
        <w:r w:rsidRPr="002D0AF3">
          <w:rPr>
            <w:u w:color="009ED1"/>
          </w:rPr>
          <w:t>82-2013.</w:t>
        </w:r>
      </w:hyperlink>
    </w:p>
    <w:p w14:paraId="7AAB5D68" w14:textId="77777777" w:rsidR="00EF4A7A" w:rsidRPr="002D0AF3" w:rsidRDefault="00EF4A7A" w:rsidP="00EF4A7A">
      <w:pPr>
        <w:spacing w:after="0" w:line="240" w:lineRule="auto"/>
        <w:ind w:firstLine="284"/>
        <w:rPr>
          <w:rFonts w:ascii="Garamond" w:hAnsi="Garamond" w:cs="Arial"/>
          <w:sz w:val="24"/>
          <w:szCs w:val="24"/>
        </w:rPr>
      </w:pPr>
    </w:p>
    <w:p w14:paraId="78FCFD75" w14:textId="2DA15B8C" w:rsidR="00EF4A7A" w:rsidRPr="002D0AF3" w:rsidRDefault="00B90780" w:rsidP="00EF4A7A">
      <w:pPr>
        <w:pStyle w:val="Heading1"/>
        <w:spacing w:before="0" w:line="240" w:lineRule="auto"/>
        <w:ind w:firstLine="284"/>
        <w:jc w:val="center"/>
        <w:rPr>
          <w:rFonts w:ascii="Garamond" w:hAnsi="Garamond" w:cs="Arial"/>
          <w:bCs/>
          <w:color w:val="auto"/>
          <w:sz w:val="24"/>
          <w:szCs w:val="24"/>
          <w:lang w:val="sq-AL"/>
        </w:rPr>
      </w:pPr>
      <w:bookmarkStart w:id="21" w:name="_Toc119667600"/>
      <w:r w:rsidRPr="002D0AF3">
        <w:rPr>
          <w:rFonts w:ascii="Garamond" w:hAnsi="Garamond" w:cs="Arial"/>
          <w:bCs/>
          <w:color w:val="auto"/>
          <w:sz w:val="24"/>
          <w:szCs w:val="24"/>
          <w:lang w:val="sq-AL"/>
        </w:rPr>
        <w:t>SHTOJCA I</w:t>
      </w:r>
      <w:bookmarkEnd w:id="21"/>
    </w:p>
    <w:p w14:paraId="1C945E74" w14:textId="2B080532" w:rsidR="00EF4A7A" w:rsidRPr="002D0AF3" w:rsidRDefault="00EF4A7A" w:rsidP="00EF4A7A">
      <w:pPr>
        <w:spacing w:after="0" w:line="240" w:lineRule="auto"/>
        <w:ind w:firstLine="284"/>
        <w:rPr>
          <w:rFonts w:ascii="Garamond" w:hAnsi="Garamond"/>
          <w:sz w:val="24"/>
          <w:szCs w:val="24"/>
        </w:rPr>
      </w:pPr>
    </w:p>
    <w:p w14:paraId="02F83FD1" w14:textId="77777777" w:rsidR="00EF4A7A" w:rsidRPr="002D0AF3" w:rsidRDefault="00EF4A7A" w:rsidP="00EF4A7A">
      <w:pPr>
        <w:pStyle w:val="Heading2"/>
        <w:spacing w:before="0" w:line="240" w:lineRule="auto"/>
        <w:ind w:firstLine="284"/>
        <w:rPr>
          <w:rFonts w:ascii="Garamond" w:hAnsi="Garamond" w:cs="Arial"/>
          <w:color w:val="auto"/>
          <w:sz w:val="24"/>
          <w:szCs w:val="24"/>
        </w:rPr>
      </w:pPr>
      <w:bookmarkStart w:id="22" w:name="_Toc119667601"/>
      <w:r w:rsidRPr="002D0AF3">
        <w:rPr>
          <w:rFonts w:ascii="Garamond" w:hAnsi="Garamond" w:cs="Arial"/>
          <w:color w:val="auto"/>
          <w:sz w:val="24"/>
          <w:szCs w:val="24"/>
        </w:rPr>
        <w:t xml:space="preserve">Plani i Zbatimit të </w:t>
      </w:r>
      <w:bookmarkEnd w:id="22"/>
      <w:r w:rsidRPr="002D0AF3">
        <w:rPr>
          <w:rFonts w:ascii="Garamond" w:hAnsi="Garamond" w:cs="Arial"/>
          <w:color w:val="auto"/>
          <w:sz w:val="24"/>
          <w:szCs w:val="24"/>
        </w:rPr>
        <w:t>Strategjisë</w:t>
      </w:r>
    </w:p>
    <w:p w14:paraId="1F082BCF" w14:textId="2B00AA0B" w:rsidR="00EF4A7A" w:rsidRPr="002D0AF3" w:rsidRDefault="00EF4A7A" w:rsidP="00EF4A7A">
      <w:pPr>
        <w:spacing w:after="0" w:line="240" w:lineRule="auto"/>
        <w:ind w:firstLine="284"/>
        <w:rPr>
          <w:rFonts w:ascii="Garamond" w:hAnsi="Garamond" w:cs="Arial"/>
          <w:sz w:val="24"/>
          <w:szCs w:val="24"/>
        </w:rPr>
      </w:pPr>
      <w:r w:rsidRPr="002D0AF3">
        <w:rPr>
          <w:rFonts w:ascii="Garamond" w:hAnsi="Garamond" w:cs="Arial"/>
          <w:sz w:val="24"/>
          <w:szCs w:val="24"/>
        </w:rPr>
        <w:t xml:space="preserve">Veprimtaritë që lidhen me </w:t>
      </w:r>
      <w:r w:rsidR="00B90780" w:rsidRPr="002D0AF3">
        <w:rPr>
          <w:rFonts w:ascii="Garamond" w:hAnsi="Garamond" w:cs="Arial"/>
          <w:sz w:val="24"/>
          <w:szCs w:val="24"/>
        </w:rPr>
        <w:t xml:space="preserve">qëllimet e politikës dhe nënobjektivat </w:t>
      </w:r>
      <w:r w:rsidRPr="002D0AF3">
        <w:rPr>
          <w:rFonts w:ascii="Garamond" w:hAnsi="Garamond" w:cs="Arial"/>
          <w:sz w:val="24"/>
          <w:szCs w:val="24"/>
        </w:rPr>
        <w:t>përkatës (</w:t>
      </w:r>
      <w:r w:rsidR="00B90780" w:rsidRPr="002D0AF3">
        <w:rPr>
          <w:rFonts w:ascii="Garamond" w:hAnsi="Garamond" w:cs="Arial"/>
          <w:sz w:val="24"/>
          <w:szCs w:val="24"/>
        </w:rPr>
        <w:t>nr.</w:t>
      </w:r>
      <w:r w:rsidRPr="002D0AF3">
        <w:rPr>
          <w:rFonts w:ascii="Garamond" w:hAnsi="Garamond" w:cs="Arial"/>
          <w:sz w:val="24"/>
          <w:szCs w:val="24"/>
        </w:rPr>
        <w:t>)</w:t>
      </w:r>
    </w:p>
    <w:p w14:paraId="1785780A" w14:textId="35BDB64B" w:rsidR="00EF4A7A" w:rsidRPr="002D0AF3" w:rsidRDefault="00EF4A7A" w:rsidP="00EF4A7A">
      <w:pPr>
        <w:spacing w:after="0" w:line="240" w:lineRule="auto"/>
        <w:ind w:firstLine="284"/>
        <w:rPr>
          <w:rFonts w:ascii="Garamond" w:hAnsi="Garamond" w:cs="Arial"/>
          <w:b/>
          <w:bCs/>
          <w:sz w:val="24"/>
          <w:szCs w:val="24"/>
        </w:rPr>
      </w:pPr>
      <w:r w:rsidRPr="002D0AF3">
        <w:rPr>
          <w:rFonts w:ascii="Garamond" w:hAnsi="Garamond" w:cs="Arial"/>
          <w:b/>
          <w:bCs/>
          <w:sz w:val="24"/>
          <w:szCs w:val="24"/>
        </w:rPr>
        <w:t xml:space="preserve">Qëllimi i </w:t>
      </w:r>
      <w:r w:rsidR="00B90780" w:rsidRPr="002D0AF3">
        <w:rPr>
          <w:rFonts w:ascii="Garamond" w:hAnsi="Garamond" w:cs="Arial"/>
          <w:b/>
          <w:bCs/>
          <w:sz w:val="24"/>
          <w:szCs w:val="24"/>
        </w:rPr>
        <w:t xml:space="preserve">politikës </w:t>
      </w:r>
      <w:r w:rsidRPr="002D0AF3">
        <w:rPr>
          <w:rFonts w:ascii="Garamond" w:hAnsi="Garamond" w:cs="Arial"/>
          <w:b/>
          <w:bCs/>
          <w:sz w:val="24"/>
          <w:szCs w:val="24"/>
        </w:rPr>
        <w:t>1 - Forcimi i kuadrit ligjor dhe administrativ</w:t>
      </w:r>
    </w:p>
    <w:p w14:paraId="765AC5AC" w14:textId="47A490DF"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Nr. 1: Përafrim i vazhdueshëm i legjislacionit shqiptar me </w:t>
      </w:r>
      <w:r w:rsidR="002D0AF3" w:rsidRPr="002D0AF3">
        <w:rPr>
          <w:rFonts w:ascii="Garamond" w:hAnsi="Garamond" w:cs="Arial"/>
          <w:i/>
          <w:sz w:val="24"/>
          <w:szCs w:val="24"/>
        </w:rPr>
        <w:t>acquis</w:t>
      </w:r>
      <w:r w:rsidR="00B90780" w:rsidRPr="002D0AF3">
        <w:rPr>
          <w:rFonts w:ascii="Garamond" w:hAnsi="Garamond" w:cs="Arial"/>
          <w:sz w:val="24"/>
          <w:szCs w:val="24"/>
        </w:rPr>
        <w:t xml:space="preserve"> </w:t>
      </w:r>
      <w:r w:rsidRPr="002D0AF3">
        <w:rPr>
          <w:rFonts w:ascii="Garamond" w:hAnsi="Garamond" w:cs="Arial"/>
          <w:sz w:val="24"/>
          <w:szCs w:val="24"/>
        </w:rPr>
        <w:t>të BE-së dhe kërkesat ndërkombëtare</w:t>
      </w:r>
    </w:p>
    <w:p w14:paraId="135E5C39"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2: Përcaktimi i të gjitha funksioneve për sisteme efikase të kontrolleve zyrtare</w:t>
      </w:r>
    </w:p>
    <w:p w14:paraId="2604B4D3"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3: Krijimi i një sistemi të efektshëm monitorimi që kontrollet zyrtare të mundësojnë përmirësime të vazhdueshme</w:t>
      </w:r>
    </w:p>
    <w:p w14:paraId="1D99CC62"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4: Transparenca dhe angazhimi i palëve të interesit</w:t>
      </w:r>
    </w:p>
    <w:p w14:paraId="064AC351" w14:textId="709C736A" w:rsidR="00EF4A7A" w:rsidRPr="002D0AF3" w:rsidRDefault="00EF4A7A" w:rsidP="00EF4A7A">
      <w:pPr>
        <w:spacing w:after="0" w:line="240" w:lineRule="auto"/>
        <w:ind w:firstLine="284"/>
        <w:jc w:val="both"/>
        <w:rPr>
          <w:rFonts w:ascii="Garamond" w:hAnsi="Garamond" w:cs="Arial"/>
          <w:b/>
          <w:bCs/>
          <w:sz w:val="24"/>
          <w:szCs w:val="24"/>
        </w:rPr>
      </w:pPr>
      <w:r w:rsidRPr="002D0AF3">
        <w:rPr>
          <w:rFonts w:ascii="Garamond" w:hAnsi="Garamond" w:cs="Arial"/>
          <w:b/>
          <w:bCs/>
          <w:sz w:val="24"/>
          <w:szCs w:val="24"/>
        </w:rPr>
        <w:t xml:space="preserve">Qëllimi i </w:t>
      </w:r>
      <w:r w:rsidR="00B90780" w:rsidRPr="002D0AF3">
        <w:rPr>
          <w:rFonts w:ascii="Garamond" w:hAnsi="Garamond" w:cs="Arial"/>
          <w:b/>
          <w:bCs/>
          <w:sz w:val="24"/>
          <w:szCs w:val="24"/>
        </w:rPr>
        <w:t xml:space="preserve">politikës </w:t>
      </w:r>
      <w:r w:rsidRPr="002D0AF3">
        <w:rPr>
          <w:rFonts w:ascii="Garamond" w:hAnsi="Garamond" w:cs="Arial"/>
          <w:b/>
          <w:bCs/>
          <w:sz w:val="24"/>
          <w:szCs w:val="24"/>
        </w:rPr>
        <w:t xml:space="preserve">2 - Forcimi i efektshmërisë së </w:t>
      </w:r>
      <w:r w:rsidR="00B90780" w:rsidRPr="002D0AF3">
        <w:rPr>
          <w:rFonts w:ascii="Garamond" w:hAnsi="Garamond" w:cs="Arial"/>
          <w:b/>
          <w:bCs/>
          <w:sz w:val="24"/>
          <w:szCs w:val="24"/>
        </w:rPr>
        <w:t>sistemit të kontrollit agroushqimor</w:t>
      </w:r>
    </w:p>
    <w:p w14:paraId="7D339E76"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1: Sigurimi i mjaftueshëm i stafit dhe kompetencave në të gjitha organet rregullatore</w:t>
      </w:r>
    </w:p>
    <w:p w14:paraId="4053233B"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2: Forcimi i menaxhimit të të dhënave në sistemin e kontrollit dhe lidhja e sistemeve të mjedisit, shëndetit të kafshëve, shëndetit të bimëve dhe shëndetit publik për mbrojtje më të mirë të konsumatorit</w:t>
      </w:r>
    </w:p>
    <w:p w14:paraId="507B6CC5"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3: Sigurimi i kapaciteteve profesionale dhe organizative për të gjitha organizatat e përfshira në zbatimin e sistemeve zyrtare të kontrollit</w:t>
      </w:r>
    </w:p>
    <w:p w14:paraId="2A088F58"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4: Krijimi i marrëdhënieve të ngushta dhe efikase për bashkëpunim dhe shkëmbim informacioni për të siguruar qasje efikase të integruar kundrejt planifikimit, zbatimit dhe monitorimit</w:t>
      </w:r>
    </w:p>
    <w:p w14:paraId="51A1C122" w14:textId="0F23EECE" w:rsidR="00EF4A7A" w:rsidRPr="002D0AF3" w:rsidRDefault="00EF4A7A" w:rsidP="00EF4A7A">
      <w:pPr>
        <w:spacing w:after="0" w:line="240" w:lineRule="auto"/>
        <w:ind w:firstLine="284"/>
        <w:jc w:val="both"/>
        <w:rPr>
          <w:rFonts w:ascii="Garamond" w:hAnsi="Garamond" w:cs="Arial"/>
          <w:b/>
          <w:bCs/>
          <w:sz w:val="24"/>
          <w:szCs w:val="24"/>
        </w:rPr>
      </w:pPr>
      <w:r w:rsidRPr="002D0AF3">
        <w:rPr>
          <w:rFonts w:ascii="Garamond" w:hAnsi="Garamond" w:cs="Arial"/>
          <w:b/>
          <w:bCs/>
          <w:sz w:val="24"/>
          <w:szCs w:val="24"/>
        </w:rPr>
        <w:t xml:space="preserve">Qëllimi i </w:t>
      </w:r>
      <w:r w:rsidR="00B90780" w:rsidRPr="002D0AF3">
        <w:rPr>
          <w:rFonts w:ascii="Garamond" w:hAnsi="Garamond" w:cs="Arial"/>
          <w:b/>
          <w:bCs/>
          <w:sz w:val="24"/>
          <w:szCs w:val="24"/>
        </w:rPr>
        <w:t xml:space="preserve">politikës </w:t>
      </w:r>
      <w:r w:rsidRPr="002D0AF3">
        <w:rPr>
          <w:rFonts w:ascii="Garamond" w:hAnsi="Garamond" w:cs="Arial"/>
          <w:b/>
          <w:bCs/>
          <w:sz w:val="24"/>
          <w:szCs w:val="24"/>
        </w:rPr>
        <w:t xml:space="preserve">3 - Forcimi i </w:t>
      </w:r>
      <w:r w:rsidR="00B90780" w:rsidRPr="002D0AF3">
        <w:rPr>
          <w:rFonts w:ascii="Garamond" w:hAnsi="Garamond" w:cs="Arial"/>
          <w:b/>
          <w:bCs/>
          <w:sz w:val="24"/>
          <w:szCs w:val="24"/>
        </w:rPr>
        <w:t>përputhshmërisë në të gjithë sektorin agroushqimor</w:t>
      </w:r>
    </w:p>
    <w:p w14:paraId="457B13FC" w14:textId="689D1926"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 xml:space="preserve">Nr. 1: Krijimi i marrëdhënieve të ngushta të bashkëpunimit me sektorin </w:t>
      </w:r>
      <w:r w:rsidR="005529A9" w:rsidRPr="002D0AF3">
        <w:rPr>
          <w:rFonts w:ascii="Garamond" w:hAnsi="Garamond" w:cs="Arial"/>
          <w:sz w:val="24"/>
          <w:szCs w:val="24"/>
        </w:rPr>
        <w:t>agroushqimor</w:t>
      </w:r>
    </w:p>
    <w:p w14:paraId="1DBA9433"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2: Krijimi i një qasjeje efikase komunikimi për të ofruar informacion të përditësuar dhe dhënë këshilla praktike për sektorin lidhur me përmirësimin e sigurisë ushqimore dhe përmbushjen e standardeve të sigurisë ushqimore</w:t>
      </w:r>
    </w:p>
    <w:p w14:paraId="19D4205A"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3: Përmirësimi i ekspertizës teknike të operatorëve për zbatimin e standardeve të sigurisë ushqimore</w:t>
      </w:r>
    </w:p>
    <w:p w14:paraId="1BBE4452" w14:textId="3AECAB78" w:rsidR="00EF4A7A" w:rsidRPr="002D0AF3" w:rsidRDefault="00EF4A7A" w:rsidP="00EF4A7A">
      <w:pPr>
        <w:spacing w:after="0" w:line="240" w:lineRule="auto"/>
        <w:ind w:firstLine="284"/>
        <w:jc w:val="both"/>
        <w:rPr>
          <w:rFonts w:ascii="Garamond" w:hAnsi="Garamond" w:cs="Arial"/>
          <w:b/>
          <w:bCs/>
          <w:sz w:val="24"/>
          <w:szCs w:val="24"/>
        </w:rPr>
      </w:pPr>
      <w:r w:rsidRPr="002D0AF3">
        <w:rPr>
          <w:rFonts w:ascii="Garamond" w:hAnsi="Garamond" w:cs="Arial"/>
          <w:b/>
          <w:bCs/>
          <w:sz w:val="24"/>
          <w:szCs w:val="24"/>
        </w:rPr>
        <w:t xml:space="preserve">Qëllimi i </w:t>
      </w:r>
      <w:r w:rsidR="00B90780" w:rsidRPr="002D0AF3">
        <w:rPr>
          <w:rFonts w:ascii="Garamond" w:hAnsi="Garamond" w:cs="Arial"/>
          <w:b/>
          <w:bCs/>
          <w:sz w:val="24"/>
          <w:szCs w:val="24"/>
        </w:rPr>
        <w:t xml:space="preserve">politikës </w:t>
      </w:r>
      <w:r w:rsidRPr="002D0AF3">
        <w:rPr>
          <w:rFonts w:ascii="Garamond" w:hAnsi="Garamond" w:cs="Arial"/>
          <w:b/>
          <w:bCs/>
          <w:sz w:val="24"/>
          <w:szCs w:val="24"/>
        </w:rPr>
        <w:t>4: Fuqizimi i konsumatorit për të marrë vendime të informuara</w:t>
      </w:r>
    </w:p>
    <w:p w14:paraId="6D4FBB74"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1: Rritja e angazhimit me konsumatorët për t’i fuqizuar ata në mënyrë që të bëjnë zgjedhje të sigurta dhe të shëndetshme ushqimore</w:t>
      </w:r>
    </w:p>
    <w:p w14:paraId="26D73DCA" w14:textId="77777777" w:rsidR="00EF4A7A" w:rsidRPr="002D0AF3" w:rsidRDefault="00EF4A7A" w:rsidP="00EF4A7A">
      <w:pPr>
        <w:spacing w:after="0" w:line="240" w:lineRule="auto"/>
        <w:ind w:firstLine="284"/>
        <w:jc w:val="both"/>
        <w:rPr>
          <w:rFonts w:ascii="Garamond" w:hAnsi="Garamond" w:cs="Arial"/>
          <w:sz w:val="24"/>
          <w:szCs w:val="24"/>
        </w:rPr>
      </w:pPr>
      <w:r w:rsidRPr="002D0AF3">
        <w:rPr>
          <w:rFonts w:ascii="Garamond" w:hAnsi="Garamond" w:cs="Arial"/>
          <w:sz w:val="24"/>
          <w:szCs w:val="24"/>
        </w:rPr>
        <w:t>Nr. 2: Ndërgjegjësimi për sigurinë ushqimore përmes fushatave edukuese dhe ndërgjegjësuese</w:t>
      </w:r>
    </w:p>
    <w:p w14:paraId="2A6A308C" w14:textId="1A0ECE5F" w:rsidR="00EF4A7A" w:rsidRPr="002D0AF3" w:rsidRDefault="00EF4A7A" w:rsidP="00EF4A7A">
      <w:pPr>
        <w:spacing w:after="0" w:line="240" w:lineRule="auto"/>
        <w:ind w:firstLine="284"/>
        <w:rPr>
          <w:rFonts w:ascii="Garamond" w:hAnsi="Garamond" w:cs="Arial"/>
          <w:sz w:val="24"/>
          <w:szCs w:val="24"/>
        </w:rPr>
      </w:pPr>
      <w:r w:rsidRPr="002D0AF3">
        <w:rPr>
          <w:rFonts w:ascii="Garamond" w:hAnsi="Garamond" w:cs="Arial"/>
          <w:sz w:val="24"/>
          <w:szCs w:val="24"/>
        </w:rPr>
        <w:t>Nr. 3: Angazhim proaktiv me medi</w:t>
      </w:r>
      <w:r w:rsidR="00B90780" w:rsidRPr="002D0AF3">
        <w:rPr>
          <w:rFonts w:ascii="Garamond" w:hAnsi="Garamond" w:cs="Arial"/>
          <w:sz w:val="24"/>
          <w:szCs w:val="24"/>
        </w:rPr>
        <w:t>e</w:t>
      </w:r>
      <w:r w:rsidRPr="002D0AF3">
        <w:rPr>
          <w:rFonts w:ascii="Garamond" w:hAnsi="Garamond" w:cs="Arial"/>
          <w:sz w:val="24"/>
          <w:szCs w:val="24"/>
        </w:rPr>
        <w:t>n për të siguruar komunikime të sakta dhe në kohë</w:t>
      </w:r>
    </w:p>
    <w:p w14:paraId="46D52D3F" w14:textId="77777777" w:rsidR="00EF4A7A" w:rsidRPr="002D0AF3" w:rsidRDefault="00EF4A7A" w:rsidP="00EF4A7A">
      <w:pPr>
        <w:spacing w:after="0" w:line="240" w:lineRule="auto"/>
        <w:ind w:firstLine="284"/>
        <w:rPr>
          <w:rFonts w:ascii="Garamond" w:hAnsi="Garamond" w:cs="Arial"/>
          <w:sz w:val="24"/>
          <w:szCs w:val="24"/>
        </w:rPr>
      </w:pPr>
    </w:p>
    <w:p w14:paraId="4E11BAC2" w14:textId="77777777" w:rsidR="00EF4A7A" w:rsidRPr="002D0AF3" w:rsidRDefault="00EF4A7A">
      <w:pPr>
        <w:pStyle w:val="TEKSTIII"/>
        <w:rPr>
          <w:szCs w:val="24"/>
        </w:rPr>
      </w:pPr>
    </w:p>
    <w:p w14:paraId="016D1F5B" w14:textId="77777777" w:rsidR="00A50B42" w:rsidRPr="002D0AF3" w:rsidRDefault="00A50B42">
      <w:pPr>
        <w:pStyle w:val="TEKSTIII"/>
        <w:rPr>
          <w:szCs w:val="24"/>
        </w:rPr>
      </w:pPr>
    </w:p>
    <w:p w14:paraId="52588920" w14:textId="77777777" w:rsidR="00A50B42" w:rsidRPr="002D0AF3" w:rsidRDefault="00A50B42">
      <w:pPr>
        <w:pStyle w:val="TEKSTIII"/>
        <w:rPr>
          <w:szCs w:val="24"/>
        </w:rPr>
      </w:pPr>
    </w:p>
    <w:p w14:paraId="29916AC4" w14:textId="77777777" w:rsidR="00A50B42" w:rsidRPr="002D0AF3" w:rsidRDefault="00A50B42">
      <w:pPr>
        <w:pStyle w:val="TEKSTIII"/>
        <w:rPr>
          <w:szCs w:val="24"/>
        </w:rPr>
      </w:pPr>
    </w:p>
    <w:p w14:paraId="4AB9B3D9" w14:textId="77777777" w:rsidR="00A50B42" w:rsidRPr="002D0AF3" w:rsidRDefault="00A50B42">
      <w:pPr>
        <w:pStyle w:val="TEKSTIII"/>
        <w:rPr>
          <w:szCs w:val="24"/>
        </w:rPr>
      </w:pPr>
    </w:p>
    <w:p w14:paraId="51357315" w14:textId="77777777" w:rsidR="00A50B42" w:rsidRPr="002D0AF3" w:rsidRDefault="00A50B42">
      <w:pPr>
        <w:pStyle w:val="TEKSTIII"/>
        <w:rPr>
          <w:szCs w:val="24"/>
        </w:rPr>
      </w:pPr>
    </w:p>
    <w:p w14:paraId="4DAC4AD0" w14:textId="77777777" w:rsidR="00BC5407" w:rsidRPr="002D0AF3" w:rsidRDefault="00BC5407">
      <w:pPr>
        <w:pStyle w:val="TEKSTIII"/>
        <w:rPr>
          <w:szCs w:val="24"/>
        </w:rPr>
        <w:sectPr w:rsidR="00BC5407" w:rsidRPr="002D0AF3">
          <w:footerReference w:type="default" r:id="rId37"/>
          <w:pgSz w:w="12240" w:h="15840"/>
          <w:pgMar w:top="1440" w:right="1440" w:bottom="1440" w:left="1440" w:header="720" w:footer="720" w:gutter="0"/>
          <w:cols w:space="720"/>
          <w:docGrid w:linePitch="360"/>
        </w:sectPr>
      </w:pPr>
    </w:p>
    <w:tbl>
      <w:tblPr>
        <w:tblStyle w:val="TableGrid"/>
        <w:tblW w:w="5000" w:type="pct"/>
        <w:jc w:val="center"/>
        <w:tblLook w:val="04A0" w:firstRow="1" w:lastRow="0" w:firstColumn="1" w:lastColumn="0" w:noHBand="0" w:noVBand="1"/>
      </w:tblPr>
      <w:tblGrid>
        <w:gridCol w:w="466"/>
        <w:gridCol w:w="1049"/>
        <w:gridCol w:w="1563"/>
        <w:gridCol w:w="1486"/>
        <w:gridCol w:w="1955"/>
        <w:gridCol w:w="701"/>
        <w:gridCol w:w="780"/>
        <w:gridCol w:w="862"/>
        <w:gridCol w:w="873"/>
        <w:gridCol w:w="1017"/>
        <w:gridCol w:w="1328"/>
        <w:gridCol w:w="1096"/>
      </w:tblGrid>
      <w:tr w:rsidR="00BC5407" w:rsidRPr="002D0AF3" w14:paraId="386EC6AF" w14:textId="77777777" w:rsidTr="00BC5407">
        <w:trPr>
          <w:trHeight w:val="20"/>
          <w:tblHeader/>
          <w:jc w:val="center"/>
        </w:trPr>
        <w:tc>
          <w:tcPr>
            <w:tcW w:w="177" w:type="pct"/>
            <w:shd w:val="clear" w:color="auto" w:fill="92D050"/>
            <w:vAlign w:val="center"/>
          </w:tcPr>
          <w:p w14:paraId="14404E4B"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lastRenderedPageBreak/>
              <w:t>Nr.</w:t>
            </w:r>
          </w:p>
        </w:tc>
        <w:tc>
          <w:tcPr>
            <w:tcW w:w="398" w:type="pct"/>
            <w:shd w:val="clear" w:color="auto" w:fill="92D050"/>
            <w:vAlign w:val="center"/>
          </w:tcPr>
          <w:p w14:paraId="02084C58" w14:textId="77777777"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Fusha</w:t>
            </w:r>
          </w:p>
        </w:tc>
        <w:tc>
          <w:tcPr>
            <w:tcW w:w="593" w:type="pct"/>
            <w:shd w:val="clear" w:color="auto" w:fill="92D050"/>
            <w:vAlign w:val="center"/>
          </w:tcPr>
          <w:p w14:paraId="13658F2F" w14:textId="77777777"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Përshkrimi</w:t>
            </w:r>
          </w:p>
        </w:tc>
        <w:tc>
          <w:tcPr>
            <w:tcW w:w="564" w:type="pct"/>
            <w:shd w:val="clear" w:color="auto" w:fill="92D050"/>
            <w:vAlign w:val="center"/>
          </w:tcPr>
          <w:p w14:paraId="3A32AEEE" w14:textId="77777777"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Rezultati</w:t>
            </w:r>
          </w:p>
        </w:tc>
        <w:tc>
          <w:tcPr>
            <w:tcW w:w="742" w:type="pct"/>
            <w:shd w:val="clear" w:color="auto" w:fill="92D050"/>
            <w:vAlign w:val="center"/>
          </w:tcPr>
          <w:p w14:paraId="456DBB6D" w14:textId="77777777"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Treguesi</w:t>
            </w:r>
          </w:p>
        </w:tc>
        <w:tc>
          <w:tcPr>
            <w:tcW w:w="266" w:type="pct"/>
            <w:shd w:val="clear" w:color="auto" w:fill="92D050"/>
            <w:vAlign w:val="center"/>
          </w:tcPr>
          <w:p w14:paraId="1DBC0BB5" w14:textId="77777777"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Qëllimi i politikës</w:t>
            </w:r>
          </w:p>
        </w:tc>
        <w:tc>
          <w:tcPr>
            <w:tcW w:w="296" w:type="pct"/>
            <w:shd w:val="clear" w:color="auto" w:fill="92D050"/>
            <w:vAlign w:val="center"/>
          </w:tcPr>
          <w:p w14:paraId="5219E0B1" w14:textId="77777777" w:rsidR="004F1C60" w:rsidRPr="002D0AF3" w:rsidRDefault="004F1C60" w:rsidP="00B87B10">
            <w:pPr>
              <w:tabs>
                <w:tab w:val="left" w:pos="900"/>
              </w:tabs>
              <w:jc w:val="center"/>
              <w:rPr>
                <w:rFonts w:ascii="Garamond" w:hAnsi="Garamond" w:cs="Times New Roman"/>
                <w:b/>
                <w:bCs/>
                <w:sz w:val="12"/>
                <w:szCs w:val="12"/>
              </w:rPr>
            </w:pPr>
            <w:r w:rsidRPr="002D0AF3">
              <w:rPr>
                <w:rFonts w:ascii="Garamond" w:hAnsi="Garamond" w:cs="Times New Roman"/>
                <w:b/>
                <w:bCs/>
                <w:sz w:val="12"/>
                <w:szCs w:val="12"/>
              </w:rPr>
              <w:t>Data e fillimit</w:t>
            </w:r>
          </w:p>
        </w:tc>
        <w:tc>
          <w:tcPr>
            <w:tcW w:w="326" w:type="pct"/>
            <w:shd w:val="clear" w:color="auto" w:fill="92D050"/>
            <w:vAlign w:val="center"/>
          </w:tcPr>
          <w:p w14:paraId="45CDBA25" w14:textId="77777777"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Data e përfundimit</w:t>
            </w:r>
          </w:p>
        </w:tc>
        <w:tc>
          <w:tcPr>
            <w:tcW w:w="331" w:type="pct"/>
            <w:shd w:val="clear" w:color="auto" w:fill="92D050"/>
            <w:vAlign w:val="center"/>
          </w:tcPr>
          <w:p w14:paraId="006B011A" w14:textId="77777777"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Kostot/</w:t>
            </w:r>
          </w:p>
          <w:p w14:paraId="2415E5E3" w14:textId="2F6A9D59"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në lek TOTALI</w:t>
            </w:r>
          </w:p>
        </w:tc>
        <w:tc>
          <w:tcPr>
            <w:tcW w:w="386" w:type="pct"/>
            <w:shd w:val="clear" w:color="auto" w:fill="92D050"/>
            <w:vAlign w:val="center"/>
          </w:tcPr>
          <w:p w14:paraId="77210C15" w14:textId="77777777"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Kostot</w:t>
            </w:r>
          </w:p>
          <w:p w14:paraId="49D96612" w14:textId="6B0A3682"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PBA/në lek</w:t>
            </w:r>
          </w:p>
        </w:tc>
        <w:tc>
          <w:tcPr>
            <w:tcW w:w="504" w:type="pct"/>
            <w:shd w:val="clear" w:color="auto" w:fill="92D050"/>
            <w:vAlign w:val="center"/>
          </w:tcPr>
          <w:p w14:paraId="342D9A14" w14:textId="77777777"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Burimi i financimit</w:t>
            </w:r>
          </w:p>
          <w:p w14:paraId="547CCD6D" w14:textId="2293763C"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Donatorët/në lek</w:t>
            </w:r>
          </w:p>
        </w:tc>
        <w:tc>
          <w:tcPr>
            <w:tcW w:w="416" w:type="pct"/>
            <w:shd w:val="clear" w:color="auto" w:fill="92D050"/>
            <w:vAlign w:val="center"/>
          </w:tcPr>
          <w:p w14:paraId="52E1B878" w14:textId="5CC4FC9A" w:rsidR="004F1C60" w:rsidRPr="002D0AF3" w:rsidRDefault="004F1C60" w:rsidP="00B87B10">
            <w:pPr>
              <w:jc w:val="center"/>
              <w:rPr>
                <w:rFonts w:ascii="Garamond" w:hAnsi="Garamond" w:cs="Times New Roman"/>
                <w:b/>
                <w:bCs/>
                <w:sz w:val="12"/>
                <w:szCs w:val="12"/>
              </w:rPr>
            </w:pPr>
            <w:r w:rsidRPr="002D0AF3">
              <w:rPr>
                <w:rFonts w:ascii="Garamond" w:hAnsi="Garamond" w:cs="Times New Roman"/>
                <w:b/>
                <w:bCs/>
                <w:sz w:val="12"/>
                <w:szCs w:val="12"/>
              </w:rPr>
              <w:t xml:space="preserve">Hendeku </w:t>
            </w:r>
            <w:r w:rsidR="002D0AF3" w:rsidRPr="002D0AF3">
              <w:rPr>
                <w:rFonts w:ascii="Garamond" w:hAnsi="Garamond" w:cs="Times New Roman"/>
                <w:b/>
                <w:bCs/>
                <w:sz w:val="12"/>
                <w:szCs w:val="12"/>
              </w:rPr>
              <w:t>buxhetor</w:t>
            </w:r>
          </w:p>
        </w:tc>
      </w:tr>
      <w:tr w:rsidR="00BC5407" w:rsidRPr="002D0AF3" w14:paraId="5DBF3443" w14:textId="77777777" w:rsidTr="00BC5407">
        <w:trPr>
          <w:trHeight w:val="20"/>
          <w:jc w:val="center"/>
        </w:trPr>
        <w:tc>
          <w:tcPr>
            <w:tcW w:w="177" w:type="pct"/>
          </w:tcPr>
          <w:p w14:paraId="0CC9016B"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1a</w:t>
            </w:r>
          </w:p>
        </w:tc>
        <w:tc>
          <w:tcPr>
            <w:tcW w:w="398" w:type="pct"/>
          </w:tcPr>
          <w:p w14:paraId="1648112F" w14:textId="0A6DA048"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Zhvillimi i kuadrit ligjor (</w:t>
            </w:r>
            <w:r w:rsidR="002D0AF3" w:rsidRPr="002D0AF3">
              <w:rPr>
                <w:rFonts w:ascii="Garamond" w:hAnsi="Garamond" w:cs="Times New Roman"/>
                <w:sz w:val="12"/>
                <w:szCs w:val="12"/>
              </w:rPr>
              <w:t xml:space="preserve">kapitulli </w:t>
            </w:r>
            <w:r w:rsidRPr="002D0AF3">
              <w:rPr>
                <w:rFonts w:ascii="Garamond" w:hAnsi="Garamond" w:cs="Times New Roman"/>
                <w:sz w:val="12"/>
                <w:szCs w:val="12"/>
              </w:rPr>
              <w:t xml:space="preserve">12 - </w:t>
            </w:r>
            <w:r w:rsidR="002D0AF3" w:rsidRPr="002D0AF3">
              <w:rPr>
                <w:rFonts w:ascii="Garamond" w:hAnsi="Garamond" w:cs="Times New Roman"/>
                <w:i/>
                <w:sz w:val="12"/>
                <w:szCs w:val="12"/>
              </w:rPr>
              <w:t>acquis</w:t>
            </w:r>
            <w:r w:rsidRPr="002D0AF3">
              <w:rPr>
                <w:rFonts w:ascii="Garamond" w:hAnsi="Garamond" w:cs="Times New Roman"/>
                <w:sz w:val="12"/>
                <w:szCs w:val="12"/>
              </w:rPr>
              <w:t>).</w:t>
            </w:r>
          </w:p>
        </w:tc>
        <w:tc>
          <w:tcPr>
            <w:tcW w:w="593" w:type="pct"/>
          </w:tcPr>
          <w:p w14:paraId="65C7EB19" w14:textId="6DF566F4"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MBZHR</w:t>
            </w:r>
            <w:r w:rsidR="002D0AF3" w:rsidRPr="002D0AF3">
              <w:rPr>
                <w:rFonts w:ascii="Garamond" w:hAnsi="Garamond" w:cs="Times New Roman"/>
                <w:sz w:val="12"/>
                <w:szCs w:val="12"/>
              </w:rPr>
              <w:t>-ja</w:t>
            </w:r>
            <w:r w:rsidRPr="002D0AF3">
              <w:rPr>
                <w:rFonts w:ascii="Garamond" w:hAnsi="Garamond" w:cs="Times New Roman"/>
                <w:sz w:val="12"/>
                <w:szCs w:val="12"/>
              </w:rPr>
              <w:t xml:space="preserve"> të zhvillojë strategjinë dhe planin e veprimit të </w:t>
            </w:r>
            <w:r w:rsidR="002D0AF3" w:rsidRPr="002D0AF3">
              <w:rPr>
                <w:rFonts w:ascii="Garamond" w:hAnsi="Garamond" w:cs="Times New Roman"/>
                <w:sz w:val="12"/>
                <w:szCs w:val="12"/>
              </w:rPr>
              <w:t xml:space="preserve">kapitullit </w:t>
            </w:r>
            <w:r w:rsidRPr="002D0AF3">
              <w:rPr>
                <w:rFonts w:ascii="Garamond" w:hAnsi="Garamond" w:cs="Times New Roman"/>
                <w:sz w:val="12"/>
                <w:szCs w:val="12"/>
              </w:rPr>
              <w:t xml:space="preserve">12 për të gjitha kërkesat e transpozimit të </w:t>
            </w:r>
            <w:r w:rsidR="002D0AF3" w:rsidRPr="002D0AF3">
              <w:rPr>
                <w:rFonts w:ascii="Garamond" w:hAnsi="Garamond" w:cs="Times New Roman"/>
                <w:i/>
                <w:sz w:val="12"/>
                <w:szCs w:val="12"/>
              </w:rPr>
              <w:t>acquis</w:t>
            </w:r>
            <w:r w:rsidRPr="002D0AF3">
              <w:rPr>
                <w:rFonts w:ascii="Garamond" w:hAnsi="Garamond" w:cs="Times New Roman"/>
                <w:sz w:val="12"/>
                <w:szCs w:val="12"/>
              </w:rPr>
              <w:t xml:space="preserve"> të BE-së.</w:t>
            </w:r>
          </w:p>
        </w:tc>
        <w:tc>
          <w:tcPr>
            <w:tcW w:w="564" w:type="pct"/>
          </w:tcPr>
          <w:p w14:paraId="419312AC" w14:textId="26E25E06"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Hartimi i strategjisë dhe plani të veprimit së bashku me afatet kohore për </w:t>
            </w:r>
            <w:r w:rsidR="002D0AF3" w:rsidRPr="002D0AF3">
              <w:rPr>
                <w:rFonts w:ascii="Garamond" w:hAnsi="Garamond" w:cs="Times New Roman"/>
                <w:sz w:val="12"/>
                <w:szCs w:val="12"/>
              </w:rPr>
              <w:t xml:space="preserve">kapitullin </w:t>
            </w:r>
            <w:r w:rsidRPr="002D0AF3">
              <w:rPr>
                <w:rFonts w:ascii="Garamond" w:hAnsi="Garamond" w:cs="Times New Roman"/>
                <w:sz w:val="12"/>
                <w:szCs w:val="12"/>
              </w:rPr>
              <w:t>12.</w:t>
            </w:r>
          </w:p>
        </w:tc>
        <w:tc>
          <w:tcPr>
            <w:tcW w:w="742" w:type="pct"/>
          </w:tcPr>
          <w:p w14:paraId="42401C3D"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Strategjia dhe plani i veprimit për kapitullin 12 të rishikohet të paktën çdo vit.</w:t>
            </w:r>
          </w:p>
          <w:p w14:paraId="30881C24" w14:textId="77777777" w:rsidR="004F1C60" w:rsidRPr="002D0AF3" w:rsidRDefault="004F1C60" w:rsidP="00B87B10">
            <w:pPr>
              <w:pStyle w:val="TableParagraph"/>
              <w:rPr>
                <w:rFonts w:ascii="Garamond" w:hAnsi="Garamond" w:cs="Times New Roman"/>
                <w:sz w:val="12"/>
                <w:szCs w:val="12"/>
              </w:rPr>
            </w:pPr>
          </w:p>
          <w:p w14:paraId="70AC4B98"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Publikimi i legjislacionit në Fletoren Zyrtare.</w:t>
            </w:r>
          </w:p>
        </w:tc>
        <w:tc>
          <w:tcPr>
            <w:tcW w:w="266" w:type="pct"/>
          </w:tcPr>
          <w:p w14:paraId="1CDD011B"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1</w:t>
            </w:r>
          </w:p>
        </w:tc>
        <w:tc>
          <w:tcPr>
            <w:tcW w:w="296" w:type="pct"/>
          </w:tcPr>
          <w:p w14:paraId="65801816" w14:textId="0C1B949D" w:rsidR="004F1C60" w:rsidRPr="002D0AF3" w:rsidRDefault="004F1C60" w:rsidP="00B87B10">
            <w:pPr>
              <w:pStyle w:val="TableParagraph"/>
              <w:tabs>
                <w:tab w:val="left" w:pos="900"/>
              </w:tabs>
              <w:rPr>
                <w:rFonts w:ascii="Garamond" w:hAnsi="Garamond" w:cs="Times New Roman"/>
                <w:sz w:val="12"/>
                <w:szCs w:val="12"/>
              </w:rPr>
            </w:pPr>
            <w:r w:rsidRPr="002D0AF3">
              <w:rPr>
                <w:rFonts w:ascii="Garamond" w:hAnsi="Garamond" w:cs="Times New Roman"/>
                <w:sz w:val="12"/>
                <w:szCs w:val="12"/>
              </w:rPr>
              <w:t>Tremujori (TM) i 3- 2023</w:t>
            </w:r>
          </w:p>
        </w:tc>
        <w:tc>
          <w:tcPr>
            <w:tcW w:w="326" w:type="pct"/>
          </w:tcPr>
          <w:p w14:paraId="7E28F56E"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TM4 2027 </w:t>
            </w:r>
          </w:p>
          <w:p w14:paraId="045C7D51" w14:textId="77777777" w:rsidR="004F1C60" w:rsidRPr="002D0AF3" w:rsidRDefault="004F1C60" w:rsidP="00B87B10">
            <w:pPr>
              <w:pStyle w:val="TableParagraph"/>
              <w:rPr>
                <w:rFonts w:ascii="Garamond" w:hAnsi="Garamond" w:cs="Times New Roman"/>
                <w:sz w:val="12"/>
                <w:szCs w:val="12"/>
              </w:rPr>
            </w:pPr>
          </w:p>
          <w:p w14:paraId="6B4045BE" w14:textId="196279F1" w:rsidR="004F1C60" w:rsidRPr="002D0AF3" w:rsidRDefault="004F1C60" w:rsidP="00B87B10">
            <w:pPr>
              <w:pStyle w:val="TableParagraph"/>
              <w:rPr>
                <w:rFonts w:ascii="Garamond" w:hAnsi="Garamond" w:cs="Times New Roman"/>
                <w:i/>
                <w:sz w:val="12"/>
                <w:szCs w:val="12"/>
              </w:rPr>
            </w:pPr>
            <w:r w:rsidRPr="002D0AF3">
              <w:rPr>
                <w:rFonts w:ascii="Garamond" w:hAnsi="Garamond" w:cs="Times New Roman"/>
                <w:i/>
                <w:sz w:val="12"/>
                <w:szCs w:val="12"/>
              </w:rPr>
              <w:t>Legjislacioni është proces që do të vazhdojë deri në anëtarësimin</w:t>
            </w:r>
            <w:r w:rsidR="003E60DD" w:rsidRPr="002D0AF3">
              <w:rPr>
                <w:rFonts w:ascii="Garamond" w:hAnsi="Garamond" w:cs="Times New Roman"/>
                <w:i/>
                <w:sz w:val="12"/>
                <w:szCs w:val="12"/>
              </w:rPr>
              <w:t xml:space="preserve"> </w:t>
            </w:r>
            <w:r w:rsidRPr="002D0AF3">
              <w:rPr>
                <w:rFonts w:ascii="Garamond" w:hAnsi="Garamond" w:cs="Times New Roman"/>
                <w:i/>
                <w:sz w:val="12"/>
                <w:szCs w:val="12"/>
              </w:rPr>
              <w:t>në BE.</w:t>
            </w:r>
          </w:p>
        </w:tc>
        <w:tc>
          <w:tcPr>
            <w:tcW w:w="331" w:type="pct"/>
          </w:tcPr>
          <w:p w14:paraId="1BC08881"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60.5 mln </w:t>
            </w:r>
          </w:p>
        </w:tc>
        <w:tc>
          <w:tcPr>
            <w:tcW w:w="386" w:type="pct"/>
          </w:tcPr>
          <w:p w14:paraId="444187B7"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1.5 mln (2024),</w:t>
            </w:r>
          </w:p>
          <w:p w14:paraId="210062EE" w14:textId="77777777" w:rsidR="004F1C60" w:rsidRPr="002D0AF3" w:rsidRDefault="004F1C60" w:rsidP="00B87B10">
            <w:pPr>
              <w:pStyle w:val="TableParagraph"/>
              <w:rPr>
                <w:rFonts w:ascii="Garamond" w:hAnsi="Garamond" w:cs="Times New Roman"/>
                <w:sz w:val="12"/>
                <w:szCs w:val="12"/>
                <w:highlight w:val="yellow"/>
              </w:rPr>
            </w:pPr>
          </w:p>
          <w:p w14:paraId="26E00A12"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1.5 mln (2025)</w:t>
            </w:r>
          </w:p>
          <w:p w14:paraId="7BEF248F" w14:textId="77777777" w:rsidR="004F1C60" w:rsidRPr="002D0AF3" w:rsidRDefault="004F1C60" w:rsidP="00B87B10">
            <w:pPr>
              <w:pStyle w:val="TableParagraph"/>
              <w:rPr>
                <w:rFonts w:ascii="Garamond" w:hAnsi="Garamond" w:cs="Times New Roman"/>
                <w:sz w:val="12"/>
                <w:szCs w:val="12"/>
              </w:rPr>
            </w:pPr>
          </w:p>
          <w:p w14:paraId="205A81DB" w14:textId="77777777" w:rsidR="004F1C60" w:rsidRPr="002D0AF3" w:rsidRDefault="004F1C60" w:rsidP="00B87B10">
            <w:pPr>
              <w:pStyle w:val="TableParagraph"/>
              <w:rPr>
                <w:rFonts w:ascii="Garamond" w:hAnsi="Garamond" w:cs="Times New Roman"/>
                <w:sz w:val="12"/>
                <w:szCs w:val="12"/>
              </w:rPr>
            </w:pPr>
          </w:p>
        </w:tc>
        <w:tc>
          <w:tcPr>
            <w:tcW w:w="504" w:type="pct"/>
          </w:tcPr>
          <w:p w14:paraId="4B34646F" w14:textId="23C928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TM1 2026 - (2021-2027)</w:t>
            </w:r>
            <w:r w:rsidR="003E60DD" w:rsidRPr="002D0AF3">
              <w:rPr>
                <w:rFonts w:ascii="Garamond" w:hAnsi="Garamond" w:cs="Times New Roman"/>
                <w:sz w:val="12"/>
                <w:szCs w:val="12"/>
              </w:rPr>
              <w:t xml:space="preserve"> </w:t>
            </w:r>
            <w:r w:rsidRPr="002D0AF3">
              <w:rPr>
                <w:rFonts w:ascii="Garamond" w:hAnsi="Garamond" w:cs="Times New Roman"/>
                <w:sz w:val="12"/>
                <w:szCs w:val="12"/>
              </w:rPr>
              <w:t>IPA III (EU 4 FOOD SAFETY)</w:t>
            </w:r>
          </w:p>
          <w:p w14:paraId="33FDC0CE" w14:textId="75EF877C"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57.5</w:t>
            </w:r>
            <w:r w:rsidR="003E60DD" w:rsidRPr="002D0AF3">
              <w:rPr>
                <w:rFonts w:ascii="Garamond" w:hAnsi="Garamond" w:cs="Times New Roman"/>
                <w:sz w:val="12"/>
                <w:szCs w:val="12"/>
              </w:rPr>
              <w:t xml:space="preserve"> </w:t>
            </w:r>
            <w:r w:rsidRPr="002D0AF3">
              <w:rPr>
                <w:rFonts w:ascii="Garamond" w:hAnsi="Garamond" w:cs="Times New Roman"/>
                <w:sz w:val="12"/>
                <w:szCs w:val="12"/>
              </w:rPr>
              <w:t xml:space="preserve">mln </w:t>
            </w:r>
          </w:p>
        </w:tc>
        <w:tc>
          <w:tcPr>
            <w:tcW w:w="416" w:type="pct"/>
          </w:tcPr>
          <w:p w14:paraId="28DA6771" w14:textId="77777777" w:rsidR="004F1C60" w:rsidRPr="002D0AF3" w:rsidRDefault="004F1C60" w:rsidP="00B87B10">
            <w:pPr>
              <w:pStyle w:val="TableParagraph"/>
              <w:rPr>
                <w:rFonts w:ascii="Garamond" w:hAnsi="Garamond" w:cs="Times New Roman"/>
                <w:sz w:val="12"/>
                <w:szCs w:val="12"/>
              </w:rPr>
            </w:pPr>
          </w:p>
        </w:tc>
      </w:tr>
      <w:tr w:rsidR="00BC5407" w:rsidRPr="002D0AF3" w14:paraId="596CD640" w14:textId="77777777" w:rsidTr="00BC5407">
        <w:trPr>
          <w:trHeight w:val="20"/>
          <w:jc w:val="center"/>
        </w:trPr>
        <w:tc>
          <w:tcPr>
            <w:tcW w:w="177" w:type="pct"/>
          </w:tcPr>
          <w:p w14:paraId="0B44E2DB"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t>1b</w:t>
            </w:r>
          </w:p>
        </w:tc>
        <w:tc>
          <w:tcPr>
            <w:tcW w:w="398" w:type="pct"/>
          </w:tcPr>
          <w:p w14:paraId="6CBFB057" w14:textId="5499280A"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Zhvillimi i kuadrit ligjor (</w:t>
            </w:r>
            <w:r w:rsidR="002D0AF3" w:rsidRPr="002D0AF3">
              <w:rPr>
                <w:rFonts w:ascii="Garamond" w:hAnsi="Garamond" w:cs="Times New Roman"/>
                <w:sz w:val="12"/>
                <w:szCs w:val="12"/>
              </w:rPr>
              <w:t xml:space="preserve">kapitulli </w:t>
            </w:r>
            <w:r w:rsidRPr="002D0AF3">
              <w:rPr>
                <w:rFonts w:ascii="Garamond" w:hAnsi="Garamond" w:cs="Times New Roman"/>
                <w:sz w:val="12"/>
                <w:szCs w:val="12"/>
              </w:rPr>
              <w:t xml:space="preserve">12 – </w:t>
            </w:r>
            <w:r w:rsidR="002D0AF3" w:rsidRPr="002D0AF3">
              <w:rPr>
                <w:rFonts w:ascii="Garamond" w:hAnsi="Garamond" w:cs="Times New Roman"/>
                <w:i/>
                <w:sz w:val="12"/>
                <w:szCs w:val="12"/>
              </w:rPr>
              <w:t>acquis</w:t>
            </w:r>
            <w:r w:rsidRPr="002D0AF3">
              <w:rPr>
                <w:rFonts w:ascii="Garamond" w:hAnsi="Garamond" w:cs="Times New Roman"/>
                <w:sz w:val="12"/>
                <w:szCs w:val="12"/>
              </w:rPr>
              <w:t>).</w:t>
            </w:r>
          </w:p>
        </w:tc>
        <w:tc>
          <w:tcPr>
            <w:tcW w:w="593" w:type="pct"/>
          </w:tcPr>
          <w:p w14:paraId="10DCF01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Rishikimi i masave ekzistuese për zbatimin e legjislacionit për të vlerësuar efektivitetin dhe për të marrë masa për forcimin e mekanizmave të zbatimit.</w:t>
            </w:r>
          </w:p>
          <w:p w14:paraId="06F29CC3" w14:textId="77777777" w:rsidR="004F1C60" w:rsidRPr="002D0AF3" w:rsidRDefault="004F1C60" w:rsidP="00B87B10">
            <w:pPr>
              <w:rPr>
                <w:rFonts w:ascii="Garamond" w:hAnsi="Garamond" w:cs="Times New Roman"/>
                <w:sz w:val="12"/>
                <w:szCs w:val="12"/>
              </w:rPr>
            </w:pPr>
          </w:p>
          <w:p w14:paraId="24749D7D" w14:textId="77777777" w:rsidR="004F1C60" w:rsidRPr="002D0AF3" w:rsidRDefault="004F1C60" w:rsidP="00B87B10">
            <w:pPr>
              <w:rPr>
                <w:rFonts w:ascii="Garamond" w:hAnsi="Garamond" w:cs="Times New Roman"/>
                <w:sz w:val="12"/>
                <w:szCs w:val="12"/>
              </w:rPr>
            </w:pPr>
          </w:p>
        </w:tc>
        <w:tc>
          <w:tcPr>
            <w:tcW w:w="564" w:type="pct"/>
          </w:tcPr>
          <w:p w14:paraId="28CA842D" w14:textId="7890BD41"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Grup mekanizmash zbatimi në Shqipëri, që janë të përshtatshëm për të mbrojtur sigurinë e zinxhirit </w:t>
            </w:r>
            <w:r w:rsidR="005529A9" w:rsidRPr="002D0AF3">
              <w:rPr>
                <w:rFonts w:ascii="Garamond" w:hAnsi="Garamond" w:cs="Times New Roman"/>
                <w:sz w:val="12"/>
                <w:szCs w:val="12"/>
              </w:rPr>
              <w:t>agroushqimor</w:t>
            </w:r>
            <w:r w:rsidRPr="002D0AF3">
              <w:rPr>
                <w:rFonts w:ascii="Garamond" w:hAnsi="Garamond" w:cs="Times New Roman"/>
                <w:sz w:val="12"/>
                <w:szCs w:val="12"/>
              </w:rPr>
              <w:t xml:space="preserve"> dhe për të nxitur krijimin e kulturës së përputhshmërisë.</w:t>
            </w:r>
          </w:p>
        </w:tc>
        <w:tc>
          <w:tcPr>
            <w:tcW w:w="742" w:type="pct"/>
          </w:tcPr>
          <w:p w14:paraId="7C3D7BED"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 xml:space="preserve">Është kryer analiza e masave ekzistuese të zbatimit. </w:t>
            </w:r>
          </w:p>
          <w:p w14:paraId="5DC81B2C" w14:textId="77777777" w:rsidR="004F1C60" w:rsidRPr="002D0AF3" w:rsidRDefault="004F1C60" w:rsidP="00B87B10">
            <w:pPr>
              <w:pStyle w:val="TableParagraph"/>
              <w:rPr>
                <w:rFonts w:ascii="Garamond" w:eastAsiaTheme="minorHAnsi" w:hAnsi="Garamond" w:cs="Times New Roman"/>
                <w:sz w:val="12"/>
                <w:szCs w:val="12"/>
              </w:rPr>
            </w:pPr>
          </w:p>
          <w:p w14:paraId="60C74C5C" w14:textId="77777777" w:rsidR="004F1C60" w:rsidRPr="002D0AF3" w:rsidRDefault="004F1C60" w:rsidP="00B87B10">
            <w:pPr>
              <w:pStyle w:val="TableParagraph"/>
              <w:rPr>
                <w:rFonts w:ascii="Garamond" w:hAnsi="Garamond" w:cs="Times New Roman"/>
                <w:sz w:val="12"/>
                <w:szCs w:val="12"/>
              </w:rPr>
            </w:pPr>
            <w:r w:rsidRPr="002D0AF3">
              <w:rPr>
                <w:rFonts w:ascii="Garamond" w:eastAsiaTheme="minorHAnsi" w:hAnsi="Garamond" w:cs="Times New Roman"/>
                <w:sz w:val="12"/>
                <w:szCs w:val="12"/>
              </w:rPr>
              <w:t>Janë identifikuar mangësitë dhe janë zbatuar masa për të forcuar mekanizmat e zbatimit.</w:t>
            </w:r>
          </w:p>
        </w:tc>
        <w:tc>
          <w:tcPr>
            <w:tcW w:w="266" w:type="pct"/>
          </w:tcPr>
          <w:p w14:paraId="58C95C68"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2</w:t>
            </w:r>
          </w:p>
        </w:tc>
        <w:tc>
          <w:tcPr>
            <w:tcW w:w="296" w:type="pct"/>
          </w:tcPr>
          <w:p w14:paraId="3FEAECB4" w14:textId="77777777" w:rsidR="004F1C60" w:rsidRPr="002D0AF3" w:rsidRDefault="004F1C60" w:rsidP="00B87B10">
            <w:pPr>
              <w:pStyle w:val="TableParagraph"/>
              <w:tabs>
                <w:tab w:val="left" w:pos="900"/>
              </w:tabs>
              <w:rPr>
                <w:rFonts w:ascii="Garamond" w:hAnsi="Garamond" w:cs="Times New Roman"/>
                <w:sz w:val="12"/>
                <w:szCs w:val="12"/>
              </w:rPr>
            </w:pPr>
            <w:r w:rsidRPr="002D0AF3">
              <w:rPr>
                <w:rFonts w:ascii="Garamond" w:hAnsi="Garamond" w:cs="Times New Roman"/>
                <w:sz w:val="12"/>
                <w:szCs w:val="12"/>
              </w:rPr>
              <w:t>TM3 2023</w:t>
            </w:r>
          </w:p>
        </w:tc>
        <w:tc>
          <w:tcPr>
            <w:tcW w:w="326" w:type="pct"/>
          </w:tcPr>
          <w:p w14:paraId="328796F3"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TM4 2027 </w:t>
            </w:r>
          </w:p>
          <w:p w14:paraId="16B6AECA" w14:textId="77777777" w:rsidR="004F1C60" w:rsidRPr="002D0AF3" w:rsidRDefault="004F1C60" w:rsidP="00B87B10">
            <w:pPr>
              <w:pStyle w:val="TableParagraph"/>
              <w:rPr>
                <w:rFonts w:ascii="Garamond" w:hAnsi="Garamond" w:cs="Times New Roman"/>
                <w:sz w:val="12"/>
                <w:szCs w:val="12"/>
              </w:rPr>
            </w:pPr>
          </w:p>
          <w:p w14:paraId="795C2BEF" w14:textId="4DA611CA"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i/>
                <w:sz w:val="12"/>
                <w:szCs w:val="12"/>
              </w:rPr>
              <w:t>Legjislacioni është proces që do të vazhdojë deri në anëtarësimin</w:t>
            </w:r>
            <w:r w:rsidR="003E60DD" w:rsidRPr="002D0AF3">
              <w:rPr>
                <w:rFonts w:ascii="Garamond" w:hAnsi="Garamond" w:cs="Times New Roman"/>
                <w:i/>
                <w:sz w:val="12"/>
                <w:szCs w:val="12"/>
              </w:rPr>
              <w:t xml:space="preserve"> </w:t>
            </w:r>
            <w:r w:rsidRPr="002D0AF3">
              <w:rPr>
                <w:rFonts w:ascii="Garamond" w:hAnsi="Garamond" w:cs="Times New Roman"/>
                <w:i/>
                <w:sz w:val="12"/>
                <w:szCs w:val="12"/>
              </w:rPr>
              <w:t>në BE.</w:t>
            </w:r>
          </w:p>
        </w:tc>
        <w:tc>
          <w:tcPr>
            <w:tcW w:w="331" w:type="pct"/>
          </w:tcPr>
          <w:p w14:paraId="600E64A3"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 231 mln</w:t>
            </w:r>
          </w:p>
        </w:tc>
        <w:tc>
          <w:tcPr>
            <w:tcW w:w="386" w:type="pct"/>
          </w:tcPr>
          <w:p w14:paraId="2337A1F3"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0.5 mln (2024),</w:t>
            </w:r>
          </w:p>
          <w:p w14:paraId="284CADDD" w14:textId="77777777" w:rsidR="004F1C60" w:rsidRPr="002D0AF3" w:rsidRDefault="004F1C60" w:rsidP="00B87B10">
            <w:pPr>
              <w:pStyle w:val="TableParagraph"/>
              <w:rPr>
                <w:rFonts w:ascii="Garamond" w:hAnsi="Garamond" w:cs="Times New Roman"/>
                <w:sz w:val="12"/>
                <w:szCs w:val="12"/>
                <w:highlight w:val="yellow"/>
              </w:rPr>
            </w:pPr>
          </w:p>
          <w:p w14:paraId="20B6AECF"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0.5 mln (2025)</w:t>
            </w:r>
          </w:p>
          <w:p w14:paraId="1B5D0588" w14:textId="77777777" w:rsidR="004F1C60" w:rsidRPr="002D0AF3" w:rsidRDefault="004F1C60" w:rsidP="00B87B10">
            <w:pPr>
              <w:pStyle w:val="TableParagraph"/>
              <w:rPr>
                <w:rFonts w:ascii="Garamond" w:hAnsi="Garamond" w:cs="Times New Roman"/>
                <w:sz w:val="12"/>
                <w:szCs w:val="12"/>
              </w:rPr>
            </w:pPr>
          </w:p>
          <w:p w14:paraId="5AA9ED13" w14:textId="77777777" w:rsidR="004F1C60" w:rsidRPr="002D0AF3" w:rsidRDefault="004F1C60" w:rsidP="00B87B10">
            <w:pPr>
              <w:pStyle w:val="TableParagraph"/>
              <w:rPr>
                <w:rFonts w:ascii="Garamond" w:hAnsi="Garamond" w:cs="Times New Roman"/>
                <w:sz w:val="12"/>
                <w:szCs w:val="12"/>
                <w:highlight w:val="yellow"/>
              </w:rPr>
            </w:pPr>
          </w:p>
        </w:tc>
        <w:tc>
          <w:tcPr>
            <w:tcW w:w="504" w:type="pct"/>
          </w:tcPr>
          <w:p w14:paraId="43F8D45C" w14:textId="20BFA58D"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IPA III (2021–2027) </w:t>
            </w:r>
          </w:p>
          <w:p w14:paraId="3BF79AD3" w14:textId="77777777" w:rsidR="004F1C60" w:rsidRPr="002D0AF3" w:rsidRDefault="004F1C60" w:rsidP="00B87B10">
            <w:pPr>
              <w:pStyle w:val="TableParagraph"/>
              <w:rPr>
                <w:rFonts w:ascii="Garamond" w:hAnsi="Garamond" w:cs="Times New Roman"/>
                <w:sz w:val="12"/>
                <w:szCs w:val="12"/>
              </w:rPr>
            </w:pPr>
          </w:p>
          <w:p w14:paraId="24FB5C7B"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230 mln</w:t>
            </w:r>
          </w:p>
        </w:tc>
        <w:tc>
          <w:tcPr>
            <w:tcW w:w="416" w:type="pct"/>
          </w:tcPr>
          <w:p w14:paraId="5A17ADA1" w14:textId="77777777" w:rsidR="004F1C60" w:rsidRPr="002D0AF3" w:rsidRDefault="004F1C60" w:rsidP="00B87B10">
            <w:pPr>
              <w:pStyle w:val="TableParagraph"/>
              <w:rPr>
                <w:rFonts w:ascii="Garamond" w:hAnsi="Garamond" w:cs="Times New Roman"/>
                <w:sz w:val="12"/>
                <w:szCs w:val="12"/>
              </w:rPr>
            </w:pPr>
          </w:p>
        </w:tc>
      </w:tr>
      <w:tr w:rsidR="00BC5407" w:rsidRPr="002D0AF3" w14:paraId="66266AB4" w14:textId="77777777" w:rsidTr="00BC5407">
        <w:trPr>
          <w:trHeight w:val="20"/>
          <w:jc w:val="center"/>
        </w:trPr>
        <w:tc>
          <w:tcPr>
            <w:tcW w:w="177" w:type="pct"/>
          </w:tcPr>
          <w:p w14:paraId="3F642A25"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t>2a</w:t>
            </w:r>
          </w:p>
        </w:tc>
        <w:tc>
          <w:tcPr>
            <w:tcW w:w="398" w:type="pct"/>
          </w:tcPr>
          <w:p w14:paraId="00B19F91" w14:textId="4F561DFF"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 xml:space="preserve">Qasja “Një </w:t>
            </w:r>
            <w:r w:rsidR="002D0AF3" w:rsidRPr="002D0AF3">
              <w:rPr>
                <w:rFonts w:ascii="Garamond" w:eastAsiaTheme="minorHAnsi" w:hAnsi="Garamond" w:cs="Times New Roman"/>
                <w:sz w:val="12"/>
                <w:szCs w:val="12"/>
              </w:rPr>
              <w:t>shëndet</w:t>
            </w:r>
            <w:r w:rsidRPr="002D0AF3">
              <w:rPr>
                <w:rFonts w:ascii="Garamond" w:eastAsiaTheme="minorHAnsi" w:hAnsi="Garamond" w:cs="Times New Roman"/>
                <w:sz w:val="12"/>
                <w:szCs w:val="12"/>
              </w:rPr>
              <w:t>”.</w:t>
            </w:r>
          </w:p>
        </w:tc>
        <w:tc>
          <w:tcPr>
            <w:tcW w:w="593" w:type="pct"/>
          </w:tcPr>
          <w:p w14:paraId="39433426" w14:textId="79562AE9"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Dakordësimi i memorandumit të mirëkuptimit (MM) midis MBZHR</w:t>
            </w:r>
            <w:r w:rsidR="002D0AF3" w:rsidRPr="002D0AF3">
              <w:rPr>
                <w:rFonts w:ascii="Garamond" w:eastAsiaTheme="minorHAnsi" w:hAnsi="Garamond" w:cs="Times New Roman"/>
                <w:sz w:val="12"/>
                <w:szCs w:val="12"/>
              </w:rPr>
              <w:t>-së</w:t>
            </w:r>
            <w:r w:rsidRPr="002D0AF3">
              <w:rPr>
                <w:rFonts w:ascii="Garamond" w:eastAsiaTheme="minorHAnsi" w:hAnsi="Garamond" w:cs="Times New Roman"/>
                <w:sz w:val="12"/>
                <w:szCs w:val="12"/>
              </w:rPr>
              <w:t>, ISUV</w:t>
            </w:r>
            <w:r w:rsidR="002D0AF3" w:rsidRPr="002D0AF3">
              <w:rPr>
                <w:rFonts w:ascii="Garamond" w:eastAsiaTheme="minorHAnsi" w:hAnsi="Garamond" w:cs="Times New Roman"/>
                <w:sz w:val="12"/>
                <w:szCs w:val="12"/>
              </w:rPr>
              <w:t>-së</w:t>
            </w:r>
            <w:r w:rsidRPr="002D0AF3">
              <w:rPr>
                <w:rFonts w:ascii="Garamond" w:eastAsiaTheme="minorHAnsi" w:hAnsi="Garamond" w:cs="Times New Roman"/>
                <w:sz w:val="12"/>
                <w:szCs w:val="12"/>
              </w:rPr>
              <w:t>, AKU</w:t>
            </w:r>
            <w:r w:rsidR="002D0AF3" w:rsidRPr="002D0AF3">
              <w:rPr>
                <w:rFonts w:ascii="Garamond" w:eastAsiaTheme="minorHAnsi" w:hAnsi="Garamond" w:cs="Times New Roman"/>
                <w:sz w:val="12"/>
                <w:szCs w:val="12"/>
              </w:rPr>
              <w:t>-së</w:t>
            </w:r>
            <w:r w:rsidRPr="002D0AF3">
              <w:rPr>
                <w:rFonts w:ascii="Garamond" w:eastAsiaTheme="minorHAnsi" w:hAnsi="Garamond" w:cs="Times New Roman"/>
                <w:sz w:val="12"/>
                <w:szCs w:val="12"/>
              </w:rPr>
              <w:t>, AKVMB</w:t>
            </w:r>
            <w:r w:rsidR="002D0AF3" w:rsidRPr="002D0AF3">
              <w:rPr>
                <w:rFonts w:ascii="Garamond" w:eastAsiaTheme="minorHAnsi" w:hAnsi="Garamond" w:cs="Times New Roman"/>
                <w:sz w:val="12"/>
                <w:szCs w:val="12"/>
              </w:rPr>
              <w:t>-së</w:t>
            </w:r>
            <w:r w:rsidRPr="002D0AF3">
              <w:rPr>
                <w:rFonts w:ascii="Garamond" w:eastAsiaTheme="minorHAnsi" w:hAnsi="Garamond" w:cs="Times New Roman"/>
                <w:sz w:val="12"/>
                <w:szCs w:val="12"/>
              </w:rPr>
              <w:t>, MIE</w:t>
            </w:r>
            <w:r w:rsidR="002D0AF3" w:rsidRPr="002D0AF3">
              <w:rPr>
                <w:rFonts w:ascii="Garamond" w:eastAsiaTheme="minorHAnsi" w:hAnsi="Garamond" w:cs="Times New Roman"/>
                <w:sz w:val="12"/>
                <w:szCs w:val="12"/>
              </w:rPr>
              <w:t>-s</w:t>
            </w:r>
            <w:r w:rsidRPr="002D0AF3">
              <w:rPr>
                <w:rFonts w:ascii="Garamond" w:eastAsiaTheme="minorHAnsi" w:hAnsi="Garamond" w:cs="Times New Roman"/>
                <w:sz w:val="12"/>
                <w:szCs w:val="12"/>
              </w:rPr>
              <w:t xml:space="preserve"> dhe MSHMS</w:t>
            </w:r>
            <w:r w:rsidR="002D0AF3" w:rsidRPr="002D0AF3">
              <w:rPr>
                <w:rFonts w:ascii="Garamond" w:eastAsiaTheme="minorHAnsi" w:hAnsi="Garamond" w:cs="Times New Roman"/>
                <w:sz w:val="12"/>
                <w:szCs w:val="12"/>
              </w:rPr>
              <w:t>-së</w:t>
            </w:r>
            <w:r w:rsidRPr="002D0AF3">
              <w:rPr>
                <w:rFonts w:ascii="Garamond" w:eastAsiaTheme="minorHAnsi" w:hAnsi="Garamond" w:cs="Times New Roman"/>
                <w:sz w:val="12"/>
                <w:szCs w:val="12"/>
              </w:rPr>
              <w:t xml:space="preserve"> për të lehtësuar</w:t>
            </w:r>
            <w:r w:rsidR="003E60DD" w:rsidRPr="002D0AF3">
              <w:rPr>
                <w:rFonts w:ascii="Garamond" w:eastAsiaTheme="minorHAnsi" w:hAnsi="Garamond" w:cs="Times New Roman"/>
                <w:sz w:val="12"/>
                <w:szCs w:val="12"/>
              </w:rPr>
              <w:t xml:space="preserve"> </w:t>
            </w:r>
            <w:r w:rsidRPr="002D0AF3">
              <w:rPr>
                <w:rFonts w:ascii="Garamond" w:eastAsiaTheme="minorHAnsi" w:hAnsi="Garamond" w:cs="Times New Roman"/>
                <w:sz w:val="12"/>
                <w:szCs w:val="12"/>
              </w:rPr>
              <w:t>qasjen “</w:t>
            </w:r>
            <w:r w:rsidR="002D0AF3" w:rsidRPr="002D0AF3">
              <w:rPr>
                <w:rFonts w:ascii="Garamond" w:eastAsiaTheme="minorHAnsi" w:hAnsi="Garamond" w:cs="Times New Roman"/>
                <w:sz w:val="12"/>
                <w:szCs w:val="12"/>
              </w:rPr>
              <w:t>N</w:t>
            </w:r>
            <w:r w:rsidRPr="002D0AF3">
              <w:rPr>
                <w:rFonts w:ascii="Garamond" w:eastAsiaTheme="minorHAnsi" w:hAnsi="Garamond" w:cs="Times New Roman"/>
                <w:sz w:val="12"/>
                <w:szCs w:val="12"/>
              </w:rPr>
              <w:t>jë shëndet” të kontrolleve zyrtare.</w:t>
            </w:r>
          </w:p>
        </w:tc>
        <w:tc>
          <w:tcPr>
            <w:tcW w:w="564" w:type="pct"/>
          </w:tcPr>
          <w:p w14:paraId="623471AB"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Bashkëpunim aktiv midis të gjitha palëve për hartimin e një rregulloreje të bazuar në shkencë.</w:t>
            </w:r>
          </w:p>
          <w:p w14:paraId="10F98697" w14:textId="77777777" w:rsidR="004F1C60" w:rsidRPr="002D0AF3" w:rsidRDefault="004F1C60" w:rsidP="00B87B10">
            <w:pPr>
              <w:pStyle w:val="TableParagraph"/>
              <w:rPr>
                <w:rFonts w:ascii="Garamond" w:eastAsiaTheme="minorHAnsi" w:hAnsi="Garamond" w:cs="Times New Roman"/>
                <w:sz w:val="12"/>
                <w:szCs w:val="12"/>
              </w:rPr>
            </w:pPr>
          </w:p>
          <w:p w14:paraId="4FACFDAF" w14:textId="77777777" w:rsidR="004F1C60" w:rsidRPr="002D0AF3" w:rsidRDefault="004F1C60" w:rsidP="00B87B10">
            <w:pPr>
              <w:pStyle w:val="TableParagraph"/>
              <w:rPr>
                <w:rFonts w:ascii="Garamond" w:eastAsiaTheme="minorHAnsi" w:hAnsi="Garamond" w:cs="Times New Roman"/>
                <w:sz w:val="12"/>
                <w:szCs w:val="12"/>
              </w:rPr>
            </w:pPr>
          </w:p>
        </w:tc>
        <w:tc>
          <w:tcPr>
            <w:tcW w:w="742" w:type="pct"/>
          </w:tcPr>
          <w:p w14:paraId="3A8D109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Nënshkrimi i MM-së. </w:t>
            </w:r>
          </w:p>
        </w:tc>
        <w:tc>
          <w:tcPr>
            <w:tcW w:w="266" w:type="pct"/>
          </w:tcPr>
          <w:p w14:paraId="50C17D64"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1,2</w:t>
            </w:r>
          </w:p>
        </w:tc>
        <w:tc>
          <w:tcPr>
            <w:tcW w:w="296" w:type="pct"/>
          </w:tcPr>
          <w:p w14:paraId="29F442B1"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TM2 2023</w:t>
            </w:r>
          </w:p>
        </w:tc>
        <w:tc>
          <w:tcPr>
            <w:tcW w:w="326" w:type="pct"/>
          </w:tcPr>
          <w:p w14:paraId="1AAF4038"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2023</w:t>
            </w:r>
          </w:p>
        </w:tc>
        <w:tc>
          <w:tcPr>
            <w:tcW w:w="331" w:type="pct"/>
          </w:tcPr>
          <w:p w14:paraId="503F557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386" w:type="pct"/>
          </w:tcPr>
          <w:p w14:paraId="28BFC8F9" w14:textId="77777777" w:rsidR="004F1C60" w:rsidRPr="002D0AF3" w:rsidRDefault="004F1C60" w:rsidP="00B87B10">
            <w:pPr>
              <w:rPr>
                <w:rFonts w:ascii="Garamond" w:hAnsi="Garamond" w:cs="Times New Roman"/>
                <w:sz w:val="12"/>
                <w:szCs w:val="12"/>
                <w:highlight w:val="yellow"/>
              </w:rPr>
            </w:pPr>
            <w:r w:rsidRPr="002D0AF3">
              <w:rPr>
                <w:rFonts w:ascii="Garamond" w:hAnsi="Garamond" w:cs="Times New Roman"/>
                <w:sz w:val="12"/>
                <w:szCs w:val="12"/>
              </w:rPr>
              <w:t>0</w:t>
            </w:r>
          </w:p>
        </w:tc>
        <w:tc>
          <w:tcPr>
            <w:tcW w:w="504" w:type="pct"/>
          </w:tcPr>
          <w:p w14:paraId="608DB82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416" w:type="pct"/>
          </w:tcPr>
          <w:p w14:paraId="37DE4C6B" w14:textId="77777777" w:rsidR="004F1C60" w:rsidRPr="002D0AF3" w:rsidRDefault="004F1C60" w:rsidP="00B87B10">
            <w:pPr>
              <w:rPr>
                <w:rFonts w:ascii="Garamond" w:hAnsi="Garamond" w:cs="Times New Roman"/>
                <w:sz w:val="12"/>
                <w:szCs w:val="12"/>
              </w:rPr>
            </w:pPr>
          </w:p>
        </w:tc>
      </w:tr>
      <w:tr w:rsidR="00BC5407" w:rsidRPr="002D0AF3" w14:paraId="1745B163" w14:textId="77777777" w:rsidTr="00BC5407">
        <w:trPr>
          <w:trHeight w:val="20"/>
          <w:jc w:val="center"/>
        </w:trPr>
        <w:tc>
          <w:tcPr>
            <w:tcW w:w="177" w:type="pct"/>
          </w:tcPr>
          <w:p w14:paraId="6AD86051"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t>2b</w:t>
            </w:r>
          </w:p>
        </w:tc>
        <w:tc>
          <w:tcPr>
            <w:tcW w:w="398" w:type="pct"/>
          </w:tcPr>
          <w:p w14:paraId="09F3F6F8" w14:textId="72D38FE2"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Qasja “Një</w:t>
            </w:r>
            <w:r w:rsidR="003E60DD" w:rsidRPr="002D0AF3">
              <w:rPr>
                <w:rFonts w:ascii="Garamond" w:hAnsi="Garamond" w:cs="Times New Roman"/>
                <w:sz w:val="12"/>
                <w:szCs w:val="12"/>
              </w:rPr>
              <w:t xml:space="preserve"> </w:t>
            </w:r>
            <w:r w:rsidR="002D0AF3" w:rsidRPr="002D0AF3">
              <w:rPr>
                <w:rFonts w:ascii="Garamond" w:hAnsi="Garamond" w:cs="Times New Roman"/>
                <w:sz w:val="12"/>
                <w:szCs w:val="12"/>
              </w:rPr>
              <w:t>shëndet</w:t>
            </w:r>
            <w:r w:rsidRPr="002D0AF3">
              <w:rPr>
                <w:rFonts w:ascii="Garamond" w:hAnsi="Garamond" w:cs="Times New Roman"/>
                <w:sz w:val="12"/>
                <w:szCs w:val="12"/>
              </w:rPr>
              <w:t>”.</w:t>
            </w:r>
          </w:p>
        </w:tc>
        <w:tc>
          <w:tcPr>
            <w:tcW w:w="593" w:type="pct"/>
            <w:shd w:val="clear" w:color="auto" w:fill="auto"/>
          </w:tcPr>
          <w:p w14:paraId="6F563F2A" w14:textId="5D7986EA" w:rsidR="004F1C60" w:rsidRPr="002D0AF3" w:rsidRDefault="004F1C60" w:rsidP="00B87B10">
            <w:pPr>
              <w:pStyle w:val="TableParagraph"/>
              <w:rPr>
                <w:rFonts w:ascii="Garamond" w:hAnsi="Garamond" w:cs="Times New Roman"/>
                <w:sz w:val="12"/>
                <w:szCs w:val="12"/>
              </w:rPr>
            </w:pPr>
            <w:r w:rsidRPr="002D0AF3">
              <w:rPr>
                <w:rFonts w:ascii="Garamond" w:eastAsiaTheme="minorHAnsi" w:hAnsi="Garamond" w:cs="Times New Roman"/>
                <w:sz w:val="12"/>
                <w:szCs w:val="12"/>
              </w:rPr>
              <w:t>Ngitja e “Komisionit Një</w:t>
            </w:r>
            <w:r w:rsidR="003E60DD" w:rsidRPr="002D0AF3">
              <w:rPr>
                <w:rFonts w:ascii="Garamond" w:eastAsiaTheme="minorHAnsi" w:hAnsi="Garamond" w:cs="Times New Roman"/>
                <w:sz w:val="12"/>
                <w:szCs w:val="12"/>
              </w:rPr>
              <w:t xml:space="preserve"> </w:t>
            </w:r>
            <w:r w:rsidRPr="002D0AF3">
              <w:rPr>
                <w:rFonts w:ascii="Garamond" w:eastAsiaTheme="minorHAnsi" w:hAnsi="Garamond" w:cs="Times New Roman"/>
                <w:sz w:val="12"/>
                <w:szCs w:val="12"/>
              </w:rPr>
              <w:t>Shëndet” që të përfshijë përfaqësues nga MBZHR-ja, ISUV-i, AKU-ja, ESHFF, AKVMB-ja, MIE dhe MSHMS-ja, i cili do të mblidhet dy herë në vit për të zbatuar qasjen “Një</w:t>
            </w:r>
            <w:r w:rsidR="003E60DD" w:rsidRPr="002D0AF3">
              <w:rPr>
                <w:rFonts w:ascii="Garamond" w:eastAsiaTheme="minorHAnsi" w:hAnsi="Garamond" w:cs="Times New Roman"/>
                <w:sz w:val="12"/>
                <w:szCs w:val="12"/>
              </w:rPr>
              <w:t xml:space="preserve"> </w:t>
            </w:r>
            <w:r w:rsidRPr="002D0AF3">
              <w:rPr>
                <w:rFonts w:ascii="Garamond" w:eastAsiaTheme="minorHAnsi" w:hAnsi="Garamond" w:cs="Times New Roman"/>
                <w:sz w:val="12"/>
                <w:szCs w:val="12"/>
              </w:rPr>
              <w:t>Shëndet “ për programimin e kontrolleve zyrtare</w:t>
            </w:r>
          </w:p>
        </w:tc>
        <w:tc>
          <w:tcPr>
            <w:tcW w:w="564" w:type="pct"/>
          </w:tcPr>
          <w:p w14:paraId="5AC21B81" w14:textId="61A52F6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 xml:space="preserve">Ngritja dhe funksionimi i Komisionit “Një </w:t>
            </w:r>
            <w:r w:rsidR="002D0AF3" w:rsidRPr="002D0AF3">
              <w:rPr>
                <w:rFonts w:ascii="Garamond" w:eastAsiaTheme="minorHAnsi" w:hAnsi="Garamond" w:cs="Times New Roman"/>
                <w:sz w:val="12"/>
                <w:szCs w:val="12"/>
              </w:rPr>
              <w:t>shëndet</w:t>
            </w:r>
            <w:r w:rsidRPr="002D0AF3">
              <w:rPr>
                <w:rFonts w:ascii="Garamond" w:eastAsiaTheme="minorHAnsi" w:hAnsi="Garamond" w:cs="Times New Roman"/>
                <w:sz w:val="12"/>
                <w:szCs w:val="12"/>
              </w:rPr>
              <w:t>”.</w:t>
            </w:r>
          </w:p>
        </w:tc>
        <w:tc>
          <w:tcPr>
            <w:tcW w:w="742" w:type="pct"/>
          </w:tcPr>
          <w:p w14:paraId="63A5F768" w14:textId="773CF1EB"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 xml:space="preserve">Informacion mbi mbledhjet e Komisionit “Një </w:t>
            </w:r>
            <w:r w:rsidR="002D0AF3" w:rsidRPr="002D0AF3">
              <w:rPr>
                <w:rFonts w:ascii="Garamond" w:eastAsiaTheme="minorHAnsi" w:hAnsi="Garamond" w:cs="Times New Roman"/>
                <w:sz w:val="12"/>
                <w:szCs w:val="12"/>
              </w:rPr>
              <w:t>shëndet</w:t>
            </w:r>
            <w:r w:rsidRPr="002D0AF3">
              <w:rPr>
                <w:rFonts w:ascii="Garamond" w:eastAsiaTheme="minorHAnsi" w:hAnsi="Garamond" w:cs="Times New Roman"/>
                <w:sz w:val="12"/>
                <w:szCs w:val="12"/>
              </w:rPr>
              <w:t>” dhe pikat e veprimit të trajtuara në mbledhje.</w:t>
            </w:r>
          </w:p>
        </w:tc>
        <w:tc>
          <w:tcPr>
            <w:tcW w:w="266" w:type="pct"/>
          </w:tcPr>
          <w:p w14:paraId="71113EEC"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1, 2</w:t>
            </w:r>
          </w:p>
        </w:tc>
        <w:tc>
          <w:tcPr>
            <w:tcW w:w="296" w:type="pct"/>
          </w:tcPr>
          <w:p w14:paraId="3DA7E463" w14:textId="77777777" w:rsidR="004F1C60" w:rsidRPr="002D0AF3" w:rsidRDefault="004F1C60" w:rsidP="00B87B10">
            <w:pPr>
              <w:pStyle w:val="TableParagraph"/>
              <w:tabs>
                <w:tab w:val="left" w:pos="900"/>
              </w:tabs>
              <w:rPr>
                <w:rFonts w:ascii="Garamond" w:eastAsiaTheme="minorHAnsi" w:hAnsi="Garamond" w:cs="Times New Roman"/>
                <w:sz w:val="12"/>
                <w:szCs w:val="12"/>
              </w:rPr>
            </w:pPr>
            <w:r w:rsidRPr="002D0AF3">
              <w:rPr>
                <w:rFonts w:ascii="Garamond" w:eastAsiaTheme="minorHAnsi" w:hAnsi="Garamond" w:cs="Times New Roman"/>
                <w:sz w:val="12"/>
                <w:szCs w:val="12"/>
              </w:rPr>
              <w:t>TM2 2023</w:t>
            </w:r>
          </w:p>
        </w:tc>
        <w:tc>
          <w:tcPr>
            <w:tcW w:w="326" w:type="pct"/>
          </w:tcPr>
          <w:p w14:paraId="6CF17F28"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TM4 2023</w:t>
            </w:r>
          </w:p>
        </w:tc>
        <w:tc>
          <w:tcPr>
            <w:tcW w:w="331" w:type="pct"/>
          </w:tcPr>
          <w:p w14:paraId="07A80F88"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0.115 mln</w:t>
            </w:r>
          </w:p>
        </w:tc>
        <w:tc>
          <w:tcPr>
            <w:tcW w:w="386" w:type="pct"/>
          </w:tcPr>
          <w:p w14:paraId="55687A65"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hAnsi="Garamond" w:cs="Times New Roman"/>
                <w:sz w:val="12"/>
                <w:szCs w:val="12"/>
              </w:rPr>
              <w:t>0</w:t>
            </w:r>
          </w:p>
        </w:tc>
        <w:tc>
          <w:tcPr>
            <w:tcW w:w="504" w:type="pct"/>
          </w:tcPr>
          <w:p w14:paraId="242C520E"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Projekti i Sigurisë Ushqimore i financuar nga IPA II</w:t>
            </w:r>
          </w:p>
          <w:p w14:paraId="5354A300"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(2018/403-625)</w:t>
            </w:r>
          </w:p>
          <w:p w14:paraId="70FE0E83" w14:textId="77777777" w:rsidR="004F1C60" w:rsidRPr="002D0AF3" w:rsidRDefault="004F1C60" w:rsidP="00B87B10">
            <w:pPr>
              <w:pStyle w:val="TableParagraph"/>
              <w:rPr>
                <w:rFonts w:ascii="Garamond" w:eastAsiaTheme="minorHAnsi" w:hAnsi="Garamond" w:cs="Times New Roman"/>
                <w:sz w:val="12"/>
                <w:szCs w:val="12"/>
              </w:rPr>
            </w:pPr>
          </w:p>
          <w:p w14:paraId="5D7FBDC9"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0.115 mln</w:t>
            </w:r>
          </w:p>
        </w:tc>
        <w:tc>
          <w:tcPr>
            <w:tcW w:w="416" w:type="pct"/>
          </w:tcPr>
          <w:p w14:paraId="08A0AE27" w14:textId="77777777" w:rsidR="004F1C60" w:rsidRPr="002D0AF3" w:rsidRDefault="004F1C60" w:rsidP="00B87B10">
            <w:pPr>
              <w:pStyle w:val="TableParagraph"/>
              <w:rPr>
                <w:rFonts w:ascii="Garamond" w:eastAsiaTheme="minorHAnsi" w:hAnsi="Garamond" w:cs="Times New Roman"/>
                <w:sz w:val="12"/>
                <w:szCs w:val="12"/>
              </w:rPr>
            </w:pPr>
          </w:p>
        </w:tc>
      </w:tr>
      <w:tr w:rsidR="00BC5407" w:rsidRPr="002D0AF3" w14:paraId="3736033E" w14:textId="77777777" w:rsidTr="00BC5407">
        <w:trPr>
          <w:trHeight w:val="20"/>
          <w:jc w:val="center"/>
        </w:trPr>
        <w:tc>
          <w:tcPr>
            <w:tcW w:w="177" w:type="pct"/>
          </w:tcPr>
          <w:p w14:paraId="67B2E4AD"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t>3a</w:t>
            </w:r>
          </w:p>
        </w:tc>
        <w:tc>
          <w:tcPr>
            <w:tcW w:w="398" w:type="pct"/>
          </w:tcPr>
          <w:p w14:paraId="54FBA626" w14:textId="7A7B8BA8"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Burimet njerëzore</w:t>
            </w:r>
          </w:p>
        </w:tc>
        <w:tc>
          <w:tcPr>
            <w:tcW w:w="593" w:type="pct"/>
          </w:tcPr>
          <w:p w14:paraId="5521EFD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Rishikimi i nevojave të plotësimit me personel dhe zhvillimi i planeve për plotësim me personel për sa më poshtë vijon:</w:t>
            </w:r>
          </w:p>
          <w:p w14:paraId="11FA3A56" w14:textId="77777777" w:rsidR="004F1C60" w:rsidRPr="002D0AF3" w:rsidRDefault="004F1C60" w:rsidP="00B87B10">
            <w:pPr>
              <w:rPr>
                <w:rFonts w:ascii="Garamond" w:hAnsi="Garamond" w:cs="Times New Roman"/>
                <w:sz w:val="12"/>
                <w:szCs w:val="12"/>
              </w:rPr>
            </w:pPr>
          </w:p>
          <w:p w14:paraId="479CB010" w14:textId="0C41C450"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 </w:t>
            </w:r>
            <w:r w:rsidRPr="002D0AF3">
              <w:rPr>
                <w:rFonts w:ascii="Garamond" w:hAnsi="Garamond" w:cs="Times New Roman"/>
                <w:b/>
                <w:sz w:val="12"/>
                <w:szCs w:val="12"/>
              </w:rPr>
              <w:t>MBZHR</w:t>
            </w:r>
            <w:r w:rsidRPr="002D0AF3">
              <w:rPr>
                <w:rFonts w:ascii="Garamond" w:hAnsi="Garamond" w:cs="Times New Roman"/>
                <w:sz w:val="12"/>
                <w:szCs w:val="12"/>
              </w:rPr>
              <w:t xml:space="preserve"> për përmbushjen e strategjisë dhe planit të veprimit të </w:t>
            </w:r>
            <w:r w:rsidR="002D0AF3" w:rsidRPr="002D0AF3">
              <w:rPr>
                <w:rFonts w:ascii="Garamond" w:hAnsi="Garamond" w:cs="Times New Roman"/>
                <w:sz w:val="12"/>
                <w:szCs w:val="12"/>
              </w:rPr>
              <w:t xml:space="preserve">kapitullit </w:t>
            </w:r>
            <w:r w:rsidRPr="002D0AF3">
              <w:rPr>
                <w:rFonts w:ascii="Garamond" w:hAnsi="Garamond" w:cs="Times New Roman"/>
                <w:sz w:val="12"/>
                <w:szCs w:val="12"/>
              </w:rPr>
              <w:t>12.</w:t>
            </w:r>
          </w:p>
          <w:p w14:paraId="611B1FD7" w14:textId="77777777" w:rsidR="004F1C60" w:rsidRPr="002D0AF3" w:rsidRDefault="004F1C60" w:rsidP="00B87B10">
            <w:pPr>
              <w:rPr>
                <w:rFonts w:ascii="Garamond" w:hAnsi="Garamond" w:cs="Times New Roman"/>
                <w:sz w:val="12"/>
                <w:szCs w:val="12"/>
              </w:rPr>
            </w:pPr>
          </w:p>
          <w:p w14:paraId="68A166A0" w14:textId="051863A6"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 </w:t>
            </w:r>
            <w:r w:rsidRPr="002D0AF3">
              <w:rPr>
                <w:rFonts w:ascii="Garamond" w:hAnsi="Garamond" w:cs="Times New Roman"/>
                <w:b/>
                <w:sz w:val="12"/>
                <w:szCs w:val="12"/>
              </w:rPr>
              <w:t>ISUV</w:t>
            </w:r>
            <w:r w:rsidRPr="002D0AF3">
              <w:rPr>
                <w:rFonts w:ascii="Garamond" w:hAnsi="Garamond" w:cs="Times New Roman"/>
                <w:sz w:val="12"/>
                <w:szCs w:val="12"/>
              </w:rPr>
              <w:t xml:space="preserve"> për sigurimin e një Laboratori Kombëtar Referenc</w:t>
            </w:r>
            <w:r w:rsidR="002D0AF3" w:rsidRPr="002D0AF3">
              <w:rPr>
                <w:rFonts w:ascii="Garamond" w:hAnsi="Garamond" w:cs="Times New Roman"/>
                <w:sz w:val="12"/>
                <w:szCs w:val="12"/>
              </w:rPr>
              <w:t>e</w:t>
            </w:r>
            <w:r w:rsidRPr="002D0AF3">
              <w:rPr>
                <w:rFonts w:ascii="Garamond" w:hAnsi="Garamond" w:cs="Times New Roman"/>
                <w:sz w:val="12"/>
                <w:szCs w:val="12"/>
              </w:rPr>
              <w:t xml:space="preserve"> funksional.</w:t>
            </w:r>
          </w:p>
          <w:p w14:paraId="12EAFB11" w14:textId="77777777" w:rsidR="004F1C60" w:rsidRPr="002D0AF3" w:rsidRDefault="004F1C60" w:rsidP="00B87B10">
            <w:pPr>
              <w:rPr>
                <w:rFonts w:ascii="Garamond" w:hAnsi="Garamond" w:cs="Times New Roman"/>
                <w:sz w:val="12"/>
                <w:szCs w:val="12"/>
              </w:rPr>
            </w:pPr>
          </w:p>
          <w:p w14:paraId="5BAE8714" w14:textId="13B383D1"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w:t>
            </w:r>
            <w:r w:rsidR="002D0AF3" w:rsidRPr="002D0AF3">
              <w:rPr>
                <w:rFonts w:ascii="Garamond" w:hAnsi="Garamond" w:cs="Times New Roman"/>
                <w:sz w:val="12"/>
                <w:szCs w:val="12"/>
              </w:rPr>
              <w:t xml:space="preserve"> </w:t>
            </w:r>
            <w:r w:rsidRPr="002D0AF3">
              <w:rPr>
                <w:rFonts w:ascii="Garamond" w:hAnsi="Garamond" w:cs="Times New Roman"/>
                <w:b/>
                <w:bCs/>
                <w:sz w:val="12"/>
                <w:szCs w:val="12"/>
              </w:rPr>
              <w:t xml:space="preserve">AKU </w:t>
            </w:r>
            <w:r w:rsidRPr="002D0AF3">
              <w:rPr>
                <w:rFonts w:ascii="Garamond" w:hAnsi="Garamond" w:cs="Times New Roman"/>
                <w:sz w:val="12"/>
                <w:szCs w:val="12"/>
              </w:rPr>
              <w:t>për sigurimin e zbatimit efektiv të legjislacionit brenda kompetencave të tyre.</w:t>
            </w:r>
          </w:p>
          <w:p w14:paraId="5180E42E" w14:textId="77777777" w:rsidR="004F1C60" w:rsidRPr="002D0AF3" w:rsidRDefault="004F1C60" w:rsidP="00B87B10">
            <w:pPr>
              <w:rPr>
                <w:rFonts w:ascii="Garamond" w:hAnsi="Garamond" w:cs="Times New Roman"/>
                <w:sz w:val="12"/>
                <w:szCs w:val="12"/>
              </w:rPr>
            </w:pPr>
          </w:p>
          <w:p w14:paraId="58BE915A" w14:textId="09559CF9" w:rsidR="004F1C60" w:rsidRPr="002D0AF3" w:rsidRDefault="004F1C60" w:rsidP="00B87B10">
            <w:pPr>
              <w:rPr>
                <w:rFonts w:ascii="Garamond" w:hAnsi="Garamond" w:cs="Times New Roman"/>
                <w:sz w:val="12"/>
                <w:szCs w:val="12"/>
              </w:rPr>
            </w:pPr>
            <w:r w:rsidRPr="002D0AF3">
              <w:rPr>
                <w:rFonts w:ascii="Garamond" w:hAnsi="Garamond" w:cs="Times New Roman"/>
                <w:b/>
                <w:sz w:val="12"/>
                <w:szCs w:val="12"/>
              </w:rPr>
              <w:t>-</w:t>
            </w:r>
            <w:r w:rsidR="002D0AF3" w:rsidRPr="002D0AF3">
              <w:rPr>
                <w:rFonts w:ascii="Garamond" w:hAnsi="Garamond" w:cs="Times New Roman"/>
                <w:b/>
                <w:sz w:val="12"/>
                <w:szCs w:val="12"/>
              </w:rPr>
              <w:t xml:space="preserve"> </w:t>
            </w:r>
            <w:r w:rsidRPr="002D0AF3">
              <w:rPr>
                <w:rFonts w:ascii="Garamond" w:hAnsi="Garamond" w:cs="Times New Roman"/>
                <w:b/>
                <w:sz w:val="12"/>
                <w:szCs w:val="12"/>
              </w:rPr>
              <w:t>AKVMB</w:t>
            </w:r>
            <w:r w:rsidRPr="002D0AF3">
              <w:rPr>
                <w:rFonts w:ascii="Garamond" w:hAnsi="Garamond" w:cs="Times New Roman"/>
                <w:sz w:val="12"/>
                <w:szCs w:val="12"/>
              </w:rPr>
              <w:t xml:space="preserve"> për sigurimin e zbatimit efektiv të legjislacionit brenda kompetencave të tyre.</w:t>
            </w:r>
          </w:p>
          <w:p w14:paraId="21DAFEF7" w14:textId="77777777" w:rsidR="004F1C60" w:rsidRPr="002D0AF3" w:rsidRDefault="004F1C60" w:rsidP="00B87B10">
            <w:pPr>
              <w:rPr>
                <w:rFonts w:ascii="Garamond" w:hAnsi="Garamond" w:cs="Times New Roman"/>
                <w:sz w:val="12"/>
                <w:szCs w:val="12"/>
              </w:rPr>
            </w:pPr>
          </w:p>
          <w:p w14:paraId="69741854"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 </w:t>
            </w:r>
            <w:r w:rsidRPr="002D0AF3">
              <w:rPr>
                <w:rFonts w:ascii="Garamond" w:hAnsi="Garamond" w:cs="Times New Roman"/>
                <w:b/>
                <w:sz w:val="12"/>
                <w:szCs w:val="12"/>
              </w:rPr>
              <w:t>ESHFF</w:t>
            </w:r>
            <w:r w:rsidRPr="002D0AF3">
              <w:rPr>
                <w:rFonts w:ascii="Garamond" w:hAnsi="Garamond" w:cs="Times New Roman"/>
                <w:sz w:val="12"/>
                <w:szCs w:val="12"/>
              </w:rPr>
              <w:t xml:space="preserve"> për të siguruar përmbushjen efektive të kompetencave të tyre për certifikimin e materialeve të shumëzimit të bimëve.</w:t>
            </w:r>
          </w:p>
        </w:tc>
        <w:tc>
          <w:tcPr>
            <w:tcW w:w="564" w:type="pct"/>
          </w:tcPr>
          <w:p w14:paraId="25D63D1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Hartimi i planeve të përshtatshme për plotësimin me personel të burimeve njerëzore për të gjitha palët.</w:t>
            </w:r>
          </w:p>
        </w:tc>
        <w:tc>
          <w:tcPr>
            <w:tcW w:w="742" w:type="pct"/>
          </w:tcPr>
          <w:p w14:paraId="26F338E9"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Finalizimi i planeve për plotësimin me personel.</w:t>
            </w:r>
          </w:p>
        </w:tc>
        <w:tc>
          <w:tcPr>
            <w:tcW w:w="266" w:type="pct"/>
          </w:tcPr>
          <w:p w14:paraId="5BDAFF09"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1, 2</w:t>
            </w:r>
          </w:p>
        </w:tc>
        <w:tc>
          <w:tcPr>
            <w:tcW w:w="296" w:type="pct"/>
          </w:tcPr>
          <w:p w14:paraId="7B76E58A" w14:textId="141F5D53"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w:t>
            </w:r>
            <w:r w:rsidR="002626CC">
              <w:rPr>
                <w:rFonts w:ascii="Garamond" w:hAnsi="Garamond" w:cs="Times New Roman"/>
                <w:sz w:val="12"/>
                <w:szCs w:val="12"/>
              </w:rPr>
              <w:t xml:space="preserve"> </w:t>
            </w:r>
            <w:r w:rsidRPr="002D0AF3">
              <w:rPr>
                <w:rFonts w:ascii="Garamond" w:hAnsi="Garamond" w:cs="Times New Roman"/>
                <w:b/>
                <w:sz w:val="12"/>
                <w:szCs w:val="12"/>
              </w:rPr>
              <w:t>MBZHR</w:t>
            </w:r>
          </w:p>
          <w:p w14:paraId="1B50E735"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p w14:paraId="09C28A57" w14:textId="77777777" w:rsidR="004F1C60" w:rsidRPr="002D0AF3" w:rsidRDefault="004F1C60" w:rsidP="00B87B10">
            <w:pPr>
              <w:tabs>
                <w:tab w:val="left" w:pos="900"/>
              </w:tabs>
              <w:rPr>
                <w:rFonts w:ascii="Garamond" w:hAnsi="Garamond" w:cs="Times New Roman"/>
                <w:sz w:val="12"/>
                <w:szCs w:val="12"/>
              </w:rPr>
            </w:pPr>
          </w:p>
          <w:p w14:paraId="0741D3EC" w14:textId="77777777" w:rsidR="004F1C60" w:rsidRPr="002D0AF3" w:rsidRDefault="004F1C60" w:rsidP="00B87B10">
            <w:pPr>
              <w:tabs>
                <w:tab w:val="left" w:pos="900"/>
              </w:tabs>
              <w:rPr>
                <w:rFonts w:ascii="Garamond" w:hAnsi="Garamond" w:cs="Times New Roman"/>
                <w:sz w:val="12"/>
                <w:szCs w:val="12"/>
              </w:rPr>
            </w:pPr>
          </w:p>
          <w:p w14:paraId="036BAD93" w14:textId="77777777" w:rsidR="004F1C60" w:rsidRPr="002D0AF3" w:rsidRDefault="004F1C60" w:rsidP="00B87B10">
            <w:pPr>
              <w:tabs>
                <w:tab w:val="left" w:pos="900"/>
              </w:tabs>
              <w:rPr>
                <w:rFonts w:ascii="Garamond" w:hAnsi="Garamond" w:cs="Times New Roman"/>
                <w:sz w:val="12"/>
                <w:szCs w:val="12"/>
              </w:rPr>
            </w:pPr>
          </w:p>
          <w:p w14:paraId="54EE93A7" w14:textId="77777777" w:rsidR="004F1C60" w:rsidRPr="002D0AF3" w:rsidRDefault="004F1C60" w:rsidP="00B87B10">
            <w:pPr>
              <w:tabs>
                <w:tab w:val="left" w:pos="900"/>
              </w:tabs>
              <w:rPr>
                <w:rFonts w:ascii="Garamond" w:hAnsi="Garamond" w:cs="Times New Roman"/>
                <w:sz w:val="12"/>
                <w:szCs w:val="12"/>
              </w:rPr>
            </w:pPr>
          </w:p>
          <w:p w14:paraId="5FA350CC" w14:textId="5A739E4C"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w:t>
            </w:r>
            <w:r w:rsidR="002626CC">
              <w:rPr>
                <w:rFonts w:ascii="Garamond" w:hAnsi="Garamond" w:cs="Times New Roman"/>
                <w:sz w:val="12"/>
                <w:szCs w:val="12"/>
              </w:rPr>
              <w:t xml:space="preserve"> </w:t>
            </w:r>
            <w:r w:rsidRPr="002D0AF3">
              <w:rPr>
                <w:rFonts w:ascii="Garamond" w:hAnsi="Garamond" w:cs="Times New Roman"/>
                <w:b/>
                <w:sz w:val="12"/>
                <w:szCs w:val="12"/>
              </w:rPr>
              <w:t>ISUV</w:t>
            </w:r>
          </w:p>
          <w:p w14:paraId="175F87DD"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p w14:paraId="46EBF663" w14:textId="77777777" w:rsidR="004F1C60" w:rsidRPr="002D0AF3" w:rsidRDefault="004F1C60" w:rsidP="00B87B10">
            <w:pPr>
              <w:tabs>
                <w:tab w:val="left" w:pos="900"/>
              </w:tabs>
              <w:rPr>
                <w:rFonts w:ascii="Garamond" w:hAnsi="Garamond" w:cs="Times New Roman"/>
                <w:sz w:val="12"/>
                <w:szCs w:val="12"/>
              </w:rPr>
            </w:pPr>
          </w:p>
          <w:p w14:paraId="65580A48" w14:textId="77777777" w:rsidR="004F1C60" w:rsidRPr="002D0AF3" w:rsidRDefault="004F1C60" w:rsidP="00B87B10">
            <w:pPr>
              <w:tabs>
                <w:tab w:val="left" w:pos="900"/>
              </w:tabs>
              <w:rPr>
                <w:rFonts w:ascii="Garamond" w:hAnsi="Garamond" w:cs="Times New Roman"/>
                <w:sz w:val="12"/>
                <w:szCs w:val="12"/>
              </w:rPr>
            </w:pPr>
          </w:p>
          <w:p w14:paraId="7D8F4F95" w14:textId="77777777" w:rsidR="004F1C60" w:rsidRPr="002D0AF3" w:rsidRDefault="004F1C60" w:rsidP="00B87B10">
            <w:pPr>
              <w:tabs>
                <w:tab w:val="left" w:pos="900"/>
              </w:tabs>
              <w:rPr>
                <w:rFonts w:ascii="Garamond" w:hAnsi="Garamond" w:cs="Times New Roman"/>
                <w:sz w:val="12"/>
                <w:szCs w:val="12"/>
              </w:rPr>
            </w:pPr>
          </w:p>
          <w:p w14:paraId="7DED08C0" w14:textId="77777777" w:rsidR="004F1C60" w:rsidRPr="002D0AF3" w:rsidRDefault="004F1C60" w:rsidP="00B87B10">
            <w:pPr>
              <w:tabs>
                <w:tab w:val="left" w:pos="900"/>
              </w:tabs>
              <w:rPr>
                <w:rFonts w:ascii="Garamond" w:hAnsi="Garamond" w:cs="Times New Roman"/>
                <w:sz w:val="12"/>
                <w:szCs w:val="12"/>
              </w:rPr>
            </w:pPr>
          </w:p>
          <w:p w14:paraId="0975B73F" w14:textId="10631609"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w:t>
            </w:r>
            <w:r w:rsidR="002626CC">
              <w:rPr>
                <w:rFonts w:ascii="Garamond" w:hAnsi="Garamond" w:cs="Times New Roman"/>
                <w:sz w:val="12"/>
                <w:szCs w:val="12"/>
              </w:rPr>
              <w:t xml:space="preserve"> </w:t>
            </w:r>
            <w:r w:rsidRPr="002D0AF3">
              <w:rPr>
                <w:rFonts w:ascii="Garamond" w:hAnsi="Garamond" w:cs="Times New Roman"/>
                <w:b/>
                <w:sz w:val="12"/>
                <w:szCs w:val="12"/>
              </w:rPr>
              <w:t>AKU</w:t>
            </w:r>
          </w:p>
          <w:p w14:paraId="0403AB5B"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p w14:paraId="1BD16FC4" w14:textId="77777777" w:rsidR="004F1C60" w:rsidRPr="002D0AF3" w:rsidRDefault="004F1C60" w:rsidP="00B87B10">
            <w:pPr>
              <w:tabs>
                <w:tab w:val="left" w:pos="900"/>
              </w:tabs>
              <w:rPr>
                <w:rFonts w:ascii="Garamond" w:hAnsi="Garamond" w:cs="Times New Roman"/>
                <w:sz w:val="12"/>
                <w:szCs w:val="12"/>
              </w:rPr>
            </w:pPr>
          </w:p>
          <w:p w14:paraId="4CB98466" w14:textId="77777777" w:rsidR="004F1C60" w:rsidRPr="002D0AF3" w:rsidRDefault="004F1C60" w:rsidP="00B87B10">
            <w:pPr>
              <w:tabs>
                <w:tab w:val="left" w:pos="900"/>
              </w:tabs>
              <w:rPr>
                <w:rFonts w:ascii="Garamond" w:hAnsi="Garamond" w:cs="Times New Roman"/>
                <w:sz w:val="12"/>
                <w:szCs w:val="12"/>
              </w:rPr>
            </w:pPr>
          </w:p>
          <w:p w14:paraId="041920DD" w14:textId="77777777" w:rsidR="004F1C60" w:rsidRPr="002D0AF3" w:rsidRDefault="004F1C60" w:rsidP="00B87B10">
            <w:pPr>
              <w:tabs>
                <w:tab w:val="left" w:pos="900"/>
              </w:tabs>
              <w:rPr>
                <w:rFonts w:ascii="Garamond" w:hAnsi="Garamond" w:cs="Times New Roman"/>
                <w:sz w:val="12"/>
                <w:szCs w:val="12"/>
              </w:rPr>
            </w:pPr>
          </w:p>
          <w:p w14:paraId="530E6FA9" w14:textId="77777777" w:rsidR="004F1C60" w:rsidRPr="002D0AF3" w:rsidRDefault="004F1C60" w:rsidP="00B87B10">
            <w:pPr>
              <w:tabs>
                <w:tab w:val="left" w:pos="900"/>
              </w:tabs>
              <w:rPr>
                <w:rFonts w:ascii="Garamond" w:hAnsi="Garamond" w:cs="Times New Roman"/>
                <w:sz w:val="12"/>
                <w:szCs w:val="12"/>
              </w:rPr>
            </w:pPr>
          </w:p>
          <w:p w14:paraId="6BDE9B21" w14:textId="334D0F1E"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w:t>
            </w:r>
            <w:r w:rsidR="002626CC">
              <w:rPr>
                <w:rFonts w:ascii="Garamond" w:hAnsi="Garamond" w:cs="Times New Roman"/>
                <w:sz w:val="12"/>
                <w:szCs w:val="12"/>
              </w:rPr>
              <w:t xml:space="preserve"> </w:t>
            </w:r>
            <w:r w:rsidRPr="002D0AF3">
              <w:rPr>
                <w:rFonts w:ascii="Garamond" w:hAnsi="Garamond" w:cs="Times New Roman"/>
                <w:b/>
                <w:sz w:val="12"/>
                <w:szCs w:val="12"/>
              </w:rPr>
              <w:t>AKVMB</w:t>
            </w:r>
          </w:p>
          <w:p w14:paraId="55F2410A"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p w14:paraId="49B606CE" w14:textId="77777777" w:rsidR="004F1C60" w:rsidRPr="002D0AF3" w:rsidRDefault="004F1C60" w:rsidP="00B87B10">
            <w:pPr>
              <w:tabs>
                <w:tab w:val="left" w:pos="900"/>
              </w:tabs>
              <w:rPr>
                <w:rFonts w:ascii="Garamond" w:hAnsi="Garamond" w:cs="Times New Roman"/>
                <w:sz w:val="12"/>
                <w:szCs w:val="12"/>
              </w:rPr>
            </w:pPr>
          </w:p>
          <w:p w14:paraId="672FF56F" w14:textId="77777777" w:rsidR="004F1C60" w:rsidRPr="002D0AF3" w:rsidRDefault="004F1C60" w:rsidP="00B87B10">
            <w:pPr>
              <w:tabs>
                <w:tab w:val="left" w:pos="900"/>
              </w:tabs>
              <w:rPr>
                <w:rFonts w:ascii="Garamond" w:hAnsi="Garamond" w:cs="Times New Roman"/>
                <w:sz w:val="12"/>
                <w:szCs w:val="12"/>
              </w:rPr>
            </w:pPr>
          </w:p>
          <w:p w14:paraId="35E7930B" w14:textId="77777777" w:rsidR="004F1C60" w:rsidRPr="002D0AF3" w:rsidRDefault="004F1C60" w:rsidP="00B87B10">
            <w:pPr>
              <w:tabs>
                <w:tab w:val="left" w:pos="900"/>
              </w:tabs>
              <w:rPr>
                <w:rFonts w:ascii="Garamond" w:hAnsi="Garamond" w:cs="Times New Roman"/>
                <w:sz w:val="12"/>
                <w:szCs w:val="12"/>
              </w:rPr>
            </w:pPr>
          </w:p>
          <w:p w14:paraId="1000E02B" w14:textId="77777777" w:rsidR="004F1C60" w:rsidRPr="002D0AF3" w:rsidRDefault="004F1C60" w:rsidP="00B87B10">
            <w:pPr>
              <w:tabs>
                <w:tab w:val="left" w:pos="900"/>
              </w:tabs>
              <w:rPr>
                <w:rFonts w:ascii="Garamond" w:hAnsi="Garamond" w:cs="Times New Roman"/>
                <w:sz w:val="12"/>
                <w:szCs w:val="12"/>
              </w:rPr>
            </w:pPr>
          </w:p>
          <w:p w14:paraId="0CA49CED" w14:textId="1764067E"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w:t>
            </w:r>
            <w:r w:rsidR="002626CC">
              <w:rPr>
                <w:rFonts w:ascii="Garamond" w:hAnsi="Garamond" w:cs="Times New Roman"/>
                <w:sz w:val="12"/>
                <w:szCs w:val="12"/>
              </w:rPr>
              <w:t xml:space="preserve"> </w:t>
            </w:r>
            <w:r w:rsidRPr="002D0AF3">
              <w:rPr>
                <w:rFonts w:ascii="Garamond" w:hAnsi="Garamond" w:cs="Times New Roman"/>
                <w:b/>
                <w:sz w:val="12"/>
                <w:szCs w:val="12"/>
              </w:rPr>
              <w:t>ESHFF</w:t>
            </w:r>
            <w:r w:rsidRPr="002D0AF3">
              <w:rPr>
                <w:rFonts w:ascii="Garamond" w:hAnsi="Garamond" w:cs="Times New Roman"/>
                <w:sz w:val="12"/>
                <w:szCs w:val="12"/>
              </w:rPr>
              <w:t xml:space="preserve"> TM1 2024</w:t>
            </w:r>
          </w:p>
        </w:tc>
        <w:tc>
          <w:tcPr>
            <w:tcW w:w="326" w:type="pct"/>
          </w:tcPr>
          <w:p w14:paraId="2224F8A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w:t>
            </w:r>
            <w:r w:rsidRPr="002D0AF3">
              <w:rPr>
                <w:rFonts w:ascii="Garamond" w:hAnsi="Garamond" w:cs="Times New Roman"/>
                <w:b/>
                <w:sz w:val="12"/>
                <w:szCs w:val="12"/>
              </w:rPr>
              <w:t>MBZHR</w:t>
            </w:r>
          </w:p>
          <w:p w14:paraId="7F630BB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p w14:paraId="15C5FD92" w14:textId="77777777" w:rsidR="004F1C60" w:rsidRPr="002D0AF3" w:rsidRDefault="004F1C60" w:rsidP="00B87B10">
            <w:pPr>
              <w:rPr>
                <w:rFonts w:ascii="Garamond" w:hAnsi="Garamond" w:cs="Times New Roman"/>
                <w:sz w:val="12"/>
                <w:szCs w:val="12"/>
              </w:rPr>
            </w:pPr>
          </w:p>
          <w:p w14:paraId="679D8E99" w14:textId="77777777" w:rsidR="004F1C60" w:rsidRPr="002D0AF3" w:rsidRDefault="004F1C60" w:rsidP="00B87B10">
            <w:pPr>
              <w:rPr>
                <w:rFonts w:ascii="Garamond" w:hAnsi="Garamond" w:cs="Times New Roman"/>
                <w:sz w:val="12"/>
                <w:szCs w:val="12"/>
              </w:rPr>
            </w:pPr>
          </w:p>
          <w:p w14:paraId="22746524" w14:textId="77777777" w:rsidR="004F1C60" w:rsidRPr="002D0AF3" w:rsidRDefault="004F1C60" w:rsidP="00B87B10">
            <w:pPr>
              <w:rPr>
                <w:rFonts w:ascii="Garamond" w:hAnsi="Garamond" w:cs="Times New Roman"/>
                <w:sz w:val="12"/>
                <w:szCs w:val="12"/>
              </w:rPr>
            </w:pPr>
          </w:p>
          <w:p w14:paraId="6658DC95" w14:textId="77777777" w:rsidR="004F1C60" w:rsidRPr="002D0AF3" w:rsidRDefault="004F1C60" w:rsidP="00B87B10">
            <w:pPr>
              <w:rPr>
                <w:rFonts w:ascii="Garamond" w:hAnsi="Garamond" w:cs="Times New Roman"/>
                <w:sz w:val="12"/>
                <w:szCs w:val="12"/>
              </w:rPr>
            </w:pPr>
          </w:p>
          <w:p w14:paraId="7A133D68"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w:t>
            </w:r>
            <w:r w:rsidRPr="002D0AF3">
              <w:rPr>
                <w:rFonts w:ascii="Garamond" w:hAnsi="Garamond" w:cs="Times New Roman"/>
                <w:b/>
                <w:sz w:val="12"/>
                <w:szCs w:val="12"/>
              </w:rPr>
              <w:t>ISUV</w:t>
            </w:r>
          </w:p>
          <w:p w14:paraId="4F27B398"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p w14:paraId="4121AEF4" w14:textId="77777777" w:rsidR="004F1C60" w:rsidRPr="002D0AF3" w:rsidRDefault="004F1C60" w:rsidP="00B87B10">
            <w:pPr>
              <w:rPr>
                <w:rFonts w:ascii="Garamond" w:hAnsi="Garamond" w:cs="Times New Roman"/>
                <w:sz w:val="12"/>
                <w:szCs w:val="12"/>
              </w:rPr>
            </w:pPr>
          </w:p>
          <w:p w14:paraId="44418D39" w14:textId="77777777" w:rsidR="004F1C60" w:rsidRPr="002D0AF3" w:rsidRDefault="004F1C60" w:rsidP="00B87B10">
            <w:pPr>
              <w:rPr>
                <w:rFonts w:ascii="Garamond" w:hAnsi="Garamond" w:cs="Times New Roman"/>
                <w:sz w:val="12"/>
                <w:szCs w:val="12"/>
              </w:rPr>
            </w:pPr>
          </w:p>
          <w:p w14:paraId="21D3A198" w14:textId="77777777" w:rsidR="004F1C60" w:rsidRPr="002D0AF3" w:rsidRDefault="004F1C60" w:rsidP="00B87B10">
            <w:pPr>
              <w:rPr>
                <w:rFonts w:ascii="Garamond" w:hAnsi="Garamond" w:cs="Times New Roman"/>
                <w:sz w:val="12"/>
                <w:szCs w:val="12"/>
              </w:rPr>
            </w:pPr>
          </w:p>
          <w:p w14:paraId="4EEB0E8C" w14:textId="77777777" w:rsidR="004F1C60" w:rsidRPr="002D0AF3" w:rsidRDefault="004F1C60" w:rsidP="00B87B10">
            <w:pPr>
              <w:rPr>
                <w:rFonts w:ascii="Garamond" w:hAnsi="Garamond" w:cs="Times New Roman"/>
                <w:sz w:val="12"/>
                <w:szCs w:val="12"/>
              </w:rPr>
            </w:pPr>
          </w:p>
          <w:p w14:paraId="2A99F1E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w:t>
            </w:r>
            <w:r w:rsidRPr="002D0AF3">
              <w:rPr>
                <w:rFonts w:ascii="Garamond" w:hAnsi="Garamond" w:cs="Times New Roman"/>
                <w:b/>
                <w:sz w:val="12"/>
                <w:szCs w:val="12"/>
              </w:rPr>
              <w:t>AKU</w:t>
            </w:r>
            <w:r w:rsidRPr="002D0AF3">
              <w:rPr>
                <w:rFonts w:ascii="Garamond" w:hAnsi="Garamond" w:cs="Times New Roman"/>
                <w:sz w:val="12"/>
                <w:szCs w:val="12"/>
              </w:rPr>
              <w:t xml:space="preserve"> TM4</w:t>
            </w:r>
          </w:p>
          <w:p w14:paraId="6EE19A48"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2027</w:t>
            </w:r>
          </w:p>
          <w:p w14:paraId="5FE8AFEB" w14:textId="77777777" w:rsidR="004F1C60" w:rsidRPr="002D0AF3" w:rsidRDefault="004F1C60" w:rsidP="00B87B10">
            <w:pPr>
              <w:rPr>
                <w:rFonts w:ascii="Garamond" w:hAnsi="Garamond" w:cs="Times New Roman"/>
                <w:sz w:val="12"/>
                <w:szCs w:val="12"/>
              </w:rPr>
            </w:pPr>
          </w:p>
          <w:p w14:paraId="7CB1BCA2" w14:textId="77777777" w:rsidR="004F1C60" w:rsidRPr="002D0AF3" w:rsidRDefault="004F1C60" w:rsidP="00B87B10">
            <w:pPr>
              <w:rPr>
                <w:rFonts w:ascii="Garamond" w:hAnsi="Garamond" w:cs="Times New Roman"/>
                <w:sz w:val="12"/>
                <w:szCs w:val="12"/>
              </w:rPr>
            </w:pPr>
          </w:p>
          <w:p w14:paraId="499E9321" w14:textId="77777777" w:rsidR="004F1C60" w:rsidRPr="002D0AF3" w:rsidRDefault="004F1C60" w:rsidP="00B87B10">
            <w:pPr>
              <w:rPr>
                <w:rFonts w:ascii="Garamond" w:hAnsi="Garamond" w:cs="Times New Roman"/>
                <w:sz w:val="12"/>
                <w:szCs w:val="12"/>
              </w:rPr>
            </w:pPr>
          </w:p>
          <w:p w14:paraId="637F31A0" w14:textId="77777777" w:rsidR="004F1C60" w:rsidRPr="002D0AF3" w:rsidRDefault="004F1C60" w:rsidP="00B87B10">
            <w:pPr>
              <w:rPr>
                <w:rFonts w:ascii="Garamond" w:hAnsi="Garamond" w:cs="Times New Roman"/>
                <w:sz w:val="12"/>
                <w:szCs w:val="12"/>
              </w:rPr>
            </w:pPr>
          </w:p>
          <w:p w14:paraId="219FC2C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w:t>
            </w:r>
            <w:r w:rsidRPr="002D0AF3">
              <w:rPr>
                <w:rFonts w:ascii="Garamond" w:hAnsi="Garamond" w:cs="Times New Roman"/>
                <w:b/>
                <w:sz w:val="12"/>
                <w:szCs w:val="12"/>
              </w:rPr>
              <w:t>AKVMB</w:t>
            </w:r>
            <w:r w:rsidRPr="002D0AF3">
              <w:rPr>
                <w:rFonts w:ascii="Garamond" w:hAnsi="Garamond" w:cs="Times New Roman"/>
                <w:sz w:val="12"/>
                <w:szCs w:val="12"/>
              </w:rPr>
              <w:t xml:space="preserve"> TM4 2027</w:t>
            </w:r>
          </w:p>
          <w:p w14:paraId="08FF5B14" w14:textId="77777777" w:rsidR="004F1C60" w:rsidRPr="002D0AF3" w:rsidRDefault="004F1C60" w:rsidP="00B87B10">
            <w:pPr>
              <w:rPr>
                <w:rFonts w:ascii="Garamond" w:hAnsi="Garamond" w:cs="Times New Roman"/>
                <w:sz w:val="12"/>
                <w:szCs w:val="12"/>
              </w:rPr>
            </w:pPr>
          </w:p>
          <w:p w14:paraId="4755D67F" w14:textId="77777777" w:rsidR="004F1C60" w:rsidRPr="002D0AF3" w:rsidRDefault="004F1C60" w:rsidP="00B87B10">
            <w:pPr>
              <w:rPr>
                <w:rFonts w:ascii="Garamond" w:hAnsi="Garamond" w:cs="Times New Roman"/>
                <w:sz w:val="12"/>
                <w:szCs w:val="12"/>
              </w:rPr>
            </w:pPr>
          </w:p>
          <w:p w14:paraId="4312A3DF" w14:textId="77777777" w:rsidR="004F1C60" w:rsidRPr="002D0AF3" w:rsidRDefault="004F1C60" w:rsidP="00B87B10">
            <w:pPr>
              <w:rPr>
                <w:rFonts w:ascii="Garamond" w:hAnsi="Garamond" w:cs="Times New Roman"/>
                <w:sz w:val="12"/>
                <w:szCs w:val="12"/>
              </w:rPr>
            </w:pPr>
          </w:p>
          <w:p w14:paraId="3D2584C5" w14:textId="77777777" w:rsidR="004F1C60" w:rsidRPr="002D0AF3" w:rsidRDefault="004F1C60" w:rsidP="00B87B10">
            <w:pPr>
              <w:rPr>
                <w:rFonts w:ascii="Garamond" w:hAnsi="Garamond" w:cs="Times New Roman"/>
                <w:sz w:val="12"/>
                <w:szCs w:val="12"/>
              </w:rPr>
            </w:pPr>
          </w:p>
          <w:p w14:paraId="63633C7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w:t>
            </w:r>
            <w:r w:rsidRPr="002D0AF3">
              <w:rPr>
                <w:rFonts w:ascii="Garamond" w:hAnsi="Garamond" w:cs="Times New Roman"/>
                <w:b/>
                <w:sz w:val="12"/>
                <w:szCs w:val="12"/>
              </w:rPr>
              <w:t xml:space="preserve">ESHFF </w:t>
            </w:r>
            <w:r w:rsidRPr="002D0AF3">
              <w:rPr>
                <w:rFonts w:ascii="Garamond" w:hAnsi="Garamond" w:cs="Times New Roman"/>
                <w:sz w:val="12"/>
                <w:szCs w:val="12"/>
              </w:rPr>
              <w:t>TM4 2027</w:t>
            </w:r>
          </w:p>
        </w:tc>
        <w:tc>
          <w:tcPr>
            <w:tcW w:w="331" w:type="pct"/>
          </w:tcPr>
          <w:p w14:paraId="7113F606"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w:t>
            </w:r>
            <w:r w:rsidRPr="002D0AF3">
              <w:rPr>
                <w:rFonts w:ascii="Garamond" w:hAnsi="Garamond" w:cs="Times New Roman"/>
                <w:b/>
                <w:sz w:val="12"/>
                <w:szCs w:val="12"/>
              </w:rPr>
              <w:t>MBZHR</w:t>
            </w:r>
          </w:p>
          <w:p w14:paraId="25D23EFD"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32 mln</w:t>
            </w:r>
          </w:p>
          <w:p w14:paraId="0DC73EAA" w14:textId="77777777" w:rsidR="004F1C60" w:rsidRPr="002D0AF3" w:rsidRDefault="004F1C60" w:rsidP="00B87B10">
            <w:pPr>
              <w:contextualSpacing/>
              <w:rPr>
                <w:rFonts w:ascii="Garamond" w:hAnsi="Garamond" w:cs="Times New Roman"/>
                <w:b/>
                <w:sz w:val="12"/>
                <w:szCs w:val="12"/>
              </w:rPr>
            </w:pPr>
          </w:p>
          <w:p w14:paraId="2FBBAF90" w14:textId="77777777" w:rsidR="004F1C60" w:rsidRPr="002D0AF3" w:rsidRDefault="004F1C60" w:rsidP="00B87B10">
            <w:pPr>
              <w:contextualSpacing/>
              <w:rPr>
                <w:rFonts w:ascii="Garamond" w:hAnsi="Garamond" w:cs="Times New Roman"/>
                <w:b/>
                <w:sz w:val="12"/>
                <w:szCs w:val="12"/>
              </w:rPr>
            </w:pPr>
          </w:p>
          <w:p w14:paraId="4E4AFCCE" w14:textId="77777777" w:rsidR="004F1C60" w:rsidRPr="002D0AF3" w:rsidRDefault="004F1C60" w:rsidP="00B87B10">
            <w:pPr>
              <w:contextualSpacing/>
              <w:rPr>
                <w:rFonts w:ascii="Garamond" w:hAnsi="Garamond" w:cs="Times New Roman"/>
                <w:b/>
                <w:sz w:val="12"/>
                <w:szCs w:val="12"/>
              </w:rPr>
            </w:pPr>
          </w:p>
          <w:p w14:paraId="2DD14E58" w14:textId="77777777" w:rsidR="004F1C60" w:rsidRPr="002D0AF3" w:rsidRDefault="004F1C60" w:rsidP="00B87B10">
            <w:pPr>
              <w:contextualSpacing/>
              <w:rPr>
                <w:rFonts w:ascii="Garamond" w:hAnsi="Garamond" w:cs="Times New Roman"/>
                <w:b/>
                <w:sz w:val="12"/>
                <w:szCs w:val="12"/>
              </w:rPr>
            </w:pPr>
          </w:p>
          <w:p w14:paraId="51B741D6" w14:textId="77777777" w:rsidR="004F1C60" w:rsidRPr="002D0AF3" w:rsidRDefault="004F1C60" w:rsidP="00B87B10">
            <w:pPr>
              <w:contextualSpacing/>
              <w:rPr>
                <w:rFonts w:ascii="Garamond" w:hAnsi="Garamond" w:cs="Times New Roman"/>
                <w:b/>
                <w:sz w:val="12"/>
                <w:szCs w:val="12"/>
              </w:rPr>
            </w:pPr>
            <w:r w:rsidRPr="002D0AF3">
              <w:rPr>
                <w:rFonts w:ascii="Garamond" w:hAnsi="Garamond" w:cs="Times New Roman"/>
                <w:b/>
                <w:sz w:val="12"/>
                <w:szCs w:val="12"/>
              </w:rPr>
              <w:t>-ISUV</w:t>
            </w:r>
          </w:p>
          <w:p w14:paraId="7E658D99"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48 mln</w:t>
            </w:r>
          </w:p>
          <w:p w14:paraId="18F62523" w14:textId="77777777" w:rsidR="004F1C60" w:rsidRPr="002D0AF3" w:rsidRDefault="004F1C60" w:rsidP="00B87B10">
            <w:pPr>
              <w:contextualSpacing/>
              <w:rPr>
                <w:rFonts w:ascii="Garamond" w:hAnsi="Garamond" w:cs="Times New Roman"/>
                <w:sz w:val="12"/>
                <w:szCs w:val="12"/>
              </w:rPr>
            </w:pPr>
          </w:p>
          <w:p w14:paraId="35FB819D" w14:textId="77777777" w:rsidR="004F1C60" w:rsidRPr="002D0AF3" w:rsidRDefault="004F1C60" w:rsidP="00B87B10">
            <w:pPr>
              <w:contextualSpacing/>
              <w:rPr>
                <w:rFonts w:ascii="Garamond" w:hAnsi="Garamond" w:cs="Times New Roman"/>
                <w:sz w:val="12"/>
                <w:szCs w:val="12"/>
              </w:rPr>
            </w:pPr>
          </w:p>
          <w:p w14:paraId="0CA82BF8" w14:textId="77777777" w:rsidR="004F1C60" w:rsidRPr="002D0AF3" w:rsidRDefault="004F1C60" w:rsidP="00B87B10">
            <w:pPr>
              <w:contextualSpacing/>
              <w:rPr>
                <w:rFonts w:ascii="Garamond" w:hAnsi="Garamond" w:cs="Times New Roman"/>
                <w:sz w:val="12"/>
                <w:szCs w:val="12"/>
              </w:rPr>
            </w:pPr>
          </w:p>
          <w:p w14:paraId="2AAB8AF5" w14:textId="77777777" w:rsidR="004F1C60" w:rsidRPr="002D0AF3" w:rsidRDefault="004F1C60" w:rsidP="00B87B10">
            <w:pPr>
              <w:contextualSpacing/>
              <w:rPr>
                <w:rFonts w:ascii="Garamond" w:hAnsi="Garamond" w:cs="Times New Roman"/>
                <w:sz w:val="12"/>
                <w:szCs w:val="12"/>
              </w:rPr>
            </w:pPr>
          </w:p>
          <w:p w14:paraId="11FEA5E2" w14:textId="77777777" w:rsidR="004F1C60" w:rsidRPr="002D0AF3" w:rsidRDefault="004F1C60" w:rsidP="00B87B10">
            <w:pPr>
              <w:rPr>
                <w:rFonts w:ascii="Garamond" w:hAnsi="Garamond" w:cs="Times New Roman"/>
                <w:b/>
                <w:sz w:val="12"/>
                <w:szCs w:val="12"/>
              </w:rPr>
            </w:pPr>
            <w:r w:rsidRPr="002D0AF3">
              <w:rPr>
                <w:rFonts w:ascii="Garamond" w:hAnsi="Garamond" w:cs="Times New Roman"/>
                <w:b/>
                <w:sz w:val="12"/>
                <w:szCs w:val="12"/>
              </w:rPr>
              <w:t>-AKU</w:t>
            </w:r>
          </w:p>
          <w:p w14:paraId="712E9083" w14:textId="77777777" w:rsidR="004F1C60" w:rsidRPr="002D0AF3" w:rsidRDefault="004F1C60" w:rsidP="00B87B10">
            <w:pPr>
              <w:rPr>
                <w:rFonts w:ascii="Garamond" w:hAnsi="Garamond" w:cs="Times New Roman"/>
                <w:b/>
                <w:sz w:val="12"/>
                <w:szCs w:val="12"/>
              </w:rPr>
            </w:pPr>
            <w:r w:rsidRPr="002D0AF3">
              <w:rPr>
                <w:rFonts w:ascii="Garamond" w:hAnsi="Garamond" w:cs="Times New Roman"/>
                <w:sz w:val="12"/>
                <w:szCs w:val="12"/>
              </w:rPr>
              <w:t>100 mln</w:t>
            </w:r>
          </w:p>
          <w:p w14:paraId="226AE163" w14:textId="77777777" w:rsidR="004F1C60" w:rsidRPr="002D0AF3" w:rsidRDefault="004F1C60" w:rsidP="00B87B10">
            <w:pPr>
              <w:rPr>
                <w:rFonts w:ascii="Garamond" w:hAnsi="Garamond" w:cs="Times New Roman"/>
                <w:sz w:val="12"/>
                <w:szCs w:val="12"/>
              </w:rPr>
            </w:pPr>
          </w:p>
          <w:p w14:paraId="795546BD" w14:textId="77777777" w:rsidR="004F1C60" w:rsidRPr="002D0AF3" w:rsidRDefault="004F1C60" w:rsidP="00B87B10">
            <w:pPr>
              <w:rPr>
                <w:rFonts w:ascii="Garamond" w:hAnsi="Garamond" w:cs="Times New Roman"/>
                <w:sz w:val="12"/>
                <w:szCs w:val="12"/>
              </w:rPr>
            </w:pPr>
          </w:p>
          <w:p w14:paraId="5787AE34" w14:textId="77777777" w:rsidR="004F1C60" w:rsidRPr="002D0AF3" w:rsidRDefault="004F1C60" w:rsidP="00B87B10">
            <w:pPr>
              <w:rPr>
                <w:rFonts w:ascii="Garamond" w:hAnsi="Garamond" w:cs="Times New Roman"/>
                <w:sz w:val="12"/>
                <w:szCs w:val="12"/>
              </w:rPr>
            </w:pPr>
          </w:p>
          <w:p w14:paraId="0B32F050" w14:textId="77777777" w:rsidR="004F1C60" w:rsidRPr="002D0AF3" w:rsidRDefault="004F1C60" w:rsidP="00B87B10">
            <w:pPr>
              <w:rPr>
                <w:rFonts w:ascii="Garamond" w:hAnsi="Garamond" w:cs="Times New Roman"/>
                <w:sz w:val="12"/>
                <w:szCs w:val="12"/>
              </w:rPr>
            </w:pPr>
          </w:p>
          <w:p w14:paraId="3C39E45C" w14:textId="77777777" w:rsidR="004F1C60" w:rsidRPr="002D0AF3" w:rsidRDefault="004F1C60" w:rsidP="00B87B10">
            <w:pPr>
              <w:rPr>
                <w:rFonts w:ascii="Garamond" w:hAnsi="Garamond" w:cs="Times New Roman"/>
                <w:b/>
                <w:sz w:val="12"/>
                <w:szCs w:val="12"/>
              </w:rPr>
            </w:pPr>
            <w:r w:rsidRPr="002D0AF3">
              <w:rPr>
                <w:rFonts w:ascii="Garamond" w:hAnsi="Garamond" w:cs="Times New Roman"/>
                <w:b/>
                <w:sz w:val="12"/>
                <w:szCs w:val="12"/>
              </w:rPr>
              <w:t>-AKVMB</w:t>
            </w:r>
          </w:p>
          <w:p w14:paraId="13FA7936"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100 mln </w:t>
            </w:r>
          </w:p>
          <w:p w14:paraId="0B08D3A7" w14:textId="77777777" w:rsidR="004F1C60" w:rsidRPr="002D0AF3" w:rsidRDefault="004F1C60" w:rsidP="00B87B10">
            <w:pPr>
              <w:rPr>
                <w:rFonts w:ascii="Garamond" w:hAnsi="Garamond" w:cs="Times New Roman"/>
                <w:sz w:val="12"/>
                <w:szCs w:val="12"/>
              </w:rPr>
            </w:pPr>
          </w:p>
          <w:p w14:paraId="6CAC68A2" w14:textId="77777777" w:rsidR="004F1C60" w:rsidRPr="002D0AF3" w:rsidRDefault="004F1C60" w:rsidP="00B87B10">
            <w:pPr>
              <w:rPr>
                <w:rFonts w:ascii="Garamond" w:hAnsi="Garamond" w:cs="Times New Roman"/>
                <w:sz w:val="12"/>
                <w:szCs w:val="12"/>
              </w:rPr>
            </w:pPr>
          </w:p>
          <w:p w14:paraId="2D370D2F" w14:textId="77777777" w:rsidR="004F1C60" w:rsidRPr="002D0AF3" w:rsidRDefault="004F1C60" w:rsidP="00B87B10">
            <w:pPr>
              <w:rPr>
                <w:rFonts w:ascii="Garamond" w:hAnsi="Garamond" w:cs="Times New Roman"/>
                <w:sz w:val="12"/>
                <w:szCs w:val="12"/>
              </w:rPr>
            </w:pPr>
          </w:p>
          <w:p w14:paraId="34018124" w14:textId="77777777" w:rsidR="004F1C60" w:rsidRPr="002D0AF3" w:rsidRDefault="004F1C60" w:rsidP="00B87B10">
            <w:pPr>
              <w:rPr>
                <w:rFonts w:ascii="Garamond" w:hAnsi="Garamond" w:cs="Times New Roman"/>
                <w:sz w:val="12"/>
                <w:szCs w:val="12"/>
              </w:rPr>
            </w:pPr>
          </w:p>
          <w:p w14:paraId="38C41D57"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w:t>
            </w:r>
            <w:r w:rsidRPr="002D0AF3">
              <w:rPr>
                <w:rFonts w:ascii="Garamond" w:hAnsi="Garamond" w:cs="Times New Roman"/>
                <w:b/>
                <w:sz w:val="12"/>
                <w:szCs w:val="12"/>
              </w:rPr>
              <w:t>ESHFF</w:t>
            </w:r>
          </w:p>
          <w:p w14:paraId="56A67596"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5 mln</w:t>
            </w:r>
          </w:p>
          <w:p w14:paraId="4AF9D34F" w14:textId="77777777" w:rsidR="004F1C60" w:rsidRPr="002D0AF3" w:rsidRDefault="004F1C60" w:rsidP="00B87B10">
            <w:pPr>
              <w:rPr>
                <w:rFonts w:ascii="Garamond" w:hAnsi="Garamond" w:cs="Times New Roman"/>
                <w:sz w:val="12"/>
                <w:szCs w:val="12"/>
              </w:rPr>
            </w:pPr>
          </w:p>
          <w:p w14:paraId="6D2C530A" w14:textId="77777777" w:rsidR="004F1C60" w:rsidRPr="002D0AF3" w:rsidRDefault="004F1C60" w:rsidP="00B87B10">
            <w:pPr>
              <w:rPr>
                <w:rFonts w:ascii="Garamond" w:hAnsi="Garamond" w:cs="Times New Roman"/>
                <w:i/>
                <w:sz w:val="12"/>
                <w:szCs w:val="12"/>
              </w:rPr>
            </w:pPr>
            <w:r w:rsidRPr="002D0AF3">
              <w:rPr>
                <w:rStyle w:val="CommentReference"/>
                <w:rFonts w:ascii="Garamond" w:hAnsi="Garamond" w:cs="Times New Roman"/>
                <w:i/>
                <w:sz w:val="12"/>
                <w:szCs w:val="12"/>
              </w:rPr>
              <w:t xml:space="preserve">Shënim:1 mln është kostoja e 1 personi për një </w:t>
            </w:r>
            <w:r w:rsidRPr="002D0AF3">
              <w:rPr>
                <w:rStyle w:val="CommentReference"/>
                <w:rFonts w:ascii="Garamond" w:hAnsi="Garamond" w:cs="Times New Roman"/>
                <w:i/>
                <w:sz w:val="12"/>
                <w:szCs w:val="12"/>
              </w:rPr>
              <w:lastRenderedPageBreak/>
              <w:t>vit</w:t>
            </w:r>
          </w:p>
        </w:tc>
        <w:tc>
          <w:tcPr>
            <w:tcW w:w="386" w:type="pct"/>
          </w:tcPr>
          <w:p w14:paraId="587AA290" w14:textId="77777777" w:rsidR="004F1C60" w:rsidRPr="002D0AF3" w:rsidRDefault="004F1C60" w:rsidP="00B87B10">
            <w:pPr>
              <w:contextualSpacing/>
              <w:rPr>
                <w:rFonts w:ascii="Garamond" w:hAnsi="Garamond" w:cs="Times New Roman"/>
                <w:sz w:val="12"/>
                <w:szCs w:val="12"/>
              </w:rPr>
            </w:pPr>
          </w:p>
        </w:tc>
        <w:tc>
          <w:tcPr>
            <w:tcW w:w="504" w:type="pct"/>
          </w:tcPr>
          <w:p w14:paraId="73BB58E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416" w:type="pct"/>
          </w:tcPr>
          <w:p w14:paraId="754FB4DE"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w:t>
            </w:r>
            <w:r w:rsidRPr="002D0AF3">
              <w:rPr>
                <w:rFonts w:ascii="Garamond" w:hAnsi="Garamond" w:cs="Times New Roman"/>
                <w:b/>
                <w:sz w:val="12"/>
                <w:szCs w:val="12"/>
              </w:rPr>
              <w:t>MBZHR</w:t>
            </w:r>
          </w:p>
          <w:p w14:paraId="0DDAA628"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8 mln (2024)</w:t>
            </w:r>
          </w:p>
          <w:p w14:paraId="1825099A"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8 mln (2025)</w:t>
            </w:r>
          </w:p>
          <w:p w14:paraId="5FEE0DD8"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8 mln (2026)</w:t>
            </w:r>
          </w:p>
          <w:p w14:paraId="4A95FA73"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8 mln (2027)</w:t>
            </w:r>
          </w:p>
          <w:p w14:paraId="76B5E597" w14:textId="77777777" w:rsidR="004F1C60" w:rsidRPr="002D0AF3" w:rsidRDefault="004F1C60" w:rsidP="00B87B10">
            <w:pPr>
              <w:contextualSpacing/>
              <w:rPr>
                <w:rFonts w:ascii="Garamond" w:hAnsi="Garamond" w:cs="Times New Roman"/>
                <w:sz w:val="12"/>
                <w:szCs w:val="12"/>
              </w:rPr>
            </w:pPr>
          </w:p>
          <w:p w14:paraId="3B35CD90" w14:textId="77777777" w:rsidR="004F1C60" w:rsidRPr="002D0AF3" w:rsidRDefault="004F1C60" w:rsidP="00B87B10">
            <w:pPr>
              <w:contextualSpacing/>
              <w:rPr>
                <w:rFonts w:ascii="Garamond" w:hAnsi="Garamond" w:cs="Times New Roman"/>
                <w:b/>
                <w:sz w:val="12"/>
                <w:szCs w:val="12"/>
              </w:rPr>
            </w:pPr>
            <w:r w:rsidRPr="002D0AF3">
              <w:rPr>
                <w:rFonts w:ascii="Garamond" w:hAnsi="Garamond" w:cs="Times New Roman"/>
                <w:b/>
                <w:sz w:val="12"/>
                <w:szCs w:val="12"/>
              </w:rPr>
              <w:t>-ISUV</w:t>
            </w:r>
          </w:p>
          <w:p w14:paraId="1A1BE2F5"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12 mln (2024)</w:t>
            </w:r>
          </w:p>
          <w:p w14:paraId="3ADE9C15"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12 mln (2025)</w:t>
            </w:r>
          </w:p>
          <w:p w14:paraId="0916AB9F"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12 mln (2026)</w:t>
            </w:r>
          </w:p>
          <w:p w14:paraId="45C2AC02"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12 mln (2027)</w:t>
            </w:r>
          </w:p>
          <w:p w14:paraId="584D99DF" w14:textId="77777777" w:rsidR="004F1C60" w:rsidRPr="002D0AF3" w:rsidRDefault="004F1C60" w:rsidP="00B87B10">
            <w:pPr>
              <w:contextualSpacing/>
              <w:rPr>
                <w:rFonts w:ascii="Garamond" w:hAnsi="Garamond" w:cs="Times New Roman"/>
                <w:sz w:val="12"/>
                <w:szCs w:val="12"/>
              </w:rPr>
            </w:pPr>
          </w:p>
          <w:p w14:paraId="3414F55A" w14:textId="77777777" w:rsidR="004F1C60" w:rsidRPr="002D0AF3" w:rsidRDefault="004F1C60" w:rsidP="00B87B10">
            <w:pPr>
              <w:contextualSpacing/>
              <w:rPr>
                <w:rFonts w:ascii="Garamond" w:hAnsi="Garamond" w:cs="Times New Roman"/>
                <w:b/>
                <w:sz w:val="12"/>
                <w:szCs w:val="12"/>
              </w:rPr>
            </w:pPr>
            <w:r w:rsidRPr="002D0AF3">
              <w:rPr>
                <w:rFonts w:ascii="Garamond" w:hAnsi="Garamond" w:cs="Times New Roman"/>
                <w:b/>
                <w:sz w:val="12"/>
                <w:szCs w:val="12"/>
              </w:rPr>
              <w:t>-AKU</w:t>
            </w:r>
          </w:p>
          <w:p w14:paraId="23154268"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25 mln (2024)</w:t>
            </w:r>
          </w:p>
          <w:p w14:paraId="01A158EA"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25 mln (2025)</w:t>
            </w:r>
          </w:p>
          <w:p w14:paraId="25DCC746" w14:textId="7B211BEE"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25 mln</w:t>
            </w:r>
            <w:r w:rsidR="003E60DD" w:rsidRPr="002D0AF3">
              <w:rPr>
                <w:rFonts w:ascii="Garamond" w:hAnsi="Garamond" w:cs="Times New Roman"/>
                <w:sz w:val="12"/>
                <w:szCs w:val="12"/>
              </w:rPr>
              <w:t xml:space="preserve"> </w:t>
            </w:r>
            <w:r w:rsidRPr="002D0AF3">
              <w:rPr>
                <w:rFonts w:ascii="Garamond" w:hAnsi="Garamond" w:cs="Times New Roman"/>
                <w:sz w:val="12"/>
                <w:szCs w:val="12"/>
              </w:rPr>
              <w:t>(2026)</w:t>
            </w:r>
          </w:p>
          <w:p w14:paraId="21D5A019"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25 mln (2027)</w:t>
            </w:r>
          </w:p>
          <w:p w14:paraId="1B6BB1FE" w14:textId="77777777" w:rsidR="004F1C60" w:rsidRPr="002D0AF3" w:rsidRDefault="004F1C60" w:rsidP="00B87B10">
            <w:pPr>
              <w:contextualSpacing/>
              <w:rPr>
                <w:rFonts w:ascii="Garamond" w:hAnsi="Garamond" w:cs="Times New Roman"/>
                <w:sz w:val="12"/>
                <w:szCs w:val="12"/>
              </w:rPr>
            </w:pPr>
          </w:p>
          <w:p w14:paraId="0D98235F"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w:t>
            </w:r>
            <w:r w:rsidRPr="002D0AF3">
              <w:rPr>
                <w:rFonts w:ascii="Garamond" w:hAnsi="Garamond" w:cs="Times New Roman"/>
                <w:b/>
                <w:sz w:val="12"/>
                <w:szCs w:val="12"/>
              </w:rPr>
              <w:t>AKVMB</w:t>
            </w:r>
          </w:p>
          <w:p w14:paraId="2091B749"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25 mln (2024)</w:t>
            </w:r>
          </w:p>
          <w:p w14:paraId="11313D75"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25 mln (2025)</w:t>
            </w:r>
          </w:p>
          <w:p w14:paraId="290F69BD"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25 mln (2026)</w:t>
            </w:r>
          </w:p>
          <w:p w14:paraId="4F584AA5"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25 mln (2027)</w:t>
            </w:r>
          </w:p>
          <w:p w14:paraId="09346902" w14:textId="77777777" w:rsidR="004F1C60" w:rsidRPr="002D0AF3" w:rsidRDefault="004F1C60" w:rsidP="00B87B10">
            <w:pPr>
              <w:contextualSpacing/>
              <w:rPr>
                <w:rFonts w:ascii="Garamond" w:hAnsi="Garamond" w:cs="Times New Roman"/>
                <w:sz w:val="12"/>
                <w:szCs w:val="12"/>
              </w:rPr>
            </w:pPr>
          </w:p>
          <w:p w14:paraId="3AAD316B" w14:textId="77777777" w:rsidR="004F1C60" w:rsidRPr="002D0AF3" w:rsidRDefault="004F1C60" w:rsidP="00B87B10">
            <w:pPr>
              <w:contextualSpacing/>
              <w:rPr>
                <w:rFonts w:ascii="Garamond" w:hAnsi="Garamond" w:cs="Times New Roman"/>
                <w:b/>
                <w:sz w:val="12"/>
                <w:szCs w:val="12"/>
              </w:rPr>
            </w:pPr>
            <w:r w:rsidRPr="002D0AF3">
              <w:rPr>
                <w:rFonts w:ascii="Garamond" w:hAnsi="Garamond" w:cs="Times New Roman"/>
                <w:b/>
                <w:sz w:val="12"/>
                <w:szCs w:val="12"/>
              </w:rPr>
              <w:t>-ESHFF</w:t>
            </w:r>
          </w:p>
          <w:p w14:paraId="214D987C"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2 mln (2024)</w:t>
            </w:r>
          </w:p>
          <w:p w14:paraId="38DF92E1"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1 mln (2025)</w:t>
            </w:r>
          </w:p>
          <w:p w14:paraId="7412A6AA"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1 mln (2026)</w:t>
            </w:r>
          </w:p>
          <w:p w14:paraId="0A90BB4D"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1 mln (2027)</w:t>
            </w:r>
          </w:p>
          <w:p w14:paraId="6D6E300B" w14:textId="77777777" w:rsidR="004F1C60" w:rsidRPr="002D0AF3" w:rsidRDefault="004F1C60" w:rsidP="00B87B10">
            <w:pPr>
              <w:rPr>
                <w:rFonts w:ascii="Garamond" w:hAnsi="Garamond" w:cs="Times New Roman"/>
                <w:sz w:val="12"/>
                <w:szCs w:val="12"/>
              </w:rPr>
            </w:pPr>
          </w:p>
        </w:tc>
      </w:tr>
      <w:tr w:rsidR="00BC5407" w:rsidRPr="002D0AF3" w14:paraId="05432012" w14:textId="77777777" w:rsidTr="00BC5407">
        <w:trPr>
          <w:trHeight w:val="20"/>
          <w:jc w:val="center"/>
        </w:trPr>
        <w:tc>
          <w:tcPr>
            <w:tcW w:w="177" w:type="pct"/>
          </w:tcPr>
          <w:p w14:paraId="2E273512"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lastRenderedPageBreak/>
              <w:t>3b</w:t>
            </w:r>
          </w:p>
        </w:tc>
        <w:tc>
          <w:tcPr>
            <w:tcW w:w="398" w:type="pct"/>
          </w:tcPr>
          <w:p w14:paraId="312BBB5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Burimet njerëzore</w:t>
            </w:r>
          </w:p>
        </w:tc>
        <w:tc>
          <w:tcPr>
            <w:tcW w:w="593" w:type="pct"/>
          </w:tcPr>
          <w:p w14:paraId="75BE131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Zhvillimi i planit të rekrutimit të personelit të MBZHR-së mbi një plan afatgjatë në bashkëpunim të ngushtë me Ministrinë e Financave dhe Ekonomisë.</w:t>
            </w:r>
          </w:p>
        </w:tc>
        <w:tc>
          <w:tcPr>
            <w:tcW w:w="564" w:type="pct"/>
          </w:tcPr>
          <w:p w14:paraId="17EEBB6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Numri i personelit është në përputhje me planin për plotësimin e personelit.</w:t>
            </w:r>
          </w:p>
          <w:p w14:paraId="3C9785A1" w14:textId="77777777" w:rsidR="004F1C60" w:rsidRPr="002D0AF3" w:rsidRDefault="004F1C60" w:rsidP="00B87B10">
            <w:pPr>
              <w:rPr>
                <w:rFonts w:ascii="Garamond" w:hAnsi="Garamond" w:cs="Times New Roman"/>
                <w:sz w:val="12"/>
                <w:szCs w:val="12"/>
              </w:rPr>
            </w:pPr>
          </w:p>
          <w:p w14:paraId="1BEE41F7" w14:textId="77777777" w:rsidR="004F1C60" w:rsidRPr="002D0AF3" w:rsidRDefault="004F1C60" w:rsidP="00B87B10">
            <w:pPr>
              <w:rPr>
                <w:rFonts w:ascii="Garamond" w:hAnsi="Garamond" w:cs="Times New Roman"/>
                <w:sz w:val="12"/>
                <w:szCs w:val="12"/>
              </w:rPr>
            </w:pPr>
          </w:p>
          <w:p w14:paraId="1E65575B" w14:textId="77777777" w:rsidR="004F1C60" w:rsidRPr="002D0AF3" w:rsidRDefault="004F1C60" w:rsidP="00B87B10">
            <w:pPr>
              <w:rPr>
                <w:rFonts w:ascii="Garamond" w:hAnsi="Garamond" w:cs="Times New Roman"/>
                <w:sz w:val="12"/>
                <w:szCs w:val="12"/>
              </w:rPr>
            </w:pPr>
          </w:p>
        </w:tc>
        <w:tc>
          <w:tcPr>
            <w:tcW w:w="742" w:type="pct"/>
          </w:tcPr>
          <w:p w14:paraId="30D5017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Shpërndarje dhe/ose shtim stafi në përputhje me planin për plotësim me personel.</w:t>
            </w:r>
          </w:p>
        </w:tc>
        <w:tc>
          <w:tcPr>
            <w:tcW w:w="266" w:type="pct"/>
          </w:tcPr>
          <w:p w14:paraId="76A72AE4"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1, 2</w:t>
            </w:r>
          </w:p>
        </w:tc>
        <w:tc>
          <w:tcPr>
            <w:tcW w:w="296" w:type="pct"/>
          </w:tcPr>
          <w:p w14:paraId="06257128"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6572B69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p w14:paraId="7CD48FE1" w14:textId="77777777" w:rsidR="004F1C60" w:rsidRPr="002D0AF3" w:rsidRDefault="004F1C60" w:rsidP="00B87B10">
            <w:pPr>
              <w:rPr>
                <w:rFonts w:ascii="Garamond" w:hAnsi="Garamond" w:cs="Times New Roman"/>
                <w:sz w:val="12"/>
                <w:szCs w:val="12"/>
              </w:rPr>
            </w:pPr>
          </w:p>
          <w:p w14:paraId="01A0ABB2" w14:textId="77777777" w:rsidR="004F1C60" w:rsidRPr="002D0AF3" w:rsidRDefault="004F1C60" w:rsidP="00B87B10">
            <w:pPr>
              <w:rPr>
                <w:rFonts w:ascii="Garamond" w:hAnsi="Garamond" w:cs="Times New Roman"/>
                <w:sz w:val="12"/>
                <w:szCs w:val="12"/>
              </w:rPr>
            </w:pPr>
          </w:p>
        </w:tc>
        <w:tc>
          <w:tcPr>
            <w:tcW w:w="331" w:type="pct"/>
          </w:tcPr>
          <w:p w14:paraId="0BE77002" w14:textId="4F4ADD58"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w:t>
            </w:r>
            <w:r w:rsidR="003B73F2">
              <w:rPr>
                <w:rFonts w:ascii="Garamond" w:hAnsi="Garamond" w:cs="Times New Roman"/>
                <w:sz w:val="12"/>
                <w:szCs w:val="12"/>
              </w:rPr>
              <w:t xml:space="preserve"> </w:t>
            </w:r>
            <w:r w:rsidRPr="002D0AF3">
              <w:rPr>
                <w:rFonts w:ascii="Garamond" w:hAnsi="Garamond" w:cs="Times New Roman"/>
                <w:b/>
                <w:sz w:val="12"/>
                <w:szCs w:val="12"/>
              </w:rPr>
              <w:t>MBZHR</w:t>
            </w:r>
          </w:p>
          <w:p w14:paraId="48C0B3E0" w14:textId="77777777"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Kostuar në pikën 3a</w:t>
            </w:r>
          </w:p>
          <w:p w14:paraId="23C171BB" w14:textId="77777777" w:rsidR="004F1C60" w:rsidRPr="002D0AF3" w:rsidRDefault="004F1C60" w:rsidP="00B87B10">
            <w:pPr>
              <w:contextualSpacing/>
              <w:rPr>
                <w:rFonts w:ascii="Garamond" w:hAnsi="Garamond" w:cs="Times New Roman"/>
                <w:sz w:val="12"/>
                <w:szCs w:val="12"/>
              </w:rPr>
            </w:pPr>
          </w:p>
          <w:p w14:paraId="4F34CA88" w14:textId="77777777" w:rsidR="004F1C60" w:rsidRPr="002D0AF3" w:rsidRDefault="004F1C60" w:rsidP="00B87B10">
            <w:pPr>
              <w:contextualSpacing/>
              <w:rPr>
                <w:rFonts w:ascii="Garamond" w:hAnsi="Garamond" w:cs="Times New Roman"/>
                <w:sz w:val="12"/>
                <w:szCs w:val="12"/>
              </w:rPr>
            </w:pPr>
          </w:p>
          <w:p w14:paraId="374A94B4" w14:textId="77777777" w:rsidR="004F1C60" w:rsidRPr="002D0AF3" w:rsidRDefault="004F1C60" w:rsidP="00B87B10">
            <w:pPr>
              <w:rPr>
                <w:rFonts w:ascii="Garamond" w:hAnsi="Garamond" w:cs="Times New Roman"/>
                <w:sz w:val="12"/>
                <w:szCs w:val="12"/>
              </w:rPr>
            </w:pPr>
          </w:p>
        </w:tc>
        <w:tc>
          <w:tcPr>
            <w:tcW w:w="386" w:type="pct"/>
          </w:tcPr>
          <w:p w14:paraId="43379A4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504" w:type="pct"/>
          </w:tcPr>
          <w:p w14:paraId="47275EC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416" w:type="pct"/>
          </w:tcPr>
          <w:p w14:paraId="4C6CCEB7" w14:textId="77777777" w:rsidR="004F1C60" w:rsidRPr="002D0AF3" w:rsidRDefault="004F1C60" w:rsidP="00B87B10">
            <w:pPr>
              <w:rPr>
                <w:rFonts w:ascii="Garamond" w:hAnsi="Garamond" w:cs="Times New Roman"/>
                <w:sz w:val="12"/>
                <w:szCs w:val="12"/>
              </w:rPr>
            </w:pPr>
          </w:p>
        </w:tc>
      </w:tr>
      <w:tr w:rsidR="00BC5407" w:rsidRPr="002D0AF3" w14:paraId="6C64E7E9" w14:textId="77777777" w:rsidTr="00BC5407">
        <w:trPr>
          <w:trHeight w:val="20"/>
          <w:jc w:val="center"/>
        </w:trPr>
        <w:tc>
          <w:tcPr>
            <w:tcW w:w="177" w:type="pct"/>
          </w:tcPr>
          <w:p w14:paraId="7B3200FE"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3c</w:t>
            </w:r>
          </w:p>
        </w:tc>
        <w:tc>
          <w:tcPr>
            <w:tcW w:w="398" w:type="pct"/>
          </w:tcPr>
          <w:p w14:paraId="485D01C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Burimet njerëzore</w:t>
            </w:r>
          </w:p>
        </w:tc>
        <w:tc>
          <w:tcPr>
            <w:tcW w:w="593" w:type="pct"/>
          </w:tcPr>
          <w:p w14:paraId="331A836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Stafi i trajnuar në përputhje me rolin e tyre.</w:t>
            </w:r>
          </w:p>
        </w:tc>
        <w:tc>
          <w:tcPr>
            <w:tcW w:w="564" w:type="pct"/>
          </w:tcPr>
          <w:p w14:paraId="1B305BF7"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Rritje e kompetencave të stafit.</w:t>
            </w:r>
          </w:p>
        </w:tc>
        <w:tc>
          <w:tcPr>
            <w:tcW w:w="742" w:type="pct"/>
          </w:tcPr>
          <w:p w14:paraId="2944E022" w14:textId="228DCFB4"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Informacion për trajnimin orientues për rekrutët e rinj, zhvillimin e vazhdueshëm profesional për të gjithë stafin, si dhe hartimi i </w:t>
            </w:r>
            <w:r w:rsidR="003B73F2" w:rsidRPr="002D0AF3">
              <w:rPr>
                <w:rFonts w:ascii="Garamond" w:hAnsi="Garamond" w:cs="Times New Roman"/>
                <w:sz w:val="12"/>
                <w:szCs w:val="12"/>
              </w:rPr>
              <w:t>një</w:t>
            </w:r>
            <w:r w:rsidRPr="002D0AF3">
              <w:rPr>
                <w:rFonts w:ascii="Garamond" w:hAnsi="Garamond" w:cs="Times New Roman"/>
                <w:sz w:val="12"/>
                <w:szCs w:val="12"/>
              </w:rPr>
              <w:t xml:space="preserve"> plani shumëvjeçar trajnimi për stafin në përputhje me rolin që ka.</w:t>
            </w:r>
          </w:p>
          <w:p w14:paraId="5257442E" w14:textId="77777777" w:rsidR="004F1C60" w:rsidRPr="002D0AF3" w:rsidRDefault="004F1C60" w:rsidP="00B87B10">
            <w:pPr>
              <w:rPr>
                <w:rFonts w:ascii="Garamond" w:hAnsi="Garamond" w:cs="Times New Roman"/>
                <w:sz w:val="12"/>
                <w:szCs w:val="12"/>
              </w:rPr>
            </w:pPr>
          </w:p>
        </w:tc>
        <w:tc>
          <w:tcPr>
            <w:tcW w:w="266" w:type="pct"/>
          </w:tcPr>
          <w:p w14:paraId="78DF6BA7"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1, 2</w:t>
            </w:r>
          </w:p>
        </w:tc>
        <w:tc>
          <w:tcPr>
            <w:tcW w:w="296" w:type="pct"/>
          </w:tcPr>
          <w:p w14:paraId="2E31E8CB"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4BBC88C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1AD88D72"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0</w:t>
            </w:r>
          </w:p>
          <w:p w14:paraId="00B6FCA6" w14:textId="77777777" w:rsidR="004F1C60" w:rsidRPr="002D0AF3" w:rsidRDefault="004F1C60" w:rsidP="00B87B10">
            <w:pPr>
              <w:pStyle w:val="TableParagraph"/>
              <w:rPr>
                <w:rFonts w:ascii="Garamond" w:eastAsiaTheme="minorHAnsi" w:hAnsi="Garamond" w:cs="Times New Roman"/>
                <w:sz w:val="12"/>
                <w:szCs w:val="12"/>
              </w:rPr>
            </w:pPr>
          </w:p>
          <w:p w14:paraId="0707228E" w14:textId="77777777" w:rsidR="004F1C60" w:rsidRPr="002D0AF3" w:rsidRDefault="004F1C60" w:rsidP="00B87B10">
            <w:pPr>
              <w:rPr>
                <w:rFonts w:ascii="Garamond" w:hAnsi="Garamond" w:cs="Times New Roman"/>
                <w:sz w:val="12"/>
                <w:szCs w:val="12"/>
              </w:rPr>
            </w:pPr>
          </w:p>
        </w:tc>
        <w:tc>
          <w:tcPr>
            <w:tcW w:w="386" w:type="pct"/>
          </w:tcPr>
          <w:p w14:paraId="37C5688C"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504" w:type="pct"/>
          </w:tcPr>
          <w:p w14:paraId="2B48825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416" w:type="pct"/>
          </w:tcPr>
          <w:p w14:paraId="17BDEE1F" w14:textId="77777777" w:rsidR="004F1C60" w:rsidRPr="002D0AF3" w:rsidRDefault="004F1C60" w:rsidP="00B87B10">
            <w:pPr>
              <w:rPr>
                <w:rFonts w:ascii="Garamond" w:hAnsi="Garamond" w:cs="Times New Roman"/>
                <w:sz w:val="12"/>
                <w:szCs w:val="12"/>
              </w:rPr>
            </w:pPr>
          </w:p>
        </w:tc>
      </w:tr>
      <w:tr w:rsidR="00BC5407" w:rsidRPr="002D0AF3" w14:paraId="052B1370" w14:textId="77777777" w:rsidTr="00BC5407">
        <w:trPr>
          <w:trHeight w:val="20"/>
          <w:jc w:val="center"/>
        </w:trPr>
        <w:tc>
          <w:tcPr>
            <w:tcW w:w="177" w:type="pct"/>
          </w:tcPr>
          <w:p w14:paraId="7621CEE0"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t>4a</w:t>
            </w:r>
          </w:p>
        </w:tc>
        <w:tc>
          <w:tcPr>
            <w:tcW w:w="398" w:type="pct"/>
          </w:tcPr>
          <w:p w14:paraId="0A0A63A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Burimet (pajisjet etj.)</w:t>
            </w:r>
          </w:p>
        </w:tc>
        <w:tc>
          <w:tcPr>
            <w:tcW w:w="593" w:type="pct"/>
          </w:tcPr>
          <w:p w14:paraId="4B9EF13D"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Laboratori ISUV</w:t>
            </w:r>
          </w:p>
          <w:p w14:paraId="2B9981A2" w14:textId="77777777" w:rsidR="004F1C60" w:rsidRPr="002D0AF3" w:rsidRDefault="004F1C60" w:rsidP="00B87B10">
            <w:pPr>
              <w:pStyle w:val="TableParagraph"/>
              <w:rPr>
                <w:rFonts w:ascii="Garamond" w:hAnsi="Garamond" w:cs="Times New Roman"/>
                <w:sz w:val="12"/>
                <w:szCs w:val="12"/>
              </w:rPr>
            </w:pPr>
            <w:r w:rsidRPr="002D0AF3">
              <w:rPr>
                <w:rFonts w:ascii="Garamond" w:eastAsiaTheme="minorHAnsi" w:hAnsi="Garamond" w:cs="Times New Roman"/>
                <w:sz w:val="12"/>
                <w:szCs w:val="12"/>
              </w:rPr>
              <w:t xml:space="preserve">Linja buxhetore adekuate e alokuar çdo vit për të mundësuar që laboratorët të funksionojnë në mënyrë efektive, të ruajnë dhe zgjerojnë numrin e metodave të akreditua ra dhe të ofrojnë shërbime që </w:t>
            </w:r>
            <w:r w:rsidRPr="002D0AF3">
              <w:rPr>
                <w:rFonts w:ascii="Garamond" w:hAnsi="Garamond" w:cs="Times New Roman"/>
                <w:sz w:val="12"/>
                <w:szCs w:val="12"/>
              </w:rPr>
              <w:t>mbështesin në mënyrë adekuate kontrollet zyrtare.</w:t>
            </w:r>
          </w:p>
          <w:p w14:paraId="3B0F00D7" w14:textId="77777777" w:rsidR="004F1C60" w:rsidRPr="002D0AF3" w:rsidRDefault="004F1C60" w:rsidP="00B87B10">
            <w:pPr>
              <w:pStyle w:val="TableParagraph"/>
              <w:rPr>
                <w:rFonts w:ascii="Garamond" w:hAnsi="Garamond" w:cs="Times New Roman"/>
                <w:sz w:val="12"/>
                <w:szCs w:val="12"/>
              </w:rPr>
            </w:pPr>
          </w:p>
        </w:tc>
        <w:tc>
          <w:tcPr>
            <w:tcW w:w="564" w:type="pct"/>
          </w:tcPr>
          <w:p w14:paraId="499FFB8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Shërbimi laboratorik zyrtar i financuar në mënyrë adekuate.</w:t>
            </w:r>
          </w:p>
        </w:tc>
        <w:tc>
          <w:tcPr>
            <w:tcW w:w="742" w:type="pct"/>
          </w:tcPr>
          <w:p w14:paraId="1981C94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Të dhëna për kontrollet zyrtare që tregojnë përmbushjen e </w:t>
            </w:r>
          </w:p>
          <w:p w14:paraId="2312A093" w14:textId="2374B4DA"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Programeve vjetore të mostrave në </w:t>
            </w:r>
            <w:r w:rsidR="003B73F2" w:rsidRPr="002D0AF3">
              <w:rPr>
                <w:rFonts w:ascii="Garamond" w:hAnsi="Garamond" w:cs="Times New Roman"/>
                <w:sz w:val="12"/>
                <w:szCs w:val="12"/>
              </w:rPr>
              <w:t>kuadër</w:t>
            </w:r>
            <w:r w:rsidRPr="002D0AF3">
              <w:rPr>
                <w:rFonts w:ascii="Garamond" w:hAnsi="Garamond" w:cs="Times New Roman"/>
                <w:sz w:val="12"/>
                <w:szCs w:val="12"/>
              </w:rPr>
              <w:t xml:space="preserve"> të kontrollit zyrtar, të programeve</w:t>
            </w:r>
            <w:r w:rsidR="003E60DD" w:rsidRPr="002D0AF3">
              <w:rPr>
                <w:rFonts w:ascii="Garamond" w:hAnsi="Garamond" w:cs="Times New Roman"/>
                <w:sz w:val="12"/>
                <w:szCs w:val="12"/>
              </w:rPr>
              <w:t xml:space="preserve"> </w:t>
            </w:r>
            <w:r w:rsidRPr="002D0AF3">
              <w:rPr>
                <w:rFonts w:ascii="Garamond" w:hAnsi="Garamond" w:cs="Times New Roman"/>
                <w:sz w:val="12"/>
                <w:szCs w:val="12"/>
              </w:rPr>
              <w:t>të mbikëqyrjes</w:t>
            </w:r>
            <w:r w:rsidR="003E60DD" w:rsidRPr="002D0AF3">
              <w:rPr>
                <w:rFonts w:ascii="Garamond" w:hAnsi="Garamond" w:cs="Times New Roman"/>
                <w:sz w:val="12"/>
                <w:szCs w:val="12"/>
              </w:rPr>
              <w:t xml:space="preserve"> </w:t>
            </w:r>
            <w:r w:rsidRPr="002D0AF3">
              <w:rPr>
                <w:rFonts w:ascii="Garamond" w:hAnsi="Garamond" w:cs="Times New Roman"/>
                <w:sz w:val="12"/>
                <w:szCs w:val="12"/>
              </w:rPr>
              <w:t>(survejancës) dhe të programeve të monitorimit të</w:t>
            </w:r>
            <w:r w:rsidR="003E60DD" w:rsidRPr="002D0AF3">
              <w:rPr>
                <w:rFonts w:ascii="Garamond" w:hAnsi="Garamond" w:cs="Times New Roman"/>
                <w:sz w:val="12"/>
                <w:szCs w:val="12"/>
              </w:rPr>
              <w:t xml:space="preserve"> </w:t>
            </w:r>
            <w:r w:rsidRPr="002D0AF3">
              <w:rPr>
                <w:rFonts w:ascii="Garamond" w:hAnsi="Garamond" w:cs="Times New Roman"/>
                <w:sz w:val="12"/>
                <w:szCs w:val="12"/>
              </w:rPr>
              <w:t>shëndetit të bimëve.</w:t>
            </w:r>
          </w:p>
          <w:p w14:paraId="1CA6F8B4" w14:textId="77777777" w:rsidR="004F1C60" w:rsidRPr="002D0AF3" w:rsidRDefault="004F1C60" w:rsidP="00B87B10">
            <w:pPr>
              <w:rPr>
                <w:rFonts w:ascii="Garamond" w:hAnsi="Garamond" w:cs="Times New Roman"/>
                <w:sz w:val="12"/>
                <w:szCs w:val="12"/>
              </w:rPr>
            </w:pPr>
          </w:p>
          <w:p w14:paraId="4C9FC7F0" w14:textId="77777777" w:rsidR="004F1C60" w:rsidRPr="002D0AF3" w:rsidRDefault="004F1C60" w:rsidP="00B87B10">
            <w:pPr>
              <w:rPr>
                <w:rFonts w:ascii="Garamond" w:hAnsi="Garamond" w:cs="Times New Roman"/>
                <w:sz w:val="12"/>
                <w:szCs w:val="12"/>
              </w:rPr>
            </w:pPr>
          </w:p>
        </w:tc>
        <w:tc>
          <w:tcPr>
            <w:tcW w:w="266" w:type="pct"/>
          </w:tcPr>
          <w:p w14:paraId="28C6250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1, 2</w:t>
            </w:r>
          </w:p>
        </w:tc>
        <w:tc>
          <w:tcPr>
            <w:tcW w:w="296" w:type="pct"/>
          </w:tcPr>
          <w:p w14:paraId="5486FAB2"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2023</w:t>
            </w:r>
          </w:p>
        </w:tc>
        <w:tc>
          <w:tcPr>
            <w:tcW w:w="326" w:type="pct"/>
          </w:tcPr>
          <w:p w14:paraId="594C5C40"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617BD81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799.5 mln</w:t>
            </w:r>
          </w:p>
        </w:tc>
        <w:tc>
          <w:tcPr>
            <w:tcW w:w="386" w:type="pct"/>
          </w:tcPr>
          <w:p w14:paraId="671CF5B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112 mln 2023</w:t>
            </w:r>
          </w:p>
          <w:p w14:paraId="5D0A6842" w14:textId="77777777" w:rsidR="004F1C60" w:rsidRPr="002D0AF3" w:rsidRDefault="004F1C60" w:rsidP="00B87B10">
            <w:pPr>
              <w:rPr>
                <w:rFonts w:ascii="Garamond" w:hAnsi="Garamond" w:cs="Times New Roman"/>
                <w:sz w:val="12"/>
                <w:szCs w:val="12"/>
              </w:rPr>
            </w:pPr>
          </w:p>
          <w:p w14:paraId="734E8776" w14:textId="77777777" w:rsidR="004F1C60" w:rsidRPr="002D0AF3" w:rsidRDefault="004F1C60" w:rsidP="00B87B10">
            <w:pPr>
              <w:rPr>
                <w:rFonts w:ascii="Garamond" w:hAnsi="Garamond" w:cs="Times New Roman"/>
                <w:sz w:val="12"/>
                <w:szCs w:val="12"/>
                <w:highlight w:val="yellow"/>
              </w:rPr>
            </w:pPr>
            <w:r w:rsidRPr="002D0AF3">
              <w:rPr>
                <w:rFonts w:ascii="Garamond" w:hAnsi="Garamond" w:cs="Times New Roman"/>
                <w:sz w:val="12"/>
                <w:szCs w:val="12"/>
              </w:rPr>
              <w:t>100 mln për çdo vit në vijim</w:t>
            </w:r>
          </w:p>
        </w:tc>
        <w:tc>
          <w:tcPr>
            <w:tcW w:w="504" w:type="pct"/>
          </w:tcPr>
          <w:p w14:paraId="26AFB1C1"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Projekti i Bankës Botërore: Bujqësia e qëndrueshme ndaj klimës në Shqipëri</w:t>
            </w:r>
          </w:p>
          <w:p w14:paraId="3D430491" w14:textId="77777777" w:rsidR="004F1C60" w:rsidRPr="002D0AF3" w:rsidRDefault="004F1C60" w:rsidP="00B87B10">
            <w:pPr>
              <w:pStyle w:val="TableParagraph"/>
              <w:rPr>
                <w:rFonts w:ascii="Garamond" w:hAnsi="Garamond" w:cs="Times New Roman"/>
                <w:sz w:val="12"/>
                <w:szCs w:val="12"/>
              </w:rPr>
            </w:pPr>
          </w:p>
          <w:p w14:paraId="4F130524" w14:textId="77777777" w:rsidR="004F1C60" w:rsidRPr="002D0AF3" w:rsidRDefault="004F1C60" w:rsidP="00B87B10">
            <w:pPr>
              <w:pStyle w:val="TableParagraph"/>
              <w:rPr>
                <w:rFonts w:ascii="Garamond" w:hAnsi="Garamond" w:cs="Times New Roman"/>
                <w:sz w:val="12"/>
                <w:szCs w:val="12"/>
                <w:highlight w:val="red"/>
              </w:rPr>
            </w:pPr>
            <w:r w:rsidRPr="002D0AF3">
              <w:rPr>
                <w:rFonts w:ascii="Garamond" w:hAnsi="Garamond" w:cs="Times New Roman"/>
                <w:sz w:val="12"/>
                <w:szCs w:val="12"/>
              </w:rPr>
              <w:t>287.5 mln</w:t>
            </w:r>
          </w:p>
        </w:tc>
        <w:tc>
          <w:tcPr>
            <w:tcW w:w="416" w:type="pct"/>
          </w:tcPr>
          <w:p w14:paraId="27B92772" w14:textId="77777777" w:rsidR="004F1C60" w:rsidRPr="002D0AF3" w:rsidRDefault="004F1C60" w:rsidP="00B87B10">
            <w:pPr>
              <w:pStyle w:val="TableParagraph"/>
              <w:rPr>
                <w:rFonts w:ascii="Garamond" w:eastAsiaTheme="minorHAnsi" w:hAnsi="Garamond" w:cs="Times New Roman"/>
                <w:sz w:val="12"/>
                <w:szCs w:val="12"/>
              </w:rPr>
            </w:pPr>
          </w:p>
        </w:tc>
      </w:tr>
      <w:tr w:rsidR="00BC5407" w:rsidRPr="002D0AF3" w14:paraId="3BB38EE6" w14:textId="77777777" w:rsidTr="00BC5407">
        <w:trPr>
          <w:trHeight w:val="20"/>
          <w:jc w:val="center"/>
        </w:trPr>
        <w:tc>
          <w:tcPr>
            <w:tcW w:w="177" w:type="pct"/>
          </w:tcPr>
          <w:p w14:paraId="60956D0D"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t>4b</w:t>
            </w:r>
          </w:p>
        </w:tc>
        <w:tc>
          <w:tcPr>
            <w:tcW w:w="398" w:type="pct"/>
          </w:tcPr>
          <w:p w14:paraId="5F8582D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Burimet (pajisjet etj.)</w:t>
            </w:r>
          </w:p>
        </w:tc>
        <w:tc>
          <w:tcPr>
            <w:tcW w:w="593" w:type="pct"/>
          </w:tcPr>
          <w:p w14:paraId="1FFA046C"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Shërbimet AKVMB</w:t>
            </w:r>
          </w:p>
          <w:p w14:paraId="5588562F" w14:textId="4FC12B9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Linja buxhetore adekuate e alokuar çdo vit për t</w:t>
            </w:r>
            <w:r w:rsidR="002D0AF3">
              <w:rPr>
                <w:rFonts w:ascii="Garamond" w:hAnsi="Garamond" w:cs="Times New Roman"/>
                <w:sz w:val="12"/>
                <w:szCs w:val="12"/>
              </w:rPr>
              <w:t>’</w:t>
            </w:r>
            <w:r w:rsidRPr="002D0AF3">
              <w:rPr>
                <w:rFonts w:ascii="Garamond" w:hAnsi="Garamond" w:cs="Times New Roman"/>
                <w:sz w:val="12"/>
                <w:szCs w:val="12"/>
              </w:rPr>
              <w:t>u mundësuar inspektorëve të veterinarisë dhe shëndetit të bimëve që të kryejnë kontrolle zyrtare në mënyrë efektive, veçanërisht në lidhje me veshjet mbrojtëse, transportin dhe pajisje</w:t>
            </w:r>
            <w:r w:rsidR="003E60DD" w:rsidRPr="002D0AF3">
              <w:rPr>
                <w:rFonts w:ascii="Garamond" w:hAnsi="Garamond" w:cs="Times New Roman"/>
                <w:sz w:val="12"/>
                <w:szCs w:val="12"/>
              </w:rPr>
              <w:t xml:space="preserve"> </w:t>
            </w:r>
            <w:r w:rsidRPr="002D0AF3">
              <w:rPr>
                <w:rFonts w:ascii="Garamond" w:hAnsi="Garamond" w:cs="Times New Roman"/>
                <w:sz w:val="12"/>
                <w:szCs w:val="12"/>
              </w:rPr>
              <w:t>për marrje mostre.</w:t>
            </w:r>
          </w:p>
        </w:tc>
        <w:tc>
          <w:tcPr>
            <w:tcW w:w="564" w:type="pct"/>
          </w:tcPr>
          <w:p w14:paraId="6A5F36B1" w14:textId="23BEB5E6"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Shërbimi i veterinarisë dhe i shëndetit të bimëve të jetë i pajisur mjaftueshëm për të kryer kontrolle zyrtare (p.sh. veshje mbrojtëse dhe transport të përshtatshme)</w:t>
            </w:r>
            <w:r w:rsidR="003B73F2">
              <w:rPr>
                <w:rFonts w:ascii="Garamond" w:hAnsi="Garamond" w:cs="Times New Roman"/>
                <w:sz w:val="12"/>
                <w:szCs w:val="12"/>
              </w:rPr>
              <w:t>,</w:t>
            </w:r>
            <w:r w:rsidRPr="002D0AF3">
              <w:rPr>
                <w:rFonts w:ascii="Garamond" w:hAnsi="Garamond" w:cs="Times New Roman"/>
                <w:sz w:val="12"/>
                <w:szCs w:val="12"/>
              </w:rPr>
              <w:t xml:space="preserve"> si dhe pajisje për marrje mostre.</w:t>
            </w:r>
          </w:p>
        </w:tc>
        <w:tc>
          <w:tcPr>
            <w:tcW w:w="742" w:type="pct"/>
          </w:tcPr>
          <w:p w14:paraId="61C21A89" w14:textId="6654FACA"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 xml:space="preserve">Të dhënat zyrtare të kontrollit që tregojnë kryerjen e kontrolleve te fermat dhe stabilimentet nga inspektorët e bimëve dhe të veterinaries. </w:t>
            </w:r>
          </w:p>
          <w:p w14:paraId="6E80EBBC" w14:textId="65260719"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Të dhëna mbi pajisjet (p.sh.</w:t>
            </w:r>
            <w:r w:rsidR="003B73F2">
              <w:rPr>
                <w:rFonts w:ascii="Garamond" w:hAnsi="Garamond" w:cs="Times New Roman"/>
                <w:sz w:val="12"/>
                <w:szCs w:val="12"/>
              </w:rPr>
              <w:t>,</w:t>
            </w:r>
            <w:r w:rsidRPr="002D0AF3">
              <w:rPr>
                <w:rFonts w:ascii="Garamond" w:hAnsi="Garamond" w:cs="Times New Roman"/>
                <w:sz w:val="12"/>
                <w:szCs w:val="12"/>
              </w:rPr>
              <w:t xml:space="preserve"> veshje mbrojtëse) të alokuara për inspektorët.</w:t>
            </w:r>
          </w:p>
        </w:tc>
        <w:tc>
          <w:tcPr>
            <w:tcW w:w="266" w:type="pct"/>
          </w:tcPr>
          <w:p w14:paraId="62E06FB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1, 2</w:t>
            </w:r>
          </w:p>
        </w:tc>
        <w:tc>
          <w:tcPr>
            <w:tcW w:w="296" w:type="pct"/>
          </w:tcPr>
          <w:p w14:paraId="572A0F27"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03941EF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6473B9D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329.7 mln </w:t>
            </w:r>
          </w:p>
          <w:p w14:paraId="46AE944D" w14:textId="77777777" w:rsidR="004F1C60" w:rsidRPr="002D0AF3" w:rsidRDefault="004F1C60" w:rsidP="00B87B10">
            <w:pPr>
              <w:rPr>
                <w:rFonts w:ascii="Garamond" w:hAnsi="Garamond" w:cs="Times New Roman"/>
                <w:sz w:val="12"/>
                <w:szCs w:val="12"/>
              </w:rPr>
            </w:pPr>
          </w:p>
          <w:p w14:paraId="327C2437" w14:textId="77777777" w:rsidR="004F1C60" w:rsidRPr="002D0AF3" w:rsidRDefault="004F1C60" w:rsidP="00B87B10">
            <w:pPr>
              <w:rPr>
                <w:rFonts w:ascii="Garamond" w:hAnsi="Garamond" w:cs="Times New Roman"/>
                <w:sz w:val="12"/>
                <w:szCs w:val="12"/>
              </w:rPr>
            </w:pPr>
          </w:p>
        </w:tc>
        <w:tc>
          <w:tcPr>
            <w:tcW w:w="386" w:type="pct"/>
          </w:tcPr>
          <w:p w14:paraId="5F862E7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20.5 mln 2023 </w:t>
            </w:r>
          </w:p>
          <w:p w14:paraId="39B0846F" w14:textId="77777777" w:rsidR="004F1C60" w:rsidRPr="002D0AF3" w:rsidRDefault="004F1C60" w:rsidP="00B87B10">
            <w:pPr>
              <w:rPr>
                <w:rFonts w:ascii="Garamond" w:hAnsi="Garamond" w:cs="Times New Roman"/>
                <w:sz w:val="12"/>
                <w:szCs w:val="12"/>
              </w:rPr>
            </w:pPr>
          </w:p>
          <w:p w14:paraId="43D578E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50 mln për çdo vit në vijim</w:t>
            </w:r>
          </w:p>
        </w:tc>
        <w:tc>
          <w:tcPr>
            <w:tcW w:w="504" w:type="pct"/>
          </w:tcPr>
          <w:p w14:paraId="6F8D1DCC"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Projekti i Bankës Botërore: Bujqësia e qëndrueshme ndaj klimës në Shqipëri.</w:t>
            </w:r>
          </w:p>
          <w:p w14:paraId="13BD0510" w14:textId="77777777" w:rsidR="004F1C60" w:rsidRPr="002D0AF3" w:rsidRDefault="004F1C60" w:rsidP="00B87B10">
            <w:pPr>
              <w:rPr>
                <w:rFonts w:ascii="Garamond" w:hAnsi="Garamond" w:cs="Times New Roman"/>
                <w:sz w:val="12"/>
                <w:szCs w:val="12"/>
              </w:rPr>
            </w:pPr>
          </w:p>
          <w:p w14:paraId="5577E44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109.2 mln </w:t>
            </w:r>
          </w:p>
          <w:p w14:paraId="737DF4E6" w14:textId="77777777" w:rsidR="004F1C60" w:rsidRPr="002D0AF3" w:rsidRDefault="004F1C60" w:rsidP="00B87B10">
            <w:pPr>
              <w:rPr>
                <w:rFonts w:ascii="Garamond" w:hAnsi="Garamond" w:cs="Times New Roman"/>
                <w:sz w:val="12"/>
                <w:szCs w:val="12"/>
              </w:rPr>
            </w:pPr>
          </w:p>
        </w:tc>
        <w:tc>
          <w:tcPr>
            <w:tcW w:w="416" w:type="pct"/>
          </w:tcPr>
          <w:p w14:paraId="42290BB9" w14:textId="77777777" w:rsidR="004F1C60" w:rsidRPr="002D0AF3" w:rsidRDefault="004F1C60" w:rsidP="00B87B10">
            <w:pPr>
              <w:rPr>
                <w:rFonts w:ascii="Garamond" w:hAnsi="Garamond" w:cs="Times New Roman"/>
                <w:sz w:val="12"/>
                <w:szCs w:val="12"/>
              </w:rPr>
            </w:pPr>
          </w:p>
        </w:tc>
      </w:tr>
      <w:tr w:rsidR="00BC5407" w:rsidRPr="002D0AF3" w14:paraId="3BFE0807" w14:textId="77777777" w:rsidTr="00BC5407">
        <w:trPr>
          <w:trHeight w:val="20"/>
          <w:jc w:val="center"/>
        </w:trPr>
        <w:tc>
          <w:tcPr>
            <w:tcW w:w="177" w:type="pct"/>
          </w:tcPr>
          <w:p w14:paraId="727DED76"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t>4c</w:t>
            </w:r>
          </w:p>
        </w:tc>
        <w:tc>
          <w:tcPr>
            <w:tcW w:w="398" w:type="pct"/>
          </w:tcPr>
          <w:p w14:paraId="640BB4E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Burimet (pajisjet etj.)</w:t>
            </w:r>
          </w:p>
        </w:tc>
        <w:tc>
          <w:tcPr>
            <w:tcW w:w="593" w:type="pct"/>
          </w:tcPr>
          <w:p w14:paraId="30274D6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Shërbimet AKU</w:t>
            </w:r>
          </w:p>
          <w:p w14:paraId="6ED0E8D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Linja buxhetore adekuate e alokuar çdo vit për t’u mundësuar laboratorëve të AKU-së dhe inspektorëve zyrtarë marrjen e mostrave dhe kryerjen e kontrolleve zyrtare në mënyrë efikase. Veçanërisht lidhur me pajisjet (frigoriferët, pajisjet për marrjen e mostrave) në pikat e inspektimit kufitar.</w:t>
            </w:r>
          </w:p>
          <w:p w14:paraId="5F8269EF" w14:textId="77777777" w:rsidR="004F1C60" w:rsidRPr="002D0AF3" w:rsidRDefault="004F1C60" w:rsidP="00B87B10">
            <w:pPr>
              <w:rPr>
                <w:rFonts w:ascii="Garamond" w:hAnsi="Garamond" w:cs="Times New Roman"/>
                <w:sz w:val="12"/>
                <w:szCs w:val="12"/>
              </w:rPr>
            </w:pPr>
          </w:p>
        </w:tc>
        <w:tc>
          <w:tcPr>
            <w:tcW w:w="564" w:type="pct"/>
          </w:tcPr>
          <w:p w14:paraId="2926D536" w14:textId="579FAD0D"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Shërbimi AKU ka </w:t>
            </w:r>
            <w:r w:rsidR="003B73F2" w:rsidRPr="002D0AF3">
              <w:rPr>
                <w:rFonts w:ascii="Garamond" w:hAnsi="Garamond" w:cs="Times New Roman"/>
                <w:sz w:val="12"/>
                <w:szCs w:val="12"/>
              </w:rPr>
              <w:t>pajisjet</w:t>
            </w:r>
            <w:r w:rsidRPr="002D0AF3">
              <w:rPr>
                <w:rFonts w:ascii="Garamond" w:hAnsi="Garamond" w:cs="Times New Roman"/>
                <w:sz w:val="12"/>
                <w:szCs w:val="12"/>
              </w:rPr>
              <w:t xml:space="preserve"> e mjaftueshme</w:t>
            </w:r>
            <w:r w:rsidR="003E60DD" w:rsidRPr="002D0AF3">
              <w:rPr>
                <w:rFonts w:ascii="Garamond" w:hAnsi="Garamond" w:cs="Times New Roman"/>
                <w:sz w:val="12"/>
                <w:szCs w:val="12"/>
              </w:rPr>
              <w:t xml:space="preserve"> </w:t>
            </w:r>
            <w:r w:rsidRPr="002D0AF3">
              <w:rPr>
                <w:rFonts w:ascii="Garamond" w:hAnsi="Garamond" w:cs="Times New Roman"/>
                <w:sz w:val="12"/>
                <w:szCs w:val="12"/>
              </w:rPr>
              <w:t>për kontrolle zyrtare dhe për marrjen e mostrave (p.sh. pajisje për marrjen e</w:t>
            </w:r>
            <w:r w:rsidR="003E60DD" w:rsidRPr="002D0AF3">
              <w:rPr>
                <w:rFonts w:ascii="Garamond" w:hAnsi="Garamond" w:cs="Times New Roman"/>
                <w:sz w:val="12"/>
                <w:szCs w:val="12"/>
              </w:rPr>
              <w:t xml:space="preserve"> </w:t>
            </w:r>
            <w:r w:rsidRPr="002D0AF3">
              <w:rPr>
                <w:rFonts w:ascii="Garamond" w:hAnsi="Garamond" w:cs="Times New Roman"/>
                <w:sz w:val="12"/>
                <w:szCs w:val="12"/>
              </w:rPr>
              <w:t>mostrave dhe frigoriferë në pikat e inspektimit kufitar).</w:t>
            </w:r>
          </w:p>
        </w:tc>
        <w:tc>
          <w:tcPr>
            <w:tcW w:w="742" w:type="pct"/>
          </w:tcPr>
          <w:p w14:paraId="51CE34DC"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Të dhënat zyrtare të kontrollit që tregojnë përmbushjen e programeve vjetore të kampionimit dhe mbikëqyrjes së kontrollit zyrtar.</w:t>
            </w:r>
          </w:p>
          <w:p w14:paraId="6ECEB74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Të dhëna mbi pajisjet që suportojnë kontrollin zyrtar dhe marrjen e mostrave.</w:t>
            </w:r>
          </w:p>
        </w:tc>
        <w:tc>
          <w:tcPr>
            <w:tcW w:w="266" w:type="pct"/>
          </w:tcPr>
          <w:p w14:paraId="0B5948E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1, 2</w:t>
            </w:r>
          </w:p>
        </w:tc>
        <w:tc>
          <w:tcPr>
            <w:tcW w:w="296" w:type="pct"/>
          </w:tcPr>
          <w:p w14:paraId="7B4F7FF0"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 xml:space="preserve">TM1 2023 </w:t>
            </w:r>
          </w:p>
        </w:tc>
        <w:tc>
          <w:tcPr>
            <w:tcW w:w="326" w:type="pct"/>
          </w:tcPr>
          <w:p w14:paraId="33EC243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0535CF36"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462 mln</w:t>
            </w:r>
          </w:p>
        </w:tc>
        <w:tc>
          <w:tcPr>
            <w:tcW w:w="386" w:type="pct"/>
          </w:tcPr>
          <w:p w14:paraId="7C5B08C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101 mln 2023 </w:t>
            </w:r>
          </w:p>
          <w:p w14:paraId="4B6DBDE6" w14:textId="77777777" w:rsidR="004F1C60" w:rsidRPr="002D0AF3" w:rsidRDefault="004F1C60" w:rsidP="00B87B10">
            <w:pPr>
              <w:rPr>
                <w:rFonts w:ascii="Garamond" w:hAnsi="Garamond" w:cs="Times New Roman"/>
                <w:sz w:val="12"/>
                <w:szCs w:val="12"/>
              </w:rPr>
            </w:pPr>
          </w:p>
          <w:p w14:paraId="4C1AEC28"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50 mln për çdo vit në vijim</w:t>
            </w:r>
          </w:p>
        </w:tc>
        <w:tc>
          <w:tcPr>
            <w:tcW w:w="504" w:type="pct"/>
          </w:tcPr>
          <w:p w14:paraId="3FE29EE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Projekti i Bankës Botërore: Bujqësia e qëndrueshme ndaj klimës në Shqipëri.</w:t>
            </w:r>
          </w:p>
          <w:p w14:paraId="73F81FF2" w14:textId="77777777" w:rsidR="004F1C60" w:rsidRPr="002D0AF3" w:rsidRDefault="004F1C60" w:rsidP="00B87B10">
            <w:pPr>
              <w:rPr>
                <w:rFonts w:ascii="Garamond" w:hAnsi="Garamond" w:cs="Times New Roman"/>
                <w:sz w:val="12"/>
                <w:szCs w:val="12"/>
              </w:rPr>
            </w:pPr>
          </w:p>
          <w:p w14:paraId="10EE810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161 mln </w:t>
            </w:r>
          </w:p>
        </w:tc>
        <w:tc>
          <w:tcPr>
            <w:tcW w:w="416" w:type="pct"/>
          </w:tcPr>
          <w:p w14:paraId="28D98633" w14:textId="77777777" w:rsidR="004F1C60" w:rsidRPr="002D0AF3" w:rsidRDefault="004F1C60" w:rsidP="00B87B10">
            <w:pPr>
              <w:rPr>
                <w:rFonts w:ascii="Garamond" w:hAnsi="Garamond" w:cs="Times New Roman"/>
                <w:sz w:val="12"/>
                <w:szCs w:val="12"/>
              </w:rPr>
            </w:pPr>
          </w:p>
        </w:tc>
      </w:tr>
      <w:tr w:rsidR="00BC5407" w:rsidRPr="002D0AF3" w14:paraId="11489D80" w14:textId="77777777" w:rsidTr="00BC5407">
        <w:trPr>
          <w:trHeight w:val="20"/>
          <w:jc w:val="center"/>
        </w:trPr>
        <w:tc>
          <w:tcPr>
            <w:tcW w:w="177" w:type="pct"/>
          </w:tcPr>
          <w:p w14:paraId="1B86C28C"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t>4d</w:t>
            </w:r>
          </w:p>
        </w:tc>
        <w:tc>
          <w:tcPr>
            <w:tcW w:w="398" w:type="pct"/>
          </w:tcPr>
          <w:p w14:paraId="1BE22BB6"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Burimet (pajisjet etj.).</w:t>
            </w:r>
          </w:p>
        </w:tc>
        <w:tc>
          <w:tcPr>
            <w:tcW w:w="593" w:type="pct"/>
          </w:tcPr>
          <w:p w14:paraId="4EB39718"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Shërbimet ESHFF</w:t>
            </w:r>
          </w:p>
          <w:p w14:paraId="5AB8537A" w14:textId="62D50CF6"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Linja buxhetore adekuate e alokuar çdo vit për t</w:t>
            </w:r>
            <w:r w:rsidR="002D0AF3">
              <w:rPr>
                <w:rFonts w:ascii="Garamond" w:hAnsi="Garamond" w:cs="Times New Roman"/>
                <w:sz w:val="12"/>
                <w:szCs w:val="12"/>
              </w:rPr>
              <w:t>’</w:t>
            </w:r>
            <w:r w:rsidRPr="002D0AF3">
              <w:rPr>
                <w:rFonts w:ascii="Garamond" w:hAnsi="Garamond" w:cs="Times New Roman"/>
                <w:sz w:val="12"/>
                <w:szCs w:val="12"/>
              </w:rPr>
              <w:t>i mundësuar stafit të ESHFF-së të kryejë marrjen e mostrave dhe kontrollet zyrtare në mënyrë efektive.</w:t>
            </w:r>
          </w:p>
          <w:p w14:paraId="6C674E67" w14:textId="77777777" w:rsidR="004F1C60" w:rsidRPr="002D0AF3" w:rsidRDefault="004F1C60" w:rsidP="00B87B10">
            <w:pPr>
              <w:rPr>
                <w:rFonts w:ascii="Garamond" w:hAnsi="Garamond" w:cs="Times New Roman"/>
                <w:sz w:val="12"/>
                <w:szCs w:val="12"/>
              </w:rPr>
            </w:pPr>
          </w:p>
        </w:tc>
        <w:tc>
          <w:tcPr>
            <w:tcW w:w="564" w:type="pct"/>
          </w:tcPr>
          <w:p w14:paraId="5237B28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Shërbimi ESHFF të jetë i pajisur mjaftueshëm për të kryer marrjen e mostrave dhe kontrollet zyrtare.</w:t>
            </w:r>
          </w:p>
        </w:tc>
        <w:tc>
          <w:tcPr>
            <w:tcW w:w="742" w:type="pct"/>
          </w:tcPr>
          <w:p w14:paraId="3DC8376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Të dhëna për kontrollet zyrtare që tregojnë realizimin e kontrolleve zyrtare vjetore dhe marrjen e mostrave, si dhe programet e monitorimit.</w:t>
            </w:r>
          </w:p>
        </w:tc>
        <w:tc>
          <w:tcPr>
            <w:tcW w:w="266" w:type="pct"/>
          </w:tcPr>
          <w:p w14:paraId="45029F98" w14:textId="77777777" w:rsidR="004F1C60" w:rsidRPr="002D0AF3" w:rsidRDefault="004F1C60" w:rsidP="00B87B10">
            <w:pPr>
              <w:rPr>
                <w:rFonts w:ascii="Garamond" w:hAnsi="Garamond" w:cs="Times New Roman"/>
                <w:sz w:val="12"/>
                <w:szCs w:val="12"/>
              </w:rPr>
            </w:pPr>
          </w:p>
        </w:tc>
        <w:tc>
          <w:tcPr>
            <w:tcW w:w="296" w:type="pct"/>
          </w:tcPr>
          <w:p w14:paraId="10B16C01"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0189176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0354081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115 mln</w:t>
            </w:r>
          </w:p>
        </w:tc>
        <w:tc>
          <w:tcPr>
            <w:tcW w:w="386" w:type="pct"/>
          </w:tcPr>
          <w:p w14:paraId="49C61D63" w14:textId="77777777" w:rsidR="004F1C60" w:rsidRPr="002D0AF3" w:rsidRDefault="004F1C60" w:rsidP="00B87B10">
            <w:pPr>
              <w:rPr>
                <w:rFonts w:ascii="Garamond" w:hAnsi="Garamond" w:cs="Times New Roman"/>
                <w:sz w:val="12"/>
                <w:szCs w:val="12"/>
                <w:highlight w:val="magenta"/>
              </w:rPr>
            </w:pPr>
            <w:r w:rsidRPr="002D0AF3">
              <w:rPr>
                <w:rFonts w:ascii="Garamond" w:hAnsi="Garamond" w:cs="Times New Roman"/>
                <w:sz w:val="12"/>
                <w:szCs w:val="12"/>
              </w:rPr>
              <w:t>0</w:t>
            </w:r>
          </w:p>
        </w:tc>
        <w:tc>
          <w:tcPr>
            <w:tcW w:w="504" w:type="pct"/>
          </w:tcPr>
          <w:p w14:paraId="5062408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Projekti IPA III EU 4 FOOD SAFETY</w:t>
            </w:r>
          </w:p>
          <w:p w14:paraId="64537428" w14:textId="77777777" w:rsidR="004F1C60" w:rsidRPr="002D0AF3" w:rsidRDefault="004F1C60" w:rsidP="00B87B10">
            <w:pPr>
              <w:rPr>
                <w:rFonts w:ascii="Garamond" w:hAnsi="Garamond" w:cs="Times New Roman"/>
                <w:sz w:val="12"/>
                <w:szCs w:val="12"/>
              </w:rPr>
            </w:pPr>
          </w:p>
          <w:p w14:paraId="709C03EF" w14:textId="77777777" w:rsidR="004F1C60" w:rsidRPr="002D0AF3" w:rsidRDefault="004F1C60" w:rsidP="00B87B10">
            <w:pPr>
              <w:rPr>
                <w:rFonts w:ascii="Garamond" w:hAnsi="Garamond" w:cs="Times New Roman"/>
                <w:sz w:val="12"/>
                <w:szCs w:val="12"/>
                <w:highlight w:val="magenta"/>
              </w:rPr>
            </w:pPr>
            <w:r w:rsidRPr="002D0AF3">
              <w:rPr>
                <w:rFonts w:ascii="Garamond" w:hAnsi="Garamond" w:cs="Times New Roman"/>
                <w:sz w:val="12"/>
                <w:szCs w:val="12"/>
              </w:rPr>
              <w:t>115 mln</w:t>
            </w:r>
          </w:p>
        </w:tc>
        <w:tc>
          <w:tcPr>
            <w:tcW w:w="416" w:type="pct"/>
          </w:tcPr>
          <w:p w14:paraId="2C4FED20" w14:textId="77777777" w:rsidR="004F1C60" w:rsidRPr="002D0AF3" w:rsidRDefault="004F1C60" w:rsidP="00B87B10">
            <w:pPr>
              <w:rPr>
                <w:rFonts w:ascii="Garamond" w:hAnsi="Garamond" w:cs="Times New Roman"/>
                <w:sz w:val="12"/>
                <w:szCs w:val="12"/>
              </w:rPr>
            </w:pPr>
          </w:p>
        </w:tc>
      </w:tr>
      <w:tr w:rsidR="00BC5407" w:rsidRPr="002D0AF3" w14:paraId="693C3F30" w14:textId="77777777" w:rsidTr="00BC5407">
        <w:trPr>
          <w:trHeight w:val="20"/>
          <w:jc w:val="center"/>
        </w:trPr>
        <w:tc>
          <w:tcPr>
            <w:tcW w:w="177" w:type="pct"/>
          </w:tcPr>
          <w:p w14:paraId="29CEE5CF" w14:textId="77777777" w:rsidR="004F1C60" w:rsidRPr="002D0AF3" w:rsidRDefault="004F1C60" w:rsidP="002D0AF3">
            <w:pPr>
              <w:jc w:val="center"/>
              <w:rPr>
                <w:rFonts w:ascii="Garamond" w:hAnsi="Garamond" w:cs="Times New Roman"/>
                <w:b/>
                <w:bCs/>
                <w:sz w:val="12"/>
                <w:szCs w:val="12"/>
              </w:rPr>
            </w:pPr>
          </w:p>
          <w:p w14:paraId="0152F36B"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t>5</w:t>
            </w:r>
          </w:p>
        </w:tc>
        <w:tc>
          <w:tcPr>
            <w:tcW w:w="398" w:type="pct"/>
          </w:tcPr>
          <w:p w14:paraId="665112B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Transparenca - konsultimi me palët e interesit.</w:t>
            </w:r>
          </w:p>
        </w:tc>
        <w:tc>
          <w:tcPr>
            <w:tcW w:w="593" w:type="pct"/>
          </w:tcPr>
          <w:p w14:paraId="4F47847E" w14:textId="7E321B35" w:rsidR="004F1C60" w:rsidRPr="002D0AF3" w:rsidRDefault="004F1C60" w:rsidP="00B87B10">
            <w:pPr>
              <w:pStyle w:val="TableParagraph"/>
              <w:rPr>
                <w:rFonts w:ascii="Garamond" w:hAnsi="Garamond" w:cs="Times New Roman"/>
                <w:sz w:val="12"/>
                <w:szCs w:val="12"/>
              </w:rPr>
            </w:pPr>
            <w:r w:rsidRPr="002D0AF3">
              <w:rPr>
                <w:rFonts w:ascii="Garamond" w:eastAsiaTheme="minorHAnsi" w:hAnsi="Garamond" w:cs="Times New Roman"/>
                <w:sz w:val="12"/>
                <w:szCs w:val="12"/>
              </w:rPr>
              <w:t>MBZH</w:t>
            </w:r>
            <w:r w:rsidR="002D0AF3">
              <w:rPr>
                <w:rFonts w:ascii="Garamond" w:eastAsiaTheme="minorHAnsi" w:hAnsi="Garamond" w:cs="Times New Roman"/>
                <w:sz w:val="12"/>
                <w:szCs w:val="12"/>
              </w:rPr>
              <w:t>-ja</w:t>
            </w:r>
            <w:r w:rsidRPr="002D0AF3">
              <w:rPr>
                <w:rFonts w:ascii="Garamond" w:eastAsiaTheme="minorHAnsi" w:hAnsi="Garamond" w:cs="Times New Roman"/>
                <w:sz w:val="12"/>
                <w:szCs w:val="12"/>
              </w:rPr>
              <w:t xml:space="preserve">R të vazhdojë procesin e konsultimit publik për legjislacionin e ri për </w:t>
            </w:r>
            <w:r w:rsidR="003B73F2" w:rsidRPr="002D0AF3">
              <w:rPr>
                <w:rFonts w:ascii="Garamond" w:eastAsiaTheme="minorHAnsi" w:hAnsi="Garamond" w:cs="Times New Roman"/>
                <w:sz w:val="12"/>
                <w:szCs w:val="12"/>
              </w:rPr>
              <w:t xml:space="preserve">kapitullin </w:t>
            </w:r>
            <w:r w:rsidRPr="002D0AF3">
              <w:rPr>
                <w:rFonts w:ascii="Garamond" w:eastAsiaTheme="minorHAnsi" w:hAnsi="Garamond" w:cs="Times New Roman"/>
                <w:sz w:val="12"/>
                <w:szCs w:val="12"/>
              </w:rPr>
              <w:t>e</w:t>
            </w:r>
            <w:r w:rsidR="003B73F2">
              <w:rPr>
                <w:rFonts w:ascii="Garamond" w:eastAsiaTheme="minorHAnsi" w:hAnsi="Garamond" w:cs="Times New Roman"/>
                <w:sz w:val="12"/>
                <w:szCs w:val="12"/>
              </w:rPr>
              <w:t xml:space="preserve"> </w:t>
            </w:r>
            <w:r w:rsidRPr="002D0AF3">
              <w:rPr>
                <w:rFonts w:ascii="Garamond" w:eastAsiaTheme="minorHAnsi" w:hAnsi="Garamond" w:cs="Times New Roman"/>
                <w:sz w:val="12"/>
                <w:szCs w:val="12"/>
              </w:rPr>
              <w:t>12</w:t>
            </w:r>
            <w:r w:rsidR="003B73F2">
              <w:rPr>
                <w:rFonts w:ascii="Garamond" w:eastAsiaTheme="minorHAnsi" w:hAnsi="Garamond" w:cs="Times New Roman"/>
                <w:sz w:val="12"/>
                <w:szCs w:val="12"/>
              </w:rPr>
              <w:t>-të</w:t>
            </w:r>
            <w:r w:rsidRPr="002D0AF3">
              <w:rPr>
                <w:rFonts w:ascii="Garamond" w:eastAsiaTheme="minorHAnsi" w:hAnsi="Garamond" w:cs="Times New Roman"/>
                <w:sz w:val="12"/>
                <w:szCs w:val="12"/>
              </w:rPr>
              <w:t xml:space="preserve"> të </w:t>
            </w:r>
            <w:r w:rsidR="002D0AF3" w:rsidRPr="002D0AF3">
              <w:rPr>
                <w:rFonts w:ascii="Garamond" w:eastAsiaTheme="minorHAnsi" w:hAnsi="Garamond" w:cs="Times New Roman"/>
                <w:i/>
                <w:sz w:val="12"/>
                <w:szCs w:val="12"/>
              </w:rPr>
              <w:t>acquis</w:t>
            </w:r>
            <w:r w:rsidRPr="002D0AF3">
              <w:rPr>
                <w:rFonts w:ascii="Garamond" w:eastAsiaTheme="minorHAnsi" w:hAnsi="Garamond" w:cs="Times New Roman"/>
                <w:sz w:val="12"/>
                <w:szCs w:val="12"/>
              </w:rPr>
              <w:t xml:space="preserve"> të BE-së, aty ku nevojitet. </w:t>
            </w:r>
          </w:p>
        </w:tc>
        <w:tc>
          <w:tcPr>
            <w:tcW w:w="564" w:type="pct"/>
          </w:tcPr>
          <w:p w14:paraId="05B2B9C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Proces funksional për konsultimin publik.</w:t>
            </w:r>
          </w:p>
        </w:tc>
        <w:tc>
          <w:tcPr>
            <w:tcW w:w="742" w:type="pct"/>
          </w:tcPr>
          <w:p w14:paraId="348EDA1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Angazhim me publikun për legjislacionin e hartuar.</w:t>
            </w:r>
          </w:p>
        </w:tc>
        <w:tc>
          <w:tcPr>
            <w:tcW w:w="266" w:type="pct"/>
          </w:tcPr>
          <w:p w14:paraId="6752994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w:t>
            </w:r>
          </w:p>
        </w:tc>
        <w:tc>
          <w:tcPr>
            <w:tcW w:w="296" w:type="pct"/>
          </w:tcPr>
          <w:p w14:paraId="66CEED3E"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p w14:paraId="2B70430F" w14:textId="77777777" w:rsidR="004F1C60" w:rsidRPr="002D0AF3" w:rsidRDefault="004F1C60" w:rsidP="00B87B10">
            <w:pPr>
              <w:tabs>
                <w:tab w:val="left" w:pos="900"/>
              </w:tabs>
              <w:rPr>
                <w:rFonts w:ascii="Garamond" w:hAnsi="Garamond" w:cs="Times New Roman"/>
                <w:sz w:val="12"/>
                <w:szCs w:val="12"/>
              </w:rPr>
            </w:pPr>
          </w:p>
          <w:p w14:paraId="0CC960A2" w14:textId="77777777" w:rsidR="004F1C60" w:rsidRPr="002D0AF3" w:rsidRDefault="004F1C60" w:rsidP="00B87B10">
            <w:pPr>
              <w:tabs>
                <w:tab w:val="left" w:pos="900"/>
              </w:tabs>
              <w:rPr>
                <w:rFonts w:ascii="Garamond" w:hAnsi="Garamond" w:cs="Times New Roman"/>
                <w:sz w:val="12"/>
                <w:szCs w:val="12"/>
              </w:rPr>
            </w:pPr>
          </w:p>
        </w:tc>
        <w:tc>
          <w:tcPr>
            <w:tcW w:w="326" w:type="pct"/>
          </w:tcPr>
          <w:p w14:paraId="248CD396"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499DE5D4"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 8 mln</w:t>
            </w:r>
          </w:p>
        </w:tc>
        <w:tc>
          <w:tcPr>
            <w:tcW w:w="386" w:type="pct"/>
          </w:tcPr>
          <w:p w14:paraId="4986C2A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 mln për çdo vit</w:t>
            </w:r>
          </w:p>
        </w:tc>
        <w:tc>
          <w:tcPr>
            <w:tcW w:w="504" w:type="pct"/>
          </w:tcPr>
          <w:p w14:paraId="51E6ECF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416" w:type="pct"/>
          </w:tcPr>
          <w:p w14:paraId="231EA212" w14:textId="77777777" w:rsidR="004F1C60" w:rsidRPr="002D0AF3" w:rsidRDefault="004F1C60" w:rsidP="00B87B10">
            <w:pPr>
              <w:rPr>
                <w:rFonts w:ascii="Garamond" w:hAnsi="Garamond" w:cs="Times New Roman"/>
                <w:sz w:val="12"/>
                <w:szCs w:val="12"/>
              </w:rPr>
            </w:pPr>
          </w:p>
        </w:tc>
      </w:tr>
      <w:tr w:rsidR="00BC5407" w:rsidRPr="002D0AF3" w14:paraId="468C634F" w14:textId="77777777" w:rsidTr="00BC5407">
        <w:trPr>
          <w:trHeight w:val="20"/>
          <w:jc w:val="center"/>
        </w:trPr>
        <w:tc>
          <w:tcPr>
            <w:tcW w:w="177" w:type="pct"/>
          </w:tcPr>
          <w:p w14:paraId="47510C8C" w14:textId="77777777" w:rsidR="004F1C60" w:rsidRPr="002D0AF3" w:rsidRDefault="004F1C60" w:rsidP="002D0AF3">
            <w:pPr>
              <w:jc w:val="center"/>
              <w:rPr>
                <w:rFonts w:ascii="Garamond" w:hAnsi="Garamond" w:cs="Times New Roman"/>
                <w:sz w:val="12"/>
                <w:szCs w:val="12"/>
              </w:rPr>
            </w:pPr>
          </w:p>
          <w:p w14:paraId="0B5B3738" w14:textId="77777777" w:rsidR="004F1C60" w:rsidRPr="002D0AF3" w:rsidRDefault="004F1C60" w:rsidP="002D0AF3">
            <w:pPr>
              <w:jc w:val="center"/>
              <w:rPr>
                <w:rFonts w:ascii="Garamond" w:hAnsi="Garamond" w:cs="Times New Roman"/>
                <w:sz w:val="12"/>
                <w:szCs w:val="12"/>
              </w:rPr>
            </w:pPr>
            <w:r w:rsidRPr="002D0AF3">
              <w:rPr>
                <w:rFonts w:ascii="Garamond" w:hAnsi="Garamond" w:cs="Times New Roman"/>
                <w:b/>
                <w:bCs/>
                <w:sz w:val="12"/>
                <w:szCs w:val="12"/>
              </w:rPr>
              <w:lastRenderedPageBreak/>
              <w:t>6a</w:t>
            </w:r>
          </w:p>
        </w:tc>
        <w:tc>
          <w:tcPr>
            <w:tcW w:w="398" w:type="pct"/>
          </w:tcPr>
          <w:p w14:paraId="4562297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lastRenderedPageBreak/>
              <w:t>Transparenca-</w:t>
            </w:r>
            <w:r w:rsidRPr="002D0AF3">
              <w:rPr>
                <w:rFonts w:ascii="Garamond" w:hAnsi="Garamond" w:cs="Times New Roman"/>
                <w:sz w:val="12"/>
                <w:szCs w:val="12"/>
              </w:rPr>
              <w:lastRenderedPageBreak/>
              <w:t>Angazhimi i palëve të interesit</w:t>
            </w:r>
          </w:p>
        </w:tc>
        <w:tc>
          <w:tcPr>
            <w:tcW w:w="593" w:type="pct"/>
          </w:tcPr>
          <w:p w14:paraId="61DCECE7"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lastRenderedPageBreak/>
              <w:t xml:space="preserve">Krijimi i mekanizmit </w:t>
            </w:r>
            <w:r w:rsidRPr="002D0AF3">
              <w:rPr>
                <w:rFonts w:ascii="Garamond" w:hAnsi="Garamond" w:cs="Times New Roman"/>
                <w:sz w:val="12"/>
                <w:szCs w:val="12"/>
              </w:rPr>
              <w:lastRenderedPageBreak/>
              <w:t>afatgjatë për bashkëpunim, shkëmbim informacioni dhe pikëpamjesh me sektorin e biznesit. Ky mekanizëm duhet të përfshijë nëngrupe specifike të industrive që janë të një rëndësie të veçantë, si fermerët, thertoret, përpunuesit e ushqimit, hotelet, shitësit me pakicë etj.</w:t>
            </w:r>
          </w:p>
        </w:tc>
        <w:tc>
          <w:tcPr>
            <w:tcW w:w="564" w:type="pct"/>
          </w:tcPr>
          <w:p w14:paraId="737948BC"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lastRenderedPageBreak/>
              <w:t xml:space="preserve">Shkëmbim i vazhdueshëm </w:t>
            </w:r>
            <w:r w:rsidRPr="002D0AF3">
              <w:rPr>
                <w:rFonts w:ascii="Garamond" w:hAnsi="Garamond" w:cs="Times New Roman"/>
                <w:sz w:val="12"/>
                <w:szCs w:val="12"/>
              </w:rPr>
              <w:lastRenderedPageBreak/>
              <w:t>i pikëpamjeve dhe përditësimeve të komunitetit të biznesit në lidhje me sigurinë agroushqimore dhe zbatimin e standardeve përkatëse.</w:t>
            </w:r>
          </w:p>
          <w:p w14:paraId="0EE846F1" w14:textId="77777777" w:rsidR="004F1C60" w:rsidRPr="002D0AF3" w:rsidRDefault="004F1C60" w:rsidP="00B87B10">
            <w:pPr>
              <w:rPr>
                <w:rFonts w:ascii="Garamond" w:hAnsi="Garamond" w:cs="Times New Roman"/>
                <w:sz w:val="12"/>
                <w:szCs w:val="12"/>
              </w:rPr>
            </w:pPr>
            <w:r w:rsidRPr="003B73F2">
              <w:rPr>
                <w:rFonts w:ascii="Garamond" w:hAnsi="Garamond" w:cs="Times New Roman"/>
                <w:i/>
                <w:sz w:val="12"/>
                <w:szCs w:val="12"/>
              </w:rPr>
              <w:t>Feedback</w:t>
            </w:r>
            <w:r w:rsidRPr="002D0AF3">
              <w:rPr>
                <w:rFonts w:ascii="Garamond" w:hAnsi="Garamond" w:cs="Times New Roman"/>
                <w:sz w:val="12"/>
                <w:szCs w:val="12"/>
              </w:rPr>
              <w:t>-u i dhënë nga sektori i administrimit të sfidave dhe vështirësive kryesore për të informuar zhvillimin e politikave dhe legjislacionit.</w:t>
            </w:r>
          </w:p>
        </w:tc>
        <w:tc>
          <w:tcPr>
            <w:tcW w:w="742" w:type="pct"/>
          </w:tcPr>
          <w:p w14:paraId="7FF63BB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lastRenderedPageBreak/>
              <w:t xml:space="preserve">Minimumi dy botime në vit për </w:t>
            </w:r>
            <w:r w:rsidRPr="002D0AF3">
              <w:rPr>
                <w:rFonts w:ascii="Garamond" w:hAnsi="Garamond" w:cs="Times New Roman"/>
                <w:sz w:val="12"/>
                <w:szCs w:val="12"/>
              </w:rPr>
              <w:lastRenderedPageBreak/>
              <w:t>sektorin e biznesit.</w:t>
            </w:r>
          </w:p>
          <w:p w14:paraId="245E46E8" w14:textId="77777777" w:rsidR="004F1C60" w:rsidRPr="002D0AF3" w:rsidRDefault="004F1C60" w:rsidP="00B87B10">
            <w:pPr>
              <w:rPr>
                <w:rFonts w:ascii="Garamond" w:hAnsi="Garamond" w:cs="Times New Roman"/>
                <w:sz w:val="12"/>
                <w:szCs w:val="12"/>
              </w:rPr>
            </w:pPr>
          </w:p>
          <w:p w14:paraId="4FD30154" w14:textId="77777777" w:rsidR="004F1C60" w:rsidRPr="002D0AF3" w:rsidRDefault="004F1C60" w:rsidP="00B87B10">
            <w:pPr>
              <w:rPr>
                <w:rFonts w:ascii="Garamond" w:hAnsi="Garamond" w:cs="Times New Roman"/>
                <w:sz w:val="12"/>
                <w:szCs w:val="12"/>
              </w:rPr>
            </w:pPr>
          </w:p>
        </w:tc>
        <w:tc>
          <w:tcPr>
            <w:tcW w:w="266" w:type="pct"/>
          </w:tcPr>
          <w:p w14:paraId="6CE6E58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lastRenderedPageBreak/>
              <w:t>3</w:t>
            </w:r>
          </w:p>
        </w:tc>
        <w:tc>
          <w:tcPr>
            <w:tcW w:w="296" w:type="pct"/>
          </w:tcPr>
          <w:p w14:paraId="710163F5"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2026</w:t>
            </w:r>
          </w:p>
        </w:tc>
        <w:tc>
          <w:tcPr>
            <w:tcW w:w="326" w:type="pct"/>
          </w:tcPr>
          <w:p w14:paraId="5D649315" w14:textId="77777777" w:rsidR="004F1C60" w:rsidRPr="002D0AF3" w:rsidRDefault="004F1C60" w:rsidP="00B87B10">
            <w:pPr>
              <w:rPr>
                <w:rFonts w:ascii="Garamond" w:hAnsi="Garamond" w:cs="Times New Roman"/>
                <w:sz w:val="12"/>
                <w:szCs w:val="12"/>
                <w:highlight w:val="magenta"/>
              </w:rPr>
            </w:pPr>
            <w:r w:rsidRPr="002D0AF3">
              <w:rPr>
                <w:rFonts w:ascii="Garamond" w:hAnsi="Garamond" w:cs="Times New Roman"/>
                <w:sz w:val="12"/>
                <w:szCs w:val="12"/>
              </w:rPr>
              <w:t>TM4 2027</w:t>
            </w:r>
          </w:p>
        </w:tc>
        <w:tc>
          <w:tcPr>
            <w:tcW w:w="331" w:type="pct"/>
          </w:tcPr>
          <w:p w14:paraId="766B67D0"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4 mln </w:t>
            </w:r>
          </w:p>
        </w:tc>
        <w:tc>
          <w:tcPr>
            <w:tcW w:w="386" w:type="pct"/>
          </w:tcPr>
          <w:p w14:paraId="117A98F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 mln për çdo vit</w:t>
            </w:r>
          </w:p>
        </w:tc>
        <w:tc>
          <w:tcPr>
            <w:tcW w:w="504" w:type="pct"/>
          </w:tcPr>
          <w:p w14:paraId="274A0B20"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416" w:type="pct"/>
          </w:tcPr>
          <w:p w14:paraId="5E999F98" w14:textId="77777777" w:rsidR="004F1C60" w:rsidRPr="002D0AF3" w:rsidRDefault="004F1C60" w:rsidP="00B87B10">
            <w:pPr>
              <w:rPr>
                <w:rFonts w:ascii="Garamond" w:hAnsi="Garamond" w:cs="Times New Roman"/>
                <w:sz w:val="12"/>
                <w:szCs w:val="12"/>
              </w:rPr>
            </w:pPr>
          </w:p>
        </w:tc>
      </w:tr>
      <w:tr w:rsidR="00BC5407" w:rsidRPr="002D0AF3" w14:paraId="754A4D08" w14:textId="77777777" w:rsidTr="00BC5407">
        <w:trPr>
          <w:trHeight w:val="20"/>
          <w:jc w:val="center"/>
        </w:trPr>
        <w:tc>
          <w:tcPr>
            <w:tcW w:w="177" w:type="pct"/>
          </w:tcPr>
          <w:p w14:paraId="12CAA66B"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lastRenderedPageBreak/>
              <w:t>6b</w:t>
            </w:r>
          </w:p>
        </w:tc>
        <w:tc>
          <w:tcPr>
            <w:tcW w:w="398" w:type="pct"/>
          </w:tcPr>
          <w:p w14:paraId="035F0CC0" w14:textId="51F81A81"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Transparenca-</w:t>
            </w:r>
            <w:r w:rsidR="003B73F2" w:rsidRPr="002D0AF3">
              <w:rPr>
                <w:rFonts w:ascii="Garamond" w:hAnsi="Garamond" w:cs="Times New Roman"/>
                <w:sz w:val="12"/>
                <w:szCs w:val="12"/>
              </w:rPr>
              <w:t xml:space="preserve">angazhimi </w:t>
            </w:r>
            <w:r w:rsidRPr="002D0AF3">
              <w:rPr>
                <w:rFonts w:ascii="Garamond" w:hAnsi="Garamond" w:cs="Times New Roman"/>
                <w:sz w:val="12"/>
                <w:szCs w:val="12"/>
              </w:rPr>
              <w:t xml:space="preserve">i palëve dhe grupeve të </w:t>
            </w:r>
            <w:r w:rsidR="003B73F2" w:rsidRPr="002D0AF3">
              <w:rPr>
                <w:rFonts w:ascii="Garamond" w:hAnsi="Garamond" w:cs="Times New Roman"/>
                <w:sz w:val="12"/>
                <w:szCs w:val="12"/>
              </w:rPr>
              <w:t>interesit</w:t>
            </w:r>
            <w:r w:rsidRPr="002D0AF3">
              <w:rPr>
                <w:rFonts w:ascii="Garamond" w:hAnsi="Garamond" w:cs="Times New Roman"/>
                <w:sz w:val="12"/>
                <w:szCs w:val="12"/>
              </w:rPr>
              <w:t>.</w:t>
            </w:r>
          </w:p>
        </w:tc>
        <w:tc>
          <w:tcPr>
            <w:tcW w:w="593" w:type="pct"/>
          </w:tcPr>
          <w:p w14:paraId="7078C5D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MBZHR, AKU dhe AKVMB të njoftojnë menjëherë konsumatorët për rreziqet e identifikuara në lidhje me ushqimet e vendosura në treg.</w:t>
            </w:r>
          </w:p>
        </w:tc>
        <w:tc>
          <w:tcPr>
            <w:tcW w:w="564" w:type="pct"/>
          </w:tcPr>
          <w:p w14:paraId="644B9E4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Komunikimi i njoftimeve dhe përditësimeve në kohë për konsumatorët përmes kanaleve të duhura të komunikimit.</w:t>
            </w:r>
          </w:p>
        </w:tc>
        <w:tc>
          <w:tcPr>
            <w:tcW w:w="742" w:type="pct"/>
          </w:tcPr>
          <w:p w14:paraId="4402FDE7"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Njoftime për shtyp dhe njoftime të menjëhershme.</w:t>
            </w:r>
          </w:p>
        </w:tc>
        <w:tc>
          <w:tcPr>
            <w:tcW w:w="266" w:type="pct"/>
          </w:tcPr>
          <w:p w14:paraId="41D35C09" w14:textId="77777777" w:rsidR="004F1C60" w:rsidRPr="002D0AF3" w:rsidRDefault="004F1C60" w:rsidP="00B87B10">
            <w:pPr>
              <w:rPr>
                <w:rFonts w:ascii="Garamond" w:hAnsi="Garamond" w:cs="Times New Roman"/>
                <w:sz w:val="12"/>
                <w:szCs w:val="12"/>
              </w:rPr>
            </w:pPr>
            <w:r w:rsidRPr="002D0AF3">
              <w:rPr>
                <w:rFonts w:ascii="Garamond" w:hAnsi="Garamond" w:cs="Times New Roman"/>
                <w:w w:val="99"/>
                <w:sz w:val="12"/>
                <w:szCs w:val="12"/>
              </w:rPr>
              <w:t>4</w:t>
            </w:r>
          </w:p>
        </w:tc>
        <w:tc>
          <w:tcPr>
            <w:tcW w:w="296" w:type="pct"/>
          </w:tcPr>
          <w:p w14:paraId="647EAC4B"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TM3 2023</w:t>
            </w:r>
          </w:p>
        </w:tc>
        <w:tc>
          <w:tcPr>
            <w:tcW w:w="326" w:type="pct"/>
          </w:tcPr>
          <w:p w14:paraId="6AA4B01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4B03F29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386" w:type="pct"/>
          </w:tcPr>
          <w:p w14:paraId="717F5AD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504" w:type="pct"/>
          </w:tcPr>
          <w:p w14:paraId="3DCC8980"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416" w:type="pct"/>
          </w:tcPr>
          <w:p w14:paraId="6AC3D188" w14:textId="77777777" w:rsidR="004F1C60" w:rsidRPr="002D0AF3" w:rsidRDefault="004F1C60" w:rsidP="00B87B10">
            <w:pPr>
              <w:rPr>
                <w:rFonts w:ascii="Garamond" w:hAnsi="Garamond" w:cs="Times New Roman"/>
                <w:sz w:val="12"/>
                <w:szCs w:val="12"/>
              </w:rPr>
            </w:pPr>
          </w:p>
        </w:tc>
      </w:tr>
      <w:tr w:rsidR="00BC5407" w:rsidRPr="002D0AF3" w14:paraId="509AF01D" w14:textId="77777777" w:rsidTr="00BC5407">
        <w:trPr>
          <w:trHeight w:val="20"/>
          <w:jc w:val="center"/>
        </w:trPr>
        <w:tc>
          <w:tcPr>
            <w:tcW w:w="177" w:type="pct"/>
          </w:tcPr>
          <w:p w14:paraId="3E7A2B0F"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6c</w:t>
            </w:r>
          </w:p>
        </w:tc>
        <w:tc>
          <w:tcPr>
            <w:tcW w:w="398" w:type="pct"/>
          </w:tcPr>
          <w:p w14:paraId="6FD2C1BA" w14:textId="293C3232"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Transparenca-</w:t>
            </w:r>
            <w:r w:rsidR="003B73F2" w:rsidRPr="002D0AF3">
              <w:rPr>
                <w:rFonts w:ascii="Garamond" w:hAnsi="Garamond" w:cs="Times New Roman"/>
                <w:sz w:val="12"/>
                <w:szCs w:val="12"/>
              </w:rPr>
              <w:t xml:space="preserve">angazhimi </w:t>
            </w:r>
            <w:r w:rsidRPr="002D0AF3">
              <w:rPr>
                <w:rFonts w:ascii="Garamond" w:hAnsi="Garamond" w:cs="Times New Roman"/>
                <w:sz w:val="12"/>
                <w:szCs w:val="12"/>
              </w:rPr>
              <w:t>i palëve të interesit.</w:t>
            </w:r>
          </w:p>
        </w:tc>
        <w:tc>
          <w:tcPr>
            <w:tcW w:w="593" w:type="pct"/>
          </w:tcPr>
          <w:p w14:paraId="035EF043" w14:textId="72893906"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Kryerja e fushatave të ndërgjegjësimit publik nëpërmjet medi</w:t>
            </w:r>
            <w:r w:rsidR="006D2A34">
              <w:rPr>
                <w:rFonts w:ascii="Garamond" w:hAnsi="Garamond" w:cs="Times New Roman"/>
                <w:sz w:val="12"/>
                <w:szCs w:val="12"/>
              </w:rPr>
              <w:t>e</w:t>
            </w:r>
            <w:r w:rsidRPr="002D0AF3">
              <w:rPr>
                <w:rFonts w:ascii="Garamond" w:hAnsi="Garamond" w:cs="Times New Roman"/>
                <w:sz w:val="12"/>
                <w:szCs w:val="12"/>
              </w:rPr>
              <w:t>ve sociale të paktën çdo vit që synojnë rritjen e praktikave të mira të sigurisë ushqimore në shtëpi.</w:t>
            </w:r>
          </w:p>
          <w:p w14:paraId="6C33FF32" w14:textId="77777777" w:rsidR="004F1C60" w:rsidRPr="002D0AF3" w:rsidRDefault="004F1C60" w:rsidP="00B87B10">
            <w:pPr>
              <w:rPr>
                <w:rFonts w:ascii="Garamond" w:hAnsi="Garamond" w:cs="Times New Roman"/>
                <w:sz w:val="12"/>
                <w:szCs w:val="12"/>
              </w:rPr>
            </w:pPr>
          </w:p>
        </w:tc>
        <w:tc>
          <w:tcPr>
            <w:tcW w:w="564" w:type="pct"/>
          </w:tcPr>
          <w:p w14:paraId="21D21E99"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Rritja e ndërgjegjësimit për çështjet e sigurisë ushqimore dhe praktikave të higjienës në shtëpi.</w:t>
            </w:r>
          </w:p>
        </w:tc>
        <w:tc>
          <w:tcPr>
            <w:tcW w:w="742" w:type="pct"/>
          </w:tcPr>
          <w:p w14:paraId="14EC89C2" w14:textId="443E436A" w:rsidR="004F1C60" w:rsidRPr="002D0AF3" w:rsidRDefault="003B73F2" w:rsidP="00B87B10">
            <w:pPr>
              <w:rPr>
                <w:rFonts w:ascii="Garamond" w:hAnsi="Garamond" w:cs="Times New Roman"/>
                <w:sz w:val="12"/>
                <w:szCs w:val="12"/>
              </w:rPr>
            </w:pPr>
            <w:r>
              <w:rPr>
                <w:rFonts w:ascii="Garamond" w:hAnsi="Garamond" w:cs="Times New Roman"/>
                <w:sz w:val="12"/>
                <w:szCs w:val="12"/>
              </w:rPr>
              <w:t>“</w:t>
            </w:r>
            <w:r w:rsidR="004F1C60" w:rsidRPr="002D0AF3">
              <w:rPr>
                <w:rFonts w:ascii="Garamond" w:hAnsi="Garamond" w:cs="Times New Roman"/>
                <w:sz w:val="12"/>
                <w:szCs w:val="12"/>
              </w:rPr>
              <w:t>Akseso</w:t>
            </w:r>
            <w:r>
              <w:rPr>
                <w:rFonts w:ascii="Garamond" w:hAnsi="Garamond" w:cs="Times New Roman"/>
                <w:sz w:val="12"/>
                <w:szCs w:val="12"/>
              </w:rPr>
              <w:t>”</w:t>
            </w:r>
            <w:r w:rsidR="004F1C60" w:rsidRPr="002D0AF3">
              <w:rPr>
                <w:rFonts w:ascii="Garamond" w:hAnsi="Garamond" w:cs="Times New Roman"/>
                <w:sz w:val="12"/>
                <w:szCs w:val="12"/>
              </w:rPr>
              <w:t xml:space="preserve"> të dhëna nga kanalet e komunikimit duke përfshirë faqet e internetit, medi</w:t>
            </w:r>
            <w:r w:rsidR="006D2A34">
              <w:rPr>
                <w:rFonts w:ascii="Garamond" w:hAnsi="Garamond" w:cs="Times New Roman"/>
                <w:sz w:val="12"/>
                <w:szCs w:val="12"/>
              </w:rPr>
              <w:t>e</w:t>
            </w:r>
            <w:r w:rsidR="004F1C60" w:rsidRPr="002D0AF3">
              <w:rPr>
                <w:rFonts w:ascii="Garamond" w:hAnsi="Garamond" w:cs="Times New Roman"/>
                <w:sz w:val="12"/>
                <w:szCs w:val="12"/>
              </w:rPr>
              <w:t>t sociale, statistikat e shikuesve televizivë.</w:t>
            </w:r>
          </w:p>
        </w:tc>
        <w:tc>
          <w:tcPr>
            <w:tcW w:w="266" w:type="pct"/>
          </w:tcPr>
          <w:p w14:paraId="516D9777" w14:textId="77777777" w:rsidR="004F1C60" w:rsidRPr="002D0AF3" w:rsidRDefault="004F1C60" w:rsidP="00B87B10">
            <w:pPr>
              <w:rPr>
                <w:rFonts w:ascii="Garamond" w:hAnsi="Garamond" w:cs="Times New Roman"/>
                <w:sz w:val="12"/>
                <w:szCs w:val="12"/>
              </w:rPr>
            </w:pPr>
            <w:r w:rsidRPr="002D0AF3">
              <w:rPr>
                <w:rFonts w:ascii="Garamond" w:hAnsi="Garamond" w:cs="Times New Roman"/>
                <w:w w:val="99"/>
                <w:sz w:val="12"/>
                <w:szCs w:val="12"/>
              </w:rPr>
              <w:t>4</w:t>
            </w:r>
          </w:p>
        </w:tc>
        <w:tc>
          <w:tcPr>
            <w:tcW w:w="296" w:type="pct"/>
          </w:tcPr>
          <w:p w14:paraId="74588EB6"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0467DE3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1FC3E43B"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4 mln</w:t>
            </w:r>
          </w:p>
          <w:p w14:paraId="39176A86" w14:textId="77777777" w:rsidR="004F1C60" w:rsidRPr="002D0AF3" w:rsidRDefault="004F1C60" w:rsidP="00B87B10">
            <w:pPr>
              <w:rPr>
                <w:rFonts w:ascii="Garamond" w:hAnsi="Garamond" w:cs="Times New Roman"/>
                <w:sz w:val="12"/>
                <w:szCs w:val="12"/>
              </w:rPr>
            </w:pPr>
          </w:p>
        </w:tc>
        <w:tc>
          <w:tcPr>
            <w:tcW w:w="386" w:type="pct"/>
          </w:tcPr>
          <w:p w14:paraId="525E6E4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 mln për çdo vit</w:t>
            </w:r>
          </w:p>
        </w:tc>
        <w:tc>
          <w:tcPr>
            <w:tcW w:w="504" w:type="pct"/>
          </w:tcPr>
          <w:p w14:paraId="0BB933DF" w14:textId="77777777" w:rsidR="004F1C60" w:rsidRPr="002D0AF3" w:rsidRDefault="004F1C60" w:rsidP="00B87B10">
            <w:pPr>
              <w:rPr>
                <w:rFonts w:ascii="Garamond" w:hAnsi="Garamond" w:cs="Times New Roman"/>
                <w:sz w:val="12"/>
                <w:szCs w:val="12"/>
                <w:highlight w:val="red"/>
              </w:rPr>
            </w:pPr>
            <w:r w:rsidRPr="002D0AF3">
              <w:rPr>
                <w:rFonts w:ascii="Garamond" w:hAnsi="Garamond" w:cs="Times New Roman"/>
                <w:sz w:val="12"/>
                <w:szCs w:val="12"/>
              </w:rPr>
              <w:t>0</w:t>
            </w:r>
          </w:p>
        </w:tc>
        <w:tc>
          <w:tcPr>
            <w:tcW w:w="416" w:type="pct"/>
          </w:tcPr>
          <w:p w14:paraId="5B07AD94" w14:textId="77777777" w:rsidR="004F1C60" w:rsidRPr="002D0AF3" w:rsidRDefault="004F1C60" w:rsidP="00B87B10">
            <w:pPr>
              <w:rPr>
                <w:rFonts w:ascii="Garamond" w:hAnsi="Garamond" w:cs="Times New Roman"/>
                <w:sz w:val="12"/>
                <w:szCs w:val="12"/>
              </w:rPr>
            </w:pPr>
          </w:p>
        </w:tc>
      </w:tr>
      <w:tr w:rsidR="00BC5407" w:rsidRPr="002D0AF3" w14:paraId="768CAD8F" w14:textId="77777777" w:rsidTr="00BC5407">
        <w:trPr>
          <w:trHeight w:val="20"/>
          <w:jc w:val="center"/>
        </w:trPr>
        <w:tc>
          <w:tcPr>
            <w:tcW w:w="177" w:type="pct"/>
          </w:tcPr>
          <w:p w14:paraId="62FA7135"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6d</w:t>
            </w:r>
          </w:p>
        </w:tc>
        <w:tc>
          <w:tcPr>
            <w:tcW w:w="398" w:type="pct"/>
          </w:tcPr>
          <w:p w14:paraId="3CD5F4F1" w14:textId="568DC3DE"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Transparenca-</w:t>
            </w:r>
            <w:r w:rsidR="003B73F2" w:rsidRPr="002D0AF3">
              <w:rPr>
                <w:rFonts w:ascii="Garamond" w:hAnsi="Garamond" w:cs="Times New Roman"/>
                <w:sz w:val="12"/>
                <w:szCs w:val="12"/>
              </w:rPr>
              <w:t xml:space="preserve">angazhimi </w:t>
            </w:r>
            <w:r w:rsidRPr="002D0AF3">
              <w:rPr>
                <w:rFonts w:ascii="Garamond" w:hAnsi="Garamond" w:cs="Times New Roman"/>
                <w:sz w:val="12"/>
                <w:szCs w:val="12"/>
              </w:rPr>
              <w:t>i palëve të interesit.</w:t>
            </w:r>
          </w:p>
        </w:tc>
        <w:tc>
          <w:tcPr>
            <w:tcW w:w="593" w:type="pct"/>
          </w:tcPr>
          <w:p w14:paraId="77229099"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Java e përvitshme e Sigurisë Ushqimore në shkollat </w:t>
            </w:r>
            <w:r w:rsidRPr="002D0AF3">
              <w:rPr>
                <w:rFonts w:ascii="Times New Roman" w:hAnsi="Times New Roman" w:cs="Times New Roman"/>
                <w:sz w:val="12"/>
                <w:szCs w:val="12"/>
              </w:rPr>
              <w:t>​​</w:t>
            </w:r>
            <w:r w:rsidRPr="002D0AF3">
              <w:rPr>
                <w:rFonts w:ascii="Garamond" w:hAnsi="Garamond" w:cs="Times New Roman"/>
                <w:sz w:val="12"/>
                <w:szCs w:val="12"/>
              </w:rPr>
              <w:t>fillore p</w:t>
            </w:r>
            <w:r w:rsidRPr="002D0AF3">
              <w:rPr>
                <w:rFonts w:ascii="Garamond" w:hAnsi="Garamond" w:cs="Garamond"/>
                <w:sz w:val="12"/>
                <w:szCs w:val="12"/>
              </w:rPr>
              <w:t>ë</w:t>
            </w:r>
            <w:r w:rsidRPr="002D0AF3">
              <w:rPr>
                <w:rFonts w:ascii="Garamond" w:hAnsi="Garamond" w:cs="Times New Roman"/>
                <w:sz w:val="12"/>
                <w:szCs w:val="12"/>
              </w:rPr>
              <w:t>r t</w:t>
            </w:r>
            <w:r w:rsidRPr="002D0AF3">
              <w:rPr>
                <w:rFonts w:ascii="Garamond" w:hAnsi="Garamond" w:cs="Garamond"/>
                <w:sz w:val="12"/>
                <w:szCs w:val="12"/>
              </w:rPr>
              <w:t>ë</w:t>
            </w:r>
            <w:r w:rsidRPr="002D0AF3">
              <w:rPr>
                <w:rFonts w:ascii="Garamond" w:hAnsi="Garamond" w:cs="Times New Roman"/>
                <w:sz w:val="12"/>
                <w:szCs w:val="12"/>
              </w:rPr>
              <w:t xml:space="preserve"> edukuar f</w:t>
            </w:r>
            <w:r w:rsidRPr="002D0AF3">
              <w:rPr>
                <w:rFonts w:ascii="Garamond" w:hAnsi="Garamond" w:cs="Garamond"/>
                <w:sz w:val="12"/>
                <w:szCs w:val="12"/>
              </w:rPr>
              <w:t>ë</w:t>
            </w:r>
            <w:r w:rsidRPr="002D0AF3">
              <w:rPr>
                <w:rFonts w:ascii="Garamond" w:hAnsi="Garamond" w:cs="Times New Roman"/>
                <w:sz w:val="12"/>
                <w:szCs w:val="12"/>
              </w:rPr>
              <w:t>mij</w:t>
            </w:r>
            <w:r w:rsidRPr="002D0AF3">
              <w:rPr>
                <w:rFonts w:ascii="Garamond" w:hAnsi="Garamond" w:cs="Garamond"/>
                <w:sz w:val="12"/>
                <w:szCs w:val="12"/>
              </w:rPr>
              <w:t>ë</w:t>
            </w:r>
            <w:r w:rsidRPr="002D0AF3">
              <w:rPr>
                <w:rFonts w:ascii="Garamond" w:hAnsi="Garamond" w:cs="Times New Roman"/>
                <w:sz w:val="12"/>
                <w:szCs w:val="12"/>
              </w:rPr>
              <w:t>t e vegj</w:t>
            </w:r>
            <w:r w:rsidRPr="002D0AF3">
              <w:rPr>
                <w:rFonts w:ascii="Garamond" w:hAnsi="Garamond" w:cs="Garamond"/>
                <w:sz w:val="12"/>
                <w:szCs w:val="12"/>
              </w:rPr>
              <w:t>ë</w:t>
            </w:r>
            <w:r w:rsidRPr="002D0AF3">
              <w:rPr>
                <w:rFonts w:ascii="Garamond" w:hAnsi="Garamond" w:cs="Times New Roman"/>
                <w:sz w:val="12"/>
                <w:szCs w:val="12"/>
              </w:rPr>
              <w:t>l mbi sigurin</w:t>
            </w:r>
            <w:r w:rsidRPr="002D0AF3">
              <w:rPr>
                <w:rFonts w:ascii="Garamond" w:hAnsi="Garamond" w:cs="Garamond"/>
                <w:sz w:val="12"/>
                <w:szCs w:val="12"/>
              </w:rPr>
              <w:t>ë</w:t>
            </w:r>
            <w:r w:rsidRPr="002D0AF3">
              <w:rPr>
                <w:rFonts w:ascii="Garamond" w:hAnsi="Garamond" w:cs="Times New Roman"/>
                <w:sz w:val="12"/>
                <w:szCs w:val="12"/>
              </w:rPr>
              <w:t xml:space="preserve"> ushqimore.</w:t>
            </w:r>
          </w:p>
        </w:tc>
        <w:tc>
          <w:tcPr>
            <w:tcW w:w="564" w:type="pct"/>
          </w:tcPr>
          <w:p w14:paraId="04122FA0"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Rritja e ndërgjegjësimit për çështjet e sigurisë ushqimore dhe praktikat e higjienës në shtëpi.</w:t>
            </w:r>
          </w:p>
        </w:tc>
        <w:tc>
          <w:tcPr>
            <w:tcW w:w="742" w:type="pct"/>
          </w:tcPr>
          <w:p w14:paraId="48B9D249"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Numri i nxënësve të përfshirë në shkolla.</w:t>
            </w:r>
          </w:p>
        </w:tc>
        <w:tc>
          <w:tcPr>
            <w:tcW w:w="266" w:type="pct"/>
          </w:tcPr>
          <w:p w14:paraId="1BC50719" w14:textId="77777777" w:rsidR="004F1C60" w:rsidRPr="002D0AF3" w:rsidRDefault="004F1C60" w:rsidP="00B87B10">
            <w:pPr>
              <w:rPr>
                <w:rFonts w:ascii="Garamond" w:hAnsi="Garamond" w:cs="Times New Roman"/>
                <w:sz w:val="12"/>
                <w:szCs w:val="12"/>
              </w:rPr>
            </w:pPr>
            <w:r w:rsidRPr="002D0AF3">
              <w:rPr>
                <w:rFonts w:ascii="Garamond" w:hAnsi="Garamond" w:cs="Times New Roman"/>
                <w:w w:val="99"/>
                <w:sz w:val="12"/>
                <w:szCs w:val="12"/>
              </w:rPr>
              <w:t>4</w:t>
            </w:r>
          </w:p>
        </w:tc>
        <w:tc>
          <w:tcPr>
            <w:tcW w:w="296" w:type="pct"/>
          </w:tcPr>
          <w:p w14:paraId="70AE15FB"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618E3E76"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28FF0D82" w14:textId="77777777" w:rsidR="004F1C60" w:rsidRPr="002D0AF3" w:rsidRDefault="004F1C60" w:rsidP="00B87B10">
            <w:pPr>
              <w:rPr>
                <w:rFonts w:ascii="Garamond" w:hAnsi="Garamond" w:cs="Times New Roman"/>
                <w:sz w:val="12"/>
                <w:szCs w:val="12"/>
                <w:highlight w:val="magenta"/>
              </w:rPr>
            </w:pPr>
            <w:r w:rsidRPr="002D0AF3">
              <w:rPr>
                <w:rFonts w:ascii="Garamond" w:hAnsi="Garamond" w:cs="Times New Roman"/>
                <w:sz w:val="12"/>
                <w:szCs w:val="12"/>
              </w:rPr>
              <w:t xml:space="preserve">16 mln </w:t>
            </w:r>
          </w:p>
        </w:tc>
        <w:tc>
          <w:tcPr>
            <w:tcW w:w="386" w:type="pct"/>
          </w:tcPr>
          <w:p w14:paraId="5BB6097E" w14:textId="77777777" w:rsidR="004F1C60" w:rsidRPr="002D0AF3" w:rsidRDefault="004F1C60" w:rsidP="00B87B10">
            <w:pPr>
              <w:rPr>
                <w:rFonts w:ascii="Garamond" w:hAnsi="Garamond" w:cs="Times New Roman"/>
                <w:sz w:val="12"/>
                <w:szCs w:val="12"/>
                <w:highlight w:val="magenta"/>
              </w:rPr>
            </w:pPr>
            <w:r w:rsidRPr="002D0AF3">
              <w:rPr>
                <w:rFonts w:ascii="Garamond" w:hAnsi="Garamond" w:cs="Times New Roman"/>
                <w:sz w:val="12"/>
                <w:szCs w:val="12"/>
              </w:rPr>
              <w:t xml:space="preserve">4 mln për çdo vit </w:t>
            </w:r>
          </w:p>
        </w:tc>
        <w:tc>
          <w:tcPr>
            <w:tcW w:w="504" w:type="pct"/>
          </w:tcPr>
          <w:p w14:paraId="71971BBC" w14:textId="77777777" w:rsidR="004F1C60" w:rsidRPr="002D0AF3" w:rsidRDefault="004F1C60" w:rsidP="00B87B10">
            <w:pPr>
              <w:rPr>
                <w:rFonts w:ascii="Garamond" w:hAnsi="Garamond" w:cs="Times New Roman"/>
                <w:sz w:val="12"/>
                <w:szCs w:val="12"/>
                <w:highlight w:val="cyan"/>
              </w:rPr>
            </w:pPr>
            <w:r w:rsidRPr="002D0AF3">
              <w:rPr>
                <w:rFonts w:ascii="Garamond" w:hAnsi="Garamond" w:cs="Times New Roman"/>
                <w:sz w:val="12"/>
                <w:szCs w:val="12"/>
              </w:rPr>
              <w:t>0</w:t>
            </w:r>
          </w:p>
        </w:tc>
        <w:tc>
          <w:tcPr>
            <w:tcW w:w="416" w:type="pct"/>
          </w:tcPr>
          <w:p w14:paraId="4D0FE9E4" w14:textId="77777777" w:rsidR="004F1C60" w:rsidRPr="002D0AF3" w:rsidRDefault="004F1C60" w:rsidP="00B87B10">
            <w:pPr>
              <w:rPr>
                <w:rFonts w:ascii="Garamond" w:hAnsi="Garamond" w:cs="Times New Roman"/>
                <w:sz w:val="12"/>
                <w:szCs w:val="12"/>
              </w:rPr>
            </w:pPr>
          </w:p>
        </w:tc>
      </w:tr>
      <w:tr w:rsidR="00BC5407" w:rsidRPr="002D0AF3" w14:paraId="042B8C2A" w14:textId="77777777" w:rsidTr="00BC5407">
        <w:trPr>
          <w:trHeight w:val="20"/>
          <w:jc w:val="center"/>
        </w:trPr>
        <w:tc>
          <w:tcPr>
            <w:tcW w:w="177" w:type="pct"/>
          </w:tcPr>
          <w:p w14:paraId="0DEB5012"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6e</w:t>
            </w:r>
          </w:p>
        </w:tc>
        <w:tc>
          <w:tcPr>
            <w:tcW w:w="398" w:type="pct"/>
          </w:tcPr>
          <w:p w14:paraId="176B859A" w14:textId="61885D6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Transparenca-</w:t>
            </w:r>
            <w:r w:rsidR="003B73F2" w:rsidRPr="002D0AF3">
              <w:rPr>
                <w:rFonts w:ascii="Garamond" w:hAnsi="Garamond" w:cs="Times New Roman"/>
                <w:sz w:val="12"/>
                <w:szCs w:val="12"/>
              </w:rPr>
              <w:t xml:space="preserve">angazhimi </w:t>
            </w:r>
            <w:r w:rsidRPr="002D0AF3">
              <w:rPr>
                <w:rFonts w:ascii="Garamond" w:hAnsi="Garamond" w:cs="Times New Roman"/>
                <w:sz w:val="12"/>
                <w:szCs w:val="12"/>
              </w:rPr>
              <w:t>i palëve të interesit.</w:t>
            </w:r>
          </w:p>
        </w:tc>
        <w:tc>
          <w:tcPr>
            <w:tcW w:w="593" w:type="pct"/>
          </w:tcPr>
          <w:p w14:paraId="12F12E3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Ministria e Arsimit dhe Sportit, në bashkëpunim me MBZHR-në dhe institucionet përkatëse të zhvillojnë një plan afatgjatë për të ulur kostot e fushatave të ndërgjegjësimit për sigurinë ushqimore dhe të eksplorojnë mundësinë e përfshirjes së sigurisë ushqimore brenda kurrikulës shkollore.</w:t>
            </w:r>
          </w:p>
          <w:p w14:paraId="49873346" w14:textId="77777777" w:rsidR="004F1C60" w:rsidRPr="002D0AF3" w:rsidRDefault="004F1C60" w:rsidP="00B87B10">
            <w:pPr>
              <w:rPr>
                <w:rFonts w:ascii="Garamond" w:hAnsi="Garamond" w:cs="Times New Roman"/>
                <w:sz w:val="12"/>
                <w:szCs w:val="12"/>
              </w:rPr>
            </w:pPr>
          </w:p>
        </w:tc>
        <w:tc>
          <w:tcPr>
            <w:tcW w:w="564" w:type="pct"/>
          </w:tcPr>
          <w:p w14:paraId="62C6D3D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Hartimi dhe implementimi në shkolla i programit arsimor për sigurinë ushqimore (nga ferma në pirun).</w:t>
            </w:r>
          </w:p>
        </w:tc>
        <w:tc>
          <w:tcPr>
            <w:tcW w:w="742" w:type="pct"/>
          </w:tcPr>
          <w:p w14:paraId="00BA40B8"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Numri i nxënësve të përfshirë në shkolla.</w:t>
            </w:r>
          </w:p>
        </w:tc>
        <w:tc>
          <w:tcPr>
            <w:tcW w:w="266" w:type="pct"/>
          </w:tcPr>
          <w:p w14:paraId="04518340"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4</w:t>
            </w:r>
          </w:p>
        </w:tc>
        <w:tc>
          <w:tcPr>
            <w:tcW w:w="296" w:type="pct"/>
          </w:tcPr>
          <w:p w14:paraId="4624EEC4"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11E8A33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24CB211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5.75 mln</w:t>
            </w:r>
          </w:p>
        </w:tc>
        <w:tc>
          <w:tcPr>
            <w:tcW w:w="386" w:type="pct"/>
          </w:tcPr>
          <w:p w14:paraId="1FC0751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504" w:type="pct"/>
          </w:tcPr>
          <w:p w14:paraId="355822F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IPA III (2021-2027)</w:t>
            </w:r>
          </w:p>
          <w:p w14:paraId="1141EEAB" w14:textId="77777777" w:rsidR="004F1C60" w:rsidRPr="002D0AF3" w:rsidRDefault="004F1C60" w:rsidP="00B87B10">
            <w:pPr>
              <w:rPr>
                <w:rFonts w:ascii="Garamond" w:hAnsi="Garamond" w:cs="Times New Roman"/>
                <w:sz w:val="12"/>
                <w:szCs w:val="12"/>
                <w:highlight w:val="red"/>
              </w:rPr>
            </w:pPr>
          </w:p>
          <w:p w14:paraId="296DCB8C" w14:textId="77777777" w:rsidR="004F1C60" w:rsidRPr="002D0AF3" w:rsidRDefault="004F1C60" w:rsidP="00B87B10">
            <w:pPr>
              <w:rPr>
                <w:rFonts w:ascii="Garamond" w:hAnsi="Garamond" w:cs="Times New Roman"/>
                <w:sz w:val="12"/>
                <w:szCs w:val="12"/>
                <w:highlight w:val="red"/>
              </w:rPr>
            </w:pPr>
            <w:r w:rsidRPr="002D0AF3">
              <w:rPr>
                <w:rFonts w:ascii="Garamond" w:hAnsi="Garamond" w:cs="Times New Roman"/>
                <w:sz w:val="12"/>
                <w:szCs w:val="12"/>
              </w:rPr>
              <w:t>5.75 mln</w:t>
            </w:r>
          </w:p>
        </w:tc>
        <w:tc>
          <w:tcPr>
            <w:tcW w:w="416" w:type="pct"/>
          </w:tcPr>
          <w:p w14:paraId="742680E3" w14:textId="77777777" w:rsidR="004F1C60" w:rsidRPr="002D0AF3" w:rsidRDefault="004F1C60" w:rsidP="00B87B10">
            <w:pPr>
              <w:rPr>
                <w:rFonts w:ascii="Garamond" w:hAnsi="Garamond" w:cs="Times New Roman"/>
                <w:sz w:val="12"/>
                <w:szCs w:val="12"/>
              </w:rPr>
            </w:pPr>
          </w:p>
        </w:tc>
      </w:tr>
      <w:tr w:rsidR="00BC5407" w:rsidRPr="002D0AF3" w14:paraId="107772AF" w14:textId="77777777" w:rsidTr="00BC5407">
        <w:trPr>
          <w:trHeight w:val="20"/>
          <w:jc w:val="center"/>
        </w:trPr>
        <w:tc>
          <w:tcPr>
            <w:tcW w:w="177" w:type="pct"/>
          </w:tcPr>
          <w:p w14:paraId="15ACD8F0"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6f</w:t>
            </w:r>
          </w:p>
        </w:tc>
        <w:tc>
          <w:tcPr>
            <w:tcW w:w="398" w:type="pct"/>
          </w:tcPr>
          <w:p w14:paraId="230B3313" w14:textId="27B237F1"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Transparenca -</w:t>
            </w:r>
            <w:r w:rsidR="003B73F2" w:rsidRPr="002D0AF3">
              <w:rPr>
                <w:rFonts w:ascii="Garamond" w:hAnsi="Garamond" w:cs="Times New Roman"/>
                <w:sz w:val="12"/>
                <w:szCs w:val="12"/>
              </w:rPr>
              <w:t xml:space="preserve">angazhimi </w:t>
            </w:r>
            <w:r w:rsidRPr="002D0AF3">
              <w:rPr>
                <w:rFonts w:ascii="Garamond" w:hAnsi="Garamond" w:cs="Times New Roman"/>
                <w:sz w:val="12"/>
                <w:szCs w:val="12"/>
              </w:rPr>
              <w:t>i palëve të interesit.</w:t>
            </w:r>
          </w:p>
        </w:tc>
        <w:tc>
          <w:tcPr>
            <w:tcW w:w="593" w:type="pct"/>
          </w:tcPr>
          <w:p w14:paraId="7FB3291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Angazhim me palët e treta për kryerjen e anketimeve për konsumatorët (çdo 3 deri në 5 vjet mbi ndërgjegjësimin dhe perceptimet e konsumatorëve për sigurinë ushqimore.</w:t>
            </w:r>
          </w:p>
        </w:tc>
        <w:tc>
          <w:tcPr>
            <w:tcW w:w="564" w:type="pct"/>
          </w:tcPr>
          <w:p w14:paraId="173CDC69"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Planifikim dhe programim i</w:t>
            </w:r>
          </w:p>
          <w:p w14:paraId="14E05554" w14:textId="11250E8C"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anketimeve për</w:t>
            </w:r>
            <w:r w:rsidR="003E60DD" w:rsidRPr="002D0AF3">
              <w:rPr>
                <w:rFonts w:ascii="Garamond" w:hAnsi="Garamond" w:cs="Times New Roman"/>
                <w:sz w:val="12"/>
                <w:szCs w:val="12"/>
              </w:rPr>
              <w:t xml:space="preserve"> </w:t>
            </w:r>
            <w:r w:rsidRPr="002D0AF3">
              <w:rPr>
                <w:rFonts w:ascii="Garamond" w:hAnsi="Garamond" w:cs="Times New Roman"/>
                <w:sz w:val="12"/>
                <w:szCs w:val="12"/>
              </w:rPr>
              <w:t>konsumatorët çdo 3 deri në 5 vjet.</w:t>
            </w:r>
          </w:p>
        </w:tc>
        <w:tc>
          <w:tcPr>
            <w:tcW w:w="742" w:type="pct"/>
          </w:tcPr>
          <w:p w14:paraId="7D363F4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Raportet përfundimtare të anketimit.</w:t>
            </w:r>
          </w:p>
        </w:tc>
        <w:tc>
          <w:tcPr>
            <w:tcW w:w="266" w:type="pct"/>
          </w:tcPr>
          <w:p w14:paraId="252720E6"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4</w:t>
            </w:r>
          </w:p>
        </w:tc>
        <w:tc>
          <w:tcPr>
            <w:tcW w:w="296" w:type="pct"/>
          </w:tcPr>
          <w:p w14:paraId="6925ECBF"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6EF8496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462400F4" w14:textId="77777777" w:rsidR="004F1C60" w:rsidRPr="002D0AF3" w:rsidRDefault="004F1C60" w:rsidP="00B87B10">
            <w:pPr>
              <w:rPr>
                <w:rFonts w:ascii="Garamond" w:hAnsi="Garamond" w:cs="Times New Roman"/>
                <w:sz w:val="12"/>
                <w:szCs w:val="12"/>
                <w:highlight w:val="red"/>
              </w:rPr>
            </w:pPr>
            <w:r w:rsidRPr="002D0AF3">
              <w:rPr>
                <w:rFonts w:ascii="Garamond" w:hAnsi="Garamond" w:cs="Times New Roman"/>
                <w:sz w:val="12"/>
                <w:szCs w:val="12"/>
              </w:rPr>
              <w:t>6.75 mln</w:t>
            </w:r>
          </w:p>
        </w:tc>
        <w:tc>
          <w:tcPr>
            <w:tcW w:w="386" w:type="pct"/>
          </w:tcPr>
          <w:p w14:paraId="6E456E1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 mln lekë për anketë</w:t>
            </w:r>
          </w:p>
        </w:tc>
        <w:tc>
          <w:tcPr>
            <w:tcW w:w="504" w:type="pct"/>
          </w:tcPr>
          <w:p w14:paraId="789CBC2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IPA III (2021-2027)</w:t>
            </w:r>
          </w:p>
          <w:p w14:paraId="2FEAD15A" w14:textId="77777777" w:rsidR="004F1C60" w:rsidRPr="002D0AF3" w:rsidRDefault="004F1C60" w:rsidP="00B87B10">
            <w:pPr>
              <w:rPr>
                <w:rFonts w:ascii="Garamond" w:hAnsi="Garamond" w:cs="Times New Roman"/>
                <w:sz w:val="12"/>
                <w:szCs w:val="12"/>
                <w:highlight w:val="red"/>
              </w:rPr>
            </w:pPr>
          </w:p>
          <w:p w14:paraId="5E6E318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5.75 mln</w:t>
            </w:r>
          </w:p>
        </w:tc>
        <w:tc>
          <w:tcPr>
            <w:tcW w:w="416" w:type="pct"/>
          </w:tcPr>
          <w:p w14:paraId="446FCF7B" w14:textId="77777777" w:rsidR="004F1C60" w:rsidRPr="002D0AF3" w:rsidRDefault="004F1C60" w:rsidP="00B87B10">
            <w:pPr>
              <w:rPr>
                <w:rFonts w:ascii="Garamond" w:hAnsi="Garamond" w:cs="Times New Roman"/>
                <w:sz w:val="12"/>
                <w:szCs w:val="12"/>
              </w:rPr>
            </w:pPr>
          </w:p>
        </w:tc>
      </w:tr>
      <w:tr w:rsidR="00BC5407" w:rsidRPr="002D0AF3" w14:paraId="2433AB5D" w14:textId="77777777" w:rsidTr="00BC5407">
        <w:trPr>
          <w:trHeight w:val="20"/>
          <w:jc w:val="center"/>
        </w:trPr>
        <w:tc>
          <w:tcPr>
            <w:tcW w:w="177" w:type="pct"/>
          </w:tcPr>
          <w:p w14:paraId="5177649C"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7a</w:t>
            </w:r>
          </w:p>
        </w:tc>
        <w:tc>
          <w:tcPr>
            <w:tcW w:w="398" w:type="pct"/>
          </w:tcPr>
          <w:p w14:paraId="6C5BA7FC" w14:textId="06160529"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Analiza e riskut - </w:t>
            </w:r>
            <w:r w:rsidR="003B73F2" w:rsidRPr="002D0AF3">
              <w:rPr>
                <w:rFonts w:ascii="Garamond" w:hAnsi="Garamond" w:cs="Times New Roman"/>
                <w:sz w:val="12"/>
                <w:szCs w:val="12"/>
              </w:rPr>
              <w:t xml:space="preserve">vlerësimi </w:t>
            </w:r>
            <w:r w:rsidRPr="002D0AF3">
              <w:rPr>
                <w:rFonts w:ascii="Garamond" w:hAnsi="Garamond" w:cs="Times New Roman"/>
                <w:sz w:val="12"/>
                <w:szCs w:val="12"/>
              </w:rPr>
              <w:t>i riskut.</w:t>
            </w:r>
          </w:p>
        </w:tc>
        <w:tc>
          <w:tcPr>
            <w:tcW w:w="593" w:type="pct"/>
          </w:tcPr>
          <w:p w14:paraId="13485D4B"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Rishikimi dhe ndryshimi i legjislacionit për vlerësimin e riskut për t'i caktuar atributet e vlerësimit të riskut të sigurisë së ushqimit dhe ushqimit për kafshë tek institucioni më i përshtatshëm.</w:t>
            </w:r>
          </w:p>
        </w:tc>
        <w:tc>
          <w:tcPr>
            <w:tcW w:w="564" w:type="pct"/>
          </w:tcPr>
          <w:p w14:paraId="5A2FCBB4" w14:textId="3B4155C6"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Vlerësues të pavarur dhe kompetent të riskut për ushqimin dhe</w:t>
            </w:r>
            <w:r w:rsidR="003E60DD" w:rsidRPr="002D0AF3">
              <w:rPr>
                <w:rFonts w:ascii="Garamond" w:hAnsi="Garamond" w:cs="Times New Roman"/>
                <w:sz w:val="12"/>
                <w:szCs w:val="12"/>
              </w:rPr>
              <w:t xml:space="preserve"> </w:t>
            </w:r>
            <w:r w:rsidRPr="002D0AF3">
              <w:rPr>
                <w:rFonts w:ascii="Garamond" w:hAnsi="Garamond" w:cs="Times New Roman"/>
                <w:sz w:val="12"/>
                <w:szCs w:val="12"/>
              </w:rPr>
              <w:t>ushqimin për kafshë në Shqipëri.</w:t>
            </w:r>
          </w:p>
        </w:tc>
        <w:tc>
          <w:tcPr>
            <w:tcW w:w="742" w:type="pct"/>
          </w:tcPr>
          <w:p w14:paraId="76A6A0D6"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Vlerësimi i riskut për sigurinë e ushqimit dhe ushqimit për kafshë, i kryer nga institucioni përkatës dhe i komunikuar organeve përkatëse.</w:t>
            </w:r>
          </w:p>
        </w:tc>
        <w:tc>
          <w:tcPr>
            <w:tcW w:w="266" w:type="pct"/>
          </w:tcPr>
          <w:p w14:paraId="717539E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w:t>
            </w:r>
          </w:p>
        </w:tc>
        <w:tc>
          <w:tcPr>
            <w:tcW w:w="296" w:type="pct"/>
          </w:tcPr>
          <w:p w14:paraId="393A94F4"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TM2 2023</w:t>
            </w:r>
          </w:p>
        </w:tc>
        <w:tc>
          <w:tcPr>
            <w:tcW w:w="326" w:type="pct"/>
          </w:tcPr>
          <w:p w14:paraId="1771263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TM1 2026</w:t>
            </w:r>
          </w:p>
        </w:tc>
        <w:tc>
          <w:tcPr>
            <w:tcW w:w="331" w:type="pct"/>
          </w:tcPr>
          <w:p w14:paraId="6AD4C494"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1.15 mln</w:t>
            </w:r>
          </w:p>
        </w:tc>
        <w:tc>
          <w:tcPr>
            <w:tcW w:w="386" w:type="pct"/>
          </w:tcPr>
          <w:p w14:paraId="7F865A79"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504" w:type="pct"/>
          </w:tcPr>
          <w:p w14:paraId="6049C5C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IPA III (2021-2027) </w:t>
            </w:r>
          </w:p>
          <w:p w14:paraId="0935137A" w14:textId="77777777" w:rsidR="004F1C60" w:rsidRPr="002D0AF3" w:rsidRDefault="004F1C60" w:rsidP="00B87B10">
            <w:pPr>
              <w:rPr>
                <w:rFonts w:ascii="Garamond" w:hAnsi="Garamond" w:cs="Times New Roman"/>
                <w:sz w:val="12"/>
                <w:szCs w:val="12"/>
                <w:highlight w:val="darkCyan"/>
              </w:rPr>
            </w:pPr>
            <w:r w:rsidRPr="002D0AF3">
              <w:rPr>
                <w:rFonts w:ascii="Garamond" w:hAnsi="Garamond" w:cs="Times New Roman"/>
                <w:sz w:val="12"/>
                <w:szCs w:val="12"/>
              </w:rPr>
              <w:t>1.15 mln</w:t>
            </w:r>
          </w:p>
        </w:tc>
        <w:tc>
          <w:tcPr>
            <w:tcW w:w="416" w:type="pct"/>
          </w:tcPr>
          <w:p w14:paraId="5438DAED" w14:textId="77777777" w:rsidR="004F1C60" w:rsidRPr="002D0AF3" w:rsidRDefault="004F1C60" w:rsidP="00B87B10">
            <w:pPr>
              <w:rPr>
                <w:rFonts w:ascii="Garamond" w:hAnsi="Garamond" w:cs="Times New Roman"/>
                <w:sz w:val="12"/>
                <w:szCs w:val="12"/>
              </w:rPr>
            </w:pPr>
          </w:p>
        </w:tc>
      </w:tr>
      <w:tr w:rsidR="00BC5407" w:rsidRPr="002D0AF3" w14:paraId="635571FC" w14:textId="77777777" w:rsidTr="00BC5407">
        <w:trPr>
          <w:trHeight w:val="20"/>
          <w:jc w:val="center"/>
        </w:trPr>
        <w:tc>
          <w:tcPr>
            <w:tcW w:w="177" w:type="pct"/>
          </w:tcPr>
          <w:p w14:paraId="6D41CC86"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7b</w:t>
            </w:r>
          </w:p>
        </w:tc>
        <w:tc>
          <w:tcPr>
            <w:tcW w:w="398" w:type="pct"/>
          </w:tcPr>
          <w:p w14:paraId="1050244C"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Analiza e riskut - Vlerësimi i riskut.</w:t>
            </w:r>
          </w:p>
        </w:tc>
        <w:tc>
          <w:tcPr>
            <w:tcW w:w="593" w:type="pct"/>
          </w:tcPr>
          <w:p w14:paraId="6D8D3593"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Rishikimi dhe ndryshimi i legjislacionit për vlerësimin e riskut për t’i caktuar atributet e vlerësimit të riskut për shëndetin e </w:t>
            </w:r>
            <w:r w:rsidRPr="002D0AF3">
              <w:rPr>
                <w:rFonts w:ascii="Garamond" w:hAnsi="Garamond" w:cs="Times New Roman"/>
                <w:sz w:val="12"/>
                <w:szCs w:val="12"/>
              </w:rPr>
              <w:lastRenderedPageBreak/>
              <w:t xml:space="preserve">bimëve tek institucioni më i përshtatshëm. </w:t>
            </w:r>
          </w:p>
        </w:tc>
        <w:tc>
          <w:tcPr>
            <w:tcW w:w="564" w:type="pct"/>
          </w:tcPr>
          <w:p w14:paraId="5D4D2A8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lastRenderedPageBreak/>
              <w:t>Vlerësues të pavarur dhe kompetent të riskut për shëndetin e bimëve në Shqipëri.</w:t>
            </w:r>
          </w:p>
        </w:tc>
        <w:tc>
          <w:tcPr>
            <w:tcW w:w="742" w:type="pct"/>
          </w:tcPr>
          <w:p w14:paraId="746687FD" w14:textId="5A15F14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Vlerësimi i riskut për shëndetin e bimëve i kryer nga ISUV</w:t>
            </w:r>
            <w:r w:rsidR="003B73F2">
              <w:rPr>
                <w:rFonts w:ascii="Garamond" w:hAnsi="Garamond" w:cs="Times New Roman"/>
                <w:sz w:val="12"/>
                <w:szCs w:val="12"/>
              </w:rPr>
              <w:t>-ja</w:t>
            </w:r>
            <w:r w:rsidRPr="002D0AF3">
              <w:rPr>
                <w:rFonts w:ascii="Garamond" w:hAnsi="Garamond" w:cs="Times New Roman"/>
                <w:sz w:val="12"/>
                <w:szCs w:val="12"/>
              </w:rPr>
              <w:t xml:space="preserve"> dhe i komunikuar organeve përkatëse (p.sh. AKVMB).</w:t>
            </w:r>
          </w:p>
        </w:tc>
        <w:tc>
          <w:tcPr>
            <w:tcW w:w="266" w:type="pct"/>
          </w:tcPr>
          <w:p w14:paraId="1C7BDF29"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w:t>
            </w:r>
          </w:p>
        </w:tc>
        <w:tc>
          <w:tcPr>
            <w:tcW w:w="296" w:type="pct"/>
          </w:tcPr>
          <w:p w14:paraId="572CF140"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TM2 2023</w:t>
            </w:r>
          </w:p>
        </w:tc>
        <w:tc>
          <w:tcPr>
            <w:tcW w:w="326" w:type="pct"/>
          </w:tcPr>
          <w:p w14:paraId="722FF76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TM1 2026</w:t>
            </w:r>
          </w:p>
        </w:tc>
        <w:tc>
          <w:tcPr>
            <w:tcW w:w="331" w:type="pct"/>
          </w:tcPr>
          <w:p w14:paraId="3533B58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1.15 mln</w:t>
            </w:r>
          </w:p>
        </w:tc>
        <w:tc>
          <w:tcPr>
            <w:tcW w:w="386" w:type="pct"/>
          </w:tcPr>
          <w:p w14:paraId="1BC837BE"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504" w:type="pct"/>
          </w:tcPr>
          <w:p w14:paraId="6B0F27D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IPA III (2021-2027) </w:t>
            </w:r>
          </w:p>
          <w:p w14:paraId="3F798A87" w14:textId="77777777" w:rsidR="004F1C60" w:rsidRPr="002D0AF3" w:rsidRDefault="004F1C60" w:rsidP="00B87B10">
            <w:pPr>
              <w:rPr>
                <w:rFonts w:ascii="Garamond" w:hAnsi="Garamond" w:cs="Times New Roman"/>
                <w:sz w:val="12"/>
                <w:szCs w:val="12"/>
                <w:highlight w:val="darkCyan"/>
              </w:rPr>
            </w:pPr>
            <w:r w:rsidRPr="002D0AF3">
              <w:rPr>
                <w:rFonts w:ascii="Garamond" w:hAnsi="Garamond" w:cs="Times New Roman"/>
                <w:sz w:val="12"/>
                <w:szCs w:val="12"/>
              </w:rPr>
              <w:t>1.15 mln</w:t>
            </w:r>
          </w:p>
        </w:tc>
        <w:tc>
          <w:tcPr>
            <w:tcW w:w="416" w:type="pct"/>
          </w:tcPr>
          <w:p w14:paraId="34C421E7" w14:textId="77777777" w:rsidR="004F1C60" w:rsidRPr="002D0AF3" w:rsidRDefault="004F1C60" w:rsidP="00B87B10">
            <w:pPr>
              <w:rPr>
                <w:rFonts w:ascii="Garamond" w:hAnsi="Garamond" w:cs="Times New Roman"/>
                <w:sz w:val="12"/>
                <w:szCs w:val="12"/>
              </w:rPr>
            </w:pPr>
          </w:p>
        </w:tc>
      </w:tr>
      <w:tr w:rsidR="00BC5407" w:rsidRPr="002D0AF3" w14:paraId="01994948" w14:textId="77777777" w:rsidTr="00BC5407">
        <w:trPr>
          <w:trHeight w:val="20"/>
          <w:jc w:val="center"/>
        </w:trPr>
        <w:tc>
          <w:tcPr>
            <w:tcW w:w="177" w:type="pct"/>
          </w:tcPr>
          <w:p w14:paraId="6002ACEF"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lastRenderedPageBreak/>
              <w:t>7c</w:t>
            </w:r>
          </w:p>
        </w:tc>
        <w:tc>
          <w:tcPr>
            <w:tcW w:w="398" w:type="pct"/>
          </w:tcPr>
          <w:p w14:paraId="61B1253D" w14:textId="44A7D4AF"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Analiza e riskut</w:t>
            </w:r>
            <w:r w:rsidR="003B73F2">
              <w:rPr>
                <w:rFonts w:ascii="Garamond" w:hAnsi="Garamond" w:cs="Times New Roman"/>
                <w:sz w:val="12"/>
                <w:szCs w:val="12"/>
              </w:rPr>
              <w:t xml:space="preserve"> </w:t>
            </w:r>
            <w:r w:rsidRPr="002D0AF3">
              <w:rPr>
                <w:rFonts w:ascii="Garamond" w:hAnsi="Garamond" w:cs="Times New Roman"/>
                <w:sz w:val="12"/>
                <w:szCs w:val="12"/>
              </w:rPr>
              <w:t xml:space="preserve">- </w:t>
            </w:r>
            <w:r w:rsidR="003B73F2" w:rsidRPr="002D0AF3">
              <w:rPr>
                <w:rFonts w:ascii="Garamond" w:hAnsi="Garamond" w:cs="Times New Roman"/>
                <w:sz w:val="12"/>
                <w:szCs w:val="12"/>
              </w:rPr>
              <w:t xml:space="preserve">vlerësimi </w:t>
            </w:r>
            <w:r w:rsidRPr="002D0AF3">
              <w:rPr>
                <w:rFonts w:ascii="Garamond" w:hAnsi="Garamond" w:cs="Times New Roman"/>
                <w:sz w:val="12"/>
                <w:szCs w:val="12"/>
              </w:rPr>
              <w:t>i riskut.</w:t>
            </w:r>
          </w:p>
        </w:tc>
        <w:tc>
          <w:tcPr>
            <w:tcW w:w="593" w:type="pct"/>
          </w:tcPr>
          <w:p w14:paraId="63EE7BE3"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Rishikimi dhe ndryshimi i legjislacionit për vlerësimin e riskut për t’i caktuar atributet e vlerësimit të riskut për fushën e shëndetit dhe mirëqenies së kafshëve atributet tek institucioni më i përshtatshëm. </w:t>
            </w:r>
          </w:p>
          <w:p w14:paraId="4F138E6D" w14:textId="77777777" w:rsidR="004F1C60" w:rsidRPr="002D0AF3" w:rsidRDefault="004F1C60" w:rsidP="00B87B10">
            <w:pPr>
              <w:pStyle w:val="TableParagraph"/>
              <w:rPr>
                <w:rFonts w:ascii="Garamond" w:hAnsi="Garamond" w:cs="Times New Roman"/>
                <w:sz w:val="12"/>
                <w:szCs w:val="12"/>
              </w:rPr>
            </w:pPr>
          </w:p>
          <w:p w14:paraId="3C4BD912" w14:textId="77777777" w:rsidR="004F1C60" w:rsidRPr="002D0AF3" w:rsidRDefault="004F1C60" w:rsidP="00B87B10">
            <w:pPr>
              <w:pStyle w:val="TableParagraph"/>
              <w:rPr>
                <w:rFonts w:ascii="Garamond" w:hAnsi="Garamond" w:cs="Times New Roman"/>
                <w:sz w:val="12"/>
                <w:szCs w:val="12"/>
              </w:rPr>
            </w:pPr>
          </w:p>
        </w:tc>
        <w:tc>
          <w:tcPr>
            <w:tcW w:w="564" w:type="pct"/>
          </w:tcPr>
          <w:p w14:paraId="44D3497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Vlerësues të pavarur dhe kompetent të riskut për shëndetin dhe mirëqenien e kafshëve në Shqipëri.</w:t>
            </w:r>
          </w:p>
          <w:p w14:paraId="78B6A129" w14:textId="77777777" w:rsidR="004F1C60" w:rsidRPr="002D0AF3" w:rsidRDefault="004F1C60" w:rsidP="00B87B10">
            <w:pPr>
              <w:rPr>
                <w:rFonts w:ascii="Garamond" w:hAnsi="Garamond" w:cs="Times New Roman"/>
                <w:sz w:val="12"/>
                <w:szCs w:val="12"/>
              </w:rPr>
            </w:pPr>
          </w:p>
          <w:p w14:paraId="1151ABEA" w14:textId="5630F9A2" w:rsidR="004F1C60" w:rsidRPr="002D0AF3" w:rsidRDefault="003E60DD" w:rsidP="00B87B10">
            <w:pPr>
              <w:rPr>
                <w:rFonts w:ascii="Garamond" w:hAnsi="Garamond" w:cs="Times New Roman"/>
                <w:sz w:val="12"/>
                <w:szCs w:val="12"/>
              </w:rPr>
            </w:pPr>
            <w:r w:rsidRPr="002D0AF3">
              <w:rPr>
                <w:rFonts w:ascii="Garamond" w:hAnsi="Garamond" w:cs="Times New Roman"/>
                <w:sz w:val="12"/>
                <w:szCs w:val="12"/>
              </w:rPr>
              <w:t xml:space="preserve"> </w:t>
            </w:r>
          </w:p>
        </w:tc>
        <w:tc>
          <w:tcPr>
            <w:tcW w:w="742" w:type="pct"/>
          </w:tcPr>
          <w:p w14:paraId="053CF9F7"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Vlerësimi i riskut për shëndetin dhe mirëqenien e kafshëve i kryer nga ISUV dhe i komunikuar organeve përkatëse (p.sh. AKVMB).</w:t>
            </w:r>
          </w:p>
        </w:tc>
        <w:tc>
          <w:tcPr>
            <w:tcW w:w="266" w:type="pct"/>
          </w:tcPr>
          <w:p w14:paraId="0F4E36E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w:t>
            </w:r>
          </w:p>
        </w:tc>
        <w:tc>
          <w:tcPr>
            <w:tcW w:w="296" w:type="pct"/>
          </w:tcPr>
          <w:p w14:paraId="469DCC6F"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TM2 2023</w:t>
            </w:r>
          </w:p>
        </w:tc>
        <w:tc>
          <w:tcPr>
            <w:tcW w:w="326" w:type="pct"/>
          </w:tcPr>
          <w:p w14:paraId="2EB889DA"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TM1 2026</w:t>
            </w:r>
          </w:p>
        </w:tc>
        <w:tc>
          <w:tcPr>
            <w:tcW w:w="331" w:type="pct"/>
          </w:tcPr>
          <w:p w14:paraId="788D4DA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1.15 mln</w:t>
            </w:r>
          </w:p>
        </w:tc>
        <w:tc>
          <w:tcPr>
            <w:tcW w:w="386" w:type="pct"/>
          </w:tcPr>
          <w:p w14:paraId="5FE806B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504" w:type="pct"/>
          </w:tcPr>
          <w:p w14:paraId="63572DD7"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IPA III (2021-2027) </w:t>
            </w:r>
          </w:p>
          <w:p w14:paraId="22867F41" w14:textId="77777777" w:rsidR="004F1C60" w:rsidRPr="002D0AF3" w:rsidRDefault="004F1C60" w:rsidP="00B87B10">
            <w:pPr>
              <w:rPr>
                <w:rFonts w:ascii="Garamond" w:hAnsi="Garamond" w:cs="Times New Roman"/>
                <w:sz w:val="12"/>
                <w:szCs w:val="12"/>
              </w:rPr>
            </w:pPr>
          </w:p>
          <w:p w14:paraId="1CCC948B" w14:textId="77777777" w:rsidR="004F1C60" w:rsidRPr="002D0AF3" w:rsidRDefault="004F1C60" w:rsidP="00B87B10">
            <w:pPr>
              <w:rPr>
                <w:rFonts w:ascii="Garamond" w:hAnsi="Garamond" w:cs="Times New Roman"/>
                <w:sz w:val="12"/>
                <w:szCs w:val="12"/>
                <w:highlight w:val="darkCyan"/>
              </w:rPr>
            </w:pPr>
            <w:r w:rsidRPr="002D0AF3">
              <w:rPr>
                <w:rFonts w:ascii="Garamond" w:hAnsi="Garamond" w:cs="Times New Roman"/>
                <w:sz w:val="12"/>
                <w:szCs w:val="12"/>
              </w:rPr>
              <w:t>1.15 mln</w:t>
            </w:r>
          </w:p>
        </w:tc>
        <w:tc>
          <w:tcPr>
            <w:tcW w:w="416" w:type="pct"/>
          </w:tcPr>
          <w:p w14:paraId="6F6B4740" w14:textId="77777777" w:rsidR="004F1C60" w:rsidRPr="002D0AF3" w:rsidRDefault="004F1C60" w:rsidP="00B87B10">
            <w:pPr>
              <w:rPr>
                <w:rFonts w:ascii="Garamond" w:hAnsi="Garamond" w:cs="Times New Roman"/>
                <w:sz w:val="12"/>
                <w:szCs w:val="12"/>
              </w:rPr>
            </w:pPr>
          </w:p>
        </w:tc>
      </w:tr>
      <w:tr w:rsidR="00BC5407" w:rsidRPr="002D0AF3" w14:paraId="6AEA4ED8" w14:textId="77777777" w:rsidTr="00BC5407">
        <w:trPr>
          <w:trHeight w:val="20"/>
          <w:jc w:val="center"/>
        </w:trPr>
        <w:tc>
          <w:tcPr>
            <w:tcW w:w="177" w:type="pct"/>
          </w:tcPr>
          <w:p w14:paraId="709CF957"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7d</w:t>
            </w:r>
          </w:p>
        </w:tc>
        <w:tc>
          <w:tcPr>
            <w:tcW w:w="398" w:type="pct"/>
          </w:tcPr>
          <w:p w14:paraId="5116628F" w14:textId="545DFE88"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Analiza e riskut: </w:t>
            </w:r>
            <w:r w:rsidR="003B73F2" w:rsidRPr="002D0AF3">
              <w:rPr>
                <w:rFonts w:ascii="Garamond" w:hAnsi="Garamond" w:cs="Times New Roman"/>
                <w:sz w:val="12"/>
                <w:szCs w:val="12"/>
              </w:rPr>
              <w:t xml:space="preserve">menaxhimi </w:t>
            </w:r>
            <w:r w:rsidRPr="002D0AF3">
              <w:rPr>
                <w:rFonts w:ascii="Garamond" w:hAnsi="Garamond" w:cs="Times New Roman"/>
                <w:sz w:val="12"/>
                <w:szCs w:val="12"/>
              </w:rPr>
              <w:t>i riskut.</w:t>
            </w:r>
          </w:p>
        </w:tc>
        <w:tc>
          <w:tcPr>
            <w:tcW w:w="593" w:type="pct"/>
          </w:tcPr>
          <w:p w14:paraId="62CFF92A" w14:textId="26F4351F"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Zhvillimi i kapaciteteve të MBZHR-së, AKU-së,</w:t>
            </w:r>
            <w:r w:rsidR="003E60DD" w:rsidRPr="002D0AF3">
              <w:rPr>
                <w:rFonts w:ascii="Garamond" w:hAnsi="Garamond" w:cs="Times New Roman"/>
                <w:sz w:val="12"/>
                <w:szCs w:val="12"/>
              </w:rPr>
              <w:t xml:space="preserve"> </w:t>
            </w:r>
            <w:r w:rsidRPr="002D0AF3">
              <w:rPr>
                <w:rFonts w:ascii="Garamond" w:hAnsi="Garamond" w:cs="Times New Roman"/>
                <w:sz w:val="12"/>
                <w:szCs w:val="12"/>
              </w:rPr>
              <w:t>dhe AKVMB-së,</w:t>
            </w:r>
            <w:r w:rsidR="003E60DD" w:rsidRPr="002D0AF3">
              <w:rPr>
                <w:rFonts w:ascii="Garamond" w:hAnsi="Garamond" w:cs="Times New Roman"/>
                <w:sz w:val="12"/>
                <w:szCs w:val="12"/>
              </w:rPr>
              <w:t xml:space="preserve"> </w:t>
            </w:r>
            <w:r w:rsidRPr="002D0AF3">
              <w:rPr>
                <w:rFonts w:ascii="Garamond" w:hAnsi="Garamond" w:cs="Times New Roman"/>
                <w:sz w:val="12"/>
                <w:szCs w:val="12"/>
              </w:rPr>
              <w:t>në fushat e menaxhimit të riskut.</w:t>
            </w:r>
          </w:p>
        </w:tc>
        <w:tc>
          <w:tcPr>
            <w:tcW w:w="564" w:type="pct"/>
          </w:tcPr>
          <w:p w14:paraId="5F96ABB4" w14:textId="5B0BED46"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Forcim i kompetencave të menaxhimit të riskut në të gjithë rregullatorin </w:t>
            </w:r>
            <w:r w:rsidR="005529A9" w:rsidRPr="002D0AF3">
              <w:rPr>
                <w:rFonts w:ascii="Garamond" w:hAnsi="Garamond" w:cs="Times New Roman"/>
                <w:sz w:val="12"/>
                <w:szCs w:val="12"/>
              </w:rPr>
              <w:t>agroushqimor</w:t>
            </w:r>
            <w:r w:rsidRPr="002D0AF3">
              <w:rPr>
                <w:rFonts w:ascii="Garamond" w:hAnsi="Garamond" w:cs="Times New Roman"/>
                <w:sz w:val="12"/>
                <w:szCs w:val="12"/>
              </w:rPr>
              <w:t>.</w:t>
            </w:r>
          </w:p>
          <w:p w14:paraId="3246045D" w14:textId="77777777" w:rsidR="004F1C60" w:rsidRPr="002D0AF3" w:rsidRDefault="004F1C60" w:rsidP="00B87B10">
            <w:pPr>
              <w:rPr>
                <w:rFonts w:ascii="Garamond" w:hAnsi="Garamond" w:cs="Times New Roman"/>
                <w:sz w:val="12"/>
                <w:szCs w:val="12"/>
              </w:rPr>
            </w:pPr>
          </w:p>
          <w:p w14:paraId="432233CF" w14:textId="77777777" w:rsidR="004F1C60" w:rsidRPr="002D0AF3" w:rsidRDefault="004F1C60" w:rsidP="00B87B10">
            <w:pPr>
              <w:rPr>
                <w:rFonts w:ascii="Garamond" w:hAnsi="Garamond" w:cs="Times New Roman"/>
                <w:sz w:val="12"/>
                <w:szCs w:val="12"/>
              </w:rPr>
            </w:pPr>
          </w:p>
        </w:tc>
        <w:tc>
          <w:tcPr>
            <w:tcW w:w="742" w:type="pct"/>
          </w:tcPr>
          <w:p w14:paraId="122A65BE" w14:textId="09CB9678"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Vendimi i menaxhimit të riskut i ndërmarrë në lidhje me sektorin </w:t>
            </w:r>
            <w:r w:rsidR="005529A9" w:rsidRPr="002D0AF3">
              <w:rPr>
                <w:rFonts w:ascii="Garamond" w:hAnsi="Garamond" w:cs="Times New Roman"/>
                <w:sz w:val="12"/>
                <w:szCs w:val="12"/>
              </w:rPr>
              <w:t>agroushqimor</w:t>
            </w:r>
            <w:r w:rsidRPr="002D0AF3">
              <w:rPr>
                <w:rFonts w:ascii="Garamond" w:hAnsi="Garamond" w:cs="Times New Roman"/>
                <w:sz w:val="12"/>
                <w:szCs w:val="12"/>
              </w:rPr>
              <w:t xml:space="preserve"> (p.sh. zhvillimi i legjislacionit, kërkesat për tërheqjen nga tregu/tërheqja nga tregu, aktivitetet proporcionale të zbatimit etj.).</w:t>
            </w:r>
          </w:p>
        </w:tc>
        <w:tc>
          <w:tcPr>
            <w:tcW w:w="266" w:type="pct"/>
          </w:tcPr>
          <w:p w14:paraId="7F8DDFD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w:t>
            </w:r>
          </w:p>
        </w:tc>
        <w:tc>
          <w:tcPr>
            <w:tcW w:w="296" w:type="pct"/>
          </w:tcPr>
          <w:p w14:paraId="00D0652B"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55C5C90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1FBF254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12.6 mln</w:t>
            </w:r>
          </w:p>
        </w:tc>
        <w:tc>
          <w:tcPr>
            <w:tcW w:w="386" w:type="pct"/>
          </w:tcPr>
          <w:p w14:paraId="03052DF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504" w:type="pct"/>
          </w:tcPr>
          <w:p w14:paraId="78C23B04"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IPA III (2021 – 2027)</w:t>
            </w:r>
          </w:p>
          <w:p w14:paraId="4E5F0F2D" w14:textId="77777777" w:rsidR="004F1C60" w:rsidRPr="002D0AF3" w:rsidRDefault="004F1C60" w:rsidP="00B87B10">
            <w:pPr>
              <w:rPr>
                <w:rFonts w:ascii="Garamond" w:hAnsi="Garamond" w:cs="Times New Roman"/>
                <w:sz w:val="12"/>
                <w:szCs w:val="12"/>
              </w:rPr>
            </w:pPr>
          </w:p>
          <w:p w14:paraId="2FD61288" w14:textId="77777777" w:rsidR="004F1C60" w:rsidRPr="002D0AF3" w:rsidRDefault="004F1C60" w:rsidP="00B87B10">
            <w:pPr>
              <w:rPr>
                <w:rFonts w:ascii="Garamond" w:hAnsi="Garamond" w:cs="Times New Roman"/>
                <w:sz w:val="12"/>
                <w:szCs w:val="12"/>
                <w:highlight w:val="red"/>
              </w:rPr>
            </w:pPr>
            <w:r w:rsidRPr="002D0AF3">
              <w:rPr>
                <w:rFonts w:ascii="Garamond" w:hAnsi="Garamond" w:cs="Times New Roman"/>
                <w:sz w:val="12"/>
                <w:szCs w:val="12"/>
              </w:rPr>
              <w:t>12.6 mln</w:t>
            </w:r>
          </w:p>
        </w:tc>
        <w:tc>
          <w:tcPr>
            <w:tcW w:w="416" w:type="pct"/>
          </w:tcPr>
          <w:p w14:paraId="4291B570" w14:textId="77777777" w:rsidR="004F1C60" w:rsidRPr="002D0AF3" w:rsidRDefault="004F1C60" w:rsidP="00B87B10">
            <w:pPr>
              <w:rPr>
                <w:rFonts w:ascii="Garamond" w:hAnsi="Garamond" w:cs="Times New Roman"/>
                <w:sz w:val="12"/>
                <w:szCs w:val="12"/>
              </w:rPr>
            </w:pPr>
          </w:p>
        </w:tc>
      </w:tr>
      <w:tr w:rsidR="00BC5407" w:rsidRPr="002D0AF3" w14:paraId="527C355E" w14:textId="77777777" w:rsidTr="00BC5407">
        <w:trPr>
          <w:trHeight w:val="20"/>
          <w:jc w:val="center"/>
        </w:trPr>
        <w:tc>
          <w:tcPr>
            <w:tcW w:w="177" w:type="pct"/>
          </w:tcPr>
          <w:p w14:paraId="39DFA769"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7e</w:t>
            </w:r>
          </w:p>
        </w:tc>
        <w:tc>
          <w:tcPr>
            <w:tcW w:w="398" w:type="pct"/>
          </w:tcPr>
          <w:p w14:paraId="5426333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Analiza e riskut: Komunikimi i riskut.</w:t>
            </w:r>
          </w:p>
        </w:tc>
        <w:tc>
          <w:tcPr>
            <w:tcW w:w="593" w:type="pct"/>
          </w:tcPr>
          <w:p w14:paraId="5886ED03" w14:textId="7402242D"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Zhvillimi i kapaciteteve të MBZHR-së, AKU-së,</w:t>
            </w:r>
            <w:r w:rsidR="003E60DD" w:rsidRPr="002D0AF3">
              <w:rPr>
                <w:rFonts w:ascii="Garamond" w:hAnsi="Garamond" w:cs="Times New Roman"/>
                <w:sz w:val="12"/>
                <w:szCs w:val="12"/>
              </w:rPr>
              <w:t xml:space="preserve"> </w:t>
            </w:r>
            <w:r w:rsidRPr="002D0AF3">
              <w:rPr>
                <w:rFonts w:ascii="Garamond" w:hAnsi="Garamond" w:cs="Times New Roman"/>
                <w:sz w:val="12"/>
                <w:szCs w:val="12"/>
              </w:rPr>
              <w:t>dhe AKVMB në fushën e komunikimit të riskut.</w:t>
            </w:r>
          </w:p>
          <w:p w14:paraId="4B3F82DA" w14:textId="77777777" w:rsidR="004F1C60" w:rsidRPr="002D0AF3" w:rsidRDefault="004F1C60" w:rsidP="00B87B10">
            <w:pPr>
              <w:rPr>
                <w:rFonts w:ascii="Garamond" w:hAnsi="Garamond" w:cs="Times New Roman"/>
                <w:sz w:val="12"/>
                <w:szCs w:val="12"/>
              </w:rPr>
            </w:pPr>
          </w:p>
          <w:p w14:paraId="5E8BBB36" w14:textId="77777777" w:rsidR="004F1C60" w:rsidRPr="002D0AF3" w:rsidRDefault="004F1C60" w:rsidP="00B87B10">
            <w:pPr>
              <w:rPr>
                <w:rFonts w:ascii="Garamond" w:hAnsi="Garamond" w:cs="Times New Roman"/>
                <w:sz w:val="12"/>
                <w:szCs w:val="12"/>
              </w:rPr>
            </w:pPr>
          </w:p>
        </w:tc>
        <w:tc>
          <w:tcPr>
            <w:tcW w:w="564" w:type="pct"/>
          </w:tcPr>
          <w:p w14:paraId="3199F48A" w14:textId="6EC83A8D"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Forcim i kompetencave të komunikimit të riskut në të gjithë rregullatorin </w:t>
            </w:r>
            <w:r w:rsidR="005529A9" w:rsidRPr="002D0AF3">
              <w:rPr>
                <w:rFonts w:ascii="Garamond" w:hAnsi="Garamond" w:cs="Times New Roman"/>
                <w:sz w:val="12"/>
                <w:szCs w:val="12"/>
              </w:rPr>
              <w:t>agroushqimor</w:t>
            </w:r>
            <w:r w:rsidRPr="002D0AF3">
              <w:rPr>
                <w:rFonts w:ascii="Garamond" w:hAnsi="Garamond" w:cs="Times New Roman"/>
                <w:sz w:val="12"/>
                <w:szCs w:val="12"/>
              </w:rPr>
              <w:t>.</w:t>
            </w:r>
          </w:p>
        </w:tc>
        <w:tc>
          <w:tcPr>
            <w:tcW w:w="742" w:type="pct"/>
          </w:tcPr>
          <w:p w14:paraId="7A471783" w14:textId="16D6235F"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Komunikimi i riskut i ndërmarrë në lidhje me sektorin </w:t>
            </w:r>
            <w:r w:rsidR="005529A9" w:rsidRPr="002D0AF3">
              <w:rPr>
                <w:rFonts w:ascii="Garamond" w:hAnsi="Garamond" w:cs="Times New Roman"/>
                <w:sz w:val="12"/>
                <w:szCs w:val="12"/>
              </w:rPr>
              <w:t>agroushqimor</w:t>
            </w:r>
            <w:r w:rsidRPr="002D0AF3">
              <w:rPr>
                <w:rFonts w:ascii="Garamond" w:hAnsi="Garamond" w:cs="Times New Roman"/>
                <w:sz w:val="12"/>
                <w:szCs w:val="12"/>
              </w:rPr>
              <w:t xml:space="preserve"> (p.sh. zhvillimi i legjislacionit, kërkesat për tërheqjen nga tregu/tërheqja nga tregu, aktivitetet proporcionale të zbatimit etj.).</w:t>
            </w:r>
          </w:p>
        </w:tc>
        <w:tc>
          <w:tcPr>
            <w:tcW w:w="266" w:type="pct"/>
          </w:tcPr>
          <w:p w14:paraId="145E0470"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2, 3, 4</w:t>
            </w:r>
          </w:p>
        </w:tc>
        <w:tc>
          <w:tcPr>
            <w:tcW w:w="296" w:type="pct"/>
          </w:tcPr>
          <w:p w14:paraId="75DCFC4C"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39C7F7FB"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4781222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386" w:type="pct"/>
          </w:tcPr>
          <w:p w14:paraId="40077D4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504" w:type="pct"/>
          </w:tcPr>
          <w:p w14:paraId="7A5D90C3"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416" w:type="pct"/>
          </w:tcPr>
          <w:p w14:paraId="72877ABA" w14:textId="77777777" w:rsidR="004F1C60" w:rsidRPr="002D0AF3" w:rsidRDefault="004F1C60" w:rsidP="00B87B10">
            <w:pPr>
              <w:rPr>
                <w:rFonts w:ascii="Garamond" w:hAnsi="Garamond" w:cs="Times New Roman"/>
                <w:sz w:val="12"/>
                <w:szCs w:val="12"/>
              </w:rPr>
            </w:pPr>
          </w:p>
        </w:tc>
      </w:tr>
      <w:tr w:rsidR="00BC5407" w:rsidRPr="002D0AF3" w14:paraId="350E24C0" w14:textId="77777777" w:rsidTr="00BC5407">
        <w:trPr>
          <w:trHeight w:val="20"/>
          <w:jc w:val="center"/>
        </w:trPr>
        <w:tc>
          <w:tcPr>
            <w:tcW w:w="177" w:type="pct"/>
          </w:tcPr>
          <w:p w14:paraId="02184479"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8</w:t>
            </w:r>
          </w:p>
        </w:tc>
        <w:tc>
          <w:tcPr>
            <w:tcW w:w="398" w:type="pct"/>
          </w:tcPr>
          <w:p w14:paraId="780789F4" w14:textId="6CFB5F5D"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 xml:space="preserve">Bashkëpunimi </w:t>
            </w:r>
            <w:r w:rsidR="003B73F2" w:rsidRPr="002D0AF3">
              <w:rPr>
                <w:rFonts w:ascii="Garamond" w:hAnsi="Garamond" w:cs="Times New Roman"/>
                <w:sz w:val="12"/>
                <w:szCs w:val="12"/>
              </w:rPr>
              <w:t>ndërinstitucional</w:t>
            </w:r>
            <w:r w:rsidRPr="002D0AF3">
              <w:rPr>
                <w:rFonts w:ascii="Garamond" w:hAnsi="Garamond" w:cs="Times New Roman"/>
                <w:sz w:val="12"/>
                <w:szCs w:val="12"/>
              </w:rPr>
              <w:t>.</w:t>
            </w:r>
          </w:p>
        </w:tc>
        <w:tc>
          <w:tcPr>
            <w:tcW w:w="593" w:type="pct"/>
          </w:tcPr>
          <w:p w14:paraId="54445818" w14:textId="02865C23"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Bazuar në miratimin e bazës ligjore zbatimi i mekanizmave për forcimin e bashkëpunimit ndërinstitucional mbi grupet e punës ndërinstitucionale në fushat më prioritare</w:t>
            </w:r>
            <w:r w:rsidR="003B73F2">
              <w:rPr>
                <w:rFonts w:ascii="Garamond" w:eastAsiaTheme="minorHAnsi" w:hAnsi="Garamond" w:cs="Times New Roman"/>
                <w:sz w:val="12"/>
                <w:szCs w:val="12"/>
              </w:rPr>
              <w:t>,</w:t>
            </w:r>
            <w:r w:rsidRPr="002D0AF3">
              <w:rPr>
                <w:rFonts w:ascii="Garamond" w:eastAsiaTheme="minorHAnsi" w:hAnsi="Garamond" w:cs="Times New Roman"/>
                <w:sz w:val="12"/>
                <w:szCs w:val="12"/>
              </w:rPr>
              <w:t xml:space="preserve"> si:</w:t>
            </w:r>
          </w:p>
          <w:p w14:paraId="5CF46443" w14:textId="4A6D3E19"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Kontrollet e importit (</w:t>
            </w:r>
            <w:r w:rsidR="003B73F2" w:rsidRPr="002D0AF3">
              <w:rPr>
                <w:rFonts w:ascii="Garamond" w:eastAsiaTheme="minorHAnsi" w:hAnsi="Garamond" w:cs="Times New Roman"/>
                <w:sz w:val="12"/>
                <w:szCs w:val="12"/>
              </w:rPr>
              <w:t>Dogana</w:t>
            </w:r>
            <w:r w:rsidRPr="002D0AF3">
              <w:rPr>
                <w:rFonts w:ascii="Garamond" w:eastAsiaTheme="minorHAnsi" w:hAnsi="Garamond" w:cs="Times New Roman"/>
                <w:sz w:val="12"/>
                <w:szCs w:val="12"/>
              </w:rPr>
              <w:t>, AKU, ISUV, MBZHR)</w:t>
            </w:r>
          </w:p>
          <w:p w14:paraId="26B74C7C" w14:textId="4E1C5C4F"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 xml:space="preserve">Mashtrimi me </w:t>
            </w:r>
            <w:r w:rsidR="003B73F2" w:rsidRPr="002D0AF3">
              <w:rPr>
                <w:rFonts w:ascii="Garamond" w:eastAsiaTheme="minorHAnsi" w:hAnsi="Garamond" w:cs="Times New Roman"/>
                <w:sz w:val="12"/>
                <w:szCs w:val="12"/>
              </w:rPr>
              <w:t>ushqimet</w:t>
            </w:r>
            <w:r w:rsidRPr="002D0AF3">
              <w:rPr>
                <w:rFonts w:ascii="Garamond" w:eastAsiaTheme="minorHAnsi" w:hAnsi="Garamond" w:cs="Times New Roman"/>
                <w:sz w:val="12"/>
                <w:szCs w:val="12"/>
              </w:rPr>
              <w:t>: (AKU, ISUV, MBZHR, QTBB, Policia, Dogana) dhe</w:t>
            </w:r>
          </w:p>
          <w:p w14:paraId="60FE0B55" w14:textId="5849E8DE"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MANCP (</w:t>
            </w:r>
            <w:r w:rsidR="003B73F2" w:rsidRPr="002D0AF3">
              <w:rPr>
                <w:rFonts w:ascii="Garamond" w:hAnsi="Garamond" w:cs="Times New Roman"/>
                <w:sz w:val="12"/>
                <w:szCs w:val="12"/>
              </w:rPr>
              <w:t xml:space="preserve">rolet </w:t>
            </w:r>
            <w:r w:rsidRPr="002D0AF3">
              <w:rPr>
                <w:rFonts w:ascii="Garamond" w:hAnsi="Garamond" w:cs="Times New Roman"/>
                <w:sz w:val="12"/>
                <w:szCs w:val="12"/>
              </w:rPr>
              <w:t xml:space="preserve">dhe </w:t>
            </w:r>
            <w:r w:rsidR="003B73F2" w:rsidRPr="002D0AF3">
              <w:rPr>
                <w:rFonts w:ascii="Garamond" w:hAnsi="Garamond" w:cs="Times New Roman"/>
                <w:sz w:val="12"/>
                <w:szCs w:val="12"/>
              </w:rPr>
              <w:t xml:space="preserve">përgjegjësitë </w:t>
            </w:r>
            <w:r w:rsidRPr="002D0AF3">
              <w:rPr>
                <w:rFonts w:ascii="Garamond" w:hAnsi="Garamond" w:cs="Times New Roman"/>
                <w:sz w:val="12"/>
                <w:szCs w:val="12"/>
              </w:rPr>
              <w:t>ndërmjet sektorëve): AKU, ISUV, MBZHR, AKVMB, ESHFF</w:t>
            </w:r>
          </w:p>
        </w:tc>
        <w:tc>
          <w:tcPr>
            <w:tcW w:w="564" w:type="pct"/>
          </w:tcPr>
          <w:p w14:paraId="0D05B75D" w14:textId="77777777" w:rsidR="004F1C60" w:rsidRPr="002D0AF3" w:rsidRDefault="004F1C60" w:rsidP="00B87B10">
            <w:pPr>
              <w:pStyle w:val="TableParagraph"/>
              <w:jc w:val="both"/>
              <w:rPr>
                <w:rFonts w:ascii="Garamond" w:eastAsiaTheme="minorHAnsi" w:hAnsi="Garamond" w:cs="Times New Roman"/>
                <w:sz w:val="12"/>
                <w:szCs w:val="12"/>
              </w:rPr>
            </w:pPr>
            <w:r w:rsidRPr="002D0AF3">
              <w:rPr>
                <w:rFonts w:ascii="Garamond" w:eastAsiaTheme="minorHAnsi" w:hAnsi="Garamond" w:cs="Times New Roman"/>
                <w:sz w:val="12"/>
                <w:szCs w:val="12"/>
              </w:rPr>
              <w:t>Rritja e bashkëpunimit ndërinstitucional</w:t>
            </w:r>
          </w:p>
          <w:p w14:paraId="2F582B73" w14:textId="77777777" w:rsidR="004F1C60" w:rsidRPr="002D0AF3" w:rsidRDefault="004F1C60" w:rsidP="00B87B10">
            <w:pPr>
              <w:pStyle w:val="TableParagraph"/>
              <w:rPr>
                <w:rFonts w:ascii="Garamond" w:eastAsiaTheme="minorHAnsi" w:hAnsi="Garamond" w:cs="Times New Roman"/>
                <w:sz w:val="12"/>
                <w:szCs w:val="12"/>
              </w:rPr>
            </w:pPr>
          </w:p>
          <w:p w14:paraId="6487AB40"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Funksionimi i grupeve ndërinstitucionale të punës në fushat kryesore duke përfshirë:</w:t>
            </w:r>
          </w:p>
          <w:p w14:paraId="43C1933C" w14:textId="77777777" w:rsidR="004F1C60" w:rsidRPr="002D0AF3" w:rsidRDefault="004F1C60" w:rsidP="00B87B10">
            <w:pPr>
              <w:pStyle w:val="TableParagraph"/>
              <w:rPr>
                <w:rFonts w:ascii="Garamond" w:eastAsiaTheme="minorHAnsi" w:hAnsi="Garamond" w:cs="Times New Roman"/>
                <w:sz w:val="12"/>
                <w:szCs w:val="12"/>
              </w:rPr>
            </w:pPr>
            <w:r w:rsidRPr="002D0AF3">
              <w:rPr>
                <w:rFonts w:ascii="Garamond" w:hAnsi="Garamond" w:cs="Times New Roman"/>
                <w:sz w:val="12"/>
                <w:szCs w:val="12"/>
              </w:rPr>
              <w:t>Kontrollin e importit, mashtrimin me ushqimin dhe planin e kontrollit me bazë risku (MANCP).</w:t>
            </w:r>
          </w:p>
        </w:tc>
        <w:tc>
          <w:tcPr>
            <w:tcW w:w="742" w:type="pct"/>
          </w:tcPr>
          <w:p w14:paraId="743A4E98" w14:textId="27842AE6" w:rsidR="004F1C60" w:rsidRPr="002D0AF3" w:rsidRDefault="004F1C60" w:rsidP="00B87B10">
            <w:pPr>
              <w:pStyle w:val="TableParagraph"/>
              <w:rPr>
                <w:rFonts w:ascii="Garamond" w:eastAsiaTheme="minorHAnsi" w:hAnsi="Garamond" w:cs="Times New Roman"/>
                <w:sz w:val="12"/>
                <w:szCs w:val="12"/>
              </w:rPr>
            </w:pPr>
            <w:r w:rsidRPr="002D0AF3">
              <w:rPr>
                <w:rFonts w:ascii="Garamond" w:eastAsiaTheme="minorHAnsi" w:hAnsi="Garamond" w:cs="Times New Roman"/>
                <w:sz w:val="12"/>
                <w:szCs w:val="12"/>
              </w:rPr>
              <w:t>Evidencë për takimet e grupeve të punës dhe ndjekja</w:t>
            </w:r>
            <w:r w:rsidRPr="002D0AF3">
              <w:rPr>
                <w:rFonts w:ascii="Garamond" w:hAnsi="Garamond" w:cs="Times New Roman"/>
                <w:sz w:val="12"/>
                <w:szCs w:val="12"/>
              </w:rPr>
              <w:t xml:space="preserve"> e veprimeve nga takimet</w:t>
            </w:r>
            <w:r w:rsidRPr="002D0AF3">
              <w:rPr>
                <w:rFonts w:ascii="Garamond" w:eastAsiaTheme="minorHAnsi" w:hAnsi="Garamond" w:cs="Times New Roman"/>
                <w:sz w:val="12"/>
                <w:szCs w:val="12"/>
              </w:rPr>
              <w:t>.</w:t>
            </w:r>
          </w:p>
          <w:p w14:paraId="7BE60956" w14:textId="77777777" w:rsidR="004F1C60" w:rsidRPr="002D0AF3" w:rsidRDefault="004F1C60" w:rsidP="00B87B10">
            <w:pPr>
              <w:pStyle w:val="TableParagraph"/>
              <w:jc w:val="both"/>
              <w:rPr>
                <w:rFonts w:ascii="Garamond" w:eastAsiaTheme="minorHAnsi" w:hAnsi="Garamond" w:cs="Times New Roman"/>
                <w:sz w:val="12"/>
                <w:szCs w:val="12"/>
              </w:rPr>
            </w:pPr>
          </w:p>
          <w:p w14:paraId="43012CA4" w14:textId="5345C906"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Raportet e progresit me tregues të matshëm në fusha kyçe</w:t>
            </w:r>
            <w:r w:rsidR="008B5082">
              <w:rPr>
                <w:rFonts w:ascii="Garamond" w:hAnsi="Garamond" w:cs="Times New Roman"/>
                <w:sz w:val="12"/>
                <w:szCs w:val="12"/>
              </w:rPr>
              <w:t>,</w:t>
            </w:r>
            <w:r w:rsidRPr="002D0AF3">
              <w:rPr>
                <w:rFonts w:ascii="Garamond" w:hAnsi="Garamond" w:cs="Times New Roman"/>
                <w:sz w:val="12"/>
                <w:szCs w:val="12"/>
              </w:rPr>
              <w:t xml:space="preserve"> të tilla si gjurmimi i mashtrimit me ushqimet dhe përputhshmëria me kërkesat strukturore.</w:t>
            </w:r>
          </w:p>
          <w:p w14:paraId="1F1A67EC" w14:textId="77777777" w:rsidR="004F1C60" w:rsidRPr="002D0AF3" w:rsidRDefault="004F1C60" w:rsidP="00B87B10">
            <w:pPr>
              <w:rPr>
                <w:rFonts w:ascii="Garamond" w:hAnsi="Garamond" w:cs="Times New Roman"/>
                <w:sz w:val="12"/>
                <w:szCs w:val="12"/>
              </w:rPr>
            </w:pPr>
          </w:p>
          <w:p w14:paraId="53118221" w14:textId="77777777" w:rsidR="004F1C60" w:rsidRPr="002D0AF3" w:rsidRDefault="004F1C60" w:rsidP="00B87B10">
            <w:pPr>
              <w:rPr>
                <w:rFonts w:ascii="Garamond" w:hAnsi="Garamond" w:cs="Times New Roman"/>
                <w:sz w:val="12"/>
                <w:szCs w:val="12"/>
              </w:rPr>
            </w:pPr>
          </w:p>
        </w:tc>
        <w:tc>
          <w:tcPr>
            <w:tcW w:w="266" w:type="pct"/>
          </w:tcPr>
          <w:p w14:paraId="61BA0B1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w:t>
            </w:r>
          </w:p>
        </w:tc>
        <w:tc>
          <w:tcPr>
            <w:tcW w:w="296" w:type="pct"/>
          </w:tcPr>
          <w:p w14:paraId="39479EA3"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0B9D98AD"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37F6E6EF"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386" w:type="pct"/>
          </w:tcPr>
          <w:p w14:paraId="1606409C"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p w14:paraId="08E955BA" w14:textId="77777777" w:rsidR="004F1C60" w:rsidRPr="002D0AF3" w:rsidRDefault="004F1C60" w:rsidP="00B87B10">
            <w:pPr>
              <w:rPr>
                <w:rFonts w:ascii="Garamond" w:hAnsi="Garamond" w:cs="Times New Roman"/>
                <w:sz w:val="12"/>
                <w:szCs w:val="12"/>
              </w:rPr>
            </w:pPr>
          </w:p>
        </w:tc>
        <w:tc>
          <w:tcPr>
            <w:tcW w:w="504" w:type="pct"/>
          </w:tcPr>
          <w:p w14:paraId="7A8A64C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w:t>
            </w:r>
          </w:p>
        </w:tc>
        <w:tc>
          <w:tcPr>
            <w:tcW w:w="416" w:type="pct"/>
          </w:tcPr>
          <w:p w14:paraId="2A485C6A" w14:textId="77777777" w:rsidR="004F1C60" w:rsidRPr="002D0AF3" w:rsidRDefault="004F1C60" w:rsidP="00B87B10">
            <w:pPr>
              <w:rPr>
                <w:rFonts w:ascii="Garamond" w:hAnsi="Garamond" w:cs="Times New Roman"/>
                <w:sz w:val="12"/>
                <w:szCs w:val="12"/>
              </w:rPr>
            </w:pPr>
          </w:p>
        </w:tc>
      </w:tr>
      <w:tr w:rsidR="00BC5407" w:rsidRPr="002D0AF3" w14:paraId="61372C7A" w14:textId="77777777" w:rsidTr="00BC5407">
        <w:trPr>
          <w:trHeight w:val="20"/>
          <w:jc w:val="center"/>
        </w:trPr>
        <w:tc>
          <w:tcPr>
            <w:tcW w:w="177" w:type="pct"/>
          </w:tcPr>
          <w:p w14:paraId="7AA4B635"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9</w:t>
            </w:r>
          </w:p>
        </w:tc>
        <w:tc>
          <w:tcPr>
            <w:tcW w:w="398" w:type="pct"/>
          </w:tcPr>
          <w:p w14:paraId="1BEF150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Menaxhimi i Krizave - Planifikimi i kontigjencës/ emergjencës</w:t>
            </w:r>
          </w:p>
        </w:tc>
        <w:tc>
          <w:tcPr>
            <w:tcW w:w="593" w:type="pct"/>
          </w:tcPr>
          <w:p w14:paraId="3E0583AE" w14:textId="7176468D"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Hartoni/rishikoni planifikimin e kontigjencave/ emergjencave për ushqimin/ushqimin p</w:t>
            </w:r>
            <w:r w:rsidRPr="002D0AF3">
              <w:rPr>
                <w:rFonts w:ascii="Garamond" w:hAnsi="Garamond" w:cs="Times New Roman"/>
                <w:sz w:val="12"/>
                <w:szCs w:val="12"/>
                <w:lang w:eastAsia="ja-JP"/>
              </w:rPr>
              <w:t>ër kafshë</w:t>
            </w:r>
            <w:r w:rsidRPr="002D0AF3">
              <w:rPr>
                <w:rFonts w:ascii="Garamond" w:hAnsi="Garamond" w:cs="Times New Roman"/>
                <w:sz w:val="12"/>
                <w:szCs w:val="12"/>
              </w:rPr>
              <w:t>, shëndetin e kafshëve dhe shëndetin e bimëve.</w:t>
            </w:r>
          </w:p>
          <w:p w14:paraId="74998C84" w14:textId="77777777" w:rsidR="004F1C60" w:rsidRPr="002D0AF3" w:rsidRDefault="004F1C60" w:rsidP="00B87B10">
            <w:pPr>
              <w:rPr>
                <w:rFonts w:ascii="Garamond" w:hAnsi="Garamond" w:cs="Times New Roman"/>
                <w:sz w:val="12"/>
                <w:szCs w:val="12"/>
              </w:rPr>
            </w:pPr>
          </w:p>
          <w:p w14:paraId="41B089C8" w14:textId="617D85D5"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Hartimi i planit ndërinstitucional/agjencive të komunikimit të krizave për të mbuluar komunikimet gjatë situatës së emergjencave/krizave</w:t>
            </w:r>
          </w:p>
          <w:p w14:paraId="2CA291CD" w14:textId="77777777" w:rsidR="004F1C60" w:rsidRPr="002D0AF3" w:rsidRDefault="004F1C60" w:rsidP="00B87B10">
            <w:pPr>
              <w:rPr>
                <w:rFonts w:ascii="Garamond" w:hAnsi="Garamond" w:cs="Times New Roman"/>
                <w:sz w:val="12"/>
                <w:szCs w:val="12"/>
              </w:rPr>
            </w:pPr>
          </w:p>
        </w:tc>
        <w:tc>
          <w:tcPr>
            <w:tcW w:w="564" w:type="pct"/>
          </w:tcPr>
          <w:p w14:paraId="73C03EA2"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Kryeni ushtrime simuluese për të testuar sistemet dhe për të rregulluar planet bazuar në mësimet e nxjerra.</w:t>
            </w:r>
          </w:p>
          <w:p w14:paraId="312FD2E6" w14:textId="77777777" w:rsidR="004F1C60" w:rsidRPr="002D0AF3" w:rsidRDefault="004F1C60" w:rsidP="00B87B10">
            <w:pPr>
              <w:rPr>
                <w:rFonts w:ascii="Garamond" w:hAnsi="Garamond" w:cs="Times New Roman"/>
                <w:sz w:val="12"/>
                <w:szCs w:val="12"/>
              </w:rPr>
            </w:pPr>
          </w:p>
          <w:p w14:paraId="12BA99C0" w14:textId="77777777" w:rsidR="004F1C60" w:rsidRPr="002D0AF3" w:rsidRDefault="004F1C60" w:rsidP="00B87B10">
            <w:pPr>
              <w:rPr>
                <w:rFonts w:ascii="Garamond" w:hAnsi="Garamond" w:cs="Times New Roman"/>
                <w:sz w:val="12"/>
                <w:szCs w:val="12"/>
              </w:rPr>
            </w:pPr>
          </w:p>
          <w:p w14:paraId="1BA90636" w14:textId="77777777" w:rsidR="004F1C60" w:rsidRPr="002D0AF3" w:rsidRDefault="004F1C60" w:rsidP="00B87B10">
            <w:pPr>
              <w:rPr>
                <w:rFonts w:ascii="Garamond" w:hAnsi="Garamond" w:cs="Times New Roman"/>
                <w:sz w:val="12"/>
                <w:szCs w:val="12"/>
              </w:rPr>
            </w:pPr>
          </w:p>
          <w:p w14:paraId="3E600695"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Plani i komunikimit të krizave dhe staf i trajnuar.</w:t>
            </w:r>
          </w:p>
        </w:tc>
        <w:tc>
          <w:tcPr>
            <w:tcW w:w="742" w:type="pct"/>
          </w:tcPr>
          <w:p w14:paraId="04E9481E" w14:textId="373DDE58"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Planet e kontigjences/emergjencës për sëmundjet kryesore të kafshëve dhe dëmtuesit e bimëve.</w:t>
            </w:r>
          </w:p>
          <w:p w14:paraId="04804D0A" w14:textId="77777777" w:rsidR="004F1C60" w:rsidRPr="002D0AF3" w:rsidRDefault="004F1C60" w:rsidP="00B87B10">
            <w:pPr>
              <w:rPr>
                <w:rFonts w:ascii="Garamond" w:hAnsi="Garamond" w:cs="Times New Roman"/>
                <w:sz w:val="12"/>
                <w:szCs w:val="12"/>
              </w:rPr>
            </w:pPr>
          </w:p>
          <w:p w14:paraId="49183D91" w14:textId="77777777" w:rsidR="004F1C60" w:rsidRPr="002D0AF3" w:rsidRDefault="004F1C60" w:rsidP="00B87B10">
            <w:pPr>
              <w:rPr>
                <w:rFonts w:ascii="Garamond" w:hAnsi="Garamond" w:cs="Times New Roman"/>
                <w:sz w:val="12"/>
                <w:szCs w:val="12"/>
              </w:rPr>
            </w:pPr>
          </w:p>
          <w:p w14:paraId="41FEC1B6" w14:textId="6F838580" w:rsidR="004F1C60" w:rsidRPr="002D0AF3" w:rsidRDefault="004F1C60" w:rsidP="00B87B10">
            <w:pPr>
              <w:contextualSpacing/>
              <w:rPr>
                <w:rFonts w:ascii="Garamond" w:hAnsi="Garamond" w:cs="Times New Roman"/>
                <w:sz w:val="12"/>
                <w:szCs w:val="12"/>
              </w:rPr>
            </w:pPr>
            <w:r w:rsidRPr="002D0AF3">
              <w:rPr>
                <w:rFonts w:ascii="Garamond" w:hAnsi="Garamond" w:cs="Times New Roman"/>
                <w:sz w:val="12"/>
                <w:szCs w:val="12"/>
              </w:rPr>
              <w:t xml:space="preserve">Është finalizuar </w:t>
            </w:r>
            <w:r w:rsidR="008B5082" w:rsidRPr="002D0AF3">
              <w:rPr>
                <w:rFonts w:ascii="Garamond" w:hAnsi="Garamond" w:cs="Times New Roman"/>
                <w:sz w:val="12"/>
                <w:szCs w:val="12"/>
              </w:rPr>
              <w:t xml:space="preserve">protokolli </w:t>
            </w:r>
            <w:r w:rsidRPr="002D0AF3">
              <w:rPr>
                <w:rFonts w:ascii="Garamond" w:hAnsi="Garamond" w:cs="Times New Roman"/>
                <w:sz w:val="12"/>
                <w:szCs w:val="12"/>
              </w:rPr>
              <w:t>ndërinstitucional për menaxhimin e krizave të ushqimit dhe ushqimit për kafshë si dhe përfshihet plani i komunikimit të krizave.</w:t>
            </w:r>
          </w:p>
        </w:tc>
        <w:tc>
          <w:tcPr>
            <w:tcW w:w="266" w:type="pct"/>
          </w:tcPr>
          <w:p w14:paraId="655A3B6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2, 3 4</w:t>
            </w:r>
          </w:p>
        </w:tc>
        <w:tc>
          <w:tcPr>
            <w:tcW w:w="296" w:type="pct"/>
          </w:tcPr>
          <w:p w14:paraId="51A4F764" w14:textId="77777777" w:rsidR="004F1C60" w:rsidRPr="002D0AF3" w:rsidRDefault="004F1C60" w:rsidP="00B87B10">
            <w:pPr>
              <w:tabs>
                <w:tab w:val="left" w:pos="900"/>
              </w:tabs>
              <w:rPr>
                <w:rFonts w:ascii="Garamond" w:hAnsi="Garamond" w:cs="Times New Roman"/>
                <w:sz w:val="12"/>
                <w:szCs w:val="12"/>
              </w:rPr>
            </w:pPr>
            <w:r w:rsidRPr="002D0AF3">
              <w:rPr>
                <w:rFonts w:ascii="Garamond" w:hAnsi="Garamond" w:cs="Times New Roman"/>
                <w:sz w:val="12"/>
                <w:szCs w:val="12"/>
              </w:rPr>
              <w:t>TM1 2024</w:t>
            </w:r>
          </w:p>
        </w:tc>
        <w:tc>
          <w:tcPr>
            <w:tcW w:w="326" w:type="pct"/>
          </w:tcPr>
          <w:p w14:paraId="40B39A89"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TM4 2027</w:t>
            </w:r>
          </w:p>
        </w:tc>
        <w:tc>
          <w:tcPr>
            <w:tcW w:w="331" w:type="pct"/>
          </w:tcPr>
          <w:p w14:paraId="453C4021" w14:textId="77777777" w:rsidR="004F1C60" w:rsidRPr="002D0AF3" w:rsidRDefault="004F1C60" w:rsidP="00B87B10">
            <w:pPr>
              <w:rPr>
                <w:rFonts w:ascii="Garamond" w:hAnsi="Garamond" w:cs="Times New Roman"/>
                <w:sz w:val="12"/>
                <w:szCs w:val="12"/>
              </w:rPr>
            </w:pPr>
            <w:r w:rsidRPr="002D0AF3">
              <w:rPr>
                <w:rFonts w:ascii="Garamond" w:hAnsi="Garamond" w:cs="Times New Roman"/>
                <w:sz w:val="12"/>
                <w:szCs w:val="12"/>
              </w:rPr>
              <w:t>0.35 mln</w:t>
            </w:r>
          </w:p>
        </w:tc>
        <w:tc>
          <w:tcPr>
            <w:tcW w:w="386" w:type="pct"/>
          </w:tcPr>
          <w:p w14:paraId="3374FAF8" w14:textId="77777777" w:rsidR="004F1C60" w:rsidRPr="002626CC" w:rsidRDefault="004F1C60" w:rsidP="00B87B10">
            <w:pPr>
              <w:rPr>
                <w:rFonts w:ascii="Garamond" w:hAnsi="Garamond" w:cs="Times New Roman"/>
                <w:sz w:val="12"/>
                <w:szCs w:val="12"/>
              </w:rPr>
            </w:pPr>
            <w:r w:rsidRPr="002626CC">
              <w:rPr>
                <w:rFonts w:ascii="Garamond" w:hAnsi="Garamond" w:cs="Times New Roman"/>
                <w:sz w:val="12"/>
                <w:szCs w:val="12"/>
              </w:rPr>
              <w:t>0</w:t>
            </w:r>
          </w:p>
        </w:tc>
        <w:tc>
          <w:tcPr>
            <w:tcW w:w="504" w:type="pct"/>
          </w:tcPr>
          <w:p w14:paraId="29CCD2CA" w14:textId="77777777" w:rsidR="004F1C60" w:rsidRPr="002626CC" w:rsidRDefault="004F1C60" w:rsidP="00B87B10">
            <w:pPr>
              <w:rPr>
                <w:rFonts w:ascii="Garamond" w:hAnsi="Garamond" w:cs="Times New Roman"/>
                <w:sz w:val="12"/>
                <w:szCs w:val="12"/>
              </w:rPr>
            </w:pPr>
            <w:r w:rsidRPr="002626CC">
              <w:rPr>
                <w:rFonts w:ascii="Garamond" w:hAnsi="Garamond" w:cs="Times New Roman"/>
                <w:sz w:val="12"/>
                <w:szCs w:val="12"/>
              </w:rPr>
              <w:t>Planifikimi i emergjencave të shëndetit të kafshëve dhe bimëve:</w:t>
            </w:r>
          </w:p>
          <w:p w14:paraId="31BF48EE" w14:textId="4B4FC8E5" w:rsidR="004F1C60" w:rsidRPr="002626CC" w:rsidRDefault="004F1C60" w:rsidP="00B87B10">
            <w:pPr>
              <w:rPr>
                <w:rFonts w:ascii="Garamond" w:hAnsi="Garamond" w:cs="Times New Roman"/>
                <w:sz w:val="12"/>
                <w:szCs w:val="12"/>
              </w:rPr>
            </w:pPr>
            <w:r w:rsidRPr="002626CC">
              <w:rPr>
                <w:rFonts w:ascii="Garamond" w:hAnsi="Garamond" w:cs="Times New Roman"/>
                <w:sz w:val="12"/>
                <w:szCs w:val="12"/>
              </w:rPr>
              <w:t>Projekti IPA - ADEWB II (korrik 2022–korrik 2025)</w:t>
            </w:r>
          </w:p>
          <w:p w14:paraId="125D991F" w14:textId="77777777" w:rsidR="004F1C60" w:rsidRPr="002626CC" w:rsidRDefault="004F1C60" w:rsidP="00B87B10">
            <w:pPr>
              <w:rPr>
                <w:rFonts w:ascii="Garamond" w:hAnsi="Garamond" w:cs="Times New Roman"/>
                <w:sz w:val="12"/>
                <w:szCs w:val="12"/>
              </w:rPr>
            </w:pPr>
          </w:p>
          <w:p w14:paraId="2BC7F8C1" w14:textId="77777777" w:rsidR="004F1C60" w:rsidRPr="002626CC" w:rsidRDefault="004F1C60" w:rsidP="00B87B10">
            <w:pPr>
              <w:rPr>
                <w:rFonts w:ascii="Garamond" w:hAnsi="Garamond" w:cs="Times New Roman"/>
                <w:sz w:val="12"/>
                <w:szCs w:val="12"/>
              </w:rPr>
            </w:pPr>
            <w:r w:rsidRPr="002626CC">
              <w:rPr>
                <w:rFonts w:ascii="Garamond" w:hAnsi="Garamond" w:cs="Times New Roman"/>
                <w:sz w:val="12"/>
                <w:szCs w:val="12"/>
              </w:rPr>
              <w:t>Planifikimi i menaxhimit të krizës së ushqimit/ushqimit për kafshë:</w:t>
            </w:r>
          </w:p>
          <w:p w14:paraId="319ECA53" w14:textId="77777777" w:rsidR="004F1C60" w:rsidRPr="002626CC" w:rsidRDefault="004F1C60" w:rsidP="00B87B10">
            <w:pPr>
              <w:rPr>
                <w:rFonts w:ascii="Garamond" w:hAnsi="Garamond" w:cs="Times New Roman"/>
                <w:sz w:val="12"/>
                <w:szCs w:val="12"/>
              </w:rPr>
            </w:pPr>
            <w:r w:rsidRPr="002626CC">
              <w:rPr>
                <w:rFonts w:ascii="Garamond" w:hAnsi="Garamond" w:cs="Times New Roman"/>
                <w:sz w:val="12"/>
                <w:szCs w:val="12"/>
              </w:rPr>
              <w:t xml:space="preserve">IPA II (2016) Projekti i Sigurisë Ushqimore </w:t>
            </w:r>
          </w:p>
          <w:p w14:paraId="33C48D32" w14:textId="77777777" w:rsidR="004F1C60" w:rsidRPr="002626CC" w:rsidRDefault="004F1C60" w:rsidP="00B87B10">
            <w:pPr>
              <w:rPr>
                <w:rFonts w:ascii="Garamond" w:hAnsi="Garamond" w:cs="Times New Roman"/>
                <w:sz w:val="12"/>
                <w:szCs w:val="12"/>
              </w:rPr>
            </w:pPr>
            <w:r w:rsidRPr="002626CC">
              <w:rPr>
                <w:rFonts w:ascii="Garamond" w:hAnsi="Garamond" w:cs="Times New Roman"/>
                <w:sz w:val="12"/>
                <w:szCs w:val="12"/>
              </w:rPr>
              <w:t>0.35 mln</w:t>
            </w:r>
          </w:p>
          <w:p w14:paraId="1669961A" w14:textId="77777777" w:rsidR="004F1C60" w:rsidRPr="002626CC" w:rsidRDefault="004F1C60" w:rsidP="00B87B10">
            <w:pPr>
              <w:rPr>
                <w:rFonts w:ascii="Garamond" w:hAnsi="Garamond" w:cs="Times New Roman"/>
                <w:sz w:val="12"/>
                <w:szCs w:val="12"/>
              </w:rPr>
            </w:pPr>
          </w:p>
          <w:p w14:paraId="6BB01C3D" w14:textId="77777777" w:rsidR="004F1C60" w:rsidRPr="002626CC" w:rsidRDefault="004F1C60" w:rsidP="00B87B10">
            <w:pPr>
              <w:rPr>
                <w:rFonts w:ascii="Garamond" w:hAnsi="Garamond" w:cs="Times New Roman"/>
                <w:sz w:val="12"/>
                <w:szCs w:val="12"/>
              </w:rPr>
            </w:pPr>
            <w:r w:rsidRPr="002626CC">
              <w:rPr>
                <w:rFonts w:ascii="Garamond" w:hAnsi="Garamond" w:cs="Times New Roman"/>
                <w:sz w:val="12"/>
                <w:szCs w:val="12"/>
              </w:rPr>
              <w:t>Plani i komunikimit për krizën e shpërthimit të sëmundjeve nga ushqimi:</w:t>
            </w:r>
          </w:p>
          <w:p w14:paraId="5E384439" w14:textId="4E786E41" w:rsidR="004F1C60" w:rsidRPr="002626CC" w:rsidRDefault="004F1C60" w:rsidP="00B87B10">
            <w:pPr>
              <w:rPr>
                <w:rFonts w:ascii="Garamond" w:hAnsi="Garamond" w:cs="Times New Roman"/>
                <w:sz w:val="12"/>
                <w:szCs w:val="12"/>
              </w:rPr>
            </w:pPr>
            <w:r w:rsidRPr="002626CC">
              <w:rPr>
                <w:rFonts w:ascii="Garamond" w:hAnsi="Garamond" w:cs="Times New Roman"/>
                <w:sz w:val="12"/>
                <w:szCs w:val="12"/>
              </w:rPr>
              <w:t>2022 nisma e OBSH-së e koordinuar nga ISPH</w:t>
            </w:r>
            <w:r w:rsidR="002D0AF3" w:rsidRPr="002626CC">
              <w:rPr>
                <w:rFonts w:ascii="Garamond" w:hAnsi="Garamond" w:cs="Times New Roman"/>
                <w:sz w:val="12"/>
                <w:szCs w:val="12"/>
              </w:rPr>
              <w:t>-ja</w:t>
            </w:r>
          </w:p>
        </w:tc>
        <w:tc>
          <w:tcPr>
            <w:tcW w:w="416" w:type="pct"/>
          </w:tcPr>
          <w:p w14:paraId="2F9E267C" w14:textId="77777777" w:rsidR="004F1C60" w:rsidRPr="002D0AF3" w:rsidRDefault="004F1C60" w:rsidP="00B87B10">
            <w:pPr>
              <w:rPr>
                <w:rFonts w:ascii="Garamond" w:hAnsi="Garamond" w:cs="Times New Roman"/>
                <w:sz w:val="12"/>
                <w:szCs w:val="12"/>
              </w:rPr>
            </w:pPr>
          </w:p>
        </w:tc>
      </w:tr>
      <w:tr w:rsidR="00BC5407" w:rsidRPr="002D0AF3" w14:paraId="1533C8AD" w14:textId="77777777" w:rsidTr="00BC5407">
        <w:trPr>
          <w:trHeight w:val="20"/>
          <w:jc w:val="center"/>
        </w:trPr>
        <w:tc>
          <w:tcPr>
            <w:tcW w:w="177" w:type="pct"/>
            <w:shd w:val="clear" w:color="auto" w:fill="auto"/>
          </w:tcPr>
          <w:p w14:paraId="1CB21E76" w14:textId="77777777" w:rsidR="004F1C60" w:rsidRPr="002D0AF3" w:rsidRDefault="004F1C60" w:rsidP="002D0AF3">
            <w:pPr>
              <w:jc w:val="center"/>
              <w:rPr>
                <w:rFonts w:ascii="Garamond" w:hAnsi="Garamond" w:cs="Times New Roman"/>
                <w:b/>
                <w:bCs/>
                <w:sz w:val="12"/>
                <w:szCs w:val="12"/>
                <w:highlight w:val="yellow"/>
              </w:rPr>
            </w:pPr>
            <w:r w:rsidRPr="002D0AF3">
              <w:rPr>
                <w:rFonts w:ascii="Garamond" w:hAnsi="Garamond" w:cs="Times New Roman"/>
                <w:b/>
                <w:bCs/>
                <w:sz w:val="12"/>
                <w:szCs w:val="12"/>
              </w:rPr>
              <w:lastRenderedPageBreak/>
              <w:t>10a</w:t>
            </w:r>
          </w:p>
        </w:tc>
        <w:tc>
          <w:tcPr>
            <w:tcW w:w="398" w:type="pct"/>
          </w:tcPr>
          <w:p w14:paraId="78475C0C"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Rishikimi i efektivitetit të kontrolleve zyrtare</w:t>
            </w:r>
          </w:p>
        </w:tc>
        <w:tc>
          <w:tcPr>
            <w:tcW w:w="593" w:type="pct"/>
          </w:tcPr>
          <w:p w14:paraId="64A327A0" w14:textId="33D38854"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Bazuar në miratimin e bazës ligjore, të zhvillohen procedura standarde operative për kontrollet e vazhdueshme të brendshme (monitorimi, rishikimi dhe p</w:t>
            </w:r>
            <w:r w:rsidRPr="002D0AF3">
              <w:rPr>
                <w:rFonts w:ascii="Garamond" w:hAnsi="Garamond" w:cs="Times New Roman"/>
                <w:sz w:val="12"/>
                <w:szCs w:val="12"/>
                <w:lang w:eastAsia="ja-JP"/>
              </w:rPr>
              <w:t>ërshtatjen e</w:t>
            </w:r>
            <w:r w:rsidRPr="002D0AF3">
              <w:rPr>
                <w:rFonts w:ascii="Garamond" w:hAnsi="Garamond" w:cs="Times New Roman"/>
                <w:sz w:val="12"/>
                <w:szCs w:val="12"/>
              </w:rPr>
              <w:t xml:space="preserve"> kontrolleve zyrtare) me MBZHR-në,</w:t>
            </w:r>
            <w:r w:rsidR="003E60DD" w:rsidRPr="002D0AF3">
              <w:rPr>
                <w:rFonts w:ascii="Garamond" w:hAnsi="Garamond" w:cs="Times New Roman"/>
                <w:sz w:val="12"/>
                <w:szCs w:val="12"/>
              </w:rPr>
              <w:t xml:space="preserve"> </w:t>
            </w:r>
            <w:r w:rsidRPr="002D0AF3">
              <w:rPr>
                <w:rFonts w:ascii="Garamond" w:hAnsi="Garamond" w:cs="Times New Roman"/>
                <w:sz w:val="12"/>
                <w:szCs w:val="12"/>
              </w:rPr>
              <w:t>ISUV-in, AKU-në, ESHFF-në</w:t>
            </w:r>
            <w:r w:rsidR="00397FE8">
              <w:rPr>
                <w:rFonts w:ascii="Garamond" w:hAnsi="Garamond" w:cs="Times New Roman"/>
                <w:sz w:val="12"/>
                <w:szCs w:val="12"/>
              </w:rPr>
              <w:t xml:space="preserve"> </w:t>
            </w:r>
            <w:r w:rsidRPr="002D0AF3">
              <w:rPr>
                <w:rFonts w:ascii="Garamond" w:hAnsi="Garamond" w:cs="Times New Roman"/>
                <w:sz w:val="12"/>
                <w:szCs w:val="12"/>
              </w:rPr>
              <w:t>dhe AKVMB-në.</w:t>
            </w:r>
          </w:p>
        </w:tc>
        <w:tc>
          <w:tcPr>
            <w:tcW w:w="564" w:type="pct"/>
          </w:tcPr>
          <w:p w14:paraId="62341B49"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Qasje konsistente nd</w:t>
            </w:r>
            <w:r w:rsidRPr="002D0AF3">
              <w:rPr>
                <w:rFonts w:ascii="Garamond" w:hAnsi="Garamond" w:cs="Times New Roman"/>
                <w:sz w:val="12"/>
                <w:szCs w:val="12"/>
                <w:lang w:eastAsia="ja-JP"/>
              </w:rPr>
              <w:t>ërmjet</w:t>
            </w:r>
            <w:r w:rsidRPr="002D0AF3">
              <w:rPr>
                <w:rFonts w:ascii="Garamond" w:hAnsi="Garamond" w:cs="Times New Roman"/>
                <w:sz w:val="12"/>
                <w:szCs w:val="12"/>
              </w:rPr>
              <w:t xml:space="preserve"> institucioneve për monitorimin, rishikimin dhe përshtatjen e kontrolleve zyrtare.</w:t>
            </w:r>
          </w:p>
        </w:tc>
        <w:tc>
          <w:tcPr>
            <w:tcW w:w="742" w:type="pct"/>
          </w:tcPr>
          <w:p w14:paraId="0407AA85"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Të dhëna për kontrollin e auditit të brendshëm, rezultatet dhe ndikimet.</w:t>
            </w:r>
          </w:p>
        </w:tc>
        <w:tc>
          <w:tcPr>
            <w:tcW w:w="266" w:type="pct"/>
          </w:tcPr>
          <w:p w14:paraId="3525727B"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1</w:t>
            </w:r>
          </w:p>
        </w:tc>
        <w:tc>
          <w:tcPr>
            <w:tcW w:w="296" w:type="pct"/>
          </w:tcPr>
          <w:p w14:paraId="78A59B11" w14:textId="77777777" w:rsidR="004F1C60" w:rsidRPr="002D0AF3" w:rsidRDefault="004F1C60" w:rsidP="00B87B10">
            <w:pPr>
              <w:pStyle w:val="TableParagraph"/>
              <w:tabs>
                <w:tab w:val="left" w:pos="900"/>
              </w:tabs>
              <w:rPr>
                <w:rFonts w:ascii="Garamond" w:hAnsi="Garamond" w:cs="Times New Roman"/>
                <w:sz w:val="12"/>
                <w:szCs w:val="12"/>
              </w:rPr>
            </w:pPr>
            <w:r w:rsidRPr="002D0AF3">
              <w:rPr>
                <w:rFonts w:ascii="Garamond" w:hAnsi="Garamond" w:cs="Times New Roman"/>
                <w:sz w:val="12"/>
                <w:szCs w:val="12"/>
              </w:rPr>
              <w:t>TM1 2025</w:t>
            </w:r>
          </w:p>
        </w:tc>
        <w:tc>
          <w:tcPr>
            <w:tcW w:w="326" w:type="pct"/>
          </w:tcPr>
          <w:p w14:paraId="043AD8D6"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TM4 2027 </w:t>
            </w:r>
          </w:p>
          <w:p w14:paraId="609D2E61" w14:textId="77777777" w:rsidR="004F1C60" w:rsidRPr="002D0AF3" w:rsidRDefault="004F1C60" w:rsidP="00B87B10">
            <w:pPr>
              <w:pStyle w:val="TableParagraph"/>
              <w:rPr>
                <w:rFonts w:ascii="Garamond" w:hAnsi="Garamond" w:cs="Times New Roman"/>
                <w:sz w:val="12"/>
                <w:szCs w:val="12"/>
              </w:rPr>
            </w:pPr>
          </w:p>
          <w:p w14:paraId="090938A0" w14:textId="77777777" w:rsidR="004F1C60" w:rsidRPr="002D0AF3" w:rsidRDefault="004F1C60" w:rsidP="00B87B10">
            <w:pPr>
              <w:pStyle w:val="TableParagraph"/>
              <w:rPr>
                <w:rFonts w:ascii="Garamond" w:hAnsi="Garamond" w:cs="Times New Roman"/>
                <w:sz w:val="12"/>
                <w:szCs w:val="12"/>
              </w:rPr>
            </w:pPr>
          </w:p>
          <w:p w14:paraId="41CE0F7E" w14:textId="77777777" w:rsidR="004F1C60" w:rsidRPr="002D0AF3" w:rsidRDefault="004F1C60" w:rsidP="00B87B10">
            <w:pPr>
              <w:pStyle w:val="TableParagraph"/>
              <w:rPr>
                <w:rFonts w:ascii="Garamond" w:hAnsi="Garamond" w:cs="Times New Roman"/>
                <w:sz w:val="12"/>
                <w:szCs w:val="12"/>
              </w:rPr>
            </w:pPr>
          </w:p>
          <w:p w14:paraId="1935258D" w14:textId="77777777" w:rsidR="004F1C60" w:rsidRPr="002D0AF3" w:rsidRDefault="004F1C60" w:rsidP="00B87B10">
            <w:pPr>
              <w:pStyle w:val="TableParagraph"/>
              <w:rPr>
                <w:rFonts w:ascii="Garamond" w:hAnsi="Garamond" w:cs="Times New Roman"/>
                <w:sz w:val="12"/>
                <w:szCs w:val="12"/>
              </w:rPr>
            </w:pPr>
          </w:p>
        </w:tc>
        <w:tc>
          <w:tcPr>
            <w:tcW w:w="331" w:type="pct"/>
          </w:tcPr>
          <w:p w14:paraId="26EE3E5B"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0.6-1.2 mln</w:t>
            </w:r>
          </w:p>
        </w:tc>
        <w:tc>
          <w:tcPr>
            <w:tcW w:w="386" w:type="pct"/>
          </w:tcPr>
          <w:p w14:paraId="1CDB0260"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0.2-0.4 mln për çdo vit</w:t>
            </w:r>
          </w:p>
        </w:tc>
        <w:tc>
          <w:tcPr>
            <w:tcW w:w="504" w:type="pct"/>
          </w:tcPr>
          <w:p w14:paraId="18F6E422" w14:textId="77777777" w:rsidR="004F1C60" w:rsidRPr="002D0AF3" w:rsidRDefault="004F1C60" w:rsidP="00B87B10">
            <w:pPr>
              <w:pStyle w:val="TableParagraph"/>
              <w:rPr>
                <w:rFonts w:ascii="Garamond" w:hAnsi="Garamond" w:cs="Times New Roman"/>
                <w:sz w:val="12"/>
                <w:szCs w:val="12"/>
                <w:highlight w:val="red"/>
              </w:rPr>
            </w:pPr>
            <w:r w:rsidRPr="002D0AF3">
              <w:rPr>
                <w:rFonts w:ascii="Garamond" w:hAnsi="Garamond" w:cs="Times New Roman"/>
                <w:sz w:val="12"/>
                <w:szCs w:val="12"/>
              </w:rPr>
              <w:t>0</w:t>
            </w:r>
          </w:p>
        </w:tc>
        <w:tc>
          <w:tcPr>
            <w:tcW w:w="416" w:type="pct"/>
          </w:tcPr>
          <w:p w14:paraId="529ABC39" w14:textId="77777777" w:rsidR="004F1C60" w:rsidRPr="002D0AF3" w:rsidRDefault="004F1C60" w:rsidP="00B87B10">
            <w:pPr>
              <w:pStyle w:val="TableParagraph"/>
              <w:rPr>
                <w:rFonts w:ascii="Garamond" w:hAnsi="Garamond" w:cs="Times New Roman"/>
                <w:sz w:val="12"/>
                <w:szCs w:val="12"/>
              </w:rPr>
            </w:pPr>
          </w:p>
        </w:tc>
      </w:tr>
      <w:tr w:rsidR="00BC5407" w:rsidRPr="002D0AF3" w14:paraId="74C17104" w14:textId="77777777" w:rsidTr="00BC5407">
        <w:trPr>
          <w:trHeight w:val="20"/>
          <w:jc w:val="center"/>
        </w:trPr>
        <w:tc>
          <w:tcPr>
            <w:tcW w:w="177" w:type="pct"/>
          </w:tcPr>
          <w:p w14:paraId="7EA652E3"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10b</w:t>
            </w:r>
          </w:p>
        </w:tc>
        <w:tc>
          <w:tcPr>
            <w:tcW w:w="398" w:type="pct"/>
          </w:tcPr>
          <w:p w14:paraId="4DC6B797"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Rishikimi i efektivitetit të kontrolleve zyrtare. Rishikimi i efektivitetit të kontrollit zyrtar.</w:t>
            </w:r>
          </w:p>
        </w:tc>
        <w:tc>
          <w:tcPr>
            <w:tcW w:w="593" w:type="pct"/>
          </w:tcPr>
          <w:p w14:paraId="5B7DEFB3" w14:textId="77777777" w:rsidR="004F1C60" w:rsidRPr="002D0AF3" w:rsidRDefault="004F1C60" w:rsidP="00B87B10">
            <w:pPr>
              <w:pStyle w:val="TableParagraph"/>
              <w:rPr>
                <w:rFonts w:ascii="Garamond" w:eastAsia="Calibri" w:hAnsi="Garamond" w:cs="Times New Roman"/>
                <w:sz w:val="12"/>
                <w:szCs w:val="12"/>
                <w:lang w:bidi="sq-AL"/>
              </w:rPr>
            </w:pPr>
            <w:r w:rsidRPr="002D0AF3">
              <w:rPr>
                <w:rFonts w:ascii="Garamond" w:eastAsia="Calibri" w:hAnsi="Garamond" w:cs="Times New Roman"/>
                <w:sz w:val="12"/>
                <w:szCs w:val="12"/>
                <w:lang w:bidi="sq-AL"/>
              </w:rPr>
              <w:t>Zhvillimi i procedurave standarde operative për auditimin e brendshëm të kontrolleve zyrtare me MBZHR-në, ISUV-in, AKU-në, AKVMB-në ESHFF.</w:t>
            </w:r>
          </w:p>
          <w:p w14:paraId="096189B0" w14:textId="77777777" w:rsidR="004F1C60" w:rsidRPr="002D0AF3" w:rsidRDefault="004F1C60" w:rsidP="00B87B10">
            <w:pPr>
              <w:pStyle w:val="TableParagraph"/>
              <w:rPr>
                <w:rFonts w:ascii="Garamond" w:eastAsia="Calibri" w:hAnsi="Garamond" w:cs="Times New Roman"/>
                <w:sz w:val="12"/>
                <w:szCs w:val="12"/>
                <w:lang w:bidi="sq-AL"/>
              </w:rPr>
            </w:pPr>
          </w:p>
          <w:p w14:paraId="7DEBC860" w14:textId="77777777" w:rsidR="004F1C60" w:rsidRPr="002D0AF3" w:rsidRDefault="004F1C60" w:rsidP="00B87B10">
            <w:pPr>
              <w:pStyle w:val="TableParagraph"/>
              <w:rPr>
                <w:rFonts w:ascii="Garamond" w:eastAsia="Calibri" w:hAnsi="Garamond" w:cs="Times New Roman"/>
                <w:sz w:val="12"/>
                <w:szCs w:val="12"/>
                <w:lang w:bidi="sq-AL"/>
              </w:rPr>
            </w:pPr>
          </w:p>
          <w:p w14:paraId="597307DB" w14:textId="77777777" w:rsidR="004F1C60" w:rsidRPr="002D0AF3" w:rsidRDefault="004F1C60" w:rsidP="00B87B10">
            <w:pPr>
              <w:pStyle w:val="TableParagraph"/>
              <w:rPr>
                <w:rFonts w:ascii="Garamond" w:hAnsi="Garamond" w:cs="Times New Roman"/>
                <w:sz w:val="12"/>
                <w:szCs w:val="12"/>
              </w:rPr>
            </w:pPr>
          </w:p>
        </w:tc>
        <w:tc>
          <w:tcPr>
            <w:tcW w:w="564" w:type="pct"/>
          </w:tcPr>
          <w:p w14:paraId="2D013580"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Qasje konsistente ndërmjet institucioneve ndaj auditimit të brendshëm të kontrolleve zyrtare. </w:t>
            </w:r>
          </w:p>
          <w:p w14:paraId="226E3A48" w14:textId="0BAA2CF0"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Ngritja e </w:t>
            </w:r>
            <w:r w:rsidR="00397FE8" w:rsidRPr="002D0AF3">
              <w:rPr>
                <w:rFonts w:ascii="Garamond" w:hAnsi="Garamond" w:cs="Times New Roman"/>
                <w:sz w:val="12"/>
                <w:szCs w:val="12"/>
              </w:rPr>
              <w:t>njësisë</w:t>
            </w:r>
            <w:r w:rsidRPr="002D0AF3">
              <w:rPr>
                <w:rFonts w:ascii="Garamond" w:hAnsi="Garamond" w:cs="Times New Roman"/>
                <w:sz w:val="12"/>
                <w:szCs w:val="12"/>
              </w:rPr>
              <w:t xml:space="preserve"> së auditimit teknik.</w:t>
            </w:r>
          </w:p>
          <w:p w14:paraId="79BE9A45" w14:textId="77777777" w:rsidR="004F1C60" w:rsidRPr="002D0AF3" w:rsidRDefault="004F1C60" w:rsidP="00B87B10">
            <w:pPr>
              <w:pStyle w:val="TableParagraph"/>
              <w:rPr>
                <w:rFonts w:ascii="Garamond" w:hAnsi="Garamond" w:cs="Times New Roman"/>
                <w:sz w:val="12"/>
                <w:szCs w:val="12"/>
              </w:rPr>
            </w:pPr>
          </w:p>
        </w:tc>
        <w:tc>
          <w:tcPr>
            <w:tcW w:w="742" w:type="pct"/>
          </w:tcPr>
          <w:p w14:paraId="20313929" w14:textId="77777777" w:rsidR="004F1C60" w:rsidRPr="002D0AF3" w:rsidRDefault="004F1C60" w:rsidP="00B87B10">
            <w:pPr>
              <w:pStyle w:val="TableParagraph"/>
              <w:contextualSpacing/>
              <w:rPr>
                <w:rFonts w:ascii="Garamond" w:hAnsi="Garamond" w:cs="Times New Roman"/>
                <w:sz w:val="12"/>
                <w:szCs w:val="12"/>
              </w:rPr>
            </w:pPr>
            <w:r w:rsidRPr="002D0AF3">
              <w:rPr>
                <w:rFonts w:ascii="Garamond" w:hAnsi="Garamond" w:cs="Times New Roman"/>
                <w:sz w:val="12"/>
                <w:szCs w:val="12"/>
              </w:rPr>
              <w:t xml:space="preserve">Raportimet e auditimeve të brendshme dhe mbyllja e planeve korrigjuese të veprimit. </w:t>
            </w:r>
          </w:p>
        </w:tc>
        <w:tc>
          <w:tcPr>
            <w:tcW w:w="266" w:type="pct"/>
          </w:tcPr>
          <w:p w14:paraId="1B6AA98C"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1</w:t>
            </w:r>
          </w:p>
        </w:tc>
        <w:tc>
          <w:tcPr>
            <w:tcW w:w="296" w:type="pct"/>
          </w:tcPr>
          <w:p w14:paraId="65F7168E" w14:textId="77777777" w:rsidR="004F1C60" w:rsidRPr="002D0AF3" w:rsidRDefault="004F1C60" w:rsidP="00B87B10">
            <w:pPr>
              <w:pStyle w:val="TableParagraph"/>
              <w:tabs>
                <w:tab w:val="left" w:pos="900"/>
              </w:tabs>
              <w:rPr>
                <w:rFonts w:ascii="Garamond" w:hAnsi="Garamond" w:cs="Times New Roman"/>
                <w:sz w:val="12"/>
                <w:szCs w:val="12"/>
              </w:rPr>
            </w:pPr>
            <w:r w:rsidRPr="002D0AF3">
              <w:rPr>
                <w:rFonts w:ascii="Garamond" w:hAnsi="Garamond" w:cs="Times New Roman"/>
                <w:sz w:val="12"/>
                <w:szCs w:val="12"/>
              </w:rPr>
              <w:t>TM1 2025</w:t>
            </w:r>
          </w:p>
        </w:tc>
        <w:tc>
          <w:tcPr>
            <w:tcW w:w="326" w:type="pct"/>
          </w:tcPr>
          <w:p w14:paraId="5329365A"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TM4 2027</w:t>
            </w:r>
          </w:p>
          <w:p w14:paraId="6F1702B1" w14:textId="77777777" w:rsidR="004F1C60" w:rsidRPr="002D0AF3" w:rsidRDefault="004F1C60" w:rsidP="00B87B10">
            <w:pPr>
              <w:pStyle w:val="TableParagraph"/>
              <w:rPr>
                <w:rFonts w:ascii="Garamond" w:hAnsi="Garamond" w:cs="Times New Roman"/>
                <w:sz w:val="12"/>
                <w:szCs w:val="12"/>
              </w:rPr>
            </w:pPr>
          </w:p>
          <w:p w14:paraId="60CF44FF" w14:textId="77777777" w:rsidR="004F1C60" w:rsidRPr="002D0AF3" w:rsidRDefault="004F1C60" w:rsidP="00B87B10">
            <w:pPr>
              <w:pStyle w:val="TableParagraph"/>
              <w:rPr>
                <w:rFonts w:ascii="Garamond" w:hAnsi="Garamond" w:cs="Times New Roman"/>
                <w:sz w:val="12"/>
                <w:szCs w:val="12"/>
              </w:rPr>
            </w:pPr>
          </w:p>
          <w:p w14:paraId="0A96DEDB" w14:textId="77777777" w:rsidR="004F1C60" w:rsidRPr="002D0AF3" w:rsidRDefault="004F1C60" w:rsidP="00B87B10">
            <w:pPr>
              <w:pStyle w:val="TableParagraph"/>
              <w:rPr>
                <w:rFonts w:ascii="Garamond" w:hAnsi="Garamond" w:cs="Times New Roman"/>
                <w:sz w:val="12"/>
                <w:szCs w:val="12"/>
              </w:rPr>
            </w:pPr>
          </w:p>
        </w:tc>
        <w:tc>
          <w:tcPr>
            <w:tcW w:w="331" w:type="pct"/>
          </w:tcPr>
          <w:p w14:paraId="58F02078" w14:textId="77777777" w:rsidR="004F1C60" w:rsidRPr="002D0AF3" w:rsidRDefault="004F1C60" w:rsidP="00B87B10">
            <w:pPr>
              <w:pStyle w:val="TableParagraph"/>
              <w:rPr>
                <w:rFonts w:ascii="Garamond" w:hAnsi="Garamond"/>
                <w:sz w:val="12"/>
                <w:szCs w:val="12"/>
              </w:rPr>
            </w:pPr>
            <w:r w:rsidRPr="002D0AF3">
              <w:rPr>
                <w:rFonts w:ascii="Garamond" w:hAnsi="Garamond"/>
                <w:sz w:val="12"/>
                <w:szCs w:val="12"/>
              </w:rPr>
              <w:t>0.6-1.2 mln</w:t>
            </w:r>
          </w:p>
        </w:tc>
        <w:tc>
          <w:tcPr>
            <w:tcW w:w="386" w:type="pct"/>
          </w:tcPr>
          <w:p w14:paraId="0F1A7C2E" w14:textId="77777777" w:rsidR="004F1C60" w:rsidRPr="002D0AF3" w:rsidRDefault="004F1C60" w:rsidP="00B87B10">
            <w:pPr>
              <w:pStyle w:val="TableParagraph"/>
              <w:rPr>
                <w:rFonts w:ascii="Garamond" w:hAnsi="Garamond"/>
                <w:sz w:val="12"/>
                <w:szCs w:val="12"/>
              </w:rPr>
            </w:pPr>
            <w:r w:rsidRPr="002D0AF3">
              <w:rPr>
                <w:rFonts w:ascii="Garamond" w:hAnsi="Garamond"/>
                <w:sz w:val="12"/>
                <w:szCs w:val="12"/>
              </w:rPr>
              <w:t>0.2-0.4 mln për çdo vit</w:t>
            </w:r>
          </w:p>
        </w:tc>
        <w:tc>
          <w:tcPr>
            <w:tcW w:w="504" w:type="pct"/>
          </w:tcPr>
          <w:p w14:paraId="061AA95C" w14:textId="77777777" w:rsidR="004F1C60" w:rsidRPr="002D0AF3" w:rsidRDefault="004F1C60" w:rsidP="00B87B10">
            <w:pPr>
              <w:pStyle w:val="TableParagraph"/>
              <w:rPr>
                <w:rFonts w:ascii="Garamond" w:hAnsi="Garamond" w:cs="Times New Roman"/>
                <w:sz w:val="12"/>
                <w:szCs w:val="12"/>
                <w:highlight w:val="red"/>
              </w:rPr>
            </w:pPr>
            <w:r w:rsidRPr="002D0AF3">
              <w:rPr>
                <w:rFonts w:ascii="Garamond" w:hAnsi="Garamond" w:cs="Times New Roman"/>
                <w:sz w:val="12"/>
                <w:szCs w:val="12"/>
              </w:rPr>
              <w:t>0</w:t>
            </w:r>
          </w:p>
        </w:tc>
        <w:tc>
          <w:tcPr>
            <w:tcW w:w="416" w:type="pct"/>
          </w:tcPr>
          <w:p w14:paraId="47DFEE30" w14:textId="77777777" w:rsidR="004F1C60" w:rsidRPr="002D0AF3" w:rsidRDefault="004F1C60" w:rsidP="00B87B10">
            <w:pPr>
              <w:pStyle w:val="TableParagraph"/>
              <w:rPr>
                <w:rFonts w:ascii="Garamond" w:hAnsi="Garamond" w:cs="Times New Roman"/>
                <w:sz w:val="12"/>
                <w:szCs w:val="12"/>
              </w:rPr>
            </w:pPr>
          </w:p>
        </w:tc>
      </w:tr>
      <w:tr w:rsidR="00BC5407" w:rsidRPr="002D0AF3" w14:paraId="0CBA715B" w14:textId="77777777" w:rsidTr="00BC5407">
        <w:trPr>
          <w:trHeight w:val="20"/>
          <w:jc w:val="center"/>
        </w:trPr>
        <w:tc>
          <w:tcPr>
            <w:tcW w:w="177" w:type="pct"/>
          </w:tcPr>
          <w:p w14:paraId="3C198E87"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11</w:t>
            </w:r>
          </w:p>
        </w:tc>
        <w:tc>
          <w:tcPr>
            <w:tcW w:w="398" w:type="pct"/>
          </w:tcPr>
          <w:p w14:paraId="3B7DB66C" w14:textId="600D182F" w:rsidR="004F1C60" w:rsidRPr="002D0AF3" w:rsidRDefault="004F1C60" w:rsidP="00B87B10">
            <w:pPr>
              <w:pStyle w:val="TableParagraph"/>
              <w:rPr>
                <w:rFonts w:ascii="Garamond" w:hAnsi="Garamond" w:cs="Times New Roman"/>
                <w:sz w:val="12"/>
                <w:szCs w:val="12"/>
                <w:highlight w:val="yellow"/>
              </w:rPr>
            </w:pPr>
            <w:r w:rsidRPr="002D0AF3">
              <w:rPr>
                <w:rFonts w:ascii="Garamond" w:hAnsi="Garamond" w:cs="Times New Roman"/>
                <w:sz w:val="12"/>
                <w:szCs w:val="12"/>
              </w:rPr>
              <w:t>Digjitalizimi dhe menaxhimi i të dhënave</w:t>
            </w:r>
            <w:r w:rsidR="003E60DD" w:rsidRPr="002D0AF3">
              <w:rPr>
                <w:rFonts w:ascii="Garamond" w:hAnsi="Garamond" w:cs="Times New Roman"/>
                <w:sz w:val="12"/>
                <w:szCs w:val="12"/>
              </w:rPr>
              <w:t xml:space="preserve"> </w:t>
            </w:r>
          </w:p>
        </w:tc>
        <w:tc>
          <w:tcPr>
            <w:tcW w:w="593" w:type="pct"/>
          </w:tcPr>
          <w:p w14:paraId="11A2457C" w14:textId="22660300" w:rsidR="004F1C60" w:rsidRPr="002D0AF3" w:rsidRDefault="004F1C60" w:rsidP="00397FE8">
            <w:pPr>
              <w:pStyle w:val="TableParagraph"/>
              <w:rPr>
                <w:rFonts w:ascii="Garamond" w:hAnsi="Garamond" w:cs="Times New Roman"/>
                <w:sz w:val="12"/>
                <w:szCs w:val="12"/>
                <w:highlight w:val="green"/>
              </w:rPr>
            </w:pPr>
            <w:r w:rsidRPr="002D0AF3">
              <w:rPr>
                <w:rFonts w:ascii="Garamond" w:hAnsi="Garamond" w:cs="Times New Roman"/>
                <w:sz w:val="12"/>
                <w:szCs w:val="12"/>
              </w:rPr>
              <w:t>Forcimi i sistemeve të digjitalizuara të informacionit të autoriteteve rregullatore dhe industrisë për të mbështetur zbatimin dhe</w:t>
            </w:r>
            <w:r w:rsidR="00397FE8">
              <w:rPr>
                <w:rFonts w:ascii="Garamond" w:hAnsi="Garamond" w:cs="Times New Roman"/>
                <w:sz w:val="12"/>
                <w:szCs w:val="12"/>
              </w:rPr>
              <w:t xml:space="preserve"> </w:t>
            </w:r>
            <w:r w:rsidRPr="002D0AF3">
              <w:rPr>
                <w:rFonts w:ascii="Garamond" w:hAnsi="Garamond" w:cs="Times New Roman"/>
                <w:sz w:val="12"/>
                <w:szCs w:val="12"/>
              </w:rPr>
              <w:t>politikëbërjen e bazuar në prova (p.sh. të dhëna për kontrollin zyrtar, sëmundje të shkaktuara nga ushqimi, biosiguria, gjurmueshmëria nga ferma në pirun, përdorimi i medikamenteve veterinare, përdorimi i pesticideve, mbar</w:t>
            </w:r>
            <w:r w:rsidR="00397FE8">
              <w:rPr>
                <w:rFonts w:ascii="Garamond" w:hAnsi="Garamond" w:cs="Times New Roman"/>
                <w:sz w:val="12"/>
                <w:szCs w:val="12"/>
              </w:rPr>
              <w:t>ë</w:t>
            </w:r>
            <w:r w:rsidRPr="002D0AF3">
              <w:rPr>
                <w:rFonts w:ascii="Garamond" w:hAnsi="Garamond" w:cs="Times New Roman"/>
                <w:sz w:val="12"/>
                <w:szCs w:val="12"/>
              </w:rPr>
              <w:t>shtimi i kafsh</w:t>
            </w:r>
            <w:r w:rsidR="00397FE8">
              <w:rPr>
                <w:rFonts w:ascii="Garamond" w:hAnsi="Garamond" w:cs="Times New Roman"/>
                <w:sz w:val="12"/>
                <w:szCs w:val="12"/>
              </w:rPr>
              <w:t>ë</w:t>
            </w:r>
            <w:r w:rsidRPr="002D0AF3">
              <w:rPr>
                <w:rFonts w:ascii="Garamond" w:hAnsi="Garamond" w:cs="Times New Roman"/>
                <w:sz w:val="12"/>
                <w:szCs w:val="12"/>
              </w:rPr>
              <w:t>ve dhe mbajtja e dokumentacionit etj.).</w:t>
            </w:r>
          </w:p>
        </w:tc>
        <w:tc>
          <w:tcPr>
            <w:tcW w:w="564" w:type="pct"/>
          </w:tcPr>
          <w:p w14:paraId="1950613E"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Të dhëna në kohë reale dhe të aksesueshme për kontrollet zyrtare për shëndetin e bimëve, sigurinë ushqimore të ushqimit dhe ushqimit për kafshë, sektorin e shëndetit dhe mirëqenies së kafshëve. </w:t>
            </w:r>
          </w:p>
          <w:p w14:paraId="3BAF4E08" w14:textId="77777777" w:rsidR="004F1C60" w:rsidRPr="002D0AF3" w:rsidRDefault="004F1C60" w:rsidP="00B87B10">
            <w:pPr>
              <w:pStyle w:val="TableParagraph"/>
              <w:rPr>
                <w:rFonts w:ascii="Garamond" w:hAnsi="Garamond" w:cs="Times New Roman"/>
                <w:sz w:val="12"/>
                <w:szCs w:val="12"/>
              </w:rPr>
            </w:pPr>
          </w:p>
          <w:p w14:paraId="4F515FD3"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Përmirësimi i qarkullimit të informacionit në kohë reale për të mbështetur zbatimin dhe politikëbërjen e bazuar në prova.</w:t>
            </w:r>
          </w:p>
        </w:tc>
        <w:tc>
          <w:tcPr>
            <w:tcW w:w="742" w:type="pct"/>
          </w:tcPr>
          <w:p w14:paraId="7FD5F019" w14:textId="77777777" w:rsidR="004F1C60" w:rsidRPr="002D0AF3" w:rsidRDefault="004F1C60" w:rsidP="00B87B10">
            <w:pPr>
              <w:pStyle w:val="TableParagraph"/>
              <w:contextualSpacing/>
              <w:rPr>
                <w:rFonts w:ascii="Garamond" w:hAnsi="Garamond" w:cs="Times New Roman"/>
                <w:sz w:val="12"/>
                <w:szCs w:val="12"/>
              </w:rPr>
            </w:pPr>
            <w:r w:rsidRPr="002D0AF3">
              <w:rPr>
                <w:rFonts w:ascii="Garamond" w:hAnsi="Garamond" w:cs="Times New Roman"/>
                <w:sz w:val="12"/>
                <w:szCs w:val="12"/>
              </w:rPr>
              <w:t>Raportim në kohë reale mbi kontrollet zyrtare ndërmjet sektorëve të shëndetit të bimëve, sigurisë ushqimore të ushqimit dhe ushqimit për kafshë dhe sektorit t</w:t>
            </w:r>
            <w:r w:rsidRPr="002D0AF3">
              <w:rPr>
                <w:rFonts w:ascii="Garamond" w:hAnsi="Garamond" w:cs="Times New Roman"/>
                <w:sz w:val="12"/>
                <w:szCs w:val="12"/>
                <w:lang w:eastAsia="ja-JP"/>
              </w:rPr>
              <w:t>ë</w:t>
            </w:r>
            <w:r w:rsidRPr="002D0AF3">
              <w:rPr>
                <w:rFonts w:ascii="Garamond" w:hAnsi="Garamond" w:cs="Times New Roman"/>
                <w:sz w:val="12"/>
                <w:szCs w:val="12"/>
              </w:rPr>
              <w:t xml:space="preserve"> shëndetit dhe mirëqenies së kafshëve.</w:t>
            </w:r>
          </w:p>
          <w:p w14:paraId="4D68F61A" w14:textId="77777777" w:rsidR="004F1C60" w:rsidRPr="002D0AF3" w:rsidRDefault="004F1C60" w:rsidP="00B87B10">
            <w:pPr>
              <w:pStyle w:val="TableParagraph"/>
              <w:contextualSpacing/>
              <w:rPr>
                <w:rFonts w:ascii="Garamond" w:hAnsi="Garamond" w:cs="Times New Roman"/>
                <w:sz w:val="12"/>
                <w:szCs w:val="12"/>
              </w:rPr>
            </w:pPr>
          </w:p>
          <w:p w14:paraId="4EB62992" w14:textId="05BBD006" w:rsidR="004F1C60" w:rsidRPr="002D0AF3" w:rsidRDefault="004F1C60" w:rsidP="00B87B10">
            <w:pPr>
              <w:pStyle w:val="TableParagraph"/>
              <w:contextualSpacing/>
              <w:rPr>
                <w:rFonts w:ascii="Garamond" w:hAnsi="Garamond" w:cs="Times New Roman"/>
                <w:sz w:val="12"/>
                <w:szCs w:val="12"/>
              </w:rPr>
            </w:pPr>
            <w:r w:rsidRPr="002D0AF3">
              <w:rPr>
                <w:rFonts w:ascii="Garamond" w:hAnsi="Garamond" w:cs="Times New Roman"/>
                <w:sz w:val="12"/>
                <w:szCs w:val="12"/>
              </w:rPr>
              <w:t xml:space="preserve">Të dhëna në kohë reale të disponueshme për fusha kyç, si sëmundjet e shkaktuara nga ushqimi, statusi i sëmundjeve, përdorimi i medikamenteve veterinare, përdorimi i pesticideve, gjurmueshmëria e produkteve, numri i bizneseve </w:t>
            </w:r>
            <w:r w:rsidR="005529A9" w:rsidRPr="002D0AF3">
              <w:rPr>
                <w:rFonts w:ascii="Garamond" w:hAnsi="Garamond" w:cs="Times New Roman"/>
                <w:sz w:val="12"/>
                <w:szCs w:val="12"/>
              </w:rPr>
              <w:t>agroushqimor</w:t>
            </w:r>
            <w:r w:rsidRPr="002D0AF3">
              <w:rPr>
                <w:rFonts w:ascii="Garamond" w:hAnsi="Garamond" w:cs="Times New Roman"/>
                <w:sz w:val="12"/>
                <w:szCs w:val="12"/>
              </w:rPr>
              <w:t xml:space="preserve">e të </w:t>
            </w:r>
            <w:r w:rsidR="007045F6" w:rsidRPr="002D0AF3">
              <w:rPr>
                <w:rFonts w:ascii="Garamond" w:hAnsi="Garamond" w:cs="Times New Roman"/>
                <w:sz w:val="12"/>
                <w:szCs w:val="12"/>
              </w:rPr>
              <w:t>licencuar</w:t>
            </w:r>
            <w:r w:rsidRPr="002D0AF3">
              <w:rPr>
                <w:rFonts w:ascii="Garamond" w:hAnsi="Garamond" w:cs="Times New Roman"/>
                <w:sz w:val="12"/>
                <w:szCs w:val="12"/>
              </w:rPr>
              <w:t>, vendndodhja dhe veprimtaritë e tyre.</w:t>
            </w:r>
          </w:p>
        </w:tc>
        <w:tc>
          <w:tcPr>
            <w:tcW w:w="266" w:type="pct"/>
          </w:tcPr>
          <w:p w14:paraId="3D65B5FB"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2</w:t>
            </w:r>
          </w:p>
          <w:p w14:paraId="02034643" w14:textId="77777777" w:rsidR="004F1C60" w:rsidRPr="002D0AF3" w:rsidRDefault="004F1C60" w:rsidP="00B87B10">
            <w:pPr>
              <w:pStyle w:val="TableParagraph"/>
              <w:rPr>
                <w:rFonts w:ascii="Garamond" w:hAnsi="Garamond" w:cs="Times New Roman"/>
                <w:sz w:val="12"/>
                <w:szCs w:val="12"/>
              </w:rPr>
            </w:pPr>
          </w:p>
        </w:tc>
        <w:tc>
          <w:tcPr>
            <w:tcW w:w="296" w:type="pct"/>
          </w:tcPr>
          <w:p w14:paraId="52AB3747" w14:textId="77777777" w:rsidR="004F1C60" w:rsidRPr="002D0AF3" w:rsidRDefault="004F1C60" w:rsidP="00B87B10">
            <w:pPr>
              <w:pStyle w:val="TableParagraph"/>
              <w:tabs>
                <w:tab w:val="left" w:pos="900"/>
              </w:tabs>
              <w:rPr>
                <w:rFonts w:ascii="Garamond" w:hAnsi="Garamond" w:cs="Times New Roman"/>
                <w:sz w:val="12"/>
                <w:szCs w:val="12"/>
              </w:rPr>
            </w:pPr>
            <w:r w:rsidRPr="002D0AF3">
              <w:rPr>
                <w:rFonts w:ascii="Garamond" w:hAnsi="Garamond" w:cs="Times New Roman"/>
                <w:sz w:val="12"/>
                <w:szCs w:val="12"/>
              </w:rPr>
              <w:t>TM2 2023</w:t>
            </w:r>
          </w:p>
        </w:tc>
        <w:tc>
          <w:tcPr>
            <w:tcW w:w="326" w:type="pct"/>
          </w:tcPr>
          <w:p w14:paraId="0D748ED1"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TM4 2024</w:t>
            </w:r>
          </w:p>
        </w:tc>
        <w:tc>
          <w:tcPr>
            <w:tcW w:w="331" w:type="pct"/>
          </w:tcPr>
          <w:p w14:paraId="4B97A13F"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1.7 mln</w:t>
            </w:r>
          </w:p>
        </w:tc>
        <w:tc>
          <w:tcPr>
            <w:tcW w:w="386" w:type="pct"/>
          </w:tcPr>
          <w:p w14:paraId="1311C601"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504" w:type="pct"/>
          </w:tcPr>
          <w:p w14:paraId="2BE5DF38"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Food Safety Project – IPA 2016</w:t>
            </w:r>
          </w:p>
          <w:p w14:paraId="2CB12C6E" w14:textId="77777777" w:rsidR="004F1C60" w:rsidRPr="002D0AF3" w:rsidRDefault="004F1C60" w:rsidP="00B87B10">
            <w:pPr>
              <w:pStyle w:val="TableParagraph"/>
              <w:rPr>
                <w:rFonts w:ascii="Garamond" w:hAnsi="Garamond" w:cs="Times New Roman"/>
                <w:sz w:val="12"/>
                <w:szCs w:val="12"/>
              </w:rPr>
            </w:pPr>
          </w:p>
          <w:p w14:paraId="24023D92"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1.7 mln</w:t>
            </w:r>
          </w:p>
        </w:tc>
        <w:tc>
          <w:tcPr>
            <w:tcW w:w="416" w:type="pct"/>
          </w:tcPr>
          <w:p w14:paraId="0500DA11" w14:textId="77777777" w:rsidR="004F1C60" w:rsidRPr="002D0AF3" w:rsidRDefault="004F1C60" w:rsidP="00B87B10">
            <w:pPr>
              <w:pStyle w:val="TableParagraph"/>
              <w:rPr>
                <w:rFonts w:ascii="Garamond" w:hAnsi="Garamond" w:cs="Times New Roman"/>
                <w:sz w:val="12"/>
                <w:szCs w:val="12"/>
              </w:rPr>
            </w:pPr>
          </w:p>
        </w:tc>
      </w:tr>
      <w:tr w:rsidR="00BC5407" w:rsidRPr="002D0AF3" w14:paraId="63BBD9FD" w14:textId="77777777" w:rsidTr="00BC5407">
        <w:trPr>
          <w:trHeight w:val="20"/>
          <w:jc w:val="center"/>
        </w:trPr>
        <w:tc>
          <w:tcPr>
            <w:tcW w:w="177" w:type="pct"/>
          </w:tcPr>
          <w:p w14:paraId="679B65DB"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12</w:t>
            </w:r>
          </w:p>
        </w:tc>
        <w:tc>
          <w:tcPr>
            <w:tcW w:w="398" w:type="pct"/>
          </w:tcPr>
          <w:p w14:paraId="4F9F6C6F" w14:textId="77777777" w:rsidR="004F1C60" w:rsidRPr="002D0AF3" w:rsidRDefault="004F1C60" w:rsidP="00B87B10">
            <w:pPr>
              <w:pStyle w:val="TableParagraph"/>
              <w:rPr>
                <w:rFonts w:ascii="Garamond" w:hAnsi="Garamond" w:cs="Times New Roman"/>
                <w:sz w:val="12"/>
                <w:szCs w:val="12"/>
                <w:highlight w:val="yellow"/>
              </w:rPr>
            </w:pPr>
            <w:r w:rsidRPr="002D0AF3">
              <w:rPr>
                <w:rFonts w:ascii="Garamond" w:hAnsi="Garamond" w:cs="Times New Roman"/>
                <w:sz w:val="12"/>
                <w:szCs w:val="12"/>
              </w:rPr>
              <w:t>Bashkëpunimi ndërkombëtar</w:t>
            </w:r>
          </w:p>
        </w:tc>
        <w:tc>
          <w:tcPr>
            <w:tcW w:w="593" w:type="pct"/>
          </w:tcPr>
          <w:p w14:paraId="320FAB0D" w14:textId="2CC297A4"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Angazhim i vazhdueshëm aktiv i MBZHR-së, ISUV-it, AKU-së, AKVMB-së me institucionet ndërkombëtare</w:t>
            </w:r>
            <w:r w:rsidR="00397FE8">
              <w:rPr>
                <w:rFonts w:ascii="Garamond" w:hAnsi="Garamond" w:cs="Times New Roman"/>
                <w:sz w:val="12"/>
                <w:szCs w:val="12"/>
              </w:rPr>
              <w:t xml:space="preserve">, </w:t>
            </w:r>
            <w:r w:rsidRPr="002D0AF3">
              <w:rPr>
                <w:rFonts w:ascii="Garamond" w:hAnsi="Garamond" w:cs="Times New Roman"/>
                <w:sz w:val="12"/>
                <w:szCs w:val="12"/>
              </w:rPr>
              <w:t>si WHO, FAO, INFOSAN, WOAH, EFSA, IPPC dhe EPPO,</w:t>
            </w:r>
            <w:r w:rsidRPr="002D0AF3">
              <w:rPr>
                <w:rFonts w:ascii="Garamond" w:hAnsi="Garamond" w:cs="Times New Roman"/>
                <w:b/>
                <w:i/>
                <w:sz w:val="12"/>
                <w:szCs w:val="12"/>
              </w:rPr>
              <w:t xml:space="preserve"> </w:t>
            </w:r>
            <w:r w:rsidRPr="002D0AF3">
              <w:rPr>
                <w:rFonts w:ascii="Garamond" w:hAnsi="Garamond" w:cs="Times New Roman"/>
                <w:sz w:val="12"/>
                <w:szCs w:val="12"/>
              </w:rPr>
              <w:t>CODEX.</w:t>
            </w:r>
          </w:p>
        </w:tc>
        <w:tc>
          <w:tcPr>
            <w:tcW w:w="564" w:type="pct"/>
          </w:tcPr>
          <w:p w14:paraId="1E21EB90" w14:textId="271E4CA5"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Pjesëmarrja aktive e Shqipërisë në forumet ndërkombëtare për sigurinë </w:t>
            </w:r>
            <w:r w:rsidR="005529A9" w:rsidRPr="002D0AF3">
              <w:rPr>
                <w:rFonts w:ascii="Garamond" w:hAnsi="Garamond" w:cs="Times New Roman"/>
                <w:sz w:val="12"/>
                <w:szCs w:val="12"/>
              </w:rPr>
              <w:t>agroushqimor</w:t>
            </w:r>
            <w:r w:rsidRPr="002D0AF3">
              <w:rPr>
                <w:rFonts w:ascii="Garamond" w:hAnsi="Garamond" w:cs="Times New Roman"/>
                <w:sz w:val="12"/>
                <w:szCs w:val="12"/>
              </w:rPr>
              <w:t>e.</w:t>
            </w:r>
          </w:p>
        </w:tc>
        <w:tc>
          <w:tcPr>
            <w:tcW w:w="742" w:type="pct"/>
          </w:tcPr>
          <w:p w14:paraId="1656C4FD" w14:textId="4A7A1EBB"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Raportet e takimeve me institucionet ndërkombëtare</w:t>
            </w:r>
            <w:r w:rsidR="007045F6">
              <w:rPr>
                <w:rFonts w:ascii="Garamond" w:hAnsi="Garamond" w:cs="Times New Roman"/>
                <w:sz w:val="12"/>
                <w:szCs w:val="12"/>
              </w:rPr>
              <w:t>,</w:t>
            </w:r>
            <w:r w:rsidRPr="002D0AF3">
              <w:rPr>
                <w:rFonts w:ascii="Garamond" w:hAnsi="Garamond" w:cs="Times New Roman"/>
                <w:sz w:val="12"/>
                <w:szCs w:val="12"/>
              </w:rPr>
              <w:t xml:space="preserve"> si</w:t>
            </w:r>
            <w:r w:rsidR="007045F6">
              <w:rPr>
                <w:rFonts w:ascii="Garamond" w:hAnsi="Garamond" w:cs="Times New Roman"/>
                <w:sz w:val="12"/>
                <w:szCs w:val="12"/>
              </w:rPr>
              <w:t>:</w:t>
            </w:r>
            <w:r w:rsidRPr="002D0AF3">
              <w:rPr>
                <w:rFonts w:ascii="Garamond" w:hAnsi="Garamond" w:cs="Times New Roman"/>
                <w:sz w:val="12"/>
                <w:szCs w:val="12"/>
              </w:rPr>
              <w:t xml:space="preserve"> OBSH, FAO, INFOSAN, EFSA, WOAH, IPPC, EPPO dhe CODEX.</w:t>
            </w:r>
          </w:p>
        </w:tc>
        <w:tc>
          <w:tcPr>
            <w:tcW w:w="266" w:type="pct"/>
          </w:tcPr>
          <w:p w14:paraId="19CFD0F0"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2</w:t>
            </w:r>
          </w:p>
        </w:tc>
        <w:tc>
          <w:tcPr>
            <w:tcW w:w="296" w:type="pct"/>
          </w:tcPr>
          <w:p w14:paraId="548F5569" w14:textId="77777777" w:rsidR="004F1C60" w:rsidRPr="002D0AF3" w:rsidRDefault="004F1C60" w:rsidP="00B87B10">
            <w:pPr>
              <w:pStyle w:val="TableParagraph"/>
              <w:tabs>
                <w:tab w:val="left" w:pos="900"/>
              </w:tabs>
              <w:rPr>
                <w:rFonts w:ascii="Garamond" w:hAnsi="Garamond" w:cs="Times New Roman"/>
                <w:sz w:val="12"/>
                <w:szCs w:val="12"/>
              </w:rPr>
            </w:pPr>
            <w:r w:rsidRPr="002D0AF3">
              <w:rPr>
                <w:rFonts w:ascii="Garamond" w:hAnsi="Garamond" w:cs="Times New Roman"/>
                <w:sz w:val="12"/>
                <w:szCs w:val="12"/>
              </w:rPr>
              <w:t>TM3 2023</w:t>
            </w:r>
          </w:p>
        </w:tc>
        <w:tc>
          <w:tcPr>
            <w:tcW w:w="326" w:type="pct"/>
          </w:tcPr>
          <w:p w14:paraId="19CC8F43"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TM4 2027</w:t>
            </w:r>
          </w:p>
        </w:tc>
        <w:tc>
          <w:tcPr>
            <w:tcW w:w="331" w:type="pct"/>
          </w:tcPr>
          <w:p w14:paraId="57A0C951"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57.5 mln</w:t>
            </w:r>
          </w:p>
        </w:tc>
        <w:tc>
          <w:tcPr>
            <w:tcW w:w="386" w:type="pct"/>
          </w:tcPr>
          <w:p w14:paraId="4E58094F" w14:textId="77777777" w:rsidR="004F1C60" w:rsidRPr="002D0AF3" w:rsidRDefault="004F1C60" w:rsidP="00B87B10">
            <w:pPr>
              <w:pStyle w:val="TableParagraph"/>
              <w:rPr>
                <w:rFonts w:ascii="Garamond" w:hAnsi="Garamond" w:cs="Times New Roman"/>
                <w:sz w:val="12"/>
                <w:szCs w:val="12"/>
                <w:highlight w:val="green"/>
              </w:rPr>
            </w:pPr>
            <w:r w:rsidRPr="002D0AF3">
              <w:rPr>
                <w:rFonts w:ascii="Garamond" w:hAnsi="Garamond" w:cs="Times New Roman"/>
                <w:sz w:val="12"/>
                <w:szCs w:val="12"/>
              </w:rPr>
              <w:t xml:space="preserve">11.5 mln </w:t>
            </w:r>
          </w:p>
        </w:tc>
        <w:tc>
          <w:tcPr>
            <w:tcW w:w="504" w:type="pct"/>
          </w:tcPr>
          <w:p w14:paraId="2269F038"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416" w:type="pct"/>
          </w:tcPr>
          <w:p w14:paraId="553169FC" w14:textId="77777777" w:rsidR="004F1C60" w:rsidRPr="002D0AF3" w:rsidRDefault="004F1C60" w:rsidP="00B87B10">
            <w:pPr>
              <w:pStyle w:val="TableParagraph"/>
              <w:rPr>
                <w:rFonts w:ascii="Garamond" w:hAnsi="Garamond" w:cs="Times New Roman"/>
                <w:sz w:val="12"/>
                <w:szCs w:val="12"/>
              </w:rPr>
            </w:pPr>
          </w:p>
        </w:tc>
      </w:tr>
      <w:tr w:rsidR="00BC5407" w:rsidRPr="002D0AF3" w14:paraId="5DDD9387" w14:textId="77777777" w:rsidTr="00BC5407">
        <w:trPr>
          <w:trHeight w:val="20"/>
          <w:jc w:val="center"/>
        </w:trPr>
        <w:tc>
          <w:tcPr>
            <w:tcW w:w="177" w:type="pct"/>
          </w:tcPr>
          <w:p w14:paraId="38A698E6"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13a</w:t>
            </w:r>
          </w:p>
        </w:tc>
        <w:tc>
          <w:tcPr>
            <w:tcW w:w="398" w:type="pct"/>
          </w:tcPr>
          <w:p w14:paraId="6A448F29" w14:textId="5263D607" w:rsidR="004F1C60" w:rsidRPr="002D0AF3" w:rsidRDefault="004F1C60" w:rsidP="00B87B10">
            <w:pPr>
              <w:pStyle w:val="TableParagraph"/>
              <w:rPr>
                <w:rFonts w:ascii="Garamond" w:hAnsi="Garamond" w:cs="Times New Roman"/>
                <w:sz w:val="12"/>
                <w:szCs w:val="12"/>
                <w:highlight w:val="yellow"/>
              </w:rPr>
            </w:pPr>
            <w:r w:rsidRPr="002D0AF3">
              <w:rPr>
                <w:rFonts w:ascii="Garamond" w:hAnsi="Garamond" w:cs="Times New Roman"/>
                <w:sz w:val="12"/>
                <w:szCs w:val="12"/>
              </w:rPr>
              <w:t xml:space="preserve">Mbulim i përshtatshëm përgjatë të gjithë zinxhirit </w:t>
            </w:r>
            <w:r w:rsidR="005529A9" w:rsidRPr="002D0AF3">
              <w:rPr>
                <w:rFonts w:ascii="Garamond" w:hAnsi="Garamond" w:cs="Times New Roman"/>
                <w:sz w:val="12"/>
                <w:szCs w:val="12"/>
              </w:rPr>
              <w:t>agroushqimor</w:t>
            </w:r>
          </w:p>
        </w:tc>
        <w:tc>
          <w:tcPr>
            <w:tcW w:w="593" w:type="pct"/>
          </w:tcPr>
          <w:p w14:paraId="63350F67" w14:textId="03383CAD"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Rishikimi i të gjitha termave t</w:t>
            </w:r>
            <w:r w:rsidR="00397FE8">
              <w:rPr>
                <w:rFonts w:ascii="Garamond" w:hAnsi="Garamond" w:cs="Times New Roman"/>
                <w:sz w:val="12"/>
                <w:szCs w:val="12"/>
              </w:rPr>
              <w:t>ë</w:t>
            </w:r>
            <w:r w:rsidRPr="002D0AF3">
              <w:rPr>
                <w:rFonts w:ascii="Garamond" w:hAnsi="Garamond" w:cs="Times New Roman"/>
                <w:sz w:val="12"/>
                <w:szCs w:val="12"/>
              </w:rPr>
              <w:t xml:space="preserve"> </w:t>
            </w:r>
            <w:r w:rsidR="00397FE8" w:rsidRPr="002D0AF3">
              <w:rPr>
                <w:rFonts w:ascii="Garamond" w:hAnsi="Garamond" w:cs="Times New Roman"/>
                <w:sz w:val="12"/>
                <w:szCs w:val="12"/>
              </w:rPr>
              <w:t>referencës</w:t>
            </w:r>
            <w:r w:rsidRPr="002D0AF3">
              <w:rPr>
                <w:rFonts w:ascii="Garamond" w:hAnsi="Garamond" w:cs="Times New Roman"/>
                <w:sz w:val="12"/>
                <w:szCs w:val="12"/>
              </w:rPr>
              <w:t xml:space="preserve"> dhe identifikimi i boshllëqeve dhe mbivendosjeve në sistemin e kontrollit.</w:t>
            </w:r>
          </w:p>
        </w:tc>
        <w:tc>
          <w:tcPr>
            <w:tcW w:w="564" w:type="pct"/>
          </w:tcPr>
          <w:p w14:paraId="059CD7C2"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Boshllëqet/mbivendosjet e identifikuara, përgjegjësitë dhe rolet e identifikuara qartë. </w:t>
            </w:r>
          </w:p>
        </w:tc>
        <w:tc>
          <w:tcPr>
            <w:tcW w:w="742" w:type="pct"/>
          </w:tcPr>
          <w:p w14:paraId="6D0DF22F"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Plani Vjetor Kombëtar i Kontrollit.</w:t>
            </w:r>
          </w:p>
        </w:tc>
        <w:tc>
          <w:tcPr>
            <w:tcW w:w="266" w:type="pct"/>
          </w:tcPr>
          <w:p w14:paraId="4B10E491"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1, 2</w:t>
            </w:r>
          </w:p>
        </w:tc>
        <w:tc>
          <w:tcPr>
            <w:tcW w:w="296" w:type="pct"/>
          </w:tcPr>
          <w:p w14:paraId="621D734D" w14:textId="77777777" w:rsidR="004F1C60" w:rsidRPr="002D0AF3" w:rsidRDefault="004F1C60" w:rsidP="00B87B10">
            <w:pPr>
              <w:pStyle w:val="TableParagraph"/>
              <w:tabs>
                <w:tab w:val="left" w:pos="900"/>
              </w:tabs>
              <w:rPr>
                <w:rFonts w:ascii="Garamond" w:hAnsi="Garamond" w:cs="Times New Roman"/>
                <w:sz w:val="12"/>
                <w:szCs w:val="12"/>
              </w:rPr>
            </w:pPr>
            <w:r w:rsidRPr="002D0AF3">
              <w:rPr>
                <w:rFonts w:ascii="Garamond" w:hAnsi="Garamond" w:cs="Times New Roman"/>
                <w:sz w:val="12"/>
                <w:szCs w:val="12"/>
              </w:rPr>
              <w:t>TM2 2024</w:t>
            </w:r>
          </w:p>
        </w:tc>
        <w:tc>
          <w:tcPr>
            <w:tcW w:w="326" w:type="pct"/>
          </w:tcPr>
          <w:p w14:paraId="1EDD4F01"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TM4 2027</w:t>
            </w:r>
          </w:p>
        </w:tc>
        <w:tc>
          <w:tcPr>
            <w:tcW w:w="331" w:type="pct"/>
          </w:tcPr>
          <w:p w14:paraId="2B2CA0C6"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386" w:type="pct"/>
          </w:tcPr>
          <w:p w14:paraId="6A208360"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504" w:type="pct"/>
          </w:tcPr>
          <w:p w14:paraId="7C5CE398"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416" w:type="pct"/>
          </w:tcPr>
          <w:p w14:paraId="129449BD" w14:textId="77777777" w:rsidR="004F1C60" w:rsidRPr="002D0AF3" w:rsidRDefault="004F1C60" w:rsidP="00B87B10">
            <w:pPr>
              <w:pStyle w:val="TableParagraph"/>
              <w:rPr>
                <w:rFonts w:ascii="Garamond" w:hAnsi="Garamond" w:cs="Times New Roman"/>
                <w:sz w:val="12"/>
                <w:szCs w:val="12"/>
              </w:rPr>
            </w:pPr>
          </w:p>
        </w:tc>
      </w:tr>
      <w:tr w:rsidR="00BC5407" w:rsidRPr="002D0AF3" w14:paraId="75C6D0AC" w14:textId="77777777" w:rsidTr="00BC5407">
        <w:trPr>
          <w:trHeight w:val="20"/>
          <w:jc w:val="center"/>
        </w:trPr>
        <w:tc>
          <w:tcPr>
            <w:tcW w:w="177" w:type="pct"/>
          </w:tcPr>
          <w:p w14:paraId="187180E8"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13b</w:t>
            </w:r>
          </w:p>
        </w:tc>
        <w:tc>
          <w:tcPr>
            <w:tcW w:w="398" w:type="pct"/>
          </w:tcPr>
          <w:p w14:paraId="556AF61C" w14:textId="119593C8" w:rsidR="004F1C60" w:rsidRPr="002D0AF3" w:rsidRDefault="004F1C60" w:rsidP="00B87B10">
            <w:pPr>
              <w:pStyle w:val="TableParagraph"/>
              <w:rPr>
                <w:rFonts w:ascii="Garamond" w:hAnsi="Garamond" w:cs="Times New Roman"/>
                <w:sz w:val="12"/>
                <w:szCs w:val="12"/>
                <w:highlight w:val="yellow"/>
              </w:rPr>
            </w:pPr>
            <w:r w:rsidRPr="002D0AF3">
              <w:rPr>
                <w:rFonts w:ascii="Garamond" w:hAnsi="Garamond" w:cs="Times New Roman"/>
                <w:sz w:val="12"/>
                <w:szCs w:val="12"/>
              </w:rPr>
              <w:t xml:space="preserve">Mbulim i përshtatshëm përgjatë të gjithë zinxhirit </w:t>
            </w:r>
            <w:r w:rsidR="005529A9" w:rsidRPr="002D0AF3">
              <w:rPr>
                <w:rFonts w:ascii="Garamond" w:hAnsi="Garamond" w:cs="Times New Roman"/>
                <w:sz w:val="12"/>
                <w:szCs w:val="12"/>
              </w:rPr>
              <w:t>agroushqimor</w:t>
            </w:r>
          </w:p>
        </w:tc>
        <w:tc>
          <w:tcPr>
            <w:tcW w:w="593" w:type="pct"/>
          </w:tcPr>
          <w:p w14:paraId="037061FF" w14:textId="2999203C"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Siguroni që të gjitha bizneset e ushqimit dhe ushqimit për kafshë që operojnë në Shqipëri të jenë të </w:t>
            </w:r>
            <w:r w:rsidR="00397FE8" w:rsidRPr="002D0AF3">
              <w:rPr>
                <w:rFonts w:ascii="Garamond" w:hAnsi="Garamond" w:cs="Times New Roman"/>
                <w:sz w:val="12"/>
                <w:szCs w:val="12"/>
              </w:rPr>
              <w:t>licencuara</w:t>
            </w:r>
            <w:r w:rsidRPr="002D0AF3">
              <w:rPr>
                <w:rFonts w:ascii="Garamond" w:hAnsi="Garamond" w:cs="Times New Roman"/>
                <w:sz w:val="12"/>
                <w:szCs w:val="12"/>
              </w:rPr>
              <w:t xml:space="preserve"> nga AKU</w:t>
            </w:r>
            <w:r w:rsidR="00397FE8">
              <w:rPr>
                <w:rFonts w:ascii="Garamond" w:hAnsi="Garamond" w:cs="Times New Roman"/>
                <w:sz w:val="12"/>
                <w:szCs w:val="12"/>
              </w:rPr>
              <w:t>-ja</w:t>
            </w:r>
            <w:r w:rsidRPr="002D0AF3">
              <w:rPr>
                <w:rFonts w:ascii="Garamond" w:hAnsi="Garamond" w:cs="Times New Roman"/>
                <w:sz w:val="12"/>
                <w:szCs w:val="12"/>
              </w:rPr>
              <w:t xml:space="preserve"> dhe t’u nënshtrohen kontrolleve zyrtare me bazë risku.</w:t>
            </w:r>
          </w:p>
          <w:p w14:paraId="096C349A" w14:textId="77777777" w:rsidR="004F1C60" w:rsidRPr="002D0AF3" w:rsidRDefault="004F1C60" w:rsidP="00B87B10">
            <w:pPr>
              <w:pStyle w:val="TableParagraph"/>
              <w:rPr>
                <w:rFonts w:ascii="Garamond" w:hAnsi="Garamond" w:cs="Times New Roman"/>
                <w:sz w:val="12"/>
                <w:szCs w:val="12"/>
              </w:rPr>
            </w:pPr>
          </w:p>
          <w:p w14:paraId="172ABDEE"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Siguroni regjistrimin e operatoreve profesionist nga AKVMB.</w:t>
            </w:r>
          </w:p>
        </w:tc>
        <w:tc>
          <w:tcPr>
            <w:tcW w:w="564" w:type="pct"/>
          </w:tcPr>
          <w:p w14:paraId="5DC51FF6" w14:textId="5BEDA6C1"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Të gjitha bizneset e ushqimit dhe ushqimit për kafshë janë të licen</w:t>
            </w:r>
            <w:r w:rsidR="007045F6">
              <w:rPr>
                <w:rFonts w:ascii="Garamond" w:hAnsi="Garamond" w:cs="Times New Roman"/>
                <w:sz w:val="12"/>
                <w:szCs w:val="12"/>
              </w:rPr>
              <w:t>c</w:t>
            </w:r>
            <w:r w:rsidRPr="002D0AF3">
              <w:rPr>
                <w:rFonts w:ascii="Garamond" w:hAnsi="Garamond" w:cs="Times New Roman"/>
                <w:sz w:val="12"/>
                <w:szCs w:val="12"/>
              </w:rPr>
              <w:t>uara nga AKU</w:t>
            </w:r>
            <w:r w:rsidR="007045F6">
              <w:rPr>
                <w:rFonts w:ascii="Garamond" w:hAnsi="Garamond" w:cs="Times New Roman"/>
                <w:sz w:val="12"/>
                <w:szCs w:val="12"/>
              </w:rPr>
              <w:t>-ja</w:t>
            </w:r>
            <w:r w:rsidRPr="002D0AF3">
              <w:rPr>
                <w:rFonts w:ascii="Garamond" w:hAnsi="Garamond" w:cs="Times New Roman"/>
                <w:sz w:val="12"/>
                <w:szCs w:val="12"/>
              </w:rPr>
              <w:t xml:space="preserve"> dhe u nënshtrohen kontrolleve zyrtare me bazë risku. </w:t>
            </w:r>
          </w:p>
          <w:p w14:paraId="6E680BA9" w14:textId="32539548"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Të gjithë operatorët profesionistë janë të regjistruar nga NAVPP</w:t>
            </w:r>
            <w:r w:rsidR="007045F6">
              <w:rPr>
                <w:rFonts w:ascii="Garamond" w:hAnsi="Garamond" w:cs="Times New Roman"/>
                <w:sz w:val="12"/>
                <w:szCs w:val="12"/>
              </w:rPr>
              <w:t>-ja</w:t>
            </w:r>
            <w:r w:rsidRPr="002D0AF3">
              <w:rPr>
                <w:rFonts w:ascii="Garamond" w:hAnsi="Garamond" w:cs="Times New Roman"/>
                <w:sz w:val="12"/>
                <w:szCs w:val="12"/>
              </w:rPr>
              <w:t xml:space="preserve"> dhe </w:t>
            </w:r>
            <w:r w:rsidR="007045F6">
              <w:rPr>
                <w:rFonts w:ascii="Garamond" w:hAnsi="Garamond" w:cs="Times New Roman"/>
                <w:sz w:val="12"/>
                <w:szCs w:val="12"/>
              </w:rPr>
              <w:t>u</w:t>
            </w:r>
            <w:r w:rsidRPr="002D0AF3">
              <w:rPr>
                <w:rFonts w:ascii="Garamond" w:hAnsi="Garamond" w:cs="Times New Roman"/>
                <w:sz w:val="12"/>
                <w:szCs w:val="12"/>
              </w:rPr>
              <w:t xml:space="preserve"> nënshtrohen kontrolleve zyrtare të shëndetit të bimëve.</w:t>
            </w:r>
          </w:p>
          <w:p w14:paraId="289456CB" w14:textId="77777777" w:rsidR="004F1C60" w:rsidRPr="002D0AF3" w:rsidRDefault="004F1C60" w:rsidP="00B87B10">
            <w:pPr>
              <w:pStyle w:val="TableParagraph"/>
              <w:rPr>
                <w:rFonts w:ascii="Garamond" w:hAnsi="Garamond" w:cs="Times New Roman"/>
                <w:sz w:val="12"/>
                <w:szCs w:val="12"/>
              </w:rPr>
            </w:pPr>
          </w:p>
          <w:p w14:paraId="5DD28216" w14:textId="77777777" w:rsidR="004F1C60" w:rsidRPr="002D0AF3" w:rsidRDefault="004F1C60" w:rsidP="00B87B10">
            <w:pPr>
              <w:pStyle w:val="TableParagraph"/>
              <w:rPr>
                <w:rFonts w:ascii="Garamond" w:hAnsi="Garamond" w:cs="Times New Roman"/>
                <w:sz w:val="12"/>
                <w:szCs w:val="12"/>
              </w:rPr>
            </w:pPr>
          </w:p>
        </w:tc>
        <w:tc>
          <w:tcPr>
            <w:tcW w:w="742" w:type="pct"/>
          </w:tcPr>
          <w:p w14:paraId="6FD565BF" w14:textId="1B4A4343"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Ulje e vazhdueshme e numrit të bizneseve të palicen</w:t>
            </w:r>
            <w:r w:rsidR="007045F6">
              <w:rPr>
                <w:rFonts w:ascii="Garamond" w:hAnsi="Garamond" w:cs="Times New Roman"/>
                <w:sz w:val="12"/>
                <w:szCs w:val="12"/>
              </w:rPr>
              <w:t>c</w:t>
            </w:r>
            <w:r w:rsidRPr="002D0AF3">
              <w:rPr>
                <w:rFonts w:ascii="Garamond" w:hAnsi="Garamond" w:cs="Times New Roman"/>
                <w:sz w:val="12"/>
                <w:szCs w:val="12"/>
              </w:rPr>
              <w:t>uara të ushqimit dhe ushqimit për kafshë që operojnë në Shqipëri.</w:t>
            </w:r>
          </w:p>
          <w:p w14:paraId="68AD55D5" w14:textId="77777777" w:rsidR="004F1C60" w:rsidRPr="002D0AF3" w:rsidRDefault="004F1C60" w:rsidP="00B87B10">
            <w:pPr>
              <w:pStyle w:val="TableParagraph"/>
              <w:rPr>
                <w:rFonts w:ascii="Garamond" w:hAnsi="Garamond" w:cs="Times New Roman"/>
                <w:sz w:val="12"/>
                <w:szCs w:val="12"/>
                <w:highlight w:val="darkGray"/>
              </w:rPr>
            </w:pPr>
            <w:r w:rsidRPr="002D0AF3">
              <w:rPr>
                <w:rFonts w:ascii="Garamond" w:hAnsi="Garamond" w:cs="Times New Roman"/>
                <w:sz w:val="12"/>
                <w:szCs w:val="12"/>
              </w:rPr>
              <w:t>Vazhdon të parandalojë futjen në territorin e Republikës së Shqipërisë, zhvendosjen ose mbajtjen, shumëzimin ose lëshimin në territorin e Republikës së Shqipërisë.</w:t>
            </w:r>
            <w:r w:rsidRPr="002D0AF3">
              <w:rPr>
                <w:rFonts w:ascii="Garamond" w:hAnsi="Garamond" w:cs="Times New Roman"/>
                <w:sz w:val="12"/>
                <w:szCs w:val="12"/>
                <w:highlight w:val="darkGray"/>
              </w:rPr>
              <w:t xml:space="preserve"> </w:t>
            </w:r>
          </w:p>
          <w:p w14:paraId="5CC2B98C" w14:textId="77777777" w:rsidR="004F1C60" w:rsidRPr="002D0AF3" w:rsidRDefault="004F1C60" w:rsidP="00B87B10">
            <w:pPr>
              <w:pStyle w:val="TableParagraph"/>
              <w:rPr>
                <w:rFonts w:ascii="Garamond" w:hAnsi="Garamond" w:cs="Times New Roman"/>
                <w:sz w:val="12"/>
                <w:szCs w:val="12"/>
                <w:highlight w:val="darkGray"/>
              </w:rPr>
            </w:pPr>
          </w:p>
          <w:p w14:paraId="355522A7" w14:textId="77777777" w:rsidR="004F1C60" w:rsidRPr="002D0AF3" w:rsidRDefault="004F1C60" w:rsidP="00B87B10">
            <w:pPr>
              <w:pStyle w:val="TableParagraph"/>
              <w:rPr>
                <w:rFonts w:ascii="Garamond" w:hAnsi="Garamond" w:cs="Times New Roman"/>
                <w:sz w:val="12"/>
                <w:szCs w:val="12"/>
                <w:highlight w:val="yellow"/>
              </w:rPr>
            </w:pPr>
          </w:p>
        </w:tc>
        <w:tc>
          <w:tcPr>
            <w:tcW w:w="266" w:type="pct"/>
          </w:tcPr>
          <w:p w14:paraId="1E1F1EA3"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3</w:t>
            </w:r>
          </w:p>
        </w:tc>
        <w:tc>
          <w:tcPr>
            <w:tcW w:w="296" w:type="pct"/>
          </w:tcPr>
          <w:p w14:paraId="2AE70F02" w14:textId="77777777" w:rsidR="004F1C60" w:rsidRPr="002D0AF3" w:rsidRDefault="004F1C60" w:rsidP="00B87B10">
            <w:pPr>
              <w:pStyle w:val="TableParagraph"/>
              <w:tabs>
                <w:tab w:val="left" w:pos="900"/>
              </w:tabs>
              <w:rPr>
                <w:rFonts w:ascii="Garamond" w:hAnsi="Garamond" w:cs="Times New Roman"/>
                <w:sz w:val="12"/>
                <w:szCs w:val="12"/>
              </w:rPr>
            </w:pPr>
            <w:r w:rsidRPr="002D0AF3">
              <w:rPr>
                <w:rFonts w:ascii="Garamond" w:hAnsi="Garamond" w:cs="Times New Roman"/>
                <w:sz w:val="12"/>
                <w:szCs w:val="12"/>
              </w:rPr>
              <w:t>TM3 2023</w:t>
            </w:r>
          </w:p>
        </w:tc>
        <w:tc>
          <w:tcPr>
            <w:tcW w:w="326" w:type="pct"/>
          </w:tcPr>
          <w:p w14:paraId="7D37979D"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TM4 2027</w:t>
            </w:r>
          </w:p>
        </w:tc>
        <w:tc>
          <w:tcPr>
            <w:tcW w:w="331" w:type="pct"/>
          </w:tcPr>
          <w:p w14:paraId="58C064B5"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386" w:type="pct"/>
          </w:tcPr>
          <w:p w14:paraId="67E46B90"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504" w:type="pct"/>
          </w:tcPr>
          <w:p w14:paraId="40FF5E29"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416" w:type="pct"/>
          </w:tcPr>
          <w:p w14:paraId="1FCC257C" w14:textId="77777777" w:rsidR="004F1C60" w:rsidRPr="002D0AF3" w:rsidRDefault="004F1C60" w:rsidP="00B87B10">
            <w:pPr>
              <w:pStyle w:val="TableParagraph"/>
              <w:rPr>
                <w:rFonts w:ascii="Garamond" w:hAnsi="Garamond" w:cs="Times New Roman"/>
                <w:sz w:val="12"/>
                <w:szCs w:val="12"/>
              </w:rPr>
            </w:pPr>
          </w:p>
        </w:tc>
      </w:tr>
      <w:tr w:rsidR="00BC5407" w:rsidRPr="002D0AF3" w14:paraId="489D5FAB" w14:textId="77777777" w:rsidTr="00BC5407">
        <w:trPr>
          <w:trHeight w:val="20"/>
          <w:jc w:val="center"/>
        </w:trPr>
        <w:tc>
          <w:tcPr>
            <w:tcW w:w="177" w:type="pct"/>
          </w:tcPr>
          <w:p w14:paraId="67405363" w14:textId="77777777" w:rsidR="004F1C60" w:rsidRPr="002D0AF3" w:rsidRDefault="004F1C60" w:rsidP="002D0AF3">
            <w:pPr>
              <w:jc w:val="center"/>
              <w:rPr>
                <w:rFonts w:ascii="Garamond" w:hAnsi="Garamond" w:cs="Times New Roman"/>
                <w:b/>
                <w:bCs/>
                <w:sz w:val="12"/>
                <w:szCs w:val="12"/>
              </w:rPr>
            </w:pPr>
            <w:r w:rsidRPr="002D0AF3">
              <w:rPr>
                <w:rFonts w:ascii="Garamond" w:hAnsi="Garamond" w:cs="Times New Roman"/>
                <w:b/>
                <w:bCs/>
                <w:sz w:val="12"/>
                <w:szCs w:val="12"/>
              </w:rPr>
              <w:t>13c</w:t>
            </w:r>
          </w:p>
        </w:tc>
        <w:tc>
          <w:tcPr>
            <w:tcW w:w="398" w:type="pct"/>
          </w:tcPr>
          <w:p w14:paraId="29CBF560" w14:textId="39062608"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Mbulim i përshtatshëm përgjatë të gjithë </w:t>
            </w:r>
            <w:r w:rsidRPr="002D0AF3">
              <w:rPr>
                <w:rFonts w:ascii="Garamond" w:hAnsi="Garamond" w:cs="Times New Roman"/>
                <w:sz w:val="12"/>
                <w:szCs w:val="12"/>
              </w:rPr>
              <w:lastRenderedPageBreak/>
              <w:t xml:space="preserve">zinxhirit </w:t>
            </w:r>
            <w:r w:rsidR="005529A9" w:rsidRPr="002D0AF3">
              <w:rPr>
                <w:rFonts w:ascii="Garamond" w:hAnsi="Garamond" w:cs="Times New Roman"/>
                <w:sz w:val="12"/>
                <w:szCs w:val="12"/>
              </w:rPr>
              <w:t>agroushqimor</w:t>
            </w:r>
          </w:p>
        </w:tc>
        <w:tc>
          <w:tcPr>
            <w:tcW w:w="593" w:type="pct"/>
          </w:tcPr>
          <w:p w14:paraId="109139BF"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lastRenderedPageBreak/>
              <w:t xml:space="preserve">Rishikimi i bazës ligjore për gjurmueshmërinë dhe të sigurohet që standartet </w:t>
            </w:r>
            <w:r w:rsidRPr="002D0AF3">
              <w:rPr>
                <w:rFonts w:ascii="Garamond" w:hAnsi="Garamond" w:cs="Times New Roman"/>
                <w:sz w:val="12"/>
                <w:szCs w:val="12"/>
              </w:rPr>
              <w:lastRenderedPageBreak/>
              <w:t>minimale për gjurmueshmërinë janë në fuqi dhe zbatohen.</w:t>
            </w:r>
          </w:p>
          <w:p w14:paraId="2E610E02"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Hartoni udhëzime për të mbështetur zbatimin e gjurmueshmërisë nga industria.</w:t>
            </w:r>
          </w:p>
          <w:p w14:paraId="5C63305A" w14:textId="77777777" w:rsidR="004F1C60" w:rsidRPr="002D0AF3" w:rsidRDefault="004F1C60" w:rsidP="00B87B10">
            <w:pPr>
              <w:pStyle w:val="TableParagraph"/>
              <w:rPr>
                <w:rFonts w:ascii="Garamond" w:hAnsi="Garamond" w:cs="Times New Roman"/>
                <w:sz w:val="12"/>
                <w:szCs w:val="12"/>
              </w:rPr>
            </w:pPr>
          </w:p>
          <w:p w14:paraId="6442CD6D" w14:textId="77777777" w:rsidR="004F1C60" w:rsidRPr="002D0AF3" w:rsidRDefault="004F1C60" w:rsidP="00B87B10">
            <w:pPr>
              <w:pStyle w:val="TableParagraph"/>
              <w:rPr>
                <w:rFonts w:ascii="Garamond" w:hAnsi="Garamond" w:cs="Times New Roman"/>
                <w:sz w:val="12"/>
                <w:szCs w:val="12"/>
              </w:rPr>
            </w:pPr>
          </w:p>
        </w:tc>
        <w:tc>
          <w:tcPr>
            <w:tcW w:w="564" w:type="pct"/>
          </w:tcPr>
          <w:p w14:paraId="71CFBB8A"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lastRenderedPageBreak/>
              <w:t xml:space="preserve">Rritja e ndërgjegjësimit për kërkesat e gjurmueshmërisë përgjatë </w:t>
            </w:r>
            <w:r w:rsidRPr="002D0AF3">
              <w:rPr>
                <w:rFonts w:ascii="Garamond" w:hAnsi="Garamond" w:cs="Times New Roman"/>
                <w:sz w:val="12"/>
                <w:szCs w:val="12"/>
              </w:rPr>
              <w:lastRenderedPageBreak/>
              <w:t>të gjithë zinxhirit nga ferma në pirun.</w:t>
            </w:r>
          </w:p>
          <w:p w14:paraId="495AA162" w14:textId="77777777" w:rsidR="004F1C60" w:rsidRPr="002D0AF3" w:rsidRDefault="004F1C60" w:rsidP="00B87B10">
            <w:pPr>
              <w:pStyle w:val="TableParagraph"/>
              <w:jc w:val="both"/>
              <w:rPr>
                <w:rFonts w:ascii="Garamond" w:hAnsi="Garamond" w:cs="Times New Roman"/>
                <w:sz w:val="12"/>
                <w:szCs w:val="12"/>
              </w:rPr>
            </w:pPr>
          </w:p>
          <w:p w14:paraId="34EDF702" w14:textId="2E1BCC80"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 xml:space="preserve">Forcimi i zbatimit të gjurmueshmërisë përgjatë të gjithë zinxhirit </w:t>
            </w:r>
            <w:r w:rsidR="005529A9" w:rsidRPr="002D0AF3">
              <w:rPr>
                <w:rFonts w:ascii="Garamond" w:hAnsi="Garamond" w:cs="Times New Roman"/>
                <w:sz w:val="12"/>
                <w:szCs w:val="12"/>
              </w:rPr>
              <w:t>agroushqimor</w:t>
            </w:r>
            <w:r w:rsidRPr="002D0AF3">
              <w:rPr>
                <w:rFonts w:ascii="Garamond" w:hAnsi="Garamond" w:cs="Times New Roman"/>
                <w:sz w:val="12"/>
                <w:szCs w:val="12"/>
              </w:rPr>
              <w:t>.</w:t>
            </w:r>
          </w:p>
        </w:tc>
        <w:tc>
          <w:tcPr>
            <w:tcW w:w="742" w:type="pct"/>
            <w:shd w:val="clear" w:color="auto" w:fill="auto"/>
          </w:tcPr>
          <w:p w14:paraId="2829C95E" w14:textId="2361DA88"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lastRenderedPageBreak/>
              <w:t xml:space="preserve">Përmirësimi i gjurmueshmërisë përgjatë të gjithë zinxhirit </w:t>
            </w:r>
            <w:r w:rsidR="005529A9" w:rsidRPr="002D0AF3">
              <w:rPr>
                <w:rFonts w:ascii="Garamond" w:hAnsi="Garamond" w:cs="Times New Roman"/>
                <w:sz w:val="12"/>
                <w:szCs w:val="12"/>
              </w:rPr>
              <w:t>agroushqimor</w:t>
            </w:r>
            <w:r w:rsidRPr="002D0AF3">
              <w:rPr>
                <w:rFonts w:ascii="Garamond" w:hAnsi="Garamond" w:cs="Times New Roman"/>
                <w:sz w:val="12"/>
                <w:szCs w:val="12"/>
              </w:rPr>
              <w:t>.</w:t>
            </w:r>
          </w:p>
          <w:p w14:paraId="661ED31E" w14:textId="77777777" w:rsidR="004F1C60" w:rsidRPr="002D0AF3" w:rsidRDefault="004F1C60" w:rsidP="00B87B10">
            <w:pPr>
              <w:pStyle w:val="TableParagraph"/>
              <w:rPr>
                <w:rFonts w:ascii="Garamond" w:hAnsi="Garamond" w:cs="Times New Roman"/>
                <w:sz w:val="12"/>
                <w:szCs w:val="12"/>
              </w:rPr>
            </w:pPr>
          </w:p>
          <w:p w14:paraId="47961A0A"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Tërheqje më efektive të ushqimit nga tregu (sasia e produktit të gjurmuar dhe koha e nevojshme për kryerjen e gjurmimit).</w:t>
            </w:r>
          </w:p>
        </w:tc>
        <w:tc>
          <w:tcPr>
            <w:tcW w:w="266" w:type="pct"/>
          </w:tcPr>
          <w:p w14:paraId="6471B9F0"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lastRenderedPageBreak/>
              <w:t>2,3,4</w:t>
            </w:r>
          </w:p>
        </w:tc>
        <w:tc>
          <w:tcPr>
            <w:tcW w:w="296" w:type="pct"/>
          </w:tcPr>
          <w:p w14:paraId="79F710E3" w14:textId="77777777" w:rsidR="004F1C60" w:rsidRPr="002D0AF3" w:rsidRDefault="004F1C60" w:rsidP="00B87B10">
            <w:pPr>
              <w:pStyle w:val="TableParagraph"/>
              <w:tabs>
                <w:tab w:val="left" w:pos="900"/>
              </w:tabs>
              <w:rPr>
                <w:rFonts w:ascii="Garamond" w:hAnsi="Garamond" w:cs="Times New Roman"/>
                <w:sz w:val="12"/>
                <w:szCs w:val="12"/>
              </w:rPr>
            </w:pPr>
            <w:r w:rsidRPr="002D0AF3">
              <w:rPr>
                <w:rFonts w:ascii="Garamond" w:hAnsi="Garamond" w:cs="Times New Roman"/>
                <w:sz w:val="12"/>
                <w:szCs w:val="12"/>
              </w:rPr>
              <w:t>TM3 2023</w:t>
            </w:r>
          </w:p>
          <w:p w14:paraId="164FD977" w14:textId="77777777" w:rsidR="004F1C60" w:rsidRPr="002D0AF3" w:rsidRDefault="004F1C60" w:rsidP="00B87B10">
            <w:pPr>
              <w:pStyle w:val="TableParagraph"/>
              <w:tabs>
                <w:tab w:val="left" w:pos="900"/>
              </w:tabs>
              <w:rPr>
                <w:rFonts w:ascii="Garamond" w:hAnsi="Garamond" w:cs="Times New Roman"/>
                <w:sz w:val="12"/>
                <w:szCs w:val="12"/>
              </w:rPr>
            </w:pPr>
          </w:p>
          <w:p w14:paraId="10566D98" w14:textId="77777777" w:rsidR="004F1C60" w:rsidRPr="002D0AF3" w:rsidRDefault="004F1C60" w:rsidP="00B87B10">
            <w:pPr>
              <w:pStyle w:val="TableParagraph"/>
              <w:tabs>
                <w:tab w:val="left" w:pos="900"/>
              </w:tabs>
              <w:rPr>
                <w:rFonts w:ascii="Garamond" w:hAnsi="Garamond" w:cs="Times New Roman"/>
                <w:sz w:val="12"/>
                <w:szCs w:val="12"/>
              </w:rPr>
            </w:pPr>
          </w:p>
        </w:tc>
        <w:tc>
          <w:tcPr>
            <w:tcW w:w="326" w:type="pct"/>
          </w:tcPr>
          <w:p w14:paraId="5EB71F02"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TM4 2027</w:t>
            </w:r>
          </w:p>
        </w:tc>
        <w:tc>
          <w:tcPr>
            <w:tcW w:w="331" w:type="pct"/>
          </w:tcPr>
          <w:p w14:paraId="322D71CF" w14:textId="77777777" w:rsidR="004F1C60" w:rsidRPr="002D0AF3" w:rsidRDefault="004F1C60" w:rsidP="00B87B10">
            <w:pPr>
              <w:pStyle w:val="TableParagraph"/>
              <w:rPr>
                <w:rFonts w:ascii="Garamond" w:hAnsi="Garamond" w:cs="Times New Roman"/>
                <w:sz w:val="12"/>
                <w:szCs w:val="12"/>
                <w:highlight w:val="red"/>
              </w:rPr>
            </w:pPr>
            <w:r w:rsidRPr="002D0AF3">
              <w:rPr>
                <w:rFonts w:ascii="Garamond" w:hAnsi="Garamond" w:cs="Times New Roman"/>
                <w:sz w:val="12"/>
                <w:szCs w:val="12"/>
              </w:rPr>
              <w:t>0</w:t>
            </w:r>
          </w:p>
        </w:tc>
        <w:tc>
          <w:tcPr>
            <w:tcW w:w="386" w:type="pct"/>
          </w:tcPr>
          <w:p w14:paraId="1473E320"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504" w:type="pct"/>
          </w:tcPr>
          <w:p w14:paraId="3CDCFCB2" w14:textId="77777777" w:rsidR="004F1C60" w:rsidRPr="002D0AF3" w:rsidRDefault="004F1C60" w:rsidP="00B87B10">
            <w:pPr>
              <w:pStyle w:val="TableParagraph"/>
              <w:rPr>
                <w:rFonts w:ascii="Garamond" w:hAnsi="Garamond" w:cs="Times New Roman"/>
                <w:sz w:val="12"/>
                <w:szCs w:val="12"/>
              </w:rPr>
            </w:pPr>
            <w:r w:rsidRPr="002D0AF3">
              <w:rPr>
                <w:rFonts w:ascii="Garamond" w:hAnsi="Garamond" w:cs="Times New Roman"/>
                <w:sz w:val="12"/>
                <w:szCs w:val="12"/>
              </w:rPr>
              <w:t>0</w:t>
            </w:r>
          </w:p>
        </w:tc>
        <w:tc>
          <w:tcPr>
            <w:tcW w:w="416" w:type="pct"/>
          </w:tcPr>
          <w:p w14:paraId="04D709BE" w14:textId="77777777" w:rsidR="004F1C60" w:rsidRPr="002D0AF3" w:rsidRDefault="004F1C60" w:rsidP="00B87B10">
            <w:pPr>
              <w:pStyle w:val="TableParagraph"/>
              <w:rPr>
                <w:rFonts w:ascii="Garamond" w:hAnsi="Garamond" w:cs="Times New Roman"/>
                <w:sz w:val="12"/>
                <w:szCs w:val="12"/>
              </w:rPr>
            </w:pPr>
          </w:p>
        </w:tc>
      </w:tr>
      <w:tr w:rsidR="00BC5407" w:rsidRPr="002D0AF3" w14:paraId="19A169E3" w14:textId="77777777" w:rsidTr="00BC5407">
        <w:trPr>
          <w:trHeight w:val="20"/>
          <w:jc w:val="center"/>
        </w:trPr>
        <w:tc>
          <w:tcPr>
            <w:tcW w:w="3363" w:type="pct"/>
            <w:gridSpan w:val="8"/>
            <w:vAlign w:val="center"/>
          </w:tcPr>
          <w:p w14:paraId="5C4E3935" w14:textId="01D8B8A0" w:rsidR="00B87B10" w:rsidRPr="002D0AF3" w:rsidRDefault="00B87B10" w:rsidP="002D0AF3">
            <w:pPr>
              <w:pStyle w:val="TableParagraph"/>
              <w:jc w:val="center"/>
              <w:rPr>
                <w:rFonts w:ascii="Garamond" w:hAnsi="Garamond" w:cs="Times New Roman"/>
                <w:b/>
                <w:sz w:val="12"/>
                <w:szCs w:val="12"/>
              </w:rPr>
            </w:pPr>
            <w:r w:rsidRPr="002D0AF3">
              <w:rPr>
                <w:rFonts w:ascii="Garamond" w:hAnsi="Garamond" w:cs="Times New Roman"/>
                <w:b/>
                <w:sz w:val="12"/>
                <w:szCs w:val="12"/>
              </w:rPr>
              <w:lastRenderedPageBreak/>
              <w:t>TOTALI</w:t>
            </w:r>
          </w:p>
        </w:tc>
        <w:tc>
          <w:tcPr>
            <w:tcW w:w="331" w:type="pct"/>
            <w:vAlign w:val="center"/>
          </w:tcPr>
          <w:p w14:paraId="3FF5820B" w14:textId="77777777" w:rsidR="00B87B10" w:rsidRPr="002D0AF3" w:rsidRDefault="00B87B10" w:rsidP="002D0AF3">
            <w:pPr>
              <w:pStyle w:val="TableParagraph"/>
              <w:jc w:val="right"/>
              <w:rPr>
                <w:rFonts w:ascii="Garamond" w:hAnsi="Garamond" w:cs="Times New Roman"/>
                <w:b/>
                <w:sz w:val="12"/>
                <w:szCs w:val="12"/>
              </w:rPr>
            </w:pPr>
            <w:r w:rsidRPr="002D0AF3">
              <w:rPr>
                <w:rFonts w:ascii="Garamond" w:hAnsi="Garamond"/>
                <w:b/>
                <w:sz w:val="12"/>
                <w:szCs w:val="12"/>
              </w:rPr>
              <w:t xml:space="preserve">2,405,440,000 </w:t>
            </w:r>
          </w:p>
        </w:tc>
        <w:tc>
          <w:tcPr>
            <w:tcW w:w="386" w:type="pct"/>
            <w:vAlign w:val="center"/>
          </w:tcPr>
          <w:p w14:paraId="488AA707" w14:textId="77777777" w:rsidR="00B87B10" w:rsidRPr="002D0AF3" w:rsidRDefault="00B87B10" w:rsidP="002D0AF3">
            <w:pPr>
              <w:pStyle w:val="TableParagraph"/>
              <w:jc w:val="right"/>
              <w:rPr>
                <w:rFonts w:ascii="Garamond" w:hAnsi="Garamond" w:cs="Times New Roman"/>
                <w:b/>
                <w:sz w:val="12"/>
                <w:szCs w:val="12"/>
              </w:rPr>
            </w:pPr>
            <w:r w:rsidRPr="002D0AF3">
              <w:rPr>
                <w:rFonts w:ascii="Garamond" w:hAnsi="Garamond"/>
                <w:b/>
                <w:sz w:val="12"/>
                <w:szCs w:val="12"/>
              </w:rPr>
              <w:t>1,415,400,000</w:t>
            </w:r>
          </w:p>
        </w:tc>
        <w:tc>
          <w:tcPr>
            <w:tcW w:w="504" w:type="pct"/>
            <w:vAlign w:val="center"/>
          </w:tcPr>
          <w:p w14:paraId="0A3698E1" w14:textId="77777777" w:rsidR="00B87B10" w:rsidRPr="002D0AF3" w:rsidRDefault="00B87B10" w:rsidP="002D0AF3">
            <w:pPr>
              <w:pStyle w:val="TableParagraph"/>
              <w:jc w:val="right"/>
              <w:rPr>
                <w:rFonts w:ascii="Garamond" w:hAnsi="Garamond" w:cs="Times New Roman"/>
                <w:b/>
                <w:sz w:val="12"/>
                <w:szCs w:val="12"/>
              </w:rPr>
            </w:pPr>
            <w:r w:rsidRPr="002D0AF3">
              <w:rPr>
                <w:rFonts w:ascii="Garamond" w:hAnsi="Garamond"/>
                <w:b/>
                <w:sz w:val="12"/>
                <w:szCs w:val="12"/>
              </w:rPr>
              <w:t>990,040,000</w:t>
            </w:r>
          </w:p>
        </w:tc>
        <w:tc>
          <w:tcPr>
            <w:tcW w:w="416" w:type="pct"/>
            <w:vAlign w:val="center"/>
          </w:tcPr>
          <w:p w14:paraId="6B93A157" w14:textId="77777777" w:rsidR="00B87B10" w:rsidRPr="002D0AF3" w:rsidRDefault="00B87B10" w:rsidP="002D0AF3">
            <w:pPr>
              <w:pStyle w:val="TableParagraph"/>
              <w:jc w:val="right"/>
              <w:rPr>
                <w:rFonts w:ascii="Garamond" w:hAnsi="Garamond" w:cs="Times New Roman"/>
                <w:b/>
                <w:sz w:val="12"/>
                <w:szCs w:val="12"/>
              </w:rPr>
            </w:pPr>
            <w:r w:rsidRPr="002D0AF3">
              <w:rPr>
                <w:rFonts w:ascii="Garamond" w:hAnsi="Garamond"/>
                <w:b/>
                <w:sz w:val="12"/>
                <w:szCs w:val="12"/>
              </w:rPr>
              <w:t>285,000,000</w:t>
            </w:r>
          </w:p>
        </w:tc>
      </w:tr>
    </w:tbl>
    <w:p w14:paraId="79A53C30" w14:textId="5302F133" w:rsidR="00A50B42" w:rsidRPr="002D0AF3" w:rsidRDefault="00A50B42">
      <w:pPr>
        <w:pStyle w:val="TEKSTIII"/>
        <w:rPr>
          <w:szCs w:val="24"/>
        </w:rPr>
      </w:pPr>
    </w:p>
    <w:sectPr w:rsidR="00A50B42" w:rsidRPr="002D0AF3" w:rsidSect="00BC540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83A560" w14:textId="77777777" w:rsidR="00E06E47" w:rsidRDefault="00E06E47" w:rsidP="003806E0">
      <w:pPr>
        <w:spacing w:after="0" w:line="240" w:lineRule="auto"/>
      </w:pPr>
      <w:r>
        <w:separator/>
      </w:r>
    </w:p>
  </w:endnote>
  <w:endnote w:type="continuationSeparator" w:id="0">
    <w:p w14:paraId="7F950F98" w14:textId="77777777" w:rsidR="00E06E47" w:rsidRDefault="00E06E47" w:rsidP="003806E0">
      <w:pPr>
        <w:spacing w:after="0" w:line="240" w:lineRule="auto"/>
      </w:pPr>
      <w:r>
        <w:continuationSeparator/>
      </w:r>
    </w:p>
  </w:endnote>
  <w:endnote w:type="continuationNotice" w:id="1">
    <w:p w14:paraId="31E71A5B" w14:textId="77777777" w:rsidR="00E06E47" w:rsidRDefault="00E06E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472539"/>
      <w:docPartObj>
        <w:docPartGallery w:val="Page Numbers (Bottom of Page)"/>
        <w:docPartUnique/>
      </w:docPartObj>
    </w:sdtPr>
    <w:sdtEndPr>
      <w:rPr>
        <w:noProof/>
      </w:rPr>
    </w:sdtEndPr>
    <w:sdtContent>
      <w:p w14:paraId="493317A8" w14:textId="7847EAAE" w:rsidR="00E06E47" w:rsidRDefault="00E06E47">
        <w:pPr>
          <w:pStyle w:val="Footer"/>
          <w:jc w:val="center"/>
        </w:pPr>
        <w:r>
          <w:fldChar w:fldCharType="begin"/>
        </w:r>
        <w:r>
          <w:instrText xml:space="preserve"> PAGE   \* MERGEFORMAT </w:instrText>
        </w:r>
        <w:r>
          <w:fldChar w:fldCharType="separate"/>
        </w:r>
        <w:r w:rsidR="00BF2C29">
          <w:rPr>
            <w:noProof/>
          </w:rPr>
          <w:t>26</w:t>
        </w:r>
        <w:r>
          <w:rPr>
            <w:noProof/>
          </w:rPr>
          <w:fldChar w:fldCharType="end"/>
        </w:r>
      </w:p>
    </w:sdtContent>
  </w:sdt>
  <w:p w14:paraId="7D9AB57D" w14:textId="77777777" w:rsidR="00E06E47" w:rsidRDefault="00E06E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95A7B8" w14:textId="77777777" w:rsidR="00E06E47" w:rsidRDefault="00E06E47" w:rsidP="003806E0">
      <w:pPr>
        <w:spacing w:after="0" w:line="240" w:lineRule="auto"/>
      </w:pPr>
      <w:r>
        <w:separator/>
      </w:r>
    </w:p>
  </w:footnote>
  <w:footnote w:type="continuationSeparator" w:id="0">
    <w:p w14:paraId="576106F3" w14:textId="77777777" w:rsidR="00E06E47" w:rsidRDefault="00E06E47" w:rsidP="003806E0">
      <w:pPr>
        <w:spacing w:after="0" w:line="240" w:lineRule="auto"/>
      </w:pPr>
      <w:r>
        <w:continuationSeparator/>
      </w:r>
    </w:p>
  </w:footnote>
  <w:footnote w:type="continuationNotice" w:id="1">
    <w:p w14:paraId="029F3B17" w14:textId="77777777" w:rsidR="00E06E47" w:rsidRDefault="00E06E47">
      <w:pPr>
        <w:spacing w:after="0" w:line="240" w:lineRule="auto"/>
      </w:pPr>
    </w:p>
  </w:footnote>
  <w:footnote w:id="2">
    <w:p w14:paraId="7DCD6BE6" w14:textId="77777777" w:rsidR="00E06E47" w:rsidRPr="005E3D4D" w:rsidRDefault="00E06E47" w:rsidP="003806E0">
      <w:pPr>
        <w:pStyle w:val="FootnoteText"/>
        <w:rPr>
          <w:rFonts w:ascii="Garamond" w:hAnsi="Garamond" w:cs="Arial"/>
          <w:lang w:val="sq-AL"/>
        </w:rPr>
      </w:pPr>
      <w:r w:rsidRPr="005E3D4D">
        <w:rPr>
          <w:rStyle w:val="FootnoteReference"/>
          <w:rFonts w:ascii="Garamond" w:hAnsi="Garamond" w:cs="Arial"/>
          <w:lang w:val="sq-AL"/>
        </w:rPr>
        <w:footnoteRef/>
      </w:r>
      <w:r w:rsidRPr="005E3D4D">
        <w:rPr>
          <w:rFonts w:ascii="Garamond" w:hAnsi="Garamond" w:cs="Arial"/>
          <w:lang w:val="sq-AL"/>
        </w:rPr>
        <w:t xml:space="preserve"> Forcimi i Qëndrueshmërisë së Modelit të Rritjes në Shqipëri. Memorandumi Ekonomik për Shqipërinë (2021) - Banka Botërore: </w:t>
      </w:r>
      <w:hyperlink r:id="rId1" w:history="1">
        <w:r w:rsidRPr="005E3D4D">
          <w:rPr>
            <w:rStyle w:val="Hyperlink"/>
            <w:rFonts w:ascii="Garamond" w:hAnsi="Garamond" w:cs="Arial"/>
            <w:lang w:val="sq-AL"/>
          </w:rPr>
          <w:t>https://documents1.worldbank.org/curated/en/099845001312232607/pdf/P1752090e8141b05a08afc06ea6bc385da3.pdf</w:t>
        </w:r>
      </w:hyperlink>
    </w:p>
  </w:footnote>
  <w:footnote w:id="3">
    <w:p w14:paraId="4CB14CB7" w14:textId="36F82971" w:rsidR="00E06E47" w:rsidRPr="005E3D4D" w:rsidRDefault="00E06E47" w:rsidP="00C77804">
      <w:pPr>
        <w:pStyle w:val="FootnoteText"/>
        <w:jc w:val="both"/>
        <w:rPr>
          <w:rFonts w:ascii="Garamond" w:hAnsi="Garamond" w:cs="Arial"/>
          <w:lang w:val="sq-AL"/>
        </w:rPr>
      </w:pPr>
      <w:r w:rsidRPr="005E3D4D">
        <w:rPr>
          <w:rStyle w:val="FootnoteReference"/>
          <w:rFonts w:ascii="Garamond" w:hAnsi="Garamond" w:cs="Arial"/>
          <w:lang w:val="sq-AL"/>
        </w:rPr>
        <w:footnoteRef/>
      </w:r>
      <w:r w:rsidRPr="005E3D4D">
        <w:rPr>
          <w:rFonts w:ascii="Garamond" w:hAnsi="Garamond" w:cs="Arial"/>
          <w:lang w:val="sq-AL"/>
        </w:rPr>
        <w:t xml:space="preserve"> Përmirësimi i efikasitetit dhe qëndrueshmërisë së prodhimit në fermë, rritja e orientimit drejt tregjeve të sektorit të përpunimit agroushqimor, harmonizimi progresiv i tij me standardet e BE-së, çka do të sigurojë përgjigje më të mirë ndaj kërkesave të konsumatorëve me ushqim të sigurt, ushqyes dhe të qëndrueshëm.</w:t>
      </w:r>
    </w:p>
  </w:footnote>
  <w:footnote w:id="4">
    <w:p w14:paraId="460457B7" w14:textId="1B2C43F4" w:rsidR="00E06E47" w:rsidRPr="005E3D4D" w:rsidRDefault="00E06E47" w:rsidP="00C77804">
      <w:pPr>
        <w:pStyle w:val="FootnoteText"/>
        <w:jc w:val="both"/>
        <w:rPr>
          <w:rFonts w:ascii="Garamond" w:hAnsi="Garamond" w:cs="Arial"/>
          <w:color w:val="424242"/>
          <w:sz w:val="12"/>
          <w:szCs w:val="12"/>
          <w:lang w:val="sq-AL"/>
        </w:rPr>
      </w:pPr>
      <w:r w:rsidRPr="005E3D4D">
        <w:rPr>
          <w:rStyle w:val="FootnoteReference"/>
          <w:rFonts w:ascii="Garamond" w:hAnsi="Garamond" w:cs="Arial"/>
          <w:lang w:val="sq-AL"/>
        </w:rPr>
        <w:footnoteRef/>
      </w:r>
      <w:r w:rsidRPr="005E3D4D">
        <w:rPr>
          <w:rFonts w:ascii="Garamond" w:hAnsi="Garamond" w:cs="Arial"/>
          <w:lang w:val="sq-AL"/>
        </w:rPr>
        <w:t xml:space="preserve"> Strategjia Ndërsektoriale për Bujqësinë, Zhvillimin Rural dhe Peshkimin 2021</w:t>
      </w:r>
      <w:r>
        <w:rPr>
          <w:rFonts w:ascii="Garamond" w:hAnsi="Garamond" w:cs="Arial"/>
          <w:lang w:val="sq-AL"/>
        </w:rPr>
        <w:t>–</w:t>
      </w:r>
      <w:r w:rsidRPr="005E3D4D">
        <w:rPr>
          <w:rFonts w:ascii="Garamond" w:hAnsi="Garamond" w:cs="Arial"/>
          <w:lang w:val="sq-AL"/>
        </w:rPr>
        <w:t>2027 (SNBZHRP)</w:t>
      </w:r>
      <w:r>
        <w:rPr>
          <w:rFonts w:ascii="Garamond" w:hAnsi="Garamond" w:cs="Arial"/>
          <w:lang w:val="sq-AL"/>
        </w:rPr>
        <w:t>.</w:t>
      </w:r>
    </w:p>
  </w:footnote>
  <w:footnote w:id="5">
    <w:p w14:paraId="45C0DA67" w14:textId="22D35720" w:rsidR="00E06E47" w:rsidRPr="005E3D4D" w:rsidRDefault="00E06E47" w:rsidP="00EF4A7A">
      <w:pPr>
        <w:pStyle w:val="FootnoteText"/>
        <w:rPr>
          <w:rFonts w:ascii="Garamond" w:hAnsi="Garamond" w:cs="Arial"/>
          <w:lang w:val="sq-AL"/>
        </w:rPr>
      </w:pPr>
      <w:r w:rsidRPr="005E3D4D">
        <w:rPr>
          <w:rStyle w:val="FootnoteReference"/>
          <w:rFonts w:ascii="Garamond" w:hAnsi="Garamond" w:cs="Arial"/>
          <w:lang w:val="sq-AL"/>
        </w:rPr>
        <w:footnoteRef/>
      </w:r>
      <w:r w:rsidRPr="005E3D4D">
        <w:rPr>
          <w:rFonts w:ascii="Garamond" w:hAnsi="Garamond" w:cs="Arial"/>
          <w:lang w:val="sq-AL"/>
        </w:rPr>
        <w:t xml:space="preserve"> Bazat për </w:t>
      </w:r>
      <w:r w:rsidRPr="00E337B9">
        <w:rPr>
          <w:rFonts w:ascii="Garamond" w:hAnsi="Garamond" w:cs="Arial"/>
          <w:i/>
          <w:lang w:val="sq-AL"/>
        </w:rPr>
        <w:t>“One Health”,</w:t>
      </w:r>
      <w:r w:rsidRPr="005E3D4D">
        <w:rPr>
          <w:rFonts w:ascii="Garamond" w:hAnsi="Garamond" w:cs="Arial"/>
          <w:lang w:val="sq-AL"/>
        </w:rPr>
        <w:t xml:space="preserve"> 2022 – Qendra për Parandalimin e Sëmundjeve dhe Kontrollit:</w:t>
      </w:r>
      <w:r>
        <w:rPr>
          <w:rFonts w:ascii="Garamond" w:hAnsi="Garamond" w:cs="Arial"/>
          <w:lang w:val="sq-AL"/>
        </w:rPr>
        <w:t xml:space="preserve"> </w:t>
      </w:r>
      <w:hyperlink r:id="rId2" w:anchor=":~:text=What%20is%20One%20Health%3F,more%20important%20in%20recent%20years" w:history="1">
        <w:r w:rsidRPr="00C5150E">
          <w:rPr>
            <w:rStyle w:val="Hyperlink"/>
            <w:rFonts w:ascii="Garamond" w:hAnsi="Garamond" w:cs="Arial"/>
            <w:lang w:val="sq-AL"/>
          </w:rPr>
          <w:t>https://www.cdc.gov/onehealth/basics/index.html#:~:text=What%20is%20One%20Health%3F,more%20important%20in%20recent%20years</w:t>
        </w:r>
      </w:hyperlink>
    </w:p>
  </w:footnote>
  <w:footnote w:id="6">
    <w:p w14:paraId="12878719" w14:textId="515E2652" w:rsidR="00E06E47" w:rsidRPr="005E3D4D" w:rsidRDefault="00E06E47" w:rsidP="00EF4A7A">
      <w:pPr>
        <w:pStyle w:val="FootnoteText"/>
        <w:rPr>
          <w:rFonts w:ascii="Garamond" w:hAnsi="Garamond"/>
          <w:lang w:val="sq-AL"/>
        </w:rPr>
      </w:pPr>
      <w:r w:rsidRPr="005E3D4D">
        <w:rPr>
          <w:rStyle w:val="FootnoteReference"/>
          <w:rFonts w:ascii="Garamond" w:hAnsi="Garamond" w:cs="Arial"/>
          <w:lang w:val="sq-AL"/>
        </w:rPr>
        <w:footnoteRef/>
      </w:r>
      <w:r w:rsidRPr="005E3D4D">
        <w:rPr>
          <w:rFonts w:ascii="Garamond" w:hAnsi="Garamond" w:cs="Arial"/>
          <w:lang w:val="sq-AL"/>
        </w:rPr>
        <w:t xml:space="preserve"> Draft Strategjia Globale e OBSH-së për Sigurinë Ushqimore 2022</w:t>
      </w:r>
      <w:r>
        <w:rPr>
          <w:rFonts w:ascii="Garamond" w:hAnsi="Garamond" w:cs="Arial"/>
          <w:lang w:val="sq-AL"/>
        </w:rPr>
        <w:t>–</w:t>
      </w:r>
      <w:r w:rsidRPr="005E3D4D">
        <w:rPr>
          <w:rFonts w:ascii="Garamond" w:hAnsi="Garamond" w:cs="Arial"/>
          <w:lang w:val="sq-AL"/>
        </w:rPr>
        <w:t xml:space="preserve">2030: </w:t>
      </w:r>
      <w:hyperlink r:id="rId3" w:history="1">
        <w:r w:rsidRPr="005E3D4D">
          <w:rPr>
            <w:rStyle w:val="Hyperlink"/>
            <w:rFonts w:ascii="Garamond" w:hAnsi="Garamond" w:cs="Arial"/>
            <w:lang w:val="sq-AL"/>
          </w:rPr>
          <w:t>https://www.who.int/publications/m/item/draft-who-global-strategy-for-food-safety-2022-2030</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C3E20"/>
    <w:multiLevelType w:val="hybridMultilevel"/>
    <w:tmpl w:val="F6AE361A"/>
    <w:lvl w:ilvl="0" w:tplc="396C6C10">
      <w:numFmt w:val="bullet"/>
      <w:lvlText w:val="•"/>
      <w:lvlJc w:val="left"/>
      <w:pPr>
        <w:ind w:left="1080" w:hanging="720"/>
      </w:pPr>
      <w:rPr>
        <w:rFonts w:ascii="Arial" w:eastAsiaTheme="minorHAnsi" w:hAnsi="Arial" w:cs="Arial" w:hint="default"/>
      </w:rPr>
    </w:lvl>
    <w:lvl w:ilvl="1" w:tplc="749C0FAA">
      <w:numFmt w:val="bullet"/>
      <w:lvlText w:val=""/>
      <w:lvlJc w:val="left"/>
      <w:pPr>
        <w:ind w:left="1800" w:hanging="720"/>
      </w:pPr>
      <w:rPr>
        <w:rFonts w:ascii="Symbol" w:eastAsiaTheme="minorHAnsi" w:hAnsi="Symbo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6ADE1D0D"/>
    <w:multiLevelType w:val="hybridMultilevel"/>
    <w:tmpl w:val="EBB62D3A"/>
    <w:lvl w:ilvl="0" w:tplc="5C4685D2">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35122"/>
    <w:rsid w:val="000401CF"/>
    <w:rsid w:val="000427A6"/>
    <w:rsid w:val="000458EB"/>
    <w:rsid w:val="0006026E"/>
    <w:rsid w:val="00075D23"/>
    <w:rsid w:val="00090D05"/>
    <w:rsid w:val="0009171B"/>
    <w:rsid w:val="000956ED"/>
    <w:rsid w:val="000A39B7"/>
    <w:rsid w:val="000A77D9"/>
    <w:rsid w:val="000C0A27"/>
    <w:rsid w:val="000C0DB8"/>
    <w:rsid w:val="000C3D4A"/>
    <w:rsid w:val="000C55A5"/>
    <w:rsid w:val="000D7F01"/>
    <w:rsid w:val="00111FF0"/>
    <w:rsid w:val="0011254B"/>
    <w:rsid w:val="001149C8"/>
    <w:rsid w:val="00121461"/>
    <w:rsid w:val="00124CD5"/>
    <w:rsid w:val="0012538B"/>
    <w:rsid w:val="00135329"/>
    <w:rsid w:val="0014112D"/>
    <w:rsid w:val="00141B18"/>
    <w:rsid w:val="00142C2B"/>
    <w:rsid w:val="001544EF"/>
    <w:rsid w:val="00160647"/>
    <w:rsid w:val="00160E68"/>
    <w:rsid w:val="00167FB5"/>
    <w:rsid w:val="00175424"/>
    <w:rsid w:val="00183018"/>
    <w:rsid w:val="00190C3D"/>
    <w:rsid w:val="001944EB"/>
    <w:rsid w:val="0019635C"/>
    <w:rsid w:val="001B0FDB"/>
    <w:rsid w:val="001C0519"/>
    <w:rsid w:val="001D2ABC"/>
    <w:rsid w:val="001D2F1F"/>
    <w:rsid w:val="001D3A2F"/>
    <w:rsid w:val="00204F93"/>
    <w:rsid w:val="00213728"/>
    <w:rsid w:val="00234715"/>
    <w:rsid w:val="00252C2A"/>
    <w:rsid w:val="00257E0A"/>
    <w:rsid w:val="00257E84"/>
    <w:rsid w:val="002626CC"/>
    <w:rsid w:val="00263D3A"/>
    <w:rsid w:val="002821F2"/>
    <w:rsid w:val="002929DC"/>
    <w:rsid w:val="002A23A7"/>
    <w:rsid w:val="002A65B9"/>
    <w:rsid w:val="002B1C09"/>
    <w:rsid w:val="002B7B82"/>
    <w:rsid w:val="002C0DA7"/>
    <w:rsid w:val="002C3DC5"/>
    <w:rsid w:val="002C7879"/>
    <w:rsid w:val="002D0AF3"/>
    <w:rsid w:val="002D71C7"/>
    <w:rsid w:val="002E2CDE"/>
    <w:rsid w:val="002F0DDD"/>
    <w:rsid w:val="002F3CE5"/>
    <w:rsid w:val="00334548"/>
    <w:rsid w:val="003346E6"/>
    <w:rsid w:val="00334AC4"/>
    <w:rsid w:val="00334BDB"/>
    <w:rsid w:val="00336C31"/>
    <w:rsid w:val="00345F96"/>
    <w:rsid w:val="0034608A"/>
    <w:rsid w:val="00354F7A"/>
    <w:rsid w:val="003661C2"/>
    <w:rsid w:val="003673CA"/>
    <w:rsid w:val="00373E4A"/>
    <w:rsid w:val="00375DE4"/>
    <w:rsid w:val="003806E0"/>
    <w:rsid w:val="00390D00"/>
    <w:rsid w:val="003956A3"/>
    <w:rsid w:val="00396679"/>
    <w:rsid w:val="00397301"/>
    <w:rsid w:val="00397FE8"/>
    <w:rsid w:val="003A0634"/>
    <w:rsid w:val="003A40CD"/>
    <w:rsid w:val="003A489E"/>
    <w:rsid w:val="003B4312"/>
    <w:rsid w:val="003B57C7"/>
    <w:rsid w:val="003B73F2"/>
    <w:rsid w:val="003C1F5B"/>
    <w:rsid w:val="003D12F1"/>
    <w:rsid w:val="003D54AD"/>
    <w:rsid w:val="003D693A"/>
    <w:rsid w:val="003E60DD"/>
    <w:rsid w:val="003E6C19"/>
    <w:rsid w:val="004030ED"/>
    <w:rsid w:val="004031C7"/>
    <w:rsid w:val="004055F4"/>
    <w:rsid w:val="004072BC"/>
    <w:rsid w:val="00412B7C"/>
    <w:rsid w:val="00421355"/>
    <w:rsid w:val="00425784"/>
    <w:rsid w:val="004273A1"/>
    <w:rsid w:val="00447C0A"/>
    <w:rsid w:val="00452990"/>
    <w:rsid w:val="00452D32"/>
    <w:rsid w:val="004604CD"/>
    <w:rsid w:val="00462CFB"/>
    <w:rsid w:val="00471072"/>
    <w:rsid w:val="00476AD4"/>
    <w:rsid w:val="00481CD4"/>
    <w:rsid w:val="00486681"/>
    <w:rsid w:val="00490071"/>
    <w:rsid w:val="004948FB"/>
    <w:rsid w:val="00497200"/>
    <w:rsid w:val="004A2477"/>
    <w:rsid w:val="004C08A7"/>
    <w:rsid w:val="004C0C4E"/>
    <w:rsid w:val="004C25A2"/>
    <w:rsid w:val="004C3178"/>
    <w:rsid w:val="004C691E"/>
    <w:rsid w:val="004D4267"/>
    <w:rsid w:val="004D58B0"/>
    <w:rsid w:val="004E645A"/>
    <w:rsid w:val="004F1C60"/>
    <w:rsid w:val="00504AE4"/>
    <w:rsid w:val="00505829"/>
    <w:rsid w:val="00523B5F"/>
    <w:rsid w:val="005305D6"/>
    <w:rsid w:val="00551CD1"/>
    <w:rsid w:val="005529A9"/>
    <w:rsid w:val="0055542F"/>
    <w:rsid w:val="00557667"/>
    <w:rsid w:val="00563EEA"/>
    <w:rsid w:val="00567F21"/>
    <w:rsid w:val="00571959"/>
    <w:rsid w:val="00571B80"/>
    <w:rsid w:val="00572BB4"/>
    <w:rsid w:val="0058238F"/>
    <w:rsid w:val="00591319"/>
    <w:rsid w:val="00592C00"/>
    <w:rsid w:val="005970CC"/>
    <w:rsid w:val="00597694"/>
    <w:rsid w:val="005B0B35"/>
    <w:rsid w:val="005B5967"/>
    <w:rsid w:val="005B7AE1"/>
    <w:rsid w:val="005C301C"/>
    <w:rsid w:val="005E3D4D"/>
    <w:rsid w:val="005F2D2D"/>
    <w:rsid w:val="005F5040"/>
    <w:rsid w:val="006032E2"/>
    <w:rsid w:val="00615BAF"/>
    <w:rsid w:val="0061609B"/>
    <w:rsid w:val="00623E07"/>
    <w:rsid w:val="00624629"/>
    <w:rsid w:val="006277DC"/>
    <w:rsid w:val="00631585"/>
    <w:rsid w:val="00632A0C"/>
    <w:rsid w:val="006379E9"/>
    <w:rsid w:val="006425E0"/>
    <w:rsid w:val="00643D72"/>
    <w:rsid w:val="00666247"/>
    <w:rsid w:val="00667FFD"/>
    <w:rsid w:val="00677AD4"/>
    <w:rsid w:val="00681454"/>
    <w:rsid w:val="006861CA"/>
    <w:rsid w:val="00687BAF"/>
    <w:rsid w:val="006945EE"/>
    <w:rsid w:val="00697823"/>
    <w:rsid w:val="006A512D"/>
    <w:rsid w:val="006C5CF7"/>
    <w:rsid w:val="006D2A34"/>
    <w:rsid w:val="006D3418"/>
    <w:rsid w:val="006D77AF"/>
    <w:rsid w:val="006E0DE9"/>
    <w:rsid w:val="006E6768"/>
    <w:rsid w:val="007045F6"/>
    <w:rsid w:val="00710CF1"/>
    <w:rsid w:val="0072369E"/>
    <w:rsid w:val="0073468F"/>
    <w:rsid w:val="007619A9"/>
    <w:rsid w:val="00773738"/>
    <w:rsid w:val="0077527A"/>
    <w:rsid w:val="00775B4C"/>
    <w:rsid w:val="00776430"/>
    <w:rsid w:val="00792FF4"/>
    <w:rsid w:val="007A0E53"/>
    <w:rsid w:val="007A183A"/>
    <w:rsid w:val="007A6FEA"/>
    <w:rsid w:val="007B0370"/>
    <w:rsid w:val="007C2D06"/>
    <w:rsid w:val="007C47EB"/>
    <w:rsid w:val="007C60EA"/>
    <w:rsid w:val="007D20DA"/>
    <w:rsid w:val="007D4E26"/>
    <w:rsid w:val="007E1C88"/>
    <w:rsid w:val="007E4A74"/>
    <w:rsid w:val="007F1F00"/>
    <w:rsid w:val="007F20FF"/>
    <w:rsid w:val="0080141E"/>
    <w:rsid w:val="008037E4"/>
    <w:rsid w:val="00804031"/>
    <w:rsid w:val="0080408F"/>
    <w:rsid w:val="008044AD"/>
    <w:rsid w:val="00816CEE"/>
    <w:rsid w:val="00817616"/>
    <w:rsid w:val="00823A56"/>
    <w:rsid w:val="00867646"/>
    <w:rsid w:val="0087040E"/>
    <w:rsid w:val="00886A96"/>
    <w:rsid w:val="008924E9"/>
    <w:rsid w:val="00893102"/>
    <w:rsid w:val="008A2062"/>
    <w:rsid w:val="008B5082"/>
    <w:rsid w:val="008C2627"/>
    <w:rsid w:val="008C52F6"/>
    <w:rsid w:val="008D0BB7"/>
    <w:rsid w:val="008D0DF7"/>
    <w:rsid w:val="008D2BEA"/>
    <w:rsid w:val="008E44CB"/>
    <w:rsid w:val="00915403"/>
    <w:rsid w:val="00926316"/>
    <w:rsid w:val="00932E98"/>
    <w:rsid w:val="0093321E"/>
    <w:rsid w:val="009429BA"/>
    <w:rsid w:val="00943A32"/>
    <w:rsid w:val="00950BCD"/>
    <w:rsid w:val="009547F5"/>
    <w:rsid w:val="00971CAA"/>
    <w:rsid w:val="00983036"/>
    <w:rsid w:val="0098745D"/>
    <w:rsid w:val="009954E6"/>
    <w:rsid w:val="009B2B45"/>
    <w:rsid w:val="009E40DB"/>
    <w:rsid w:val="009E4E0D"/>
    <w:rsid w:val="00A0127D"/>
    <w:rsid w:val="00A0283C"/>
    <w:rsid w:val="00A1189A"/>
    <w:rsid w:val="00A20C98"/>
    <w:rsid w:val="00A24CF9"/>
    <w:rsid w:val="00A25B9A"/>
    <w:rsid w:val="00A32E87"/>
    <w:rsid w:val="00A4304F"/>
    <w:rsid w:val="00A44B5D"/>
    <w:rsid w:val="00A4586F"/>
    <w:rsid w:val="00A46623"/>
    <w:rsid w:val="00A50B42"/>
    <w:rsid w:val="00A51455"/>
    <w:rsid w:val="00A52EE5"/>
    <w:rsid w:val="00A6527C"/>
    <w:rsid w:val="00A72D95"/>
    <w:rsid w:val="00A925C9"/>
    <w:rsid w:val="00A92ADE"/>
    <w:rsid w:val="00A93A68"/>
    <w:rsid w:val="00AA2B7C"/>
    <w:rsid w:val="00AA3CC7"/>
    <w:rsid w:val="00AA47BF"/>
    <w:rsid w:val="00AA6249"/>
    <w:rsid w:val="00AC1022"/>
    <w:rsid w:val="00AC611F"/>
    <w:rsid w:val="00AC7415"/>
    <w:rsid w:val="00AC7C81"/>
    <w:rsid w:val="00AD227D"/>
    <w:rsid w:val="00AD2604"/>
    <w:rsid w:val="00AD3E46"/>
    <w:rsid w:val="00AD7C20"/>
    <w:rsid w:val="00AE3627"/>
    <w:rsid w:val="00AF08B9"/>
    <w:rsid w:val="00B034C3"/>
    <w:rsid w:val="00B11BC7"/>
    <w:rsid w:val="00B1293F"/>
    <w:rsid w:val="00B14BAA"/>
    <w:rsid w:val="00B33946"/>
    <w:rsid w:val="00B416C3"/>
    <w:rsid w:val="00B421E9"/>
    <w:rsid w:val="00B4296B"/>
    <w:rsid w:val="00B56218"/>
    <w:rsid w:val="00B63506"/>
    <w:rsid w:val="00B70659"/>
    <w:rsid w:val="00B71250"/>
    <w:rsid w:val="00B7328E"/>
    <w:rsid w:val="00B76F3D"/>
    <w:rsid w:val="00B848A9"/>
    <w:rsid w:val="00B86D15"/>
    <w:rsid w:val="00B87B10"/>
    <w:rsid w:val="00B90780"/>
    <w:rsid w:val="00B941E1"/>
    <w:rsid w:val="00BA244C"/>
    <w:rsid w:val="00BA2E85"/>
    <w:rsid w:val="00BB55ED"/>
    <w:rsid w:val="00BC5407"/>
    <w:rsid w:val="00BD0463"/>
    <w:rsid w:val="00BD0BEA"/>
    <w:rsid w:val="00BD24EC"/>
    <w:rsid w:val="00BD36DF"/>
    <w:rsid w:val="00BE3604"/>
    <w:rsid w:val="00BE52D9"/>
    <w:rsid w:val="00BF2C29"/>
    <w:rsid w:val="00BF3431"/>
    <w:rsid w:val="00C042A6"/>
    <w:rsid w:val="00C07057"/>
    <w:rsid w:val="00C1476F"/>
    <w:rsid w:val="00C14FEE"/>
    <w:rsid w:val="00C20549"/>
    <w:rsid w:val="00C30D0F"/>
    <w:rsid w:val="00C33DE9"/>
    <w:rsid w:val="00C3572F"/>
    <w:rsid w:val="00C45955"/>
    <w:rsid w:val="00C5044F"/>
    <w:rsid w:val="00C5501C"/>
    <w:rsid w:val="00C634C1"/>
    <w:rsid w:val="00C71BED"/>
    <w:rsid w:val="00C72247"/>
    <w:rsid w:val="00C7395A"/>
    <w:rsid w:val="00C77804"/>
    <w:rsid w:val="00C9715C"/>
    <w:rsid w:val="00CA3579"/>
    <w:rsid w:val="00CA67DB"/>
    <w:rsid w:val="00CA70A2"/>
    <w:rsid w:val="00CB54DF"/>
    <w:rsid w:val="00CC12D4"/>
    <w:rsid w:val="00CD3537"/>
    <w:rsid w:val="00CE12E8"/>
    <w:rsid w:val="00CE1C2E"/>
    <w:rsid w:val="00CE2A8A"/>
    <w:rsid w:val="00CE5249"/>
    <w:rsid w:val="00CF0071"/>
    <w:rsid w:val="00CF257C"/>
    <w:rsid w:val="00CF6387"/>
    <w:rsid w:val="00D04279"/>
    <w:rsid w:val="00D04B2D"/>
    <w:rsid w:val="00D062C3"/>
    <w:rsid w:val="00D12A76"/>
    <w:rsid w:val="00D20D88"/>
    <w:rsid w:val="00D63ABD"/>
    <w:rsid w:val="00D664EF"/>
    <w:rsid w:val="00D67248"/>
    <w:rsid w:val="00D70F22"/>
    <w:rsid w:val="00D729E0"/>
    <w:rsid w:val="00D77F86"/>
    <w:rsid w:val="00D8097B"/>
    <w:rsid w:val="00DA0E6B"/>
    <w:rsid w:val="00DA3185"/>
    <w:rsid w:val="00DA3407"/>
    <w:rsid w:val="00DA4EAA"/>
    <w:rsid w:val="00DB1844"/>
    <w:rsid w:val="00DC0344"/>
    <w:rsid w:val="00DC47A3"/>
    <w:rsid w:val="00DE03AC"/>
    <w:rsid w:val="00DF3100"/>
    <w:rsid w:val="00E04762"/>
    <w:rsid w:val="00E05E21"/>
    <w:rsid w:val="00E06E47"/>
    <w:rsid w:val="00E24542"/>
    <w:rsid w:val="00E337B9"/>
    <w:rsid w:val="00E410D0"/>
    <w:rsid w:val="00E4133D"/>
    <w:rsid w:val="00E458A5"/>
    <w:rsid w:val="00E56153"/>
    <w:rsid w:val="00E61BC2"/>
    <w:rsid w:val="00E6453D"/>
    <w:rsid w:val="00E702BD"/>
    <w:rsid w:val="00E71C53"/>
    <w:rsid w:val="00E73692"/>
    <w:rsid w:val="00E747E2"/>
    <w:rsid w:val="00E776C4"/>
    <w:rsid w:val="00E90C21"/>
    <w:rsid w:val="00E944F8"/>
    <w:rsid w:val="00EC4DCA"/>
    <w:rsid w:val="00EC5ECD"/>
    <w:rsid w:val="00ED1041"/>
    <w:rsid w:val="00ED307F"/>
    <w:rsid w:val="00ED57FF"/>
    <w:rsid w:val="00EE4477"/>
    <w:rsid w:val="00EF1574"/>
    <w:rsid w:val="00EF4A7A"/>
    <w:rsid w:val="00EF5D20"/>
    <w:rsid w:val="00F01CDD"/>
    <w:rsid w:val="00F10D1D"/>
    <w:rsid w:val="00F21ABA"/>
    <w:rsid w:val="00F50B83"/>
    <w:rsid w:val="00F51CB4"/>
    <w:rsid w:val="00F52037"/>
    <w:rsid w:val="00F56A94"/>
    <w:rsid w:val="00F67838"/>
    <w:rsid w:val="00F67E1E"/>
    <w:rsid w:val="00F9053B"/>
    <w:rsid w:val="00FB1F4A"/>
    <w:rsid w:val="00FB2D9C"/>
    <w:rsid w:val="00FC3948"/>
    <w:rsid w:val="00FC407D"/>
    <w:rsid w:val="00FC51DA"/>
    <w:rsid w:val="00FC5391"/>
    <w:rsid w:val="00FC6CAA"/>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1B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AF08B9"/>
    <w:pPr>
      <w:keepNext/>
      <w:keepLines/>
      <w:spacing w:before="240" w:after="0"/>
      <w:outlineLvl w:val="0"/>
    </w:pPr>
    <w:rPr>
      <w:rFonts w:asciiTheme="majorHAnsi" w:eastAsiaTheme="majorEastAsia" w:hAnsiTheme="majorHAnsi" w:cstheme="majorBidi"/>
      <w:color w:val="2E74B5" w:themeColor="accent1" w:themeShade="BF"/>
      <w:sz w:val="32"/>
      <w:szCs w:val="32"/>
      <w:lang w:val="en-IE"/>
    </w:rPr>
  </w:style>
  <w:style w:type="paragraph" w:styleId="Heading2">
    <w:name w:val="heading 2"/>
    <w:basedOn w:val="Normal"/>
    <w:next w:val="Normal"/>
    <w:link w:val="Heading2Char"/>
    <w:uiPriority w:val="9"/>
    <w:semiHidden/>
    <w:unhideWhenUsed/>
    <w:qFormat/>
    <w:rsid w:val="007C60EA"/>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189A"/>
    <w:pPr>
      <w:spacing w:after="0" w:line="240" w:lineRule="auto"/>
      <w:contextualSpacing/>
    </w:pPr>
    <w:rPr>
      <w:rFonts w:ascii="Cambria" w:eastAsia="Times New Roman" w:hAnsi="Cambria" w:cs="Times New Roman"/>
      <w:spacing w:val="-10"/>
      <w:kern w:val="28"/>
      <w:sz w:val="56"/>
      <w:szCs w:val="56"/>
    </w:rPr>
  </w:style>
  <w:style w:type="character" w:customStyle="1" w:styleId="TitleChar">
    <w:name w:val="Title Char"/>
    <w:basedOn w:val="DefaultParagraphFont"/>
    <w:link w:val="Title"/>
    <w:uiPriority w:val="10"/>
    <w:rsid w:val="00A1189A"/>
    <w:rPr>
      <w:rFonts w:ascii="Cambria" w:eastAsia="Times New Roman" w:hAnsi="Cambria" w:cs="Times New Roman"/>
      <w:spacing w:val="-10"/>
      <w:kern w:val="28"/>
      <w:sz w:val="56"/>
      <w:szCs w:val="56"/>
    </w:rPr>
  </w:style>
  <w:style w:type="paragraph" w:styleId="ListParagraph">
    <w:name w:val="List Paragraph"/>
    <w:basedOn w:val="Normal"/>
    <w:uiPriority w:val="34"/>
    <w:qFormat/>
    <w:rsid w:val="00A1189A"/>
    <w:pPr>
      <w:spacing w:after="0" w:line="240" w:lineRule="auto"/>
      <w:ind w:left="720"/>
    </w:pPr>
    <w:rPr>
      <w:rFonts w:ascii="Bookman Old Style" w:eastAsia="Times New Roman" w:hAnsi="Bookman Old Style" w:cs="Times New Roman"/>
      <w:b/>
      <w:bCs/>
      <w:sz w:val="26"/>
      <w:szCs w:val="24"/>
    </w:rPr>
  </w:style>
  <w:style w:type="paragraph" w:customStyle="1" w:styleId="TEKSTIII">
    <w:name w:val="TEKSTIII"/>
    <w:basedOn w:val="Normal"/>
    <w:qFormat/>
    <w:rsid w:val="00396679"/>
    <w:pPr>
      <w:spacing w:after="0" w:line="240" w:lineRule="auto"/>
      <w:ind w:firstLine="284"/>
      <w:jc w:val="both"/>
    </w:pPr>
    <w:rPr>
      <w:rFonts w:ascii="Garamond" w:hAnsi="Garamond"/>
      <w:sz w:val="24"/>
    </w:rPr>
  </w:style>
  <w:style w:type="paragraph" w:customStyle="1" w:styleId="akti">
    <w:name w:val="akti"/>
    <w:basedOn w:val="Normal"/>
    <w:rsid w:val="003966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F08B9"/>
    <w:rPr>
      <w:rFonts w:asciiTheme="majorHAnsi" w:eastAsiaTheme="majorEastAsia" w:hAnsiTheme="majorHAnsi" w:cstheme="majorBidi"/>
      <w:color w:val="2E74B5" w:themeColor="accent1" w:themeShade="BF"/>
      <w:sz w:val="32"/>
      <w:szCs w:val="32"/>
      <w:lang w:val="en-IE"/>
    </w:rPr>
  </w:style>
  <w:style w:type="character" w:styleId="Hyperlink">
    <w:name w:val="Hyperlink"/>
    <w:basedOn w:val="DefaultParagraphFont"/>
    <w:uiPriority w:val="99"/>
    <w:unhideWhenUsed/>
    <w:rsid w:val="003806E0"/>
    <w:rPr>
      <w:color w:val="0563C1" w:themeColor="hyperlink"/>
      <w:u w:val="single"/>
    </w:rPr>
  </w:style>
  <w:style w:type="paragraph" w:styleId="FootnoteText">
    <w:name w:val="footnote text"/>
    <w:basedOn w:val="Normal"/>
    <w:link w:val="FootnoteTextChar"/>
    <w:uiPriority w:val="99"/>
    <w:unhideWhenUsed/>
    <w:rsid w:val="003806E0"/>
    <w:pPr>
      <w:spacing w:after="0" w:line="240" w:lineRule="auto"/>
    </w:pPr>
    <w:rPr>
      <w:rFonts w:eastAsiaTheme="minorHAnsi"/>
      <w:sz w:val="20"/>
      <w:szCs w:val="20"/>
      <w:lang w:val="en-IE"/>
    </w:rPr>
  </w:style>
  <w:style w:type="character" w:customStyle="1" w:styleId="FootnoteTextChar">
    <w:name w:val="Footnote Text Char"/>
    <w:basedOn w:val="DefaultParagraphFont"/>
    <w:link w:val="FootnoteText"/>
    <w:uiPriority w:val="99"/>
    <w:rsid w:val="003806E0"/>
    <w:rPr>
      <w:rFonts w:eastAsiaTheme="minorHAnsi"/>
      <w:sz w:val="20"/>
      <w:szCs w:val="20"/>
      <w:lang w:val="en-IE"/>
    </w:rPr>
  </w:style>
  <w:style w:type="character" w:styleId="FootnoteReference">
    <w:name w:val="footnote reference"/>
    <w:basedOn w:val="DefaultParagraphFont"/>
    <w:uiPriority w:val="99"/>
    <w:semiHidden/>
    <w:unhideWhenUsed/>
    <w:rsid w:val="003806E0"/>
    <w:rPr>
      <w:vertAlign w:val="superscript"/>
    </w:rPr>
  </w:style>
  <w:style w:type="paragraph" w:styleId="BalloonText">
    <w:name w:val="Balloon Text"/>
    <w:basedOn w:val="Normal"/>
    <w:link w:val="BalloonTextChar"/>
    <w:uiPriority w:val="99"/>
    <w:semiHidden/>
    <w:unhideWhenUsed/>
    <w:rsid w:val="00643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D72"/>
    <w:rPr>
      <w:rFonts w:ascii="Tahoma" w:hAnsi="Tahoma" w:cs="Tahoma"/>
      <w:sz w:val="16"/>
      <w:szCs w:val="16"/>
    </w:rPr>
  </w:style>
  <w:style w:type="character" w:customStyle="1" w:styleId="Heading2Char">
    <w:name w:val="Heading 2 Char"/>
    <w:basedOn w:val="DefaultParagraphFont"/>
    <w:link w:val="Heading2"/>
    <w:uiPriority w:val="9"/>
    <w:semiHidden/>
    <w:rsid w:val="007C60EA"/>
    <w:rPr>
      <w:rFonts w:asciiTheme="majorHAnsi" w:eastAsiaTheme="majorEastAsia" w:hAnsiTheme="majorHAnsi" w:cstheme="majorBidi"/>
      <w:b/>
      <w:bCs/>
      <w:color w:val="5B9BD5" w:themeColor="accent1"/>
      <w:sz w:val="26"/>
      <w:szCs w:val="26"/>
    </w:rPr>
  </w:style>
  <w:style w:type="paragraph" w:styleId="BodyText">
    <w:name w:val="Body Text"/>
    <w:basedOn w:val="Normal"/>
    <w:link w:val="BodyTextChar"/>
    <w:uiPriority w:val="1"/>
    <w:qFormat/>
    <w:rsid w:val="00EF4A7A"/>
    <w:pPr>
      <w:widowControl w:val="0"/>
      <w:autoSpaceDE w:val="0"/>
      <w:autoSpaceDN w:val="0"/>
      <w:spacing w:after="0" w:line="240" w:lineRule="auto"/>
    </w:pPr>
    <w:rPr>
      <w:rFonts w:ascii="Arial MT" w:eastAsia="Arial MT" w:hAnsi="Arial MT" w:cs="Arial MT"/>
      <w:sz w:val="18"/>
      <w:szCs w:val="18"/>
    </w:rPr>
  </w:style>
  <w:style w:type="character" w:customStyle="1" w:styleId="BodyTextChar">
    <w:name w:val="Body Text Char"/>
    <w:basedOn w:val="DefaultParagraphFont"/>
    <w:link w:val="BodyText"/>
    <w:uiPriority w:val="1"/>
    <w:rsid w:val="00EF4A7A"/>
    <w:rPr>
      <w:rFonts w:ascii="Arial MT" w:eastAsia="Arial MT" w:hAnsi="Arial MT" w:cs="Arial MT"/>
      <w:sz w:val="18"/>
      <w:szCs w:val="18"/>
    </w:rPr>
  </w:style>
  <w:style w:type="table" w:styleId="TableGrid">
    <w:name w:val="Table Grid"/>
    <w:basedOn w:val="TableNormal"/>
    <w:uiPriority w:val="39"/>
    <w:rsid w:val="004F1C60"/>
    <w:pPr>
      <w:spacing w:after="0" w:line="240" w:lineRule="auto"/>
    </w:pPr>
    <w:rPr>
      <w:rFonts w:eastAsiaTheme="minorHAnsi"/>
      <w:lang w:val="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F1C60"/>
    <w:pPr>
      <w:widowControl w:val="0"/>
      <w:autoSpaceDE w:val="0"/>
      <w:autoSpaceDN w:val="0"/>
      <w:spacing w:after="0" w:line="240" w:lineRule="auto"/>
    </w:pPr>
    <w:rPr>
      <w:rFonts w:ascii="Arial MT" w:eastAsia="Arial MT" w:hAnsi="Arial MT" w:cs="Arial MT"/>
    </w:rPr>
  </w:style>
  <w:style w:type="character" w:styleId="CommentReference">
    <w:name w:val="annotation reference"/>
    <w:basedOn w:val="DefaultParagraphFont"/>
    <w:uiPriority w:val="99"/>
    <w:semiHidden/>
    <w:unhideWhenUsed/>
    <w:rsid w:val="004F1C60"/>
    <w:rPr>
      <w:sz w:val="16"/>
      <w:szCs w:val="16"/>
    </w:rPr>
  </w:style>
  <w:style w:type="paragraph" w:styleId="Header">
    <w:name w:val="header"/>
    <w:basedOn w:val="Normal"/>
    <w:link w:val="HeaderChar"/>
    <w:uiPriority w:val="99"/>
    <w:unhideWhenUsed/>
    <w:rsid w:val="00452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D32"/>
  </w:style>
  <w:style w:type="paragraph" w:styleId="Footer">
    <w:name w:val="footer"/>
    <w:basedOn w:val="Normal"/>
    <w:link w:val="FooterChar"/>
    <w:uiPriority w:val="99"/>
    <w:unhideWhenUsed/>
    <w:rsid w:val="00452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D32"/>
  </w:style>
  <w:style w:type="character" w:customStyle="1" w:styleId="UnresolvedMention">
    <w:name w:val="Unresolved Mention"/>
    <w:basedOn w:val="DefaultParagraphFont"/>
    <w:uiPriority w:val="99"/>
    <w:semiHidden/>
    <w:unhideWhenUsed/>
    <w:rsid w:val="00E337B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AF08B9"/>
    <w:pPr>
      <w:keepNext/>
      <w:keepLines/>
      <w:spacing w:before="240" w:after="0"/>
      <w:outlineLvl w:val="0"/>
    </w:pPr>
    <w:rPr>
      <w:rFonts w:asciiTheme="majorHAnsi" w:eastAsiaTheme="majorEastAsia" w:hAnsiTheme="majorHAnsi" w:cstheme="majorBidi"/>
      <w:color w:val="2E74B5" w:themeColor="accent1" w:themeShade="BF"/>
      <w:sz w:val="32"/>
      <w:szCs w:val="32"/>
      <w:lang w:val="en-IE"/>
    </w:rPr>
  </w:style>
  <w:style w:type="paragraph" w:styleId="Heading2">
    <w:name w:val="heading 2"/>
    <w:basedOn w:val="Normal"/>
    <w:next w:val="Normal"/>
    <w:link w:val="Heading2Char"/>
    <w:uiPriority w:val="9"/>
    <w:semiHidden/>
    <w:unhideWhenUsed/>
    <w:qFormat/>
    <w:rsid w:val="007C60EA"/>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189A"/>
    <w:pPr>
      <w:spacing w:after="0" w:line="240" w:lineRule="auto"/>
      <w:contextualSpacing/>
    </w:pPr>
    <w:rPr>
      <w:rFonts w:ascii="Cambria" w:eastAsia="Times New Roman" w:hAnsi="Cambria" w:cs="Times New Roman"/>
      <w:spacing w:val="-10"/>
      <w:kern w:val="28"/>
      <w:sz w:val="56"/>
      <w:szCs w:val="56"/>
    </w:rPr>
  </w:style>
  <w:style w:type="character" w:customStyle="1" w:styleId="TitleChar">
    <w:name w:val="Title Char"/>
    <w:basedOn w:val="DefaultParagraphFont"/>
    <w:link w:val="Title"/>
    <w:uiPriority w:val="10"/>
    <w:rsid w:val="00A1189A"/>
    <w:rPr>
      <w:rFonts w:ascii="Cambria" w:eastAsia="Times New Roman" w:hAnsi="Cambria" w:cs="Times New Roman"/>
      <w:spacing w:val="-10"/>
      <w:kern w:val="28"/>
      <w:sz w:val="56"/>
      <w:szCs w:val="56"/>
    </w:rPr>
  </w:style>
  <w:style w:type="paragraph" w:styleId="ListParagraph">
    <w:name w:val="List Paragraph"/>
    <w:basedOn w:val="Normal"/>
    <w:uiPriority w:val="34"/>
    <w:qFormat/>
    <w:rsid w:val="00A1189A"/>
    <w:pPr>
      <w:spacing w:after="0" w:line="240" w:lineRule="auto"/>
      <w:ind w:left="720"/>
    </w:pPr>
    <w:rPr>
      <w:rFonts w:ascii="Bookman Old Style" w:eastAsia="Times New Roman" w:hAnsi="Bookman Old Style" w:cs="Times New Roman"/>
      <w:b/>
      <w:bCs/>
      <w:sz w:val="26"/>
      <w:szCs w:val="24"/>
    </w:rPr>
  </w:style>
  <w:style w:type="paragraph" w:customStyle="1" w:styleId="TEKSTIII">
    <w:name w:val="TEKSTIII"/>
    <w:basedOn w:val="Normal"/>
    <w:qFormat/>
    <w:rsid w:val="00396679"/>
    <w:pPr>
      <w:spacing w:after="0" w:line="240" w:lineRule="auto"/>
      <w:ind w:firstLine="284"/>
      <w:jc w:val="both"/>
    </w:pPr>
    <w:rPr>
      <w:rFonts w:ascii="Garamond" w:hAnsi="Garamond"/>
      <w:sz w:val="24"/>
    </w:rPr>
  </w:style>
  <w:style w:type="paragraph" w:customStyle="1" w:styleId="akti">
    <w:name w:val="akti"/>
    <w:basedOn w:val="Normal"/>
    <w:rsid w:val="003966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F08B9"/>
    <w:rPr>
      <w:rFonts w:asciiTheme="majorHAnsi" w:eastAsiaTheme="majorEastAsia" w:hAnsiTheme="majorHAnsi" w:cstheme="majorBidi"/>
      <w:color w:val="2E74B5" w:themeColor="accent1" w:themeShade="BF"/>
      <w:sz w:val="32"/>
      <w:szCs w:val="32"/>
      <w:lang w:val="en-IE"/>
    </w:rPr>
  </w:style>
  <w:style w:type="character" w:styleId="Hyperlink">
    <w:name w:val="Hyperlink"/>
    <w:basedOn w:val="DefaultParagraphFont"/>
    <w:uiPriority w:val="99"/>
    <w:unhideWhenUsed/>
    <w:rsid w:val="003806E0"/>
    <w:rPr>
      <w:color w:val="0563C1" w:themeColor="hyperlink"/>
      <w:u w:val="single"/>
    </w:rPr>
  </w:style>
  <w:style w:type="paragraph" w:styleId="FootnoteText">
    <w:name w:val="footnote text"/>
    <w:basedOn w:val="Normal"/>
    <w:link w:val="FootnoteTextChar"/>
    <w:uiPriority w:val="99"/>
    <w:unhideWhenUsed/>
    <w:rsid w:val="003806E0"/>
    <w:pPr>
      <w:spacing w:after="0" w:line="240" w:lineRule="auto"/>
    </w:pPr>
    <w:rPr>
      <w:rFonts w:eastAsiaTheme="minorHAnsi"/>
      <w:sz w:val="20"/>
      <w:szCs w:val="20"/>
      <w:lang w:val="en-IE"/>
    </w:rPr>
  </w:style>
  <w:style w:type="character" w:customStyle="1" w:styleId="FootnoteTextChar">
    <w:name w:val="Footnote Text Char"/>
    <w:basedOn w:val="DefaultParagraphFont"/>
    <w:link w:val="FootnoteText"/>
    <w:uiPriority w:val="99"/>
    <w:rsid w:val="003806E0"/>
    <w:rPr>
      <w:rFonts w:eastAsiaTheme="minorHAnsi"/>
      <w:sz w:val="20"/>
      <w:szCs w:val="20"/>
      <w:lang w:val="en-IE"/>
    </w:rPr>
  </w:style>
  <w:style w:type="character" w:styleId="FootnoteReference">
    <w:name w:val="footnote reference"/>
    <w:basedOn w:val="DefaultParagraphFont"/>
    <w:uiPriority w:val="99"/>
    <w:semiHidden/>
    <w:unhideWhenUsed/>
    <w:rsid w:val="003806E0"/>
    <w:rPr>
      <w:vertAlign w:val="superscript"/>
    </w:rPr>
  </w:style>
  <w:style w:type="paragraph" w:styleId="BalloonText">
    <w:name w:val="Balloon Text"/>
    <w:basedOn w:val="Normal"/>
    <w:link w:val="BalloonTextChar"/>
    <w:uiPriority w:val="99"/>
    <w:semiHidden/>
    <w:unhideWhenUsed/>
    <w:rsid w:val="00643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D72"/>
    <w:rPr>
      <w:rFonts w:ascii="Tahoma" w:hAnsi="Tahoma" w:cs="Tahoma"/>
      <w:sz w:val="16"/>
      <w:szCs w:val="16"/>
    </w:rPr>
  </w:style>
  <w:style w:type="character" w:customStyle="1" w:styleId="Heading2Char">
    <w:name w:val="Heading 2 Char"/>
    <w:basedOn w:val="DefaultParagraphFont"/>
    <w:link w:val="Heading2"/>
    <w:uiPriority w:val="9"/>
    <w:semiHidden/>
    <w:rsid w:val="007C60EA"/>
    <w:rPr>
      <w:rFonts w:asciiTheme="majorHAnsi" w:eastAsiaTheme="majorEastAsia" w:hAnsiTheme="majorHAnsi" w:cstheme="majorBidi"/>
      <w:b/>
      <w:bCs/>
      <w:color w:val="5B9BD5" w:themeColor="accent1"/>
      <w:sz w:val="26"/>
      <w:szCs w:val="26"/>
    </w:rPr>
  </w:style>
  <w:style w:type="paragraph" w:styleId="BodyText">
    <w:name w:val="Body Text"/>
    <w:basedOn w:val="Normal"/>
    <w:link w:val="BodyTextChar"/>
    <w:uiPriority w:val="1"/>
    <w:qFormat/>
    <w:rsid w:val="00EF4A7A"/>
    <w:pPr>
      <w:widowControl w:val="0"/>
      <w:autoSpaceDE w:val="0"/>
      <w:autoSpaceDN w:val="0"/>
      <w:spacing w:after="0" w:line="240" w:lineRule="auto"/>
    </w:pPr>
    <w:rPr>
      <w:rFonts w:ascii="Arial MT" w:eastAsia="Arial MT" w:hAnsi="Arial MT" w:cs="Arial MT"/>
      <w:sz w:val="18"/>
      <w:szCs w:val="18"/>
    </w:rPr>
  </w:style>
  <w:style w:type="character" w:customStyle="1" w:styleId="BodyTextChar">
    <w:name w:val="Body Text Char"/>
    <w:basedOn w:val="DefaultParagraphFont"/>
    <w:link w:val="BodyText"/>
    <w:uiPriority w:val="1"/>
    <w:rsid w:val="00EF4A7A"/>
    <w:rPr>
      <w:rFonts w:ascii="Arial MT" w:eastAsia="Arial MT" w:hAnsi="Arial MT" w:cs="Arial MT"/>
      <w:sz w:val="18"/>
      <w:szCs w:val="18"/>
    </w:rPr>
  </w:style>
  <w:style w:type="table" w:styleId="TableGrid">
    <w:name w:val="Table Grid"/>
    <w:basedOn w:val="TableNormal"/>
    <w:uiPriority w:val="39"/>
    <w:rsid w:val="004F1C60"/>
    <w:pPr>
      <w:spacing w:after="0" w:line="240" w:lineRule="auto"/>
    </w:pPr>
    <w:rPr>
      <w:rFonts w:eastAsiaTheme="minorHAnsi"/>
      <w:lang w:val="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F1C60"/>
    <w:pPr>
      <w:widowControl w:val="0"/>
      <w:autoSpaceDE w:val="0"/>
      <w:autoSpaceDN w:val="0"/>
      <w:spacing w:after="0" w:line="240" w:lineRule="auto"/>
    </w:pPr>
    <w:rPr>
      <w:rFonts w:ascii="Arial MT" w:eastAsia="Arial MT" w:hAnsi="Arial MT" w:cs="Arial MT"/>
    </w:rPr>
  </w:style>
  <w:style w:type="character" w:styleId="CommentReference">
    <w:name w:val="annotation reference"/>
    <w:basedOn w:val="DefaultParagraphFont"/>
    <w:uiPriority w:val="99"/>
    <w:semiHidden/>
    <w:unhideWhenUsed/>
    <w:rsid w:val="004F1C60"/>
    <w:rPr>
      <w:sz w:val="16"/>
      <w:szCs w:val="16"/>
    </w:rPr>
  </w:style>
  <w:style w:type="paragraph" w:styleId="Header">
    <w:name w:val="header"/>
    <w:basedOn w:val="Normal"/>
    <w:link w:val="HeaderChar"/>
    <w:uiPriority w:val="99"/>
    <w:unhideWhenUsed/>
    <w:rsid w:val="00452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D32"/>
  </w:style>
  <w:style w:type="paragraph" w:styleId="Footer">
    <w:name w:val="footer"/>
    <w:basedOn w:val="Normal"/>
    <w:link w:val="FooterChar"/>
    <w:uiPriority w:val="99"/>
    <w:unhideWhenUsed/>
    <w:rsid w:val="00452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D32"/>
  </w:style>
  <w:style w:type="character" w:customStyle="1" w:styleId="UnresolvedMention">
    <w:name w:val="Unresolved Mention"/>
    <w:basedOn w:val="DefaultParagraphFont"/>
    <w:uiPriority w:val="99"/>
    <w:semiHidden/>
    <w:unhideWhenUsed/>
    <w:rsid w:val="00E33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2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theme" Target="theme/theme1.xml"/><Relationship Id="rId21" Type="http://schemas.openxmlformats.org/officeDocument/2006/relationships/image" Target="media/image8.png"/><Relationship Id="rId34" Type="http://schemas.microsoft.com/office/2007/relationships/hdphoto" Target="media/hdphoto3.wdp"/><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png"/><Relationship Id="rId25" Type="http://schemas.microsoft.com/office/2007/relationships/hdphoto" Target="media/hdphoto1.wdp"/><Relationship Id="rId33" Type="http://schemas.openxmlformats.org/officeDocument/2006/relationships/image" Target="media/image18.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microsoft.com/office/2007/relationships/hdphoto" Target="media/hdphoto2.wdp"/><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image" Target="media/image17.jpeg"/><Relationship Id="rId37"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hyperlink" Target="https://www.fao.org/fao-who-codexalimentarius/sh-proxy/en/?lnk=1&amp;url=https%253A%252F%252Fworkspace.fao.org%252Fsites%252Fcodex%252FStandards%252FCXG%2B82-2013%252FCXG_082e.pdf" TargetMode="Externa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image" Target="media/image16.jpeg"/><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image" Target="media/image9.emf"/><Relationship Id="rId27" Type="http://schemas.openxmlformats.org/officeDocument/2006/relationships/image" Target="media/image13.jpeg"/><Relationship Id="rId30" Type="http://schemas.openxmlformats.org/officeDocument/2006/relationships/image" Target="media/image15.jpeg"/><Relationship Id="rId35" Type="http://schemas.openxmlformats.org/officeDocument/2006/relationships/hyperlink" Target="https://www.fao.org/fao-who-codexalimentarius/sh-proxy/en/?lnk=1&amp;url=https%253A%252F%252Fworkspace.fao.org%252Fsites%252Fcodex%252FStandards%252FCXG%2B82-2013%252FCXG_082e.pdf" TargetMode="Externa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publications/m/item/draft-who-global-strategy-for-food-safety-2022-2030" TargetMode="External"/><Relationship Id="rId2" Type="http://schemas.openxmlformats.org/officeDocument/2006/relationships/hyperlink" Target="https://www.cdc.gov/onehealth/basics/index.html" TargetMode="External"/><Relationship Id="rId1" Type="http://schemas.openxmlformats.org/officeDocument/2006/relationships/hyperlink" Target="https://documents1.worldbank.org/curated/en/099845001312232607/pdf/P1752090e8141b05a08afc06ea6bc385da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366</Nr_x002e__x0020_akti>
    <Data_x0020_e_x0020_Krijimit xmlns="0e656187-b300-4fb0-8bf4-3a50f872073c">2023-06-20T07:07:05Z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2023-06-18T22:00:00Z</Date_x0020_protokolli>
    <Titulli xmlns="0e656187-b300-4fb0-8bf4-3a50f872073c">Për miratimin e Strategjisë Kombëtare të Sigurisë Ushqimore 2023-2027</Titulli>
    <Modifikuesi xmlns="0e656187-b300-4fb0-8bf4-3a50f872073c">alma.lisaku</Modifikuesi>
    <Nr_x002e__x0020_prot_x0020_QBZ xmlns="0e656187-b300-4fb0-8bf4-3a50f872073c">889</Nr_x002e__x0020_prot_x0020_QBZ>
    <Data_x0020_e_x0020_Modifikimit xmlns="0e656187-b300-4fb0-8bf4-3a50f872073c">2023-06-20T10:32:31Z</Data_x0020_e_x0020_Modifikimit>
    <Dekretuar xmlns="0e656187-b300-4fb0-8bf4-3a50f872073c">false</Dekretuar>
    <Data xmlns="0e656187-b300-4fb0-8bf4-3a50f872073c">2023-06-15T22:00:00Z</Data>
    <Nr_x002e__x0020_protokolli_x0020_i_x0020_aktit xmlns="0e656187-b300-4fb0-8bf4-3a50f872073c">2266/3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6A3A26C2874CA0B341A17068F79B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86A3A26C2874CA0B341A17068F79B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FAC79-85E3-496F-99F0-4D7E0B860EC6}">
  <ds:schemaRefs>
    <ds:schemaRef ds:uri="http://purl.org/dc/terms/"/>
    <ds:schemaRef ds:uri="http://www.w3.org/XML/1998/namespace"/>
    <ds:schemaRef ds:uri="http://purl.org/dc/elements/1.1/"/>
    <ds:schemaRef ds:uri="http://schemas.microsoft.com/office/2006/metadata/properties"/>
    <ds:schemaRef ds:uri="http://purl.org/dc/dcmitype/"/>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E6E445DF-A327-4001-8CF2-01E2CC731C42}">
  <ds:schemaRefs>
    <ds:schemaRef ds:uri="http://schemas.microsoft.com/sharepoint/v3/contenttype/forms"/>
  </ds:schemaRefs>
</ds:datastoreItem>
</file>

<file path=customXml/itemProps3.xml><?xml version="1.0" encoding="utf-8"?>
<ds:datastoreItem xmlns:ds="http://schemas.openxmlformats.org/officeDocument/2006/customXml" ds:itemID="{EDAAE4DE-0346-4E59-8722-DC5E9F22D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F1C105E-29BC-41CC-AD3B-06BCCC0B072C}">
  <ds:schemaRefs>
    <ds:schemaRef ds:uri="http://schemas.microsoft.com/sharepoint/v3/contenttype/forms"/>
  </ds:schemaRefs>
</ds:datastoreItem>
</file>

<file path=customXml/itemProps5.xml><?xml version="1.0" encoding="utf-8"?>
<ds:datastoreItem xmlns:ds="http://schemas.openxmlformats.org/officeDocument/2006/customXml" ds:itemID="{525F92BB-2949-4B16-A248-56C1A5EB8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7C0B1E-39C9-40ED-B47D-6371D2DD1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26</Pages>
  <Words>10629</Words>
  <Characters>60588</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Për miratimin e Strategjisë Kombëtare të Sigurisë Ushqimore 2023-2027</vt:lpstr>
    </vt:vector>
  </TitlesOfParts>
  <Company/>
  <LinksUpToDate>false</LinksUpToDate>
  <CharactersWithSpaces>71075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të Sigurisë Ushqimore 2023-2027</dc:title>
  <dc:creator>Entela Suli</dc:creator>
  <cp:lastModifiedBy>Valjeta Kaftalli</cp:lastModifiedBy>
  <cp:revision>86</cp:revision>
  <dcterms:created xsi:type="dcterms:W3CDTF">2023-06-20T08:24:00Z</dcterms:created>
  <dcterms:modified xsi:type="dcterms:W3CDTF">2023-06-20T11:35:00Z</dcterms:modified>
</cp:coreProperties>
</file>