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D05979" w14:textId="77777777" w:rsidR="0026196D" w:rsidRPr="00A8396C" w:rsidRDefault="0026196D" w:rsidP="002619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A8396C">
        <w:rPr>
          <w:rFonts w:ascii="Garamond" w:hAnsi="Garamond"/>
          <w:b/>
          <w:sz w:val="24"/>
          <w:szCs w:val="24"/>
          <w:lang w:val="sq-AL" w:eastAsia="ja-JP"/>
        </w:rPr>
        <w:t xml:space="preserve">VENDIM </w:t>
      </w:r>
    </w:p>
    <w:p w14:paraId="0AEE3F21" w14:textId="3005232B" w:rsidR="00B56218" w:rsidRPr="00A8396C" w:rsidRDefault="0026196D" w:rsidP="002619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A8396C">
        <w:rPr>
          <w:rFonts w:ascii="Garamond" w:hAnsi="Garamond"/>
          <w:b/>
          <w:sz w:val="24"/>
          <w:szCs w:val="24"/>
          <w:lang w:val="sq-AL" w:eastAsia="ja-JP"/>
        </w:rPr>
        <w:t>N</w:t>
      </w:r>
      <w:r w:rsidR="00551CD1" w:rsidRPr="00A8396C">
        <w:rPr>
          <w:rFonts w:ascii="Garamond" w:hAnsi="Garamond"/>
          <w:b/>
          <w:sz w:val="24"/>
          <w:szCs w:val="24"/>
          <w:lang w:val="sq-AL" w:eastAsia="ja-JP"/>
        </w:rPr>
        <w:t>r.</w:t>
      </w:r>
      <w:r w:rsidR="0029406C" w:rsidRPr="00A8396C">
        <w:rPr>
          <w:rFonts w:ascii="Garamond" w:hAnsi="Garamond"/>
          <w:b/>
          <w:sz w:val="24"/>
          <w:szCs w:val="24"/>
          <w:lang w:val="sq-AL" w:eastAsia="ja-JP"/>
        </w:rPr>
        <w:t xml:space="preserve"> 3</w:t>
      </w:r>
      <w:r w:rsidR="00272FA9" w:rsidRPr="00A8396C">
        <w:rPr>
          <w:rFonts w:ascii="Garamond" w:hAnsi="Garamond"/>
          <w:b/>
          <w:sz w:val="24"/>
          <w:szCs w:val="24"/>
          <w:lang w:val="sq-AL" w:eastAsia="ja-JP"/>
        </w:rPr>
        <w:t>9</w:t>
      </w:r>
      <w:r w:rsidR="000C514D" w:rsidRPr="00A8396C">
        <w:rPr>
          <w:rFonts w:ascii="Garamond" w:hAnsi="Garamond"/>
          <w:b/>
          <w:sz w:val="24"/>
          <w:szCs w:val="24"/>
          <w:lang w:val="sq-AL" w:eastAsia="ja-JP"/>
        </w:rPr>
        <w:t>5</w:t>
      </w:r>
      <w:r w:rsidR="00263D3A" w:rsidRPr="00A8396C">
        <w:rPr>
          <w:rFonts w:ascii="Garamond" w:hAnsi="Garamond"/>
          <w:b/>
          <w:sz w:val="24"/>
          <w:szCs w:val="24"/>
          <w:lang w:val="sq-AL" w:eastAsia="ja-JP"/>
        </w:rPr>
        <w:t xml:space="preserve">, datë </w:t>
      </w:r>
      <w:r w:rsidR="00527A56" w:rsidRPr="00A8396C">
        <w:rPr>
          <w:rFonts w:ascii="Garamond" w:hAnsi="Garamond"/>
          <w:b/>
          <w:sz w:val="24"/>
          <w:szCs w:val="24"/>
          <w:lang w:val="sq-AL" w:eastAsia="ja-JP"/>
        </w:rPr>
        <w:t>2</w:t>
      </w:r>
      <w:r w:rsidR="00F304BE" w:rsidRPr="00A8396C">
        <w:rPr>
          <w:rFonts w:ascii="Garamond" w:hAnsi="Garamond"/>
          <w:b/>
          <w:sz w:val="24"/>
          <w:szCs w:val="24"/>
          <w:lang w:val="sq-AL" w:eastAsia="ja-JP"/>
        </w:rPr>
        <w:t>9</w:t>
      </w:r>
      <w:r w:rsidR="00B416C3" w:rsidRPr="00A8396C">
        <w:rPr>
          <w:rFonts w:ascii="Garamond" w:hAnsi="Garamond"/>
          <w:b/>
          <w:sz w:val="24"/>
          <w:szCs w:val="24"/>
          <w:lang w:val="sq-AL" w:eastAsia="ja-JP"/>
        </w:rPr>
        <w:t>.6</w:t>
      </w:r>
      <w:r w:rsidR="00773738" w:rsidRPr="00A8396C">
        <w:rPr>
          <w:rFonts w:ascii="Garamond" w:hAnsi="Garamond"/>
          <w:b/>
          <w:sz w:val="24"/>
          <w:szCs w:val="24"/>
          <w:lang w:val="sq-AL" w:eastAsia="ja-JP"/>
        </w:rPr>
        <w:t>.2023</w:t>
      </w:r>
    </w:p>
    <w:p w14:paraId="5022E28A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559B1A1" w14:textId="4512A44F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MUNDËSINË E OFRIMIT JASHTË REGJIMIT TË PUNËS, TË PËRCAKTUAR NGA PUNËDHËNËSI, TË SHËRBIMEVE</w:t>
      </w:r>
      <w:r w:rsidR="00A8396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8396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TË KONSULTAVE AMBULATORE PËR PACIENTË JASHTË SISTEMIT TË REFERIMIT</w:t>
      </w:r>
    </w:p>
    <w:p w14:paraId="3D00641A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30D0187" w14:textId="7A79D693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1, të nenit 27, të</w:t>
      </w:r>
      <w:r w:rsid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55/2022, “Për shërbimin spitalor në Republikën e Shqipërisë”, me propozimin e ministrit të Shëndetësisë dhe Mbrojtjes Sociale, Këshilli i Ministrave</w:t>
      </w:r>
    </w:p>
    <w:p w14:paraId="350067D8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9C8E1A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700463F8" w14:textId="77777777" w:rsidR="0026196D" w:rsidRPr="00A8396C" w:rsidRDefault="0026196D" w:rsidP="0026196D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7C09EA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Ky vendim ka për qëllim të përcaktojë kriteret e ofrimit të shërbimeve të konsultave ambulatore për pacientë jashtë sistemit të referimit. </w:t>
      </w:r>
    </w:p>
    <w:p w14:paraId="78955AB4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2. Spitalet publike, të cilat do të mundësojnë ofrimin e praktikës së dyfishtë, sigurojnë:</w:t>
      </w:r>
    </w:p>
    <w:p w14:paraId="14C59F9B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proofErr w:type="spellStart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akses</w:t>
      </w:r>
      <w:proofErr w:type="spellEnd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garantuar për qytetarët në marrjen e shërbimeve të kujdesit shëndetësor, bazuar në rregullat e ofrimit të shërbimit, sistemin e referimit, cilësinë e shërbimit në çdo hallkë të ofrimit të shërbimit në spital;</w:t>
      </w:r>
    </w:p>
    <w:p w14:paraId="7C88CCA7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b) transparencë në ofrimin e shërbimeve shëndetësore nëpërmjet sistemit të referimit, pritjes së pacientëve dhe qytetarëve në recepsione apo struktura të konsultave ambulatore, duke garantuar funksionalitetin e plotë të shërbimit spitalor;</w:t>
      </w:r>
    </w:p>
    <w:p w14:paraId="27203096" w14:textId="448E082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c) sigurimin e shërbimeve spitalore nga konsultat ambulatore te</w:t>
      </w:r>
      <w:r w:rsidR="00A8396C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shërbimi me shtretër në spital për të gjithë pacientët dhe qytetarët që kanë nevojë për kujdes shëndetësor;</w:t>
      </w:r>
    </w:p>
    <w:p w14:paraId="18F49F2B" w14:textId="6EE53031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përmbushjen e detyrimeve </w:t>
      </w:r>
      <w:proofErr w:type="spellStart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kontraktuale</w:t>
      </w:r>
      <w:proofErr w:type="spellEnd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normave të aktivitetit të shërbimit</w:t>
      </w:r>
      <w:r w:rsid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nga mjekët specialistë;</w:t>
      </w:r>
    </w:p>
    <w:p w14:paraId="7B8B02B1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ofrimin e shërbimit spitalor publik për të gjithë pacientët, brenda dhe jashtë sistemit të referimit, sipas dispozitave ligjore në fuqi dhe rregullave për ofrimin e shërbimit shëndetësor në </w:t>
      </w:r>
      <w:proofErr w:type="spellStart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korsitë</w:t>
      </w:r>
      <w:proofErr w:type="spellEnd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preferenciale.</w:t>
      </w:r>
    </w:p>
    <w:p w14:paraId="1EF34AD8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3. Kriteret për ofrimin e praktikës së dyfishtë në spitalet publike janë, si më poshtë vijon:</w:t>
      </w:r>
    </w:p>
    <w:p w14:paraId="768B14C3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Spitali të ketë përfituar kartën e autonomisë </w:t>
      </w:r>
      <w:proofErr w:type="spellStart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menaxheriale</w:t>
      </w:r>
      <w:proofErr w:type="spellEnd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</w:p>
    <w:p w14:paraId="50A863F1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b) Spitali të garantojë përmbushjen e aktivitetit spitalor, bazuar në normativat e vendosura nga bordi i spitalit dhe të përmbushë indikatorët e aktivitetit mjekësor, të përcaktuar në kontratën e financimit të spitalit;</w:t>
      </w:r>
    </w:p>
    <w:p w14:paraId="670EEBFD" w14:textId="09DE91DF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c) Spitali të disponojë normat e aktivitetit klinik për çdo mjek specialist, sipas s</w:t>
      </w:r>
      <w:r w:rsidR="00A8396C">
        <w:rPr>
          <w:rFonts w:ascii="Garamond" w:hAnsi="Garamond" w:cs="Times New Roman"/>
          <w:color w:val="000000"/>
          <w:sz w:val="24"/>
          <w:szCs w:val="24"/>
          <w:lang w:val="sq-AL"/>
        </w:rPr>
        <w:t>hërbimeve përkatëse, në regjimin</w:t>
      </w: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përcaktohet praktika e dyfishtë.</w:t>
      </w:r>
    </w:p>
    <w:p w14:paraId="42804823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4. Mënyra e ofrimit të praktikës së dyfishtë në shërbimin e konsultave ambulatore për pacientët jashtë sistemit të referimit realizohet, sipas procedurës së mëposhtme:</w:t>
      </w:r>
    </w:p>
    <w:p w14:paraId="4E5C50E3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Mjeku specialist paraqet kërkesën në drejtorinë e spitalit publik për të ushtruar praktikën e dyfishtë, jashtë angazhimit </w:t>
      </w:r>
      <w:proofErr w:type="spellStart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kontraktual</w:t>
      </w:r>
      <w:proofErr w:type="spellEnd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punëmarrësin dhe kohës së punës, bazuar në këtë kontratë. Në kërkesën e tij përshkruhet orari i konsultave, të propozuara për pacientët jashtë sistemit të referimit, organizimi dhe mënyra e pritjes së pacientëve që do t’u ofrohet konsulta ambulatore;</w:t>
      </w:r>
    </w:p>
    <w:p w14:paraId="4697FD11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b) Drejtoria e spitalit vlerëson kërkesën e mjekut specialist, aktivitetin e mjekut në shërbim, përmbushjen e normave në shërbimin ku ushtron profesionin dhe modalitetet e propozuara të organizimit të konsultave ambulatore, të propozuara në kërkesën e tij, brenda një afati 30 (tridhjetë)- ditor;</w:t>
      </w:r>
    </w:p>
    <w:p w14:paraId="4FD43E88" w14:textId="10A8E889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Pas vlerësimit, nëse kërkuesi përmbush kërkesat, firmoset kontratë dypalëshe me spitalin publik për ofrimin e praktikës dyfishe. Kontrata e shërbimit është me afat të përcaktuar dhe ka të </w:t>
      </w: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përcaktuar tarifat përkatëse të shërbimit dhe mënyrën e shpërndarjes së tyre, bazuar në tarifat preferenciale të </w:t>
      </w:r>
      <w:r w:rsidR="00A8396C">
        <w:rPr>
          <w:rFonts w:ascii="Garamond" w:hAnsi="Garamond" w:cs="Times New Roman"/>
          <w:color w:val="000000"/>
          <w:sz w:val="24"/>
          <w:szCs w:val="24"/>
          <w:lang w:val="sq-AL"/>
        </w:rPr>
        <w:t>vendosura nga bordi i spitalit;</w:t>
      </w:r>
    </w:p>
    <w:p w14:paraId="1C6FBA94" w14:textId="0D483BA9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Numri i konsultave mujore për mjekët specialistë në sistemin e praktikës dyfishe përcaktohet në kontratën midis palëve dhe të ardhurat e mjekut nga praktika dyfishe nuk duhet të tejkalojnë 30 (tridhjetë) % të pagës bruto të tij.</w:t>
      </w:r>
    </w:p>
    <w:p w14:paraId="05558B13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5. Funksionimi i ofrimit të praktikës së dyfishtë në spitalet publike realizohet, si më poshtë vijon:</w:t>
      </w:r>
    </w:p>
    <w:p w14:paraId="3DC4FA12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Spitali përcakton rregullat për kryerjen e praktikës së dyfishtë dhe vendos në dispozicion ambientet, sistemin e recepsionit dhe pritjes në strukturat e konsultave ambulatore, si dhe logjistikën e nevojshme mjekësore dhe </w:t>
      </w:r>
      <w:proofErr w:type="spellStart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jomjekësore</w:t>
      </w:r>
      <w:proofErr w:type="spellEnd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kryer konsultën ambulatore;</w:t>
      </w:r>
    </w:p>
    <w:p w14:paraId="48BA57C9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b) Aktiviteti i praktikës së dyfishtë monitorohet nga grupi i posaçëm i monitorimit, i ngritur me vendim të bordit.</w:t>
      </w:r>
    </w:p>
    <w:p w14:paraId="2FC68C4B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6. Spitali është përgjegjës për sistemin e mbledhjes së tarifës së konsultës ambulatore, duke mundësuar, sipas një sistemi periodik mujor, shpërndarjen e të ardhurave të grumbulluara te mjeku specialist nga llogaria e spitalit.</w:t>
      </w:r>
    </w:p>
    <w:p w14:paraId="6F00DDA7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Të ardhurat që </w:t>
      </w:r>
      <w:proofErr w:type="spellStart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gjenerohen</w:t>
      </w:r>
      <w:proofErr w:type="spellEnd"/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spitali nëpërmjet praktikës se dyfishtë do të futen në zërin e të ardhurave dytësore dhe do të përdoren nga spitali për të përmirësuar më tej cilësinë e shërbimit të ofruar, bazuar në legjislacionin në fuqi.</w:t>
      </w:r>
    </w:p>
    <w:p w14:paraId="0F4449A8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8. Autoritetet drejtuese të strukturës spitalore publike afishojnë listën e stafit mjekësor të angazhuar në regjimin e praktikës së dyfishtë dhe tarifat përkatëse të shërbimit dhe i bëjnë ato transparente për publikun.</w:t>
      </w:r>
    </w:p>
    <w:p w14:paraId="49CA5A6B" w14:textId="4862F06F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>9. Ngarkohen Ministria e Shëndetësisë dhe Mbrojtjes Sociale, Fondi i Sigurimit të Detyrueshëm të Kujdesit Shëndetësor, Operatori i Shërbimeve të Kujdesit Shëndetësor dhe strukturat spitalore të sistemit shëndetësor publi</w:t>
      </w:r>
      <w:r w:rsidR="00A8396C">
        <w:rPr>
          <w:rFonts w:ascii="Garamond" w:hAnsi="Garamond" w:cs="Times New Roman"/>
          <w:color w:val="000000"/>
          <w:sz w:val="24"/>
          <w:szCs w:val="24"/>
          <w:lang w:val="sq-AL"/>
        </w:rPr>
        <w:t>k për zbatimin e këtij vendimi.</w:t>
      </w:r>
      <w:bookmarkStart w:id="0" w:name="_GoBack"/>
      <w:bookmarkEnd w:id="0"/>
    </w:p>
    <w:p w14:paraId="72FB9109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Zyrtare. </w:t>
      </w:r>
    </w:p>
    <w:p w14:paraId="37F80220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0766934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8396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19AED918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A8396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A8396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63CB2217" w14:textId="77777777" w:rsidR="0026196D" w:rsidRPr="00A8396C" w:rsidRDefault="0026196D" w:rsidP="002619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2E7CB4A" w14:textId="77777777" w:rsidR="0026196D" w:rsidRPr="00A8396C" w:rsidRDefault="0026196D" w:rsidP="0026196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sectPr w:rsidR="0026196D" w:rsidRPr="00A839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90D05"/>
    <w:rsid w:val="0009171B"/>
    <w:rsid w:val="000956ED"/>
    <w:rsid w:val="000A39B7"/>
    <w:rsid w:val="000A77D9"/>
    <w:rsid w:val="000C3D4A"/>
    <w:rsid w:val="000C514D"/>
    <w:rsid w:val="000C55A5"/>
    <w:rsid w:val="000D7F01"/>
    <w:rsid w:val="001149C8"/>
    <w:rsid w:val="00121461"/>
    <w:rsid w:val="0012538B"/>
    <w:rsid w:val="00135329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6196D"/>
    <w:rsid w:val="00263D3A"/>
    <w:rsid w:val="00270663"/>
    <w:rsid w:val="00272FA9"/>
    <w:rsid w:val="002821F2"/>
    <w:rsid w:val="002929DC"/>
    <w:rsid w:val="0029406C"/>
    <w:rsid w:val="002A23A7"/>
    <w:rsid w:val="002B1C09"/>
    <w:rsid w:val="002B7B82"/>
    <w:rsid w:val="002C3DC5"/>
    <w:rsid w:val="002C7879"/>
    <w:rsid w:val="002D71C7"/>
    <w:rsid w:val="002E2CDE"/>
    <w:rsid w:val="002F0DDD"/>
    <w:rsid w:val="002F6BD5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8356B"/>
    <w:rsid w:val="00390D00"/>
    <w:rsid w:val="003956A3"/>
    <w:rsid w:val="00397301"/>
    <w:rsid w:val="003A0634"/>
    <w:rsid w:val="003A40CD"/>
    <w:rsid w:val="003A489E"/>
    <w:rsid w:val="003B039A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4E4BE5"/>
    <w:rsid w:val="00504AE4"/>
    <w:rsid w:val="00505829"/>
    <w:rsid w:val="00523B5F"/>
    <w:rsid w:val="00527A56"/>
    <w:rsid w:val="005305D6"/>
    <w:rsid w:val="00551CD1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6F6DCB"/>
    <w:rsid w:val="00710CF1"/>
    <w:rsid w:val="0072369E"/>
    <w:rsid w:val="0073468F"/>
    <w:rsid w:val="00773738"/>
    <w:rsid w:val="0077527A"/>
    <w:rsid w:val="00775B4C"/>
    <w:rsid w:val="007953E6"/>
    <w:rsid w:val="007A0E53"/>
    <w:rsid w:val="007A6FEA"/>
    <w:rsid w:val="007C2D06"/>
    <w:rsid w:val="007D20DA"/>
    <w:rsid w:val="007D4E26"/>
    <w:rsid w:val="007E2117"/>
    <w:rsid w:val="007E4A74"/>
    <w:rsid w:val="007F1F00"/>
    <w:rsid w:val="007F20FF"/>
    <w:rsid w:val="0080141E"/>
    <w:rsid w:val="008037E4"/>
    <w:rsid w:val="00804031"/>
    <w:rsid w:val="008044AD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0BCD"/>
    <w:rsid w:val="009547F5"/>
    <w:rsid w:val="0095673E"/>
    <w:rsid w:val="00983036"/>
    <w:rsid w:val="0098745D"/>
    <w:rsid w:val="009954E6"/>
    <w:rsid w:val="009B2B45"/>
    <w:rsid w:val="009E40DB"/>
    <w:rsid w:val="009E4E0D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8396C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125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ECD"/>
    <w:rsid w:val="00ED307F"/>
    <w:rsid w:val="00ED57FF"/>
    <w:rsid w:val="00EE4477"/>
    <w:rsid w:val="00EF1574"/>
    <w:rsid w:val="00EF5D20"/>
    <w:rsid w:val="00F304BE"/>
    <w:rsid w:val="00F50B83"/>
    <w:rsid w:val="00F51CB4"/>
    <w:rsid w:val="00F52037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E3F21"/>
  <w15:docId w15:val="{05115D11-CF67-4E29-9BAA-6D6B1AAA4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395</Nr_x002e__x0020_akti>
    <Data_x0020_e_x0020_Krijimit xmlns="0e656187-b300-4fb0-8bf4-3a50f872073c">2023-06-30T08:24:05Z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mundësinë e ofrimit jashtë regjimit të punës, të përcaktuar nga punëdhënësi, të shërbimeve të konsultave ambulatore për pacientë jashtë sistemit të referimit</Titulli>
    <Modifikuesi xmlns="0e656187-b300-4fb0-8bf4-3a50f872073c">ermira.bukaci</Modifikuesi>
    <Nr_x002e__x0020_prot_x0020_QBZ xmlns="0e656187-b300-4fb0-8bf4-3a50f872073c">974</Nr_x002e__x0020_prot_x0020_QBZ>
    <Data_x0020_e_x0020_Modifikimit xmlns="0e656187-b300-4fb0-8bf4-3a50f872073c">2023-06-30T08:40:55Z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2920/2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A80E4DB644000AE32A3B98F1605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6A80E4DB644000AE32A3B98F1605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42021-71AA-4B80-9C9B-78EDDED22B4E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0e656187-b300-4fb0-8bf4-3a50f872073c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6839D3D-D039-4E2A-8F78-6A6D3A79E4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2E7731-3542-46E8-991D-4B72353B6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95CF98-64CD-481B-AFAF-E52B2C8A8B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8B73BE5-4714-4D48-AB89-4E2FF9286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386A27-1C7C-4EF1-8F4E-3E5A4CE62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mundësinë e ofrimit jashtë regjimit të punës, të përcaktuar nga punëdhënësi, të shërbimeve të konsultave ambulatore për pacientë jashtë sistemit të referimit</vt:lpstr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mundësinë e ofrimit jashtë regjimit të punës, të përcaktuar nga punëdhënësi, të shërbimeve të konsultave ambulatore për pacientë jashtë sistemit të referimit</dc:title>
  <dc:creator>Entela Suli</dc:creator>
  <cp:lastModifiedBy>fjora.cahani</cp:lastModifiedBy>
  <cp:revision>4</cp:revision>
  <dcterms:created xsi:type="dcterms:W3CDTF">2023-06-30T08:30:00Z</dcterms:created>
  <dcterms:modified xsi:type="dcterms:W3CDTF">2023-06-30T08:59:00Z</dcterms:modified>
</cp:coreProperties>
</file>